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DF5B0" w14:textId="70D332EF" w:rsidR="00B626E7" w:rsidRDefault="00175C1D">
      <w:pPr>
        <w:jc w:val="center"/>
      </w:pPr>
      <w:r>
        <w:rPr>
          <w:rFonts w:ascii="Arial" w:eastAsia="宋体" w:hAnsi="Arial" w:cs="Arial"/>
          <w:b/>
          <w:bCs/>
          <w:color w:val="333333"/>
          <w:sz w:val="28"/>
          <w:szCs w:val="28"/>
        </w:rPr>
        <w:t xml:space="preserve"> </w:t>
      </w:r>
      <w:r>
        <w:rPr>
          <w:rFonts w:ascii="Arial" w:eastAsia="宋体" w:hAnsi="Arial" w:cs="Arial"/>
          <w:b/>
          <w:bCs/>
          <w:color w:val="333333"/>
          <w:sz w:val="28"/>
          <w:szCs w:val="28"/>
        </w:rPr>
        <w:t>UNITED STATES SECURITIES AND EXCHANGE COMMISSION</w:t>
      </w:r>
    </w:p>
    <w:p w14:paraId="20ADF5B1" w14:textId="77777777" w:rsidR="00B626E7" w:rsidRDefault="00175C1D">
      <w:pPr>
        <w:spacing w:after="180"/>
        <w:jc w:val="center"/>
      </w:pPr>
      <w:r>
        <w:rPr>
          <w:rFonts w:ascii="Arial" w:eastAsia="宋体" w:hAnsi="Arial" w:cs="Arial"/>
          <w:color w:val="333333"/>
          <w:sz w:val="18"/>
          <w:szCs w:val="18"/>
        </w:rPr>
        <w:t>Washington, D.C. 20549</w:t>
      </w:r>
    </w:p>
    <w:p w14:paraId="20ADF5B2" w14:textId="77777777" w:rsidR="00B626E7" w:rsidRDefault="00175C1D">
      <w:pPr>
        <w:spacing w:before="120" w:after="120"/>
        <w:jc w:val="center"/>
      </w:pPr>
      <w:r>
        <w:rPr>
          <w:rFonts w:ascii="Arial" w:eastAsia="宋体" w:hAnsi="Arial" w:cs="Arial"/>
          <w:b/>
          <w:bCs/>
          <w:color w:val="333333"/>
          <w:sz w:val="36"/>
          <w:szCs w:val="36"/>
        </w:rPr>
        <w:t xml:space="preserve">FORM 10-Q </w:t>
      </w:r>
    </w:p>
    <w:p w14:paraId="20ADF5B3" w14:textId="77777777" w:rsidR="00B626E7" w:rsidRDefault="00175C1D">
      <w:pPr>
        <w:spacing w:before="180" w:after="180"/>
      </w:pPr>
      <w:r>
        <w:rPr>
          <w:rFonts w:ascii="Arial" w:eastAsia="宋体" w:hAnsi="Arial" w:cs="Arial"/>
          <w:color w:val="333333"/>
          <w:sz w:val="16"/>
          <w:szCs w:val="16"/>
        </w:rPr>
        <w:t>(Mark One)</w:t>
      </w:r>
    </w:p>
    <w:tbl>
      <w:tblPr>
        <w:tblW w:w="5000" w:type="pct"/>
        <w:tblCellMar>
          <w:top w:w="15" w:type="dxa"/>
          <w:left w:w="15" w:type="dxa"/>
          <w:bottom w:w="15" w:type="dxa"/>
          <w:right w:w="15" w:type="dxa"/>
        </w:tblCellMar>
        <w:tblLook w:val="04A0" w:firstRow="1" w:lastRow="0" w:firstColumn="1" w:lastColumn="0" w:noHBand="0" w:noVBand="1"/>
      </w:tblPr>
      <w:tblGrid>
        <w:gridCol w:w="36"/>
        <w:gridCol w:w="139"/>
        <w:gridCol w:w="36"/>
        <w:gridCol w:w="118"/>
        <w:gridCol w:w="135"/>
        <w:gridCol w:w="117"/>
        <w:gridCol w:w="58"/>
        <w:gridCol w:w="1845"/>
        <w:gridCol w:w="58"/>
        <w:gridCol w:w="58"/>
        <w:gridCol w:w="5569"/>
        <w:gridCol w:w="59"/>
        <w:gridCol w:w="36"/>
        <w:gridCol w:w="36"/>
        <w:gridCol w:w="36"/>
      </w:tblGrid>
      <w:tr w:rsidR="00B626E7" w14:paraId="20ADF5C0" w14:textId="77777777">
        <w:trPr>
          <w:gridAfter w:val="3"/>
        </w:trPr>
        <w:tc>
          <w:tcPr>
            <w:tcW w:w="5" w:type="pct"/>
            <w:shd w:val="clear" w:color="auto" w:fill="auto"/>
          </w:tcPr>
          <w:p w14:paraId="20ADF5B4" w14:textId="77777777" w:rsidR="00B626E7" w:rsidRDefault="00B626E7">
            <w:pPr>
              <w:rPr>
                <w:rFonts w:ascii="宋体"/>
              </w:rPr>
            </w:pPr>
          </w:p>
        </w:tc>
        <w:tc>
          <w:tcPr>
            <w:tcW w:w="99" w:type="pct"/>
            <w:shd w:val="clear" w:color="auto" w:fill="auto"/>
          </w:tcPr>
          <w:p w14:paraId="20ADF5B5" w14:textId="77777777" w:rsidR="00B626E7" w:rsidRDefault="00B626E7">
            <w:pPr>
              <w:rPr>
                <w:rFonts w:ascii="宋体"/>
              </w:rPr>
            </w:pPr>
          </w:p>
        </w:tc>
        <w:tc>
          <w:tcPr>
            <w:tcW w:w="5" w:type="pct"/>
            <w:shd w:val="clear" w:color="auto" w:fill="auto"/>
          </w:tcPr>
          <w:p w14:paraId="20ADF5B6" w14:textId="77777777" w:rsidR="00B626E7" w:rsidRDefault="00B626E7">
            <w:pPr>
              <w:rPr>
                <w:rFonts w:ascii="宋体"/>
              </w:rPr>
            </w:pPr>
          </w:p>
        </w:tc>
        <w:tc>
          <w:tcPr>
            <w:tcW w:w="50" w:type="pct"/>
            <w:shd w:val="clear" w:color="auto" w:fill="auto"/>
          </w:tcPr>
          <w:p w14:paraId="20ADF5B7" w14:textId="77777777" w:rsidR="00B626E7" w:rsidRDefault="00B626E7">
            <w:pPr>
              <w:rPr>
                <w:rFonts w:ascii="宋体"/>
              </w:rPr>
            </w:pPr>
          </w:p>
        </w:tc>
        <w:tc>
          <w:tcPr>
            <w:tcW w:w="57" w:type="pct"/>
            <w:shd w:val="clear" w:color="auto" w:fill="auto"/>
          </w:tcPr>
          <w:p w14:paraId="20ADF5B8" w14:textId="77777777" w:rsidR="00B626E7" w:rsidRDefault="00B626E7">
            <w:pPr>
              <w:rPr>
                <w:rFonts w:ascii="宋体"/>
              </w:rPr>
            </w:pPr>
          </w:p>
        </w:tc>
        <w:tc>
          <w:tcPr>
            <w:tcW w:w="50" w:type="pct"/>
            <w:shd w:val="clear" w:color="auto" w:fill="auto"/>
          </w:tcPr>
          <w:p w14:paraId="20ADF5B9" w14:textId="77777777" w:rsidR="00B626E7" w:rsidRDefault="00B626E7">
            <w:pPr>
              <w:rPr>
                <w:rFonts w:ascii="宋体"/>
              </w:rPr>
            </w:pPr>
          </w:p>
        </w:tc>
        <w:tc>
          <w:tcPr>
            <w:tcW w:w="50" w:type="pct"/>
            <w:shd w:val="clear" w:color="auto" w:fill="auto"/>
          </w:tcPr>
          <w:p w14:paraId="20ADF5BA" w14:textId="77777777" w:rsidR="00B626E7" w:rsidRDefault="00B626E7">
            <w:pPr>
              <w:rPr>
                <w:rFonts w:ascii="宋体"/>
              </w:rPr>
            </w:pPr>
          </w:p>
        </w:tc>
        <w:tc>
          <w:tcPr>
            <w:tcW w:w="1136" w:type="pct"/>
            <w:shd w:val="clear" w:color="auto" w:fill="auto"/>
          </w:tcPr>
          <w:p w14:paraId="20ADF5BB" w14:textId="77777777" w:rsidR="00B626E7" w:rsidRDefault="00B626E7">
            <w:pPr>
              <w:rPr>
                <w:rFonts w:ascii="宋体"/>
              </w:rPr>
            </w:pPr>
          </w:p>
        </w:tc>
        <w:tc>
          <w:tcPr>
            <w:tcW w:w="50" w:type="pct"/>
            <w:shd w:val="clear" w:color="auto" w:fill="auto"/>
          </w:tcPr>
          <w:p w14:paraId="20ADF5BC" w14:textId="77777777" w:rsidR="00B626E7" w:rsidRDefault="00B626E7">
            <w:pPr>
              <w:rPr>
                <w:rFonts w:ascii="宋体"/>
              </w:rPr>
            </w:pPr>
          </w:p>
        </w:tc>
        <w:tc>
          <w:tcPr>
            <w:tcW w:w="50" w:type="pct"/>
            <w:shd w:val="clear" w:color="auto" w:fill="auto"/>
          </w:tcPr>
          <w:p w14:paraId="20ADF5BD" w14:textId="77777777" w:rsidR="00B626E7" w:rsidRDefault="00B626E7">
            <w:pPr>
              <w:rPr>
                <w:rFonts w:ascii="宋体"/>
              </w:rPr>
            </w:pPr>
          </w:p>
        </w:tc>
        <w:tc>
          <w:tcPr>
            <w:tcW w:w="3397" w:type="pct"/>
            <w:shd w:val="clear" w:color="auto" w:fill="auto"/>
          </w:tcPr>
          <w:p w14:paraId="20ADF5BE" w14:textId="77777777" w:rsidR="00B626E7" w:rsidRDefault="00B626E7">
            <w:pPr>
              <w:rPr>
                <w:rFonts w:ascii="宋体"/>
              </w:rPr>
            </w:pPr>
          </w:p>
        </w:tc>
        <w:tc>
          <w:tcPr>
            <w:tcW w:w="50" w:type="pct"/>
            <w:shd w:val="clear" w:color="auto" w:fill="auto"/>
          </w:tcPr>
          <w:p w14:paraId="20ADF5BF" w14:textId="77777777" w:rsidR="00B626E7" w:rsidRDefault="00B626E7">
            <w:pPr>
              <w:rPr>
                <w:rFonts w:ascii="宋体"/>
              </w:rPr>
            </w:pPr>
          </w:p>
        </w:tc>
      </w:tr>
      <w:tr w:rsidR="00B626E7" w14:paraId="20ADF5C5" w14:textId="77777777">
        <w:tc>
          <w:tcPr>
            <w:tcW w:w="0" w:type="auto"/>
            <w:gridSpan w:val="3"/>
            <w:shd w:val="clear" w:color="auto" w:fill="auto"/>
            <w:tcMar>
              <w:top w:w="40" w:type="dxa"/>
              <w:left w:w="20" w:type="dxa"/>
              <w:bottom w:w="40" w:type="dxa"/>
              <w:right w:w="20" w:type="dxa"/>
            </w:tcMar>
            <w:vAlign w:val="bottom"/>
          </w:tcPr>
          <w:p w14:paraId="20ADF5C1" w14:textId="77777777" w:rsidR="00B626E7" w:rsidRDefault="00175C1D">
            <w:pPr>
              <w:textAlignment w:val="bottom"/>
            </w:pPr>
            <w:r>
              <w:rPr>
                <w:rFonts w:ascii="Arial" w:eastAsia="宋体" w:hAnsi="Arial" w:cs="Arial"/>
                <w:color w:val="333333"/>
                <w:sz w:val="16"/>
                <w:szCs w:val="16"/>
              </w:rPr>
              <w:t> </w:t>
            </w:r>
          </w:p>
        </w:tc>
        <w:tc>
          <w:tcPr>
            <w:tcW w:w="0" w:type="auto"/>
            <w:gridSpan w:val="3"/>
            <w:shd w:val="clear" w:color="auto" w:fill="auto"/>
            <w:tcMar>
              <w:top w:w="40" w:type="dxa"/>
              <w:left w:w="20" w:type="dxa"/>
              <w:bottom w:w="40" w:type="dxa"/>
              <w:right w:w="20" w:type="dxa"/>
            </w:tcMar>
          </w:tcPr>
          <w:p w14:paraId="20ADF5C2" w14:textId="77777777" w:rsidR="00B626E7" w:rsidRDefault="00175C1D">
            <w:pPr>
              <w:textAlignment w:val="top"/>
            </w:pPr>
            <w:r>
              <w:rPr>
                <w:rFonts w:ascii="Arial Unicode MS" w:eastAsia="Arial Unicode MS" w:hAnsi="Arial Unicode MS" w:cs="Arial Unicode MS"/>
                <w:b/>
                <w:bCs/>
                <w:color w:val="333333"/>
              </w:rPr>
              <w:t>☑</w:t>
            </w:r>
          </w:p>
        </w:tc>
        <w:tc>
          <w:tcPr>
            <w:tcW w:w="0" w:type="auto"/>
            <w:gridSpan w:val="6"/>
            <w:shd w:val="clear" w:color="auto" w:fill="auto"/>
            <w:tcMar>
              <w:top w:w="40" w:type="dxa"/>
              <w:left w:w="20" w:type="dxa"/>
              <w:bottom w:w="40" w:type="dxa"/>
              <w:right w:w="20" w:type="dxa"/>
            </w:tcMar>
          </w:tcPr>
          <w:p w14:paraId="20ADF5C3" w14:textId="77777777" w:rsidR="00B626E7" w:rsidRDefault="00175C1D">
            <w:pPr>
              <w:textAlignment w:val="top"/>
            </w:pPr>
            <w:r>
              <w:rPr>
                <w:rFonts w:ascii="Arial" w:eastAsia="宋体" w:hAnsi="Arial" w:cs="Arial"/>
                <w:color w:val="333333"/>
                <w:sz w:val="18"/>
                <w:szCs w:val="18"/>
              </w:rPr>
              <w:t>QUARTERLY REPORT PURSUANT TO SECTION 13 OR 15(d) OF THE SECURITIES EXCHANGE ACT OF 1934</w:t>
            </w:r>
          </w:p>
        </w:tc>
        <w:tc>
          <w:tcPr>
            <w:tcW w:w="0" w:type="auto"/>
            <w:gridSpan w:val="3"/>
            <w:shd w:val="clear" w:color="auto" w:fill="auto"/>
          </w:tcPr>
          <w:p w14:paraId="20ADF5C4" w14:textId="77777777" w:rsidR="00B626E7" w:rsidRDefault="00B626E7">
            <w:pPr>
              <w:rPr>
                <w:rFonts w:ascii="宋体"/>
                <w:vanish/>
              </w:rPr>
            </w:pPr>
          </w:p>
        </w:tc>
      </w:tr>
      <w:tr w:rsidR="00B626E7" w14:paraId="20ADF5CD" w14:textId="77777777">
        <w:tc>
          <w:tcPr>
            <w:tcW w:w="0" w:type="auto"/>
            <w:gridSpan w:val="3"/>
            <w:shd w:val="clear" w:color="auto" w:fill="auto"/>
            <w:tcMar>
              <w:left w:w="20" w:type="dxa"/>
              <w:right w:w="20" w:type="dxa"/>
            </w:tcMar>
            <w:vAlign w:val="bottom"/>
          </w:tcPr>
          <w:p w14:paraId="20ADF5C6"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DF5C7"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bottom"/>
          </w:tcPr>
          <w:p w14:paraId="20ADF5C8" w14:textId="77777777" w:rsidR="00B626E7" w:rsidRDefault="00175C1D">
            <w:pPr>
              <w:textAlignment w:val="bottom"/>
            </w:pPr>
            <w:r>
              <w:rPr>
                <w:rFonts w:ascii="Arial" w:eastAsia="宋体" w:hAnsi="Arial" w:cs="Arial"/>
                <w:color w:val="333333"/>
                <w:sz w:val="18"/>
                <w:szCs w:val="18"/>
              </w:rPr>
              <w:t>For the quarterly period ended</w:t>
            </w:r>
          </w:p>
        </w:tc>
        <w:tc>
          <w:tcPr>
            <w:tcW w:w="0" w:type="auto"/>
            <w:gridSpan w:val="3"/>
            <w:shd w:val="clear" w:color="auto" w:fill="auto"/>
            <w:tcMar>
              <w:top w:w="40" w:type="dxa"/>
              <w:left w:w="20" w:type="dxa"/>
              <w:bottom w:w="40" w:type="dxa"/>
              <w:right w:w="20" w:type="dxa"/>
            </w:tcMar>
            <w:vAlign w:val="bottom"/>
          </w:tcPr>
          <w:p w14:paraId="20ADF5C9" w14:textId="77777777" w:rsidR="00B626E7" w:rsidRDefault="00175C1D">
            <w:pPr>
              <w:textAlignment w:val="bottom"/>
            </w:pPr>
            <w:r>
              <w:rPr>
                <w:rFonts w:ascii="Arial" w:eastAsia="宋体" w:hAnsi="Arial" w:cs="Arial"/>
                <w:color w:val="333333"/>
                <w:sz w:val="18"/>
                <w:szCs w:val="18"/>
              </w:rPr>
              <w:t>June 27, 2020</w:t>
            </w:r>
          </w:p>
        </w:tc>
        <w:tc>
          <w:tcPr>
            <w:tcW w:w="0" w:type="auto"/>
            <w:shd w:val="clear" w:color="auto" w:fill="auto"/>
          </w:tcPr>
          <w:p w14:paraId="20ADF5CA" w14:textId="77777777" w:rsidR="00B626E7" w:rsidRDefault="00B626E7">
            <w:pPr>
              <w:rPr>
                <w:rFonts w:ascii="宋体"/>
              </w:rPr>
            </w:pPr>
          </w:p>
        </w:tc>
        <w:tc>
          <w:tcPr>
            <w:tcW w:w="0" w:type="auto"/>
            <w:shd w:val="clear" w:color="auto" w:fill="auto"/>
          </w:tcPr>
          <w:p w14:paraId="20ADF5CB" w14:textId="77777777" w:rsidR="00B626E7" w:rsidRDefault="00B626E7">
            <w:pPr>
              <w:rPr>
                <w:rFonts w:ascii="宋体"/>
              </w:rPr>
            </w:pPr>
          </w:p>
        </w:tc>
        <w:tc>
          <w:tcPr>
            <w:tcW w:w="0" w:type="auto"/>
            <w:shd w:val="clear" w:color="auto" w:fill="auto"/>
          </w:tcPr>
          <w:p w14:paraId="20ADF5CC" w14:textId="77777777" w:rsidR="00B626E7" w:rsidRDefault="00B626E7">
            <w:pPr>
              <w:rPr>
                <w:rFonts w:ascii="宋体"/>
              </w:rPr>
            </w:pPr>
          </w:p>
        </w:tc>
      </w:tr>
    </w:tbl>
    <w:p w14:paraId="20ADF5CE" w14:textId="77777777" w:rsidR="00B626E7" w:rsidRDefault="00175C1D">
      <w:pPr>
        <w:jc w:val="center"/>
      </w:pPr>
      <w:r>
        <w:rPr>
          <w:rFonts w:ascii="Arial" w:eastAsia="宋体" w:hAnsi="Arial" w:cs="Arial"/>
          <w:color w:val="333333"/>
          <w:sz w:val="16"/>
          <w:szCs w:val="16"/>
        </w:rPr>
        <w:t>Or</w:t>
      </w:r>
    </w:p>
    <w:tbl>
      <w:tblPr>
        <w:tblW w:w="5000" w:type="pct"/>
        <w:tblCellMar>
          <w:top w:w="15" w:type="dxa"/>
          <w:left w:w="15" w:type="dxa"/>
          <w:bottom w:w="15" w:type="dxa"/>
          <w:right w:w="15" w:type="dxa"/>
        </w:tblCellMar>
        <w:tblLook w:val="04A0" w:firstRow="1" w:lastRow="0" w:firstColumn="1" w:lastColumn="0" w:noHBand="0" w:noVBand="1"/>
      </w:tblPr>
      <w:tblGrid>
        <w:gridCol w:w="36"/>
        <w:gridCol w:w="157"/>
        <w:gridCol w:w="36"/>
        <w:gridCol w:w="79"/>
        <w:gridCol w:w="90"/>
        <w:gridCol w:w="78"/>
        <w:gridCol w:w="65"/>
        <w:gridCol w:w="7719"/>
        <w:gridCol w:w="76"/>
      </w:tblGrid>
      <w:tr w:rsidR="00B626E7" w14:paraId="20ADF5D8" w14:textId="77777777">
        <w:tc>
          <w:tcPr>
            <w:tcW w:w="5" w:type="pct"/>
            <w:shd w:val="clear" w:color="auto" w:fill="auto"/>
          </w:tcPr>
          <w:p w14:paraId="20ADF5CF" w14:textId="77777777" w:rsidR="00B626E7" w:rsidRDefault="00B626E7">
            <w:pPr>
              <w:rPr>
                <w:rFonts w:ascii="宋体"/>
              </w:rPr>
            </w:pPr>
          </w:p>
        </w:tc>
        <w:tc>
          <w:tcPr>
            <w:tcW w:w="99" w:type="pct"/>
            <w:shd w:val="clear" w:color="auto" w:fill="auto"/>
          </w:tcPr>
          <w:p w14:paraId="20ADF5D0" w14:textId="77777777" w:rsidR="00B626E7" w:rsidRDefault="00B626E7">
            <w:pPr>
              <w:rPr>
                <w:rFonts w:ascii="宋体"/>
              </w:rPr>
            </w:pPr>
          </w:p>
        </w:tc>
        <w:tc>
          <w:tcPr>
            <w:tcW w:w="5" w:type="pct"/>
            <w:shd w:val="clear" w:color="auto" w:fill="auto"/>
          </w:tcPr>
          <w:p w14:paraId="20ADF5D1" w14:textId="77777777" w:rsidR="00B626E7" w:rsidRDefault="00B626E7">
            <w:pPr>
              <w:rPr>
                <w:rFonts w:ascii="宋体"/>
              </w:rPr>
            </w:pPr>
          </w:p>
        </w:tc>
        <w:tc>
          <w:tcPr>
            <w:tcW w:w="50" w:type="pct"/>
            <w:shd w:val="clear" w:color="auto" w:fill="auto"/>
          </w:tcPr>
          <w:p w14:paraId="20ADF5D2" w14:textId="77777777" w:rsidR="00B626E7" w:rsidRDefault="00B626E7">
            <w:pPr>
              <w:rPr>
                <w:rFonts w:ascii="宋体"/>
              </w:rPr>
            </w:pPr>
          </w:p>
        </w:tc>
        <w:tc>
          <w:tcPr>
            <w:tcW w:w="57" w:type="pct"/>
            <w:shd w:val="clear" w:color="auto" w:fill="auto"/>
          </w:tcPr>
          <w:p w14:paraId="20ADF5D3" w14:textId="77777777" w:rsidR="00B626E7" w:rsidRDefault="00B626E7">
            <w:pPr>
              <w:rPr>
                <w:rFonts w:ascii="宋体"/>
              </w:rPr>
            </w:pPr>
          </w:p>
        </w:tc>
        <w:tc>
          <w:tcPr>
            <w:tcW w:w="50" w:type="pct"/>
            <w:shd w:val="clear" w:color="auto" w:fill="auto"/>
          </w:tcPr>
          <w:p w14:paraId="20ADF5D4" w14:textId="77777777" w:rsidR="00B626E7" w:rsidRDefault="00B626E7">
            <w:pPr>
              <w:rPr>
                <w:rFonts w:ascii="宋体"/>
              </w:rPr>
            </w:pPr>
          </w:p>
        </w:tc>
        <w:tc>
          <w:tcPr>
            <w:tcW w:w="50" w:type="pct"/>
            <w:shd w:val="clear" w:color="auto" w:fill="auto"/>
          </w:tcPr>
          <w:p w14:paraId="20ADF5D5" w14:textId="77777777" w:rsidR="00B626E7" w:rsidRDefault="00B626E7">
            <w:pPr>
              <w:rPr>
                <w:rFonts w:ascii="宋体"/>
              </w:rPr>
            </w:pPr>
          </w:p>
        </w:tc>
        <w:tc>
          <w:tcPr>
            <w:tcW w:w="4633" w:type="pct"/>
            <w:shd w:val="clear" w:color="auto" w:fill="auto"/>
          </w:tcPr>
          <w:p w14:paraId="20ADF5D6" w14:textId="77777777" w:rsidR="00B626E7" w:rsidRDefault="00B626E7">
            <w:pPr>
              <w:rPr>
                <w:rFonts w:ascii="宋体"/>
              </w:rPr>
            </w:pPr>
          </w:p>
        </w:tc>
        <w:tc>
          <w:tcPr>
            <w:tcW w:w="50" w:type="pct"/>
            <w:shd w:val="clear" w:color="auto" w:fill="auto"/>
          </w:tcPr>
          <w:p w14:paraId="20ADF5D7" w14:textId="77777777" w:rsidR="00B626E7" w:rsidRDefault="00B626E7">
            <w:pPr>
              <w:rPr>
                <w:rFonts w:ascii="宋体"/>
              </w:rPr>
            </w:pPr>
          </w:p>
        </w:tc>
      </w:tr>
      <w:tr w:rsidR="00B626E7" w14:paraId="20ADF5DC" w14:textId="77777777">
        <w:tc>
          <w:tcPr>
            <w:tcW w:w="0" w:type="auto"/>
            <w:gridSpan w:val="3"/>
            <w:shd w:val="clear" w:color="auto" w:fill="auto"/>
            <w:tcMar>
              <w:top w:w="40" w:type="dxa"/>
              <w:left w:w="20" w:type="dxa"/>
              <w:bottom w:w="40" w:type="dxa"/>
              <w:right w:w="20" w:type="dxa"/>
            </w:tcMar>
            <w:vAlign w:val="bottom"/>
          </w:tcPr>
          <w:p w14:paraId="20ADF5D9" w14:textId="77777777" w:rsidR="00B626E7" w:rsidRDefault="00175C1D">
            <w:pPr>
              <w:textAlignment w:val="bottom"/>
            </w:pPr>
            <w:r>
              <w:rPr>
                <w:rFonts w:ascii="Arial" w:eastAsia="宋体" w:hAnsi="Arial" w:cs="Arial"/>
                <w:color w:val="333333"/>
                <w:sz w:val="16"/>
                <w:szCs w:val="16"/>
              </w:rPr>
              <w:t> </w:t>
            </w:r>
          </w:p>
        </w:tc>
        <w:tc>
          <w:tcPr>
            <w:tcW w:w="0" w:type="auto"/>
            <w:gridSpan w:val="3"/>
            <w:shd w:val="clear" w:color="auto" w:fill="auto"/>
            <w:tcMar>
              <w:top w:w="40" w:type="dxa"/>
              <w:left w:w="20" w:type="dxa"/>
              <w:bottom w:w="40" w:type="dxa"/>
              <w:right w:w="20" w:type="dxa"/>
            </w:tcMar>
          </w:tcPr>
          <w:p w14:paraId="20ADF5DA" w14:textId="77777777" w:rsidR="00B626E7" w:rsidRDefault="00175C1D">
            <w:pPr>
              <w:textAlignment w:val="top"/>
            </w:pPr>
            <w:r>
              <w:rPr>
                <w:rFonts w:ascii="Arial Unicode MS" w:eastAsia="Arial Unicode MS" w:hAnsi="Arial Unicode MS" w:cs="Arial Unicode MS" w:hint="eastAsia"/>
                <w:color w:val="333333"/>
              </w:rPr>
              <w:t>☐</w:t>
            </w:r>
          </w:p>
        </w:tc>
        <w:tc>
          <w:tcPr>
            <w:tcW w:w="0" w:type="auto"/>
            <w:gridSpan w:val="3"/>
            <w:shd w:val="clear" w:color="auto" w:fill="auto"/>
            <w:tcMar>
              <w:top w:w="40" w:type="dxa"/>
              <w:left w:w="20" w:type="dxa"/>
              <w:bottom w:w="40" w:type="dxa"/>
              <w:right w:w="20" w:type="dxa"/>
            </w:tcMar>
          </w:tcPr>
          <w:p w14:paraId="20ADF5DB" w14:textId="77777777" w:rsidR="00B626E7" w:rsidRDefault="00175C1D">
            <w:pPr>
              <w:textAlignment w:val="top"/>
            </w:pPr>
            <w:r>
              <w:rPr>
                <w:rFonts w:ascii="Arial" w:eastAsia="宋体" w:hAnsi="Arial" w:cs="Arial"/>
                <w:color w:val="333333"/>
                <w:sz w:val="18"/>
                <w:szCs w:val="18"/>
              </w:rPr>
              <w:t>TRANSITION REPORT PURSUANT TO SECTION 13 OR 15(d) OF THE SECURITIES EXCHANGE ACT OF 1934</w:t>
            </w:r>
          </w:p>
        </w:tc>
      </w:tr>
      <w:tr w:rsidR="00B626E7" w14:paraId="20ADF5E0" w14:textId="77777777">
        <w:tc>
          <w:tcPr>
            <w:tcW w:w="0" w:type="auto"/>
            <w:gridSpan w:val="3"/>
            <w:shd w:val="clear" w:color="auto" w:fill="auto"/>
            <w:tcMar>
              <w:left w:w="20" w:type="dxa"/>
              <w:right w:w="20" w:type="dxa"/>
            </w:tcMar>
            <w:vAlign w:val="bottom"/>
          </w:tcPr>
          <w:p w14:paraId="20ADF5DD"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DF5DE"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bottom"/>
          </w:tcPr>
          <w:p w14:paraId="20ADF5DF" w14:textId="77777777" w:rsidR="00B626E7" w:rsidRDefault="00175C1D">
            <w:pPr>
              <w:spacing w:before="100"/>
              <w:textAlignment w:val="bottom"/>
            </w:pPr>
            <w:r>
              <w:rPr>
                <w:rFonts w:ascii="Arial" w:eastAsia="宋体" w:hAnsi="Arial" w:cs="Arial"/>
                <w:color w:val="333333"/>
                <w:sz w:val="18"/>
                <w:szCs w:val="18"/>
              </w:rPr>
              <w:t xml:space="preserve">For the transition period from </w:t>
            </w:r>
            <w:r>
              <w:rPr>
                <w:rFonts w:ascii="Arial" w:eastAsia="宋体" w:hAnsi="Arial" w:cs="Arial"/>
                <w:color w:val="333333"/>
                <w:sz w:val="18"/>
                <w:szCs w:val="18"/>
                <w:u w:val="single"/>
              </w:rPr>
              <w:t>                </w:t>
            </w:r>
            <w:r>
              <w:rPr>
                <w:rFonts w:ascii="Arial" w:eastAsia="宋体" w:hAnsi="Arial" w:cs="Arial"/>
                <w:color w:val="333333"/>
                <w:sz w:val="18"/>
                <w:szCs w:val="18"/>
              </w:rPr>
              <w:t xml:space="preserve"> to </w:t>
            </w:r>
            <w:r>
              <w:rPr>
                <w:rFonts w:ascii="Arial" w:eastAsia="宋体" w:hAnsi="Arial" w:cs="Arial"/>
                <w:color w:val="333333"/>
                <w:sz w:val="18"/>
                <w:szCs w:val="18"/>
                <w:u w:val="single"/>
              </w:rPr>
              <w:t>                </w:t>
            </w:r>
          </w:p>
        </w:tc>
      </w:tr>
    </w:tbl>
    <w:p w14:paraId="20ADF5E1" w14:textId="77777777" w:rsidR="00B626E7" w:rsidRDefault="00175C1D">
      <w:pPr>
        <w:spacing w:before="120" w:after="120"/>
        <w:jc w:val="center"/>
      </w:pPr>
      <w:r>
        <w:rPr>
          <w:rFonts w:ascii="Arial" w:eastAsia="宋体" w:hAnsi="Arial" w:cs="Arial"/>
          <w:color w:val="333333"/>
          <w:sz w:val="18"/>
          <w:szCs w:val="18"/>
        </w:rPr>
        <w:t xml:space="preserve">Commission File Number </w:t>
      </w:r>
      <w:r>
        <w:rPr>
          <w:rFonts w:ascii="Arial" w:eastAsia="宋体" w:hAnsi="Arial" w:cs="Arial"/>
          <w:color w:val="333333"/>
          <w:sz w:val="18"/>
          <w:szCs w:val="18"/>
          <w:u w:val="single"/>
        </w:rPr>
        <w:t xml:space="preserve">000-06217 </w:t>
      </w:r>
    </w:p>
    <w:p w14:paraId="20ADF5E2" w14:textId="77777777" w:rsidR="00B626E7" w:rsidRDefault="00175C1D">
      <w:pPr>
        <w:spacing w:before="120" w:after="6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Viewer10_files/intc-20200627_g1.jpg"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0E" wp14:editId="20AE3C0F">
            <wp:extent cx="304800" cy="304800"/>
            <wp:effectExtent l="0" t="0" r="0" b="0"/>
            <wp:docPr id="54"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20ADF5E3" w14:textId="77777777" w:rsidR="00B626E7" w:rsidRDefault="00175C1D">
      <w:pPr>
        <w:jc w:val="center"/>
      </w:pPr>
      <w:r>
        <w:rPr>
          <w:rFonts w:ascii="Arial" w:eastAsia="宋体" w:hAnsi="Arial" w:cs="Arial"/>
          <w:b/>
          <w:bCs/>
          <w:color w:val="333333"/>
          <w:sz w:val="36"/>
          <w:szCs w:val="36"/>
        </w:rPr>
        <w:t xml:space="preserve">INTEL CORPORATION </w:t>
      </w:r>
    </w:p>
    <w:p w14:paraId="20ADF5E4" w14:textId="77777777" w:rsidR="00B626E7" w:rsidRDefault="00175C1D">
      <w:pPr>
        <w:jc w:val="center"/>
      </w:pPr>
      <w:r>
        <w:rPr>
          <w:rFonts w:ascii="Arial" w:eastAsia="宋体" w:hAnsi="Arial" w:cs="Arial"/>
          <w:color w:val="333333"/>
          <w:sz w:val="18"/>
          <w:szCs w:val="18"/>
        </w:rPr>
        <w:t>(Exact name of registrant as specified in its charter)</w:t>
      </w:r>
    </w:p>
    <w:tbl>
      <w:tblPr>
        <w:tblW w:w="3914" w:type="pct"/>
        <w:jc w:val="center"/>
        <w:tblCellMar>
          <w:top w:w="15" w:type="dxa"/>
          <w:left w:w="15" w:type="dxa"/>
          <w:bottom w:w="15" w:type="dxa"/>
          <w:right w:w="15" w:type="dxa"/>
        </w:tblCellMar>
        <w:tblLook w:val="04A0" w:firstRow="1" w:lastRow="0" w:firstColumn="1" w:lastColumn="0" w:noHBand="0" w:noVBand="1"/>
      </w:tblPr>
      <w:tblGrid>
        <w:gridCol w:w="38"/>
        <w:gridCol w:w="1767"/>
        <w:gridCol w:w="38"/>
        <w:gridCol w:w="62"/>
        <w:gridCol w:w="681"/>
        <w:gridCol w:w="61"/>
        <w:gridCol w:w="77"/>
        <w:gridCol w:w="648"/>
        <w:gridCol w:w="76"/>
        <w:gridCol w:w="36"/>
        <w:gridCol w:w="36"/>
        <w:gridCol w:w="36"/>
        <w:gridCol w:w="37"/>
        <w:gridCol w:w="1737"/>
        <w:gridCol w:w="36"/>
        <w:gridCol w:w="36"/>
        <w:gridCol w:w="36"/>
        <w:gridCol w:w="36"/>
        <w:gridCol w:w="351"/>
        <w:gridCol w:w="350"/>
        <w:gridCol w:w="350"/>
      </w:tblGrid>
      <w:tr w:rsidR="00B626E7" w14:paraId="20ADF5F4" w14:textId="77777777">
        <w:trPr>
          <w:gridAfter w:val="6"/>
          <w:jc w:val="center"/>
        </w:trPr>
        <w:tc>
          <w:tcPr>
            <w:tcW w:w="50" w:type="pct"/>
            <w:shd w:val="clear" w:color="auto" w:fill="auto"/>
          </w:tcPr>
          <w:p w14:paraId="20ADF5E5" w14:textId="77777777" w:rsidR="00B626E7" w:rsidRDefault="00B626E7">
            <w:pPr>
              <w:rPr>
                <w:rFonts w:ascii="宋体"/>
              </w:rPr>
            </w:pPr>
          </w:p>
        </w:tc>
        <w:tc>
          <w:tcPr>
            <w:tcW w:w="1776" w:type="pct"/>
            <w:shd w:val="clear" w:color="auto" w:fill="auto"/>
          </w:tcPr>
          <w:p w14:paraId="20ADF5E6" w14:textId="77777777" w:rsidR="00B626E7" w:rsidRDefault="00B626E7">
            <w:pPr>
              <w:rPr>
                <w:rFonts w:ascii="宋体"/>
              </w:rPr>
            </w:pPr>
          </w:p>
        </w:tc>
        <w:tc>
          <w:tcPr>
            <w:tcW w:w="50" w:type="pct"/>
            <w:shd w:val="clear" w:color="auto" w:fill="auto"/>
          </w:tcPr>
          <w:p w14:paraId="20ADF5E7" w14:textId="77777777" w:rsidR="00B626E7" w:rsidRDefault="00B626E7">
            <w:pPr>
              <w:rPr>
                <w:rFonts w:ascii="宋体"/>
              </w:rPr>
            </w:pPr>
          </w:p>
        </w:tc>
        <w:tc>
          <w:tcPr>
            <w:tcW w:w="50" w:type="pct"/>
            <w:shd w:val="clear" w:color="auto" w:fill="auto"/>
          </w:tcPr>
          <w:p w14:paraId="20ADF5E8" w14:textId="77777777" w:rsidR="00B626E7" w:rsidRDefault="00B626E7">
            <w:pPr>
              <w:rPr>
                <w:rFonts w:ascii="宋体"/>
              </w:rPr>
            </w:pPr>
          </w:p>
        </w:tc>
        <w:tc>
          <w:tcPr>
            <w:tcW w:w="563" w:type="pct"/>
            <w:shd w:val="clear" w:color="auto" w:fill="auto"/>
          </w:tcPr>
          <w:p w14:paraId="20ADF5E9" w14:textId="77777777" w:rsidR="00B626E7" w:rsidRDefault="00B626E7">
            <w:pPr>
              <w:rPr>
                <w:rFonts w:ascii="宋体"/>
              </w:rPr>
            </w:pPr>
          </w:p>
        </w:tc>
        <w:tc>
          <w:tcPr>
            <w:tcW w:w="50" w:type="pct"/>
            <w:shd w:val="clear" w:color="auto" w:fill="auto"/>
          </w:tcPr>
          <w:p w14:paraId="20ADF5EA" w14:textId="77777777" w:rsidR="00B626E7" w:rsidRDefault="00B626E7">
            <w:pPr>
              <w:rPr>
                <w:rFonts w:ascii="宋体"/>
              </w:rPr>
            </w:pPr>
          </w:p>
        </w:tc>
        <w:tc>
          <w:tcPr>
            <w:tcW w:w="50" w:type="pct"/>
            <w:shd w:val="clear" w:color="auto" w:fill="auto"/>
          </w:tcPr>
          <w:p w14:paraId="20ADF5EB" w14:textId="77777777" w:rsidR="00B626E7" w:rsidRDefault="00B626E7">
            <w:pPr>
              <w:rPr>
                <w:rFonts w:ascii="宋体"/>
              </w:rPr>
            </w:pPr>
          </w:p>
        </w:tc>
        <w:tc>
          <w:tcPr>
            <w:tcW w:w="423" w:type="pct"/>
            <w:shd w:val="clear" w:color="auto" w:fill="auto"/>
          </w:tcPr>
          <w:p w14:paraId="20ADF5EC" w14:textId="77777777" w:rsidR="00B626E7" w:rsidRDefault="00B626E7">
            <w:pPr>
              <w:rPr>
                <w:rFonts w:ascii="宋体"/>
              </w:rPr>
            </w:pPr>
          </w:p>
        </w:tc>
        <w:tc>
          <w:tcPr>
            <w:tcW w:w="50" w:type="pct"/>
            <w:shd w:val="clear" w:color="auto" w:fill="auto"/>
          </w:tcPr>
          <w:p w14:paraId="20ADF5ED" w14:textId="77777777" w:rsidR="00B626E7" w:rsidRDefault="00B626E7">
            <w:pPr>
              <w:rPr>
                <w:rFonts w:ascii="宋体"/>
              </w:rPr>
            </w:pPr>
          </w:p>
        </w:tc>
        <w:tc>
          <w:tcPr>
            <w:tcW w:w="5" w:type="pct"/>
            <w:shd w:val="clear" w:color="auto" w:fill="auto"/>
          </w:tcPr>
          <w:p w14:paraId="20ADF5EE" w14:textId="77777777" w:rsidR="00B626E7" w:rsidRDefault="00B626E7">
            <w:pPr>
              <w:rPr>
                <w:rFonts w:ascii="宋体"/>
              </w:rPr>
            </w:pPr>
          </w:p>
        </w:tc>
        <w:tc>
          <w:tcPr>
            <w:tcW w:w="33" w:type="pct"/>
            <w:shd w:val="clear" w:color="auto" w:fill="auto"/>
          </w:tcPr>
          <w:p w14:paraId="20ADF5EF" w14:textId="77777777" w:rsidR="00B626E7" w:rsidRDefault="00B626E7">
            <w:pPr>
              <w:rPr>
                <w:rFonts w:ascii="宋体"/>
              </w:rPr>
            </w:pPr>
          </w:p>
        </w:tc>
        <w:tc>
          <w:tcPr>
            <w:tcW w:w="5" w:type="pct"/>
            <w:shd w:val="clear" w:color="auto" w:fill="auto"/>
          </w:tcPr>
          <w:p w14:paraId="20ADF5F0" w14:textId="77777777" w:rsidR="00B626E7" w:rsidRDefault="00B626E7">
            <w:pPr>
              <w:rPr>
                <w:rFonts w:ascii="宋体"/>
              </w:rPr>
            </w:pPr>
          </w:p>
        </w:tc>
        <w:tc>
          <w:tcPr>
            <w:tcW w:w="50" w:type="pct"/>
            <w:shd w:val="clear" w:color="auto" w:fill="auto"/>
          </w:tcPr>
          <w:p w14:paraId="20ADF5F1" w14:textId="77777777" w:rsidR="00B626E7" w:rsidRDefault="00B626E7">
            <w:pPr>
              <w:rPr>
                <w:rFonts w:ascii="宋体"/>
              </w:rPr>
            </w:pPr>
          </w:p>
        </w:tc>
        <w:tc>
          <w:tcPr>
            <w:tcW w:w="1793" w:type="pct"/>
            <w:shd w:val="clear" w:color="auto" w:fill="auto"/>
          </w:tcPr>
          <w:p w14:paraId="20ADF5F2" w14:textId="77777777" w:rsidR="00B626E7" w:rsidRDefault="00B626E7">
            <w:pPr>
              <w:rPr>
                <w:rFonts w:ascii="宋体"/>
              </w:rPr>
            </w:pPr>
          </w:p>
        </w:tc>
        <w:tc>
          <w:tcPr>
            <w:tcW w:w="50" w:type="pct"/>
            <w:shd w:val="clear" w:color="auto" w:fill="auto"/>
          </w:tcPr>
          <w:p w14:paraId="20ADF5F3" w14:textId="77777777" w:rsidR="00B626E7" w:rsidRDefault="00B626E7">
            <w:pPr>
              <w:rPr>
                <w:rFonts w:ascii="宋体"/>
              </w:rPr>
            </w:pPr>
          </w:p>
        </w:tc>
      </w:tr>
      <w:tr w:rsidR="00B626E7" w14:paraId="20ADF5FA" w14:textId="77777777">
        <w:trPr>
          <w:gridAfter w:val="6"/>
          <w:jc w:val="center"/>
        </w:trPr>
        <w:tc>
          <w:tcPr>
            <w:tcW w:w="0" w:type="auto"/>
            <w:gridSpan w:val="3"/>
            <w:shd w:val="clear" w:color="auto" w:fill="auto"/>
            <w:tcMar>
              <w:left w:w="20" w:type="dxa"/>
              <w:right w:w="20" w:type="dxa"/>
            </w:tcMar>
            <w:vAlign w:val="bottom"/>
          </w:tcPr>
          <w:p w14:paraId="20ADF5F5"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bottom"/>
          </w:tcPr>
          <w:p w14:paraId="20ADF5F6" w14:textId="77777777" w:rsidR="00B626E7" w:rsidRDefault="00175C1D">
            <w:pPr>
              <w:textAlignment w:val="bottom"/>
            </w:pPr>
            <w:r>
              <w:rPr>
                <w:rFonts w:ascii="Arial" w:eastAsia="宋体" w:hAnsi="Arial" w:cs="Arial"/>
                <w:color w:val="333333"/>
                <w:sz w:val="18"/>
                <w:szCs w:val="18"/>
                <w:u w:val="single"/>
              </w:rPr>
              <w:t>Delaware</w:t>
            </w:r>
          </w:p>
        </w:tc>
        <w:tc>
          <w:tcPr>
            <w:tcW w:w="0" w:type="auto"/>
            <w:gridSpan w:val="3"/>
            <w:shd w:val="clear" w:color="auto" w:fill="auto"/>
            <w:tcMar>
              <w:left w:w="20" w:type="dxa"/>
              <w:right w:w="20" w:type="dxa"/>
            </w:tcMar>
            <w:vAlign w:val="bottom"/>
          </w:tcPr>
          <w:p w14:paraId="20ADF5F7"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DF5F8"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bottom"/>
          </w:tcPr>
          <w:p w14:paraId="20ADF5F9" w14:textId="77777777" w:rsidR="00B626E7" w:rsidRDefault="00175C1D">
            <w:pPr>
              <w:jc w:val="center"/>
              <w:textAlignment w:val="bottom"/>
            </w:pPr>
            <w:r>
              <w:rPr>
                <w:rFonts w:ascii="Arial" w:eastAsia="宋体" w:hAnsi="Arial" w:cs="Arial"/>
                <w:color w:val="333333"/>
                <w:sz w:val="18"/>
                <w:szCs w:val="18"/>
                <w:u w:val="single"/>
              </w:rPr>
              <w:t>94-1672743</w:t>
            </w:r>
          </w:p>
        </w:tc>
      </w:tr>
      <w:tr w:rsidR="00B626E7" w14:paraId="20ADF600" w14:textId="77777777">
        <w:trPr>
          <w:jc w:val="center"/>
        </w:trPr>
        <w:tc>
          <w:tcPr>
            <w:tcW w:w="0" w:type="auto"/>
            <w:gridSpan w:val="9"/>
            <w:shd w:val="clear" w:color="auto" w:fill="auto"/>
            <w:tcMar>
              <w:top w:w="40" w:type="dxa"/>
              <w:left w:w="20" w:type="dxa"/>
              <w:bottom w:w="40" w:type="dxa"/>
              <w:right w:w="20" w:type="dxa"/>
            </w:tcMar>
            <w:vAlign w:val="bottom"/>
          </w:tcPr>
          <w:p w14:paraId="20ADF5FB" w14:textId="77777777" w:rsidR="00B626E7" w:rsidRDefault="00175C1D">
            <w:pPr>
              <w:jc w:val="center"/>
              <w:textAlignment w:val="bottom"/>
            </w:pPr>
            <w:r>
              <w:rPr>
                <w:rFonts w:ascii="Arial" w:eastAsia="宋体" w:hAnsi="Arial" w:cs="Arial"/>
                <w:color w:val="333333"/>
                <w:sz w:val="18"/>
                <w:szCs w:val="18"/>
              </w:rPr>
              <w:t>(State or other jurisdiction of incorporation or organization)</w:t>
            </w:r>
          </w:p>
        </w:tc>
        <w:tc>
          <w:tcPr>
            <w:tcW w:w="0" w:type="auto"/>
            <w:gridSpan w:val="3"/>
            <w:shd w:val="clear" w:color="auto" w:fill="auto"/>
          </w:tcPr>
          <w:p w14:paraId="20ADF5FC" w14:textId="77777777" w:rsidR="00B626E7" w:rsidRDefault="00B626E7">
            <w:pPr>
              <w:rPr>
                <w:rFonts w:ascii="宋体"/>
                <w:vanish/>
              </w:rPr>
            </w:pPr>
          </w:p>
        </w:tc>
        <w:tc>
          <w:tcPr>
            <w:tcW w:w="0" w:type="auto"/>
            <w:gridSpan w:val="3"/>
            <w:shd w:val="clear" w:color="auto" w:fill="auto"/>
          </w:tcPr>
          <w:p w14:paraId="20ADF5FD" w14:textId="77777777" w:rsidR="00B626E7" w:rsidRDefault="00B626E7">
            <w:pPr>
              <w:rPr>
                <w:rFonts w:ascii="宋体"/>
                <w:vanish/>
              </w:rPr>
            </w:pPr>
          </w:p>
        </w:tc>
        <w:tc>
          <w:tcPr>
            <w:tcW w:w="0" w:type="auto"/>
            <w:gridSpan w:val="3"/>
            <w:shd w:val="clear" w:color="auto" w:fill="auto"/>
            <w:tcMar>
              <w:left w:w="20" w:type="dxa"/>
              <w:right w:w="20" w:type="dxa"/>
            </w:tcMar>
            <w:vAlign w:val="bottom"/>
          </w:tcPr>
          <w:p w14:paraId="20ADF5FE"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bottom"/>
          </w:tcPr>
          <w:p w14:paraId="20ADF5FF" w14:textId="77777777" w:rsidR="00B626E7" w:rsidRDefault="00175C1D">
            <w:pPr>
              <w:jc w:val="center"/>
              <w:textAlignment w:val="bottom"/>
            </w:pPr>
            <w:r>
              <w:rPr>
                <w:rFonts w:ascii="Arial" w:eastAsia="宋体" w:hAnsi="Arial" w:cs="Arial"/>
                <w:color w:val="333333"/>
                <w:sz w:val="18"/>
                <w:szCs w:val="18"/>
              </w:rPr>
              <w:t>(I.R.S. Employer Identification No.)</w:t>
            </w:r>
          </w:p>
        </w:tc>
      </w:tr>
      <w:tr w:rsidR="00B626E7" w14:paraId="20ADF60C" w14:textId="77777777">
        <w:trPr>
          <w:jc w:val="center"/>
          <w:hidden/>
        </w:trPr>
        <w:tc>
          <w:tcPr>
            <w:tcW w:w="0" w:type="auto"/>
            <w:gridSpan w:val="3"/>
            <w:shd w:val="clear" w:color="auto" w:fill="auto"/>
          </w:tcPr>
          <w:p w14:paraId="20ADF601" w14:textId="77777777" w:rsidR="00B626E7" w:rsidRDefault="00B626E7">
            <w:pPr>
              <w:rPr>
                <w:rFonts w:ascii="宋体"/>
                <w:vanish/>
              </w:rPr>
            </w:pPr>
          </w:p>
        </w:tc>
        <w:tc>
          <w:tcPr>
            <w:tcW w:w="0" w:type="auto"/>
            <w:gridSpan w:val="3"/>
            <w:shd w:val="clear" w:color="auto" w:fill="auto"/>
          </w:tcPr>
          <w:p w14:paraId="20ADF602" w14:textId="77777777" w:rsidR="00B626E7" w:rsidRDefault="00B626E7">
            <w:pPr>
              <w:rPr>
                <w:rFonts w:ascii="宋体"/>
                <w:vanish/>
              </w:rPr>
            </w:pPr>
          </w:p>
        </w:tc>
        <w:tc>
          <w:tcPr>
            <w:tcW w:w="0" w:type="auto"/>
            <w:gridSpan w:val="3"/>
            <w:shd w:val="clear" w:color="auto" w:fill="auto"/>
          </w:tcPr>
          <w:p w14:paraId="20ADF603" w14:textId="77777777" w:rsidR="00B626E7" w:rsidRDefault="00B626E7">
            <w:pPr>
              <w:rPr>
                <w:rFonts w:ascii="宋体"/>
                <w:vanish/>
              </w:rPr>
            </w:pPr>
          </w:p>
        </w:tc>
        <w:tc>
          <w:tcPr>
            <w:tcW w:w="0" w:type="auto"/>
            <w:gridSpan w:val="3"/>
            <w:shd w:val="clear" w:color="auto" w:fill="auto"/>
          </w:tcPr>
          <w:p w14:paraId="20ADF604" w14:textId="77777777" w:rsidR="00B626E7" w:rsidRDefault="00B626E7">
            <w:pPr>
              <w:rPr>
                <w:rFonts w:ascii="宋体"/>
                <w:vanish/>
              </w:rPr>
            </w:pPr>
          </w:p>
        </w:tc>
        <w:tc>
          <w:tcPr>
            <w:tcW w:w="0" w:type="auto"/>
            <w:gridSpan w:val="3"/>
            <w:shd w:val="clear" w:color="auto" w:fill="auto"/>
          </w:tcPr>
          <w:p w14:paraId="20ADF605" w14:textId="77777777" w:rsidR="00B626E7" w:rsidRDefault="00B626E7">
            <w:pPr>
              <w:rPr>
                <w:rFonts w:ascii="宋体"/>
                <w:vanish/>
              </w:rPr>
            </w:pPr>
          </w:p>
        </w:tc>
        <w:tc>
          <w:tcPr>
            <w:tcW w:w="0" w:type="auto"/>
            <w:shd w:val="clear" w:color="auto" w:fill="auto"/>
          </w:tcPr>
          <w:p w14:paraId="20ADF606" w14:textId="77777777" w:rsidR="00B626E7" w:rsidRDefault="00B626E7">
            <w:pPr>
              <w:rPr>
                <w:rFonts w:ascii="宋体"/>
              </w:rPr>
            </w:pPr>
          </w:p>
        </w:tc>
        <w:tc>
          <w:tcPr>
            <w:tcW w:w="0" w:type="auto"/>
            <w:shd w:val="clear" w:color="auto" w:fill="auto"/>
          </w:tcPr>
          <w:p w14:paraId="20ADF607" w14:textId="77777777" w:rsidR="00B626E7" w:rsidRDefault="00B626E7">
            <w:pPr>
              <w:rPr>
                <w:rFonts w:ascii="宋体"/>
              </w:rPr>
            </w:pPr>
          </w:p>
        </w:tc>
        <w:tc>
          <w:tcPr>
            <w:tcW w:w="0" w:type="auto"/>
            <w:shd w:val="clear" w:color="auto" w:fill="auto"/>
          </w:tcPr>
          <w:p w14:paraId="20ADF608" w14:textId="77777777" w:rsidR="00B626E7" w:rsidRDefault="00B626E7">
            <w:pPr>
              <w:rPr>
                <w:rFonts w:ascii="宋体"/>
              </w:rPr>
            </w:pPr>
          </w:p>
        </w:tc>
        <w:tc>
          <w:tcPr>
            <w:tcW w:w="0" w:type="auto"/>
            <w:shd w:val="clear" w:color="auto" w:fill="auto"/>
          </w:tcPr>
          <w:p w14:paraId="20ADF609" w14:textId="77777777" w:rsidR="00B626E7" w:rsidRDefault="00B626E7">
            <w:pPr>
              <w:rPr>
                <w:rFonts w:ascii="宋体"/>
              </w:rPr>
            </w:pPr>
          </w:p>
        </w:tc>
        <w:tc>
          <w:tcPr>
            <w:tcW w:w="0" w:type="auto"/>
            <w:shd w:val="clear" w:color="auto" w:fill="auto"/>
          </w:tcPr>
          <w:p w14:paraId="20ADF60A" w14:textId="77777777" w:rsidR="00B626E7" w:rsidRDefault="00B626E7">
            <w:pPr>
              <w:rPr>
                <w:rFonts w:ascii="宋体"/>
              </w:rPr>
            </w:pPr>
          </w:p>
        </w:tc>
        <w:tc>
          <w:tcPr>
            <w:tcW w:w="0" w:type="auto"/>
            <w:shd w:val="clear" w:color="auto" w:fill="auto"/>
          </w:tcPr>
          <w:p w14:paraId="20ADF60B" w14:textId="77777777" w:rsidR="00B626E7" w:rsidRDefault="00B626E7">
            <w:pPr>
              <w:rPr>
                <w:rFonts w:ascii="宋体"/>
              </w:rPr>
            </w:pPr>
          </w:p>
        </w:tc>
      </w:tr>
      <w:tr w:rsidR="00B626E7" w14:paraId="20ADF618" w14:textId="77777777">
        <w:trPr>
          <w:jc w:val="center"/>
        </w:trPr>
        <w:tc>
          <w:tcPr>
            <w:tcW w:w="0" w:type="auto"/>
            <w:gridSpan w:val="3"/>
            <w:shd w:val="clear" w:color="auto" w:fill="auto"/>
            <w:tcMar>
              <w:top w:w="40" w:type="dxa"/>
              <w:left w:w="20" w:type="dxa"/>
              <w:bottom w:w="40" w:type="dxa"/>
              <w:right w:w="20" w:type="dxa"/>
            </w:tcMar>
          </w:tcPr>
          <w:p w14:paraId="20ADF60D" w14:textId="77777777" w:rsidR="00B626E7" w:rsidRDefault="00175C1D">
            <w:pPr>
              <w:jc w:val="center"/>
              <w:textAlignment w:val="top"/>
            </w:pPr>
            <w:r>
              <w:rPr>
                <w:rFonts w:ascii="Arial" w:eastAsia="宋体" w:hAnsi="Arial" w:cs="Arial"/>
                <w:color w:val="333333"/>
                <w:sz w:val="18"/>
                <w:szCs w:val="18"/>
                <w:u w:val="single"/>
              </w:rPr>
              <w:t xml:space="preserve">2200 Mission College Boulevard, </w:t>
            </w:r>
          </w:p>
        </w:tc>
        <w:tc>
          <w:tcPr>
            <w:tcW w:w="0" w:type="auto"/>
            <w:gridSpan w:val="3"/>
            <w:shd w:val="clear" w:color="auto" w:fill="auto"/>
            <w:tcMar>
              <w:top w:w="40" w:type="dxa"/>
              <w:left w:w="20" w:type="dxa"/>
              <w:bottom w:w="40" w:type="dxa"/>
              <w:right w:w="20" w:type="dxa"/>
            </w:tcMar>
          </w:tcPr>
          <w:p w14:paraId="20ADF60E" w14:textId="77777777" w:rsidR="00B626E7" w:rsidRDefault="00175C1D">
            <w:pPr>
              <w:jc w:val="center"/>
              <w:textAlignment w:val="top"/>
            </w:pPr>
            <w:r>
              <w:rPr>
                <w:rFonts w:ascii="Arial" w:eastAsia="宋体" w:hAnsi="Arial" w:cs="Arial"/>
                <w:color w:val="333333"/>
                <w:sz w:val="18"/>
                <w:szCs w:val="18"/>
                <w:u w:val="single"/>
              </w:rPr>
              <w:t xml:space="preserve">Santa Clara, </w:t>
            </w:r>
          </w:p>
        </w:tc>
        <w:tc>
          <w:tcPr>
            <w:tcW w:w="0" w:type="auto"/>
            <w:gridSpan w:val="3"/>
            <w:shd w:val="clear" w:color="auto" w:fill="auto"/>
            <w:tcMar>
              <w:top w:w="40" w:type="dxa"/>
              <w:left w:w="20" w:type="dxa"/>
              <w:bottom w:w="40" w:type="dxa"/>
              <w:right w:w="20" w:type="dxa"/>
            </w:tcMar>
          </w:tcPr>
          <w:p w14:paraId="20ADF60F" w14:textId="77777777" w:rsidR="00B626E7" w:rsidRDefault="00175C1D">
            <w:pPr>
              <w:jc w:val="center"/>
              <w:textAlignment w:val="top"/>
            </w:pPr>
            <w:r>
              <w:rPr>
                <w:rFonts w:ascii="Arial" w:eastAsia="宋体" w:hAnsi="Arial" w:cs="Arial"/>
                <w:color w:val="333333"/>
                <w:sz w:val="18"/>
                <w:szCs w:val="18"/>
                <w:u w:val="single"/>
              </w:rPr>
              <w:t>California</w:t>
            </w:r>
          </w:p>
        </w:tc>
        <w:tc>
          <w:tcPr>
            <w:tcW w:w="0" w:type="auto"/>
            <w:gridSpan w:val="3"/>
            <w:shd w:val="clear" w:color="auto" w:fill="auto"/>
            <w:tcMar>
              <w:left w:w="20" w:type="dxa"/>
              <w:right w:w="20" w:type="dxa"/>
            </w:tcMar>
            <w:vAlign w:val="bottom"/>
          </w:tcPr>
          <w:p w14:paraId="20ADF610"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DF611" w14:textId="77777777" w:rsidR="00B626E7" w:rsidRDefault="00175C1D">
            <w:pPr>
              <w:jc w:val="center"/>
              <w:textAlignment w:val="top"/>
            </w:pPr>
            <w:r>
              <w:rPr>
                <w:rFonts w:ascii="Arial" w:eastAsia="宋体" w:hAnsi="Arial" w:cs="Arial"/>
                <w:color w:val="333333"/>
                <w:sz w:val="18"/>
                <w:szCs w:val="18"/>
                <w:u w:val="single"/>
              </w:rPr>
              <w:t>95054-1549</w:t>
            </w:r>
          </w:p>
        </w:tc>
        <w:tc>
          <w:tcPr>
            <w:tcW w:w="0" w:type="auto"/>
            <w:shd w:val="clear" w:color="auto" w:fill="auto"/>
          </w:tcPr>
          <w:p w14:paraId="20ADF612" w14:textId="77777777" w:rsidR="00B626E7" w:rsidRDefault="00B626E7">
            <w:pPr>
              <w:rPr>
                <w:rFonts w:ascii="宋体"/>
              </w:rPr>
            </w:pPr>
          </w:p>
        </w:tc>
        <w:tc>
          <w:tcPr>
            <w:tcW w:w="0" w:type="auto"/>
            <w:shd w:val="clear" w:color="auto" w:fill="auto"/>
          </w:tcPr>
          <w:p w14:paraId="20ADF613" w14:textId="77777777" w:rsidR="00B626E7" w:rsidRDefault="00B626E7">
            <w:pPr>
              <w:rPr>
                <w:rFonts w:ascii="宋体"/>
              </w:rPr>
            </w:pPr>
          </w:p>
        </w:tc>
        <w:tc>
          <w:tcPr>
            <w:tcW w:w="0" w:type="auto"/>
            <w:shd w:val="clear" w:color="auto" w:fill="auto"/>
          </w:tcPr>
          <w:p w14:paraId="20ADF614" w14:textId="77777777" w:rsidR="00B626E7" w:rsidRDefault="00B626E7">
            <w:pPr>
              <w:rPr>
                <w:rFonts w:ascii="宋体"/>
              </w:rPr>
            </w:pPr>
          </w:p>
        </w:tc>
        <w:tc>
          <w:tcPr>
            <w:tcW w:w="0" w:type="auto"/>
            <w:shd w:val="clear" w:color="auto" w:fill="auto"/>
          </w:tcPr>
          <w:p w14:paraId="20ADF615" w14:textId="77777777" w:rsidR="00B626E7" w:rsidRDefault="00B626E7">
            <w:pPr>
              <w:rPr>
                <w:rFonts w:ascii="宋体"/>
              </w:rPr>
            </w:pPr>
          </w:p>
        </w:tc>
        <w:tc>
          <w:tcPr>
            <w:tcW w:w="0" w:type="auto"/>
            <w:shd w:val="clear" w:color="auto" w:fill="auto"/>
          </w:tcPr>
          <w:p w14:paraId="20ADF616" w14:textId="77777777" w:rsidR="00B626E7" w:rsidRDefault="00B626E7">
            <w:pPr>
              <w:rPr>
                <w:rFonts w:ascii="宋体"/>
              </w:rPr>
            </w:pPr>
          </w:p>
        </w:tc>
        <w:tc>
          <w:tcPr>
            <w:tcW w:w="0" w:type="auto"/>
            <w:shd w:val="clear" w:color="auto" w:fill="auto"/>
          </w:tcPr>
          <w:p w14:paraId="20ADF617" w14:textId="77777777" w:rsidR="00B626E7" w:rsidRDefault="00B626E7">
            <w:pPr>
              <w:rPr>
                <w:rFonts w:ascii="宋体"/>
              </w:rPr>
            </w:pPr>
          </w:p>
        </w:tc>
      </w:tr>
      <w:tr w:rsidR="00B626E7" w14:paraId="20ADF61E" w14:textId="77777777">
        <w:trPr>
          <w:jc w:val="center"/>
        </w:trPr>
        <w:tc>
          <w:tcPr>
            <w:tcW w:w="0" w:type="auto"/>
            <w:gridSpan w:val="9"/>
            <w:shd w:val="clear" w:color="auto" w:fill="auto"/>
            <w:tcMar>
              <w:top w:w="40" w:type="dxa"/>
              <w:left w:w="20" w:type="dxa"/>
              <w:bottom w:w="40" w:type="dxa"/>
              <w:right w:w="20" w:type="dxa"/>
            </w:tcMar>
          </w:tcPr>
          <w:p w14:paraId="20ADF619" w14:textId="77777777" w:rsidR="00B626E7" w:rsidRDefault="00175C1D">
            <w:pPr>
              <w:jc w:val="center"/>
              <w:textAlignment w:val="top"/>
            </w:pPr>
            <w:r>
              <w:rPr>
                <w:rFonts w:ascii="Arial" w:eastAsia="宋体" w:hAnsi="Arial" w:cs="Arial"/>
                <w:color w:val="333333"/>
                <w:sz w:val="18"/>
                <w:szCs w:val="18"/>
              </w:rPr>
              <w:t>(Address of principal executive offices)</w:t>
            </w:r>
          </w:p>
        </w:tc>
        <w:tc>
          <w:tcPr>
            <w:tcW w:w="0" w:type="auto"/>
            <w:gridSpan w:val="3"/>
            <w:shd w:val="clear" w:color="auto" w:fill="auto"/>
          </w:tcPr>
          <w:p w14:paraId="20ADF61A" w14:textId="77777777" w:rsidR="00B626E7" w:rsidRDefault="00B626E7">
            <w:pPr>
              <w:rPr>
                <w:rFonts w:ascii="宋体"/>
                <w:vanish/>
              </w:rPr>
            </w:pPr>
          </w:p>
        </w:tc>
        <w:tc>
          <w:tcPr>
            <w:tcW w:w="0" w:type="auto"/>
            <w:gridSpan w:val="3"/>
            <w:shd w:val="clear" w:color="auto" w:fill="auto"/>
          </w:tcPr>
          <w:p w14:paraId="20ADF61B" w14:textId="77777777" w:rsidR="00B626E7" w:rsidRDefault="00B626E7">
            <w:pPr>
              <w:rPr>
                <w:rFonts w:ascii="宋体"/>
                <w:vanish/>
              </w:rPr>
            </w:pPr>
          </w:p>
        </w:tc>
        <w:tc>
          <w:tcPr>
            <w:tcW w:w="0" w:type="auto"/>
            <w:gridSpan w:val="3"/>
            <w:shd w:val="clear" w:color="auto" w:fill="auto"/>
            <w:tcMar>
              <w:left w:w="20" w:type="dxa"/>
              <w:right w:w="20" w:type="dxa"/>
            </w:tcMar>
            <w:vAlign w:val="bottom"/>
          </w:tcPr>
          <w:p w14:paraId="20ADF61C"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DF61D" w14:textId="77777777" w:rsidR="00B626E7" w:rsidRDefault="00175C1D">
            <w:pPr>
              <w:jc w:val="center"/>
              <w:textAlignment w:val="top"/>
            </w:pPr>
            <w:r>
              <w:rPr>
                <w:rFonts w:ascii="Arial" w:eastAsia="宋体" w:hAnsi="Arial" w:cs="Arial"/>
                <w:color w:val="333333"/>
                <w:sz w:val="18"/>
                <w:szCs w:val="18"/>
              </w:rPr>
              <w:t>(Zip Code)</w:t>
            </w:r>
          </w:p>
        </w:tc>
      </w:tr>
    </w:tbl>
    <w:p w14:paraId="20ADF61F" w14:textId="77777777" w:rsidR="00B626E7" w:rsidRDefault="00175C1D">
      <w:pPr>
        <w:spacing w:before="180"/>
        <w:jc w:val="center"/>
      </w:pPr>
      <w:r>
        <w:rPr>
          <w:rFonts w:ascii="Arial" w:eastAsia="宋体" w:hAnsi="Arial" w:cs="Arial"/>
          <w:color w:val="333333"/>
          <w:sz w:val="18"/>
          <w:szCs w:val="18"/>
          <w:u w:val="single"/>
        </w:rPr>
        <w:t xml:space="preserve">(408) 765-8080 </w:t>
      </w:r>
    </w:p>
    <w:p w14:paraId="20ADF620" w14:textId="77777777" w:rsidR="00B626E7" w:rsidRDefault="00175C1D">
      <w:pPr>
        <w:spacing w:after="120"/>
        <w:jc w:val="center"/>
      </w:pPr>
      <w:r>
        <w:rPr>
          <w:rFonts w:ascii="Arial" w:eastAsia="宋体" w:hAnsi="Arial" w:cs="Arial"/>
          <w:color w:val="333333"/>
          <w:sz w:val="18"/>
          <w:szCs w:val="18"/>
        </w:rPr>
        <w:t>(Registrant’s telephone number, including area code)</w:t>
      </w:r>
    </w:p>
    <w:p w14:paraId="20ADF621" w14:textId="77777777" w:rsidR="00B626E7" w:rsidRDefault="00175C1D">
      <w:pPr>
        <w:spacing w:before="120"/>
        <w:jc w:val="center"/>
      </w:pPr>
      <w:r>
        <w:rPr>
          <w:rFonts w:ascii="Arial" w:eastAsia="宋体" w:hAnsi="Arial" w:cs="Arial"/>
          <w:color w:val="333333"/>
          <w:sz w:val="18"/>
          <w:szCs w:val="18"/>
          <w:u w:val="single"/>
        </w:rPr>
        <w:t>N/A</w:t>
      </w:r>
    </w:p>
    <w:p w14:paraId="20ADF622" w14:textId="77777777" w:rsidR="00B626E7" w:rsidRDefault="00175C1D">
      <w:pPr>
        <w:spacing w:after="180"/>
        <w:jc w:val="center"/>
      </w:pPr>
      <w:r>
        <w:rPr>
          <w:rFonts w:ascii="Arial" w:eastAsia="宋体" w:hAnsi="Arial" w:cs="Arial"/>
          <w:color w:val="333333"/>
          <w:sz w:val="18"/>
          <w:szCs w:val="18"/>
        </w:rPr>
        <w:t>(Former name, former address and former fiscal year, if changed since last report)</w:t>
      </w:r>
    </w:p>
    <w:p w14:paraId="20ADF623" w14:textId="77777777" w:rsidR="00B626E7" w:rsidRDefault="00175C1D">
      <w:r>
        <w:rPr>
          <w:rFonts w:ascii="Arial" w:eastAsia="宋体" w:hAnsi="Arial" w:cs="Arial"/>
          <w:color w:val="333333"/>
          <w:sz w:val="18"/>
          <w:szCs w:val="18"/>
        </w:rPr>
        <w:t>Securities registered pursuant to Section 12(b) of the Act:</w:t>
      </w:r>
    </w:p>
    <w:tbl>
      <w:tblPr>
        <w:tblW w:w="5000" w:type="pct"/>
        <w:tblCellMar>
          <w:top w:w="15" w:type="dxa"/>
          <w:left w:w="15" w:type="dxa"/>
          <w:bottom w:w="15" w:type="dxa"/>
          <w:right w:w="15" w:type="dxa"/>
        </w:tblCellMar>
        <w:tblLook w:val="04A0" w:firstRow="1" w:lastRow="0" w:firstColumn="1" w:lastColumn="0" w:noHBand="0" w:noVBand="1"/>
      </w:tblPr>
      <w:tblGrid>
        <w:gridCol w:w="84"/>
        <w:gridCol w:w="2432"/>
        <w:gridCol w:w="83"/>
        <w:gridCol w:w="83"/>
        <w:gridCol w:w="1791"/>
        <w:gridCol w:w="83"/>
        <w:gridCol w:w="83"/>
        <w:gridCol w:w="3614"/>
        <w:gridCol w:w="83"/>
      </w:tblGrid>
      <w:tr w:rsidR="00B626E7" w14:paraId="20ADF62D" w14:textId="77777777">
        <w:tc>
          <w:tcPr>
            <w:tcW w:w="50" w:type="pct"/>
            <w:shd w:val="clear" w:color="auto" w:fill="auto"/>
          </w:tcPr>
          <w:p w14:paraId="20ADF624" w14:textId="77777777" w:rsidR="00B626E7" w:rsidRDefault="00B626E7">
            <w:pPr>
              <w:rPr>
                <w:rFonts w:ascii="宋体"/>
              </w:rPr>
            </w:pPr>
          </w:p>
        </w:tc>
        <w:tc>
          <w:tcPr>
            <w:tcW w:w="1457" w:type="pct"/>
            <w:shd w:val="clear" w:color="auto" w:fill="auto"/>
          </w:tcPr>
          <w:p w14:paraId="20ADF625" w14:textId="77777777" w:rsidR="00B626E7" w:rsidRDefault="00B626E7">
            <w:pPr>
              <w:rPr>
                <w:rFonts w:ascii="宋体"/>
              </w:rPr>
            </w:pPr>
          </w:p>
        </w:tc>
        <w:tc>
          <w:tcPr>
            <w:tcW w:w="50" w:type="pct"/>
            <w:shd w:val="clear" w:color="auto" w:fill="auto"/>
          </w:tcPr>
          <w:p w14:paraId="20ADF626" w14:textId="77777777" w:rsidR="00B626E7" w:rsidRDefault="00B626E7">
            <w:pPr>
              <w:rPr>
                <w:rFonts w:ascii="宋体"/>
              </w:rPr>
            </w:pPr>
          </w:p>
        </w:tc>
        <w:tc>
          <w:tcPr>
            <w:tcW w:w="50" w:type="pct"/>
            <w:shd w:val="clear" w:color="auto" w:fill="auto"/>
          </w:tcPr>
          <w:p w14:paraId="20ADF627" w14:textId="77777777" w:rsidR="00B626E7" w:rsidRDefault="00B626E7">
            <w:pPr>
              <w:rPr>
                <w:rFonts w:ascii="宋体"/>
              </w:rPr>
            </w:pPr>
          </w:p>
        </w:tc>
        <w:tc>
          <w:tcPr>
            <w:tcW w:w="1074" w:type="pct"/>
            <w:shd w:val="clear" w:color="auto" w:fill="auto"/>
          </w:tcPr>
          <w:p w14:paraId="20ADF628" w14:textId="77777777" w:rsidR="00B626E7" w:rsidRDefault="00B626E7">
            <w:pPr>
              <w:rPr>
                <w:rFonts w:ascii="宋体"/>
              </w:rPr>
            </w:pPr>
          </w:p>
        </w:tc>
        <w:tc>
          <w:tcPr>
            <w:tcW w:w="50" w:type="pct"/>
            <w:shd w:val="clear" w:color="auto" w:fill="auto"/>
          </w:tcPr>
          <w:p w14:paraId="20ADF629" w14:textId="77777777" w:rsidR="00B626E7" w:rsidRDefault="00B626E7">
            <w:pPr>
              <w:rPr>
                <w:rFonts w:ascii="宋体"/>
              </w:rPr>
            </w:pPr>
          </w:p>
        </w:tc>
        <w:tc>
          <w:tcPr>
            <w:tcW w:w="50" w:type="pct"/>
            <w:shd w:val="clear" w:color="auto" w:fill="auto"/>
          </w:tcPr>
          <w:p w14:paraId="20ADF62A" w14:textId="77777777" w:rsidR="00B626E7" w:rsidRDefault="00B626E7">
            <w:pPr>
              <w:rPr>
                <w:rFonts w:ascii="宋体"/>
              </w:rPr>
            </w:pPr>
          </w:p>
        </w:tc>
        <w:tc>
          <w:tcPr>
            <w:tcW w:w="2167" w:type="pct"/>
            <w:shd w:val="clear" w:color="auto" w:fill="auto"/>
          </w:tcPr>
          <w:p w14:paraId="20ADF62B" w14:textId="77777777" w:rsidR="00B626E7" w:rsidRDefault="00B626E7">
            <w:pPr>
              <w:rPr>
                <w:rFonts w:ascii="宋体"/>
              </w:rPr>
            </w:pPr>
          </w:p>
        </w:tc>
        <w:tc>
          <w:tcPr>
            <w:tcW w:w="50" w:type="pct"/>
            <w:shd w:val="clear" w:color="auto" w:fill="auto"/>
          </w:tcPr>
          <w:p w14:paraId="20ADF62C" w14:textId="77777777" w:rsidR="00B626E7" w:rsidRDefault="00B626E7">
            <w:pPr>
              <w:rPr>
                <w:rFonts w:ascii="宋体"/>
              </w:rPr>
            </w:pPr>
          </w:p>
        </w:tc>
      </w:tr>
      <w:tr w:rsidR="00B626E7" w14:paraId="20ADF631" w14:textId="77777777">
        <w:tc>
          <w:tcPr>
            <w:tcW w:w="0" w:type="auto"/>
            <w:gridSpan w:val="3"/>
            <w:shd w:val="clear" w:color="auto" w:fill="auto"/>
            <w:tcMar>
              <w:top w:w="40" w:type="dxa"/>
              <w:left w:w="20" w:type="dxa"/>
              <w:bottom w:w="40" w:type="dxa"/>
              <w:right w:w="20" w:type="dxa"/>
            </w:tcMar>
          </w:tcPr>
          <w:p w14:paraId="20ADF62E" w14:textId="77777777" w:rsidR="00B626E7" w:rsidRDefault="00175C1D">
            <w:pPr>
              <w:jc w:val="center"/>
              <w:textAlignment w:val="top"/>
            </w:pPr>
            <w:r>
              <w:rPr>
                <w:rFonts w:ascii="Arial" w:eastAsia="宋体" w:hAnsi="Arial" w:cs="Arial"/>
                <w:color w:val="333333"/>
                <w:sz w:val="18"/>
                <w:szCs w:val="18"/>
              </w:rPr>
              <w:t xml:space="preserve">Title of each </w:t>
            </w:r>
            <w:r>
              <w:rPr>
                <w:rFonts w:ascii="Arial" w:eastAsia="宋体" w:hAnsi="Arial" w:cs="Arial"/>
                <w:color w:val="333333"/>
                <w:sz w:val="18"/>
                <w:szCs w:val="18"/>
              </w:rPr>
              <w:t>class</w:t>
            </w:r>
          </w:p>
        </w:tc>
        <w:tc>
          <w:tcPr>
            <w:tcW w:w="0" w:type="auto"/>
            <w:gridSpan w:val="3"/>
            <w:shd w:val="clear" w:color="auto" w:fill="auto"/>
            <w:tcMar>
              <w:top w:w="40" w:type="dxa"/>
              <w:left w:w="20" w:type="dxa"/>
              <w:bottom w:w="40" w:type="dxa"/>
              <w:right w:w="20" w:type="dxa"/>
            </w:tcMar>
          </w:tcPr>
          <w:p w14:paraId="20ADF62F" w14:textId="77777777" w:rsidR="00B626E7" w:rsidRDefault="00175C1D">
            <w:pPr>
              <w:jc w:val="center"/>
              <w:textAlignment w:val="top"/>
            </w:pPr>
            <w:r>
              <w:rPr>
                <w:rFonts w:ascii="Arial" w:eastAsia="宋体" w:hAnsi="Arial" w:cs="Arial"/>
                <w:color w:val="333333"/>
                <w:sz w:val="18"/>
                <w:szCs w:val="18"/>
              </w:rPr>
              <w:t>Trading Symbol(s)</w:t>
            </w:r>
          </w:p>
        </w:tc>
        <w:tc>
          <w:tcPr>
            <w:tcW w:w="0" w:type="auto"/>
            <w:gridSpan w:val="3"/>
            <w:shd w:val="clear" w:color="auto" w:fill="auto"/>
            <w:tcMar>
              <w:top w:w="40" w:type="dxa"/>
              <w:left w:w="20" w:type="dxa"/>
              <w:bottom w:w="40" w:type="dxa"/>
              <w:right w:w="20" w:type="dxa"/>
            </w:tcMar>
          </w:tcPr>
          <w:p w14:paraId="20ADF630" w14:textId="77777777" w:rsidR="00B626E7" w:rsidRDefault="00175C1D">
            <w:pPr>
              <w:jc w:val="center"/>
              <w:textAlignment w:val="top"/>
            </w:pPr>
            <w:r>
              <w:rPr>
                <w:rFonts w:ascii="Arial" w:eastAsia="宋体" w:hAnsi="Arial" w:cs="Arial"/>
                <w:color w:val="333333"/>
                <w:sz w:val="18"/>
                <w:szCs w:val="18"/>
              </w:rPr>
              <w:t>Name of each exchange on which registered</w:t>
            </w:r>
          </w:p>
        </w:tc>
      </w:tr>
      <w:tr w:rsidR="00B626E7" w14:paraId="20ADF635" w14:textId="77777777">
        <w:tc>
          <w:tcPr>
            <w:tcW w:w="0" w:type="auto"/>
            <w:gridSpan w:val="3"/>
            <w:shd w:val="clear" w:color="auto" w:fill="auto"/>
            <w:tcMar>
              <w:top w:w="40" w:type="dxa"/>
              <w:left w:w="20" w:type="dxa"/>
              <w:bottom w:w="40" w:type="dxa"/>
              <w:right w:w="20" w:type="dxa"/>
            </w:tcMar>
            <w:vAlign w:val="bottom"/>
          </w:tcPr>
          <w:p w14:paraId="20ADF632" w14:textId="77777777" w:rsidR="00B626E7" w:rsidRDefault="00175C1D">
            <w:pPr>
              <w:jc w:val="center"/>
              <w:textAlignment w:val="bottom"/>
            </w:pPr>
            <w:r>
              <w:rPr>
                <w:rFonts w:ascii="Arial" w:eastAsia="宋体" w:hAnsi="Arial" w:cs="Arial"/>
                <w:color w:val="333333"/>
                <w:sz w:val="18"/>
                <w:szCs w:val="18"/>
              </w:rPr>
              <w:t>Common stock, $0.001 par value</w:t>
            </w:r>
          </w:p>
        </w:tc>
        <w:tc>
          <w:tcPr>
            <w:tcW w:w="0" w:type="auto"/>
            <w:gridSpan w:val="3"/>
            <w:shd w:val="clear" w:color="auto" w:fill="auto"/>
            <w:tcMar>
              <w:top w:w="40" w:type="dxa"/>
              <w:left w:w="20" w:type="dxa"/>
              <w:bottom w:w="40" w:type="dxa"/>
              <w:right w:w="20" w:type="dxa"/>
            </w:tcMar>
            <w:vAlign w:val="bottom"/>
          </w:tcPr>
          <w:p w14:paraId="20ADF633" w14:textId="77777777" w:rsidR="00B626E7" w:rsidRDefault="00175C1D">
            <w:pPr>
              <w:jc w:val="center"/>
              <w:textAlignment w:val="bottom"/>
            </w:pPr>
            <w:r>
              <w:rPr>
                <w:rFonts w:ascii="Arial" w:eastAsia="宋体" w:hAnsi="Arial" w:cs="Arial"/>
                <w:color w:val="333333"/>
                <w:sz w:val="18"/>
                <w:szCs w:val="18"/>
              </w:rPr>
              <w:t>INTC</w:t>
            </w:r>
          </w:p>
        </w:tc>
        <w:tc>
          <w:tcPr>
            <w:tcW w:w="0" w:type="auto"/>
            <w:gridSpan w:val="3"/>
            <w:shd w:val="clear" w:color="auto" w:fill="auto"/>
            <w:tcMar>
              <w:top w:w="40" w:type="dxa"/>
              <w:left w:w="20" w:type="dxa"/>
              <w:bottom w:w="40" w:type="dxa"/>
              <w:right w:w="20" w:type="dxa"/>
            </w:tcMar>
            <w:vAlign w:val="bottom"/>
          </w:tcPr>
          <w:p w14:paraId="20ADF634" w14:textId="77777777" w:rsidR="00B626E7" w:rsidRDefault="00175C1D">
            <w:pPr>
              <w:jc w:val="center"/>
              <w:textAlignment w:val="bottom"/>
            </w:pPr>
            <w:r>
              <w:rPr>
                <w:rFonts w:ascii="Arial" w:eastAsia="宋体" w:hAnsi="Arial" w:cs="Arial"/>
                <w:color w:val="333333"/>
                <w:sz w:val="18"/>
                <w:szCs w:val="18"/>
              </w:rPr>
              <w:t>Nasdaq Global Select Market</w:t>
            </w:r>
          </w:p>
        </w:tc>
      </w:tr>
    </w:tbl>
    <w:p w14:paraId="20ADF636" w14:textId="77777777" w:rsidR="00B626E7" w:rsidRDefault="00175C1D">
      <w:pPr>
        <w:spacing w:before="60" w:after="180"/>
      </w:pPr>
      <w:r>
        <w:rPr>
          <w:rFonts w:ascii="Arial" w:eastAsia="宋体" w:hAnsi="Arial" w:cs="Arial"/>
          <w:color w:val="333333"/>
          <w:sz w:val="18"/>
          <w:szCs w:val="18"/>
        </w:rPr>
        <w:t xml:space="preserve">Indicate by check mark whether the registrant (1) has filed all reports required to be filed by Section 13 or 15(d) of </w:t>
      </w:r>
      <w:r>
        <w:rPr>
          <w:rFonts w:ascii="Arial" w:eastAsia="宋体" w:hAnsi="Arial" w:cs="Arial"/>
          <w:color w:val="333333"/>
          <w:sz w:val="18"/>
          <w:szCs w:val="18"/>
        </w:rPr>
        <w:t>the Securities Exchange Act of 1934 during the preceding 12 months (or for such shorter period that the registrant was required to file such reports), and (2) has been subject to such filing requirements for the past 90 days. Yes  </w:t>
      </w:r>
      <w:r>
        <w:rPr>
          <w:rFonts w:ascii="Arial Unicode MS" w:eastAsia="Arial Unicode MS" w:hAnsi="Arial Unicode MS" w:cs="Arial Unicode MS" w:hint="eastAsia"/>
          <w:color w:val="333333"/>
        </w:rPr>
        <w:t>☑</w:t>
      </w:r>
      <w:r>
        <w:rPr>
          <w:rFonts w:ascii="Arial" w:eastAsia="宋体" w:hAnsi="Arial" w:cs="Arial"/>
          <w:color w:val="333333"/>
          <w:sz w:val="18"/>
          <w:szCs w:val="18"/>
        </w:rPr>
        <w:t xml:space="preserve">    No  </w:t>
      </w:r>
      <w:r>
        <w:rPr>
          <w:rFonts w:ascii="Wingdings" w:eastAsia="宋体" w:hAnsi="Wingdings" w:cs="Wingdings"/>
          <w:color w:val="333333"/>
          <w:sz w:val="18"/>
          <w:szCs w:val="18"/>
        </w:rPr>
        <w:t>¨</w:t>
      </w:r>
    </w:p>
    <w:p w14:paraId="20ADF637" w14:textId="77777777" w:rsidR="00B626E7" w:rsidRDefault="00175C1D">
      <w:pPr>
        <w:spacing w:before="60" w:after="180"/>
      </w:pPr>
      <w:r>
        <w:rPr>
          <w:rFonts w:ascii="Arial" w:eastAsia="宋体" w:hAnsi="Arial" w:cs="Arial"/>
          <w:color w:val="333333"/>
          <w:sz w:val="18"/>
          <w:szCs w:val="18"/>
        </w:rPr>
        <w:t>Indicate by ch</w:t>
      </w:r>
      <w:r>
        <w:rPr>
          <w:rFonts w:ascii="Arial" w:eastAsia="宋体" w:hAnsi="Arial" w:cs="Arial"/>
          <w:color w:val="333333"/>
          <w:sz w:val="18"/>
          <w:szCs w:val="18"/>
        </w:rPr>
        <w:t>eck mark whether the registrant has submitted electronically every Interactive Data File required to be submitted pursuant to Rule 405 of Regulation S-T (§232.405 of this chapter) during the preceding 12 months (or for such shorter period that the registra</w:t>
      </w:r>
      <w:r>
        <w:rPr>
          <w:rFonts w:ascii="Arial" w:eastAsia="宋体" w:hAnsi="Arial" w:cs="Arial"/>
          <w:color w:val="333333"/>
          <w:sz w:val="18"/>
          <w:szCs w:val="18"/>
        </w:rPr>
        <w:t>nt was required to submit such files).  Yes  </w:t>
      </w:r>
      <w:r>
        <w:rPr>
          <w:rFonts w:ascii="Arial Unicode MS" w:eastAsia="Arial Unicode MS" w:hAnsi="Arial Unicode MS" w:cs="Arial Unicode MS" w:hint="eastAsia"/>
          <w:color w:val="333333"/>
        </w:rPr>
        <w:t>☑</w:t>
      </w:r>
      <w:r>
        <w:rPr>
          <w:rFonts w:ascii="Arial" w:eastAsia="宋体" w:hAnsi="Arial" w:cs="Arial"/>
          <w:color w:val="333333"/>
          <w:sz w:val="18"/>
          <w:szCs w:val="18"/>
        </w:rPr>
        <w:t xml:space="preserve">    No  </w:t>
      </w:r>
      <w:r>
        <w:rPr>
          <w:rFonts w:ascii="Wingdings" w:eastAsia="宋体" w:hAnsi="Wingdings" w:cs="Wingdings"/>
          <w:color w:val="333333"/>
          <w:sz w:val="18"/>
          <w:szCs w:val="18"/>
        </w:rPr>
        <w:t>¨</w:t>
      </w:r>
    </w:p>
    <w:p w14:paraId="20ADF638" w14:textId="77777777" w:rsidR="00B626E7" w:rsidRDefault="00175C1D">
      <w:pPr>
        <w:spacing w:before="60" w:after="120"/>
      </w:pPr>
      <w:r>
        <w:rPr>
          <w:rFonts w:ascii="Arial" w:eastAsia="宋体" w:hAnsi="Arial" w:cs="Arial"/>
          <w:color w:val="333333"/>
          <w:sz w:val="18"/>
          <w:szCs w:val="18"/>
        </w:rPr>
        <w:lastRenderedPageBreak/>
        <w:t>Indicate by check mark whether the registrant is a large accelerated filer, an accelerated filer, a non-accelerated filer, a smaller reporting company, or an emerging growth company. See the definitio</w:t>
      </w:r>
      <w:r>
        <w:rPr>
          <w:rFonts w:ascii="Arial" w:eastAsia="宋体" w:hAnsi="Arial" w:cs="Arial"/>
          <w:color w:val="333333"/>
          <w:sz w:val="18"/>
          <w:szCs w:val="18"/>
        </w:rPr>
        <w:t>ns of “large accelerated filer,” “accelerated filer,” “smaller reporting company,” and "emerging growth company" in Rule 12b-2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55"/>
        <w:gridCol w:w="1153"/>
        <w:gridCol w:w="54"/>
        <w:gridCol w:w="36"/>
        <w:gridCol w:w="104"/>
        <w:gridCol w:w="1224"/>
        <w:gridCol w:w="103"/>
        <w:gridCol w:w="36"/>
        <w:gridCol w:w="53"/>
        <w:gridCol w:w="1726"/>
        <w:gridCol w:w="52"/>
        <w:gridCol w:w="36"/>
        <w:gridCol w:w="106"/>
        <w:gridCol w:w="2030"/>
        <w:gridCol w:w="105"/>
        <w:gridCol w:w="43"/>
        <w:gridCol w:w="1378"/>
        <w:gridCol w:w="42"/>
      </w:tblGrid>
      <w:tr w:rsidR="00B626E7" w14:paraId="20ADF64B" w14:textId="77777777">
        <w:tc>
          <w:tcPr>
            <w:tcW w:w="50" w:type="pct"/>
            <w:shd w:val="clear" w:color="auto" w:fill="auto"/>
          </w:tcPr>
          <w:p w14:paraId="20ADF639" w14:textId="77777777" w:rsidR="00B626E7" w:rsidRDefault="00B626E7">
            <w:pPr>
              <w:rPr>
                <w:rFonts w:ascii="宋体"/>
              </w:rPr>
            </w:pPr>
          </w:p>
        </w:tc>
        <w:tc>
          <w:tcPr>
            <w:tcW w:w="801" w:type="pct"/>
            <w:shd w:val="clear" w:color="auto" w:fill="auto"/>
          </w:tcPr>
          <w:p w14:paraId="20ADF63A" w14:textId="77777777" w:rsidR="00B626E7" w:rsidRDefault="00B626E7">
            <w:pPr>
              <w:rPr>
                <w:rFonts w:ascii="宋体"/>
              </w:rPr>
            </w:pPr>
          </w:p>
        </w:tc>
        <w:tc>
          <w:tcPr>
            <w:tcW w:w="50" w:type="pct"/>
            <w:shd w:val="clear" w:color="auto" w:fill="auto"/>
          </w:tcPr>
          <w:p w14:paraId="20ADF63B" w14:textId="77777777" w:rsidR="00B626E7" w:rsidRDefault="00B626E7">
            <w:pPr>
              <w:rPr>
                <w:rFonts w:ascii="宋体"/>
              </w:rPr>
            </w:pPr>
          </w:p>
        </w:tc>
        <w:tc>
          <w:tcPr>
            <w:tcW w:w="0" w:type="auto"/>
            <w:shd w:val="clear" w:color="auto" w:fill="auto"/>
          </w:tcPr>
          <w:p w14:paraId="20ADF63C" w14:textId="77777777" w:rsidR="00B626E7" w:rsidRDefault="00B626E7">
            <w:pPr>
              <w:rPr>
                <w:rFonts w:ascii="宋体"/>
                <w:vanish/>
              </w:rPr>
            </w:pPr>
          </w:p>
        </w:tc>
        <w:tc>
          <w:tcPr>
            <w:tcW w:w="50" w:type="pct"/>
            <w:shd w:val="clear" w:color="auto" w:fill="auto"/>
          </w:tcPr>
          <w:p w14:paraId="20ADF63D" w14:textId="77777777" w:rsidR="00B626E7" w:rsidRDefault="00B626E7">
            <w:pPr>
              <w:rPr>
                <w:rFonts w:ascii="宋体"/>
              </w:rPr>
            </w:pPr>
          </w:p>
        </w:tc>
        <w:tc>
          <w:tcPr>
            <w:tcW w:w="589" w:type="pct"/>
            <w:shd w:val="clear" w:color="auto" w:fill="auto"/>
          </w:tcPr>
          <w:p w14:paraId="20ADF63E" w14:textId="77777777" w:rsidR="00B626E7" w:rsidRDefault="00B626E7">
            <w:pPr>
              <w:rPr>
                <w:rFonts w:ascii="宋体"/>
              </w:rPr>
            </w:pPr>
          </w:p>
        </w:tc>
        <w:tc>
          <w:tcPr>
            <w:tcW w:w="50" w:type="pct"/>
            <w:shd w:val="clear" w:color="auto" w:fill="auto"/>
          </w:tcPr>
          <w:p w14:paraId="20ADF63F" w14:textId="77777777" w:rsidR="00B626E7" w:rsidRDefault="00B626E7">
            <w:pPr>
              <w:rPr>
                <w:rFonts w:ascii="宋体"/>
              </w:rPr>
            </w:pPr>
          </w:p>
        </w:tc>
        <w:tc>
          <w:tcPr>
            <w:tcW w:w="0" w:type="auto"/>
            <w:shd w:val="clear" w:color="auto" w:fill="auto"/>
          </w:tcPr>
          <w:p w14:paraId="20ADF640" w14:textId="77777777" w:rsidR="00B626E7" w:rsidRDefault="00B626E7">
            <w:pPr>
              <w:rPr>
                <w:rFonts w:ascii="宋体"/>
                <w:vanish/>
              </w:rPr>
            </w:pPr>
          </w:p>
        </w:tc>
        <w:tc>
          <w:tcPr>
            <w:tcW w:w="50" w:type="pct"/>
            <w:shd w:val="clear" w:color="auto" w:fill="auto"/>
          </w:tcPr>
          <w:p w14:paraId="20ADF641" w14:textId="77777777" w:rsidR="00B626E7" w:rsidRDefault="00B626E7">
            <w:pPr>
              <w:rPr>
                <w:rFonts w:ascii="宋体"/>
              </w:rPr>
            </w:pPr>
          </w:p>
        </w:tc>
        <w:tc>
          <w:tcPr>
            <w:tcW w:w="1184" w:type="pct"/>
            <w:shd w:val="clear" w:color="auto" w:fill="auto"/>
          </w:tcPr>
          <w:p w14:paraId="20ADF642" w14:textId="77777777" w:rsidR="00B626E7" w:rsidRDefault="00B626E7">
            <w:pPr>
              <w:rPr>
                <w:rFonts w:ascii="宋体"/>
              </w:rPr>
            </w:pPr>
          </w:p>
        </w:tc>
        <w:tc>
          <w:tcPr>
            <w:tcW w:w="50" w:type="pct"/>
            <w:shd w:val="clear" w:color="auto" w:fill="auto"/>
          </w:tcPr>
          <w:p w14:paraId="20ADF643" w14:textId="77777777" w:rsidR="00B626E7" w:rsidRDefault="00B626E7">
            <w:pPr>
              <w:rPr>
                <w:rFonts w:ascii="宋体"/>
              </w:rPr>
            </w:pPr>
          </w:p>
        </w:tc>
        <w:tc>
          <w:tcPr>
            <w:tcW w:w="0" w:type="auto"/>
            <w:shd w:val="clear" w:color="auto" w:fill="auto"/>
          </w:tcPr>
          <w:p w14:paraId="20ADF644" w14:textId="77777777" w:rsidR="00B626E7" w:rsidRDefault="00B626E7">
            <w:pPr>
              <w:rPr>
                <w:rFonts w:ascii="宋体"/>
                <w:vanish/>
              </w:rPr>
            </w:pPr>
          </w:p>
        </w:tc>
        <w:tc>
          <w:tcPr>
            <w:tcW w:w="50" w:type="pct"/>
            <w:shd w:val="clear" w:color="auto" w:fill="auto"/>
          </w:tcPr>
          <w:p w14:paraId="20ADF645" w14:textId="77777777" w:rsidR="00B626E7" w:rsidRDefault="00B626E7">
            <w:pPr>
              <w:rPr>
                <w:rFonts w:ascii="宋体"/>
              </w:rPr>
            </w:pPr>
          </w:p>
        </w:tc>
        <w:tc>
          <w:tcPr>
            <w:tcW w:w="958" w:type="pct"/>
            <w:shd w:val="clear" w:color="auto" w:fill="auto"/>
          </w:tcPr>
          <w:p w14:paraId="20ADF646" w14:textId="77777777" w:rsidR="00B626E7" w:rsidRDefault="00B626E7">
            <w:pPr>
              <w:rPr>
                <w:rFonts w:ascii="宋体"/>
              </w:rPr>
            </w:pPr>
          </w:p>
        </w:tc>
        <w:tc>
          <w:tcPr>
            <w:tcW w:w="50" w:type="pct"/>
            <w:shd w:val="clear" w:color="auto" w:fill="auto"/>
          </w:tcPr>
          <w:p w14:paraId="20ADF647" w14:textId="77777777" w:rsidR="00B626E7" w:rsidRDefault="00B626E7">
            <w:pPr>
              <w:rPr>
                <w:rFonts w:ascii="宋体"/>
              </w:rPr>
            </w:pPr>
          </w:p>
        </w:tc>
        <w:tc>
          <w:tcPr>
            <w:tcW w:w="50" w:type="pct"/>
            <w:shd w:val="clear" w:color="auto" w:fill="auto"/>
          </w:tcPr>
          <w:p w14:paraId="20ADF648" w14:textId="77777777" w:rsidR="00B626E7" w:rsidRDefault="00B626E7">
            <w:pPr>
              <w:rPr>
                <w:rFonts w:ascii="宋体"/>
              </w:rPr>
            </w:pPr>
          </w:p>
        </w:tc>
        <w:tc>
          <w:tcPr>
            <w:tcW w:w="965" w:type="pct"/>
            <w:shd w:val="clear" w:color="auto" w:fill="auto"/>
          </w:tcPr>
          <w:p w14:paraId="20ADF649" w14:textId="77777777" w:rsidR="00B626E7" w:rsidRDefault="00B626E7">
            <w:pPr>
              <w:rPr>
                <w:rFonts w:ascii="宋体"/>
              </w:rPr>
            </w:pPr>
          </w:p>
        </w:tc>
        <w:tc>
          <w:tcPr>
            <w:tcW w:w="50" w:type="pct"/>
            <w:shd w:val="clear" w:color="auto" w:fill="auto"/>
          </w:tcPr>
          <w:p w14:paraId="20ADF64A" w14:textId="77777777" w:rsidR="00B626E7" w:rsidRDefault="00B626E7">
            <w:pPr>
              <w:rPr>
                <w:rFonts w:ascii="宋体"/>
              </w:rPr>
            </w:pPr>
          </w:p>
        </w:tc>
      </w:tr>
      <w:tr w:rsidR="00B626E7" w14:paraId="20ADF654" w14:textId="77777777">
        <w:tc>
          <w:tcPr>
            <w:tcW w:w="0" w:type="auto"/>
            <w:gridSpan w:val="3"/>
            <w:shd w:val="clear" w:color="auto" w:fill="auto"/>
            <w:tcMar>
              <w:top w:w="40" w:type="dxa"/>
              <w:left w:w="20" w:type="dxa"/>
              <w:bottom w:w="40" w:type="dxa"/>
              <w:right w:w="20" w:type="dxa"/>
            </w:tcMar>
          </w:tcPr>
          <w:p w14:paraId="20ADF64C" w14:textId="77777777" w:rsidR="00B626E7" w:rsidRDefault="00175C1D">
            <w:pPr>
              <w:jc w:val="center"/>
              <w:textAlignment w:val="top"/>
            </w:pPr>
            <w:r>
              <w:rPr>
                <w:rFonts w:ascii="Arial" w:eastAsia="宋体" w:hAnsi="Arial" w:cs="Arial"/>
                <w:color w:val="333333"/>
                <w:sz w:val="18"/>
                <w:szCs w:val="18"/>
              </w:rPr>
              <w:t>Large Accelerated Filer</w:t>
            </w:r>
          </w:p>
        </w:tc>
        <w:tc>
          <w:tcPr>
            <w:tcW w:w="0" w:type="auto"/>
            <w:shd w:val="clear" w:color="auto" w:fill="auto"/>
          </w:tcPr>
          <w:p w14:paraId="20ADF64D" w14:textId="77777777" w:rsidR="00B626E7" w:rsidRDefault="00B626E7">
            <w:pPr>
              <w:rPr>
                <w:rFonts w:ascii="宋体"/>
                <w:vanish/>
              </w:rPr>
            </w:pPr>
          </w:p>
        </w:tc>
        <w:tc>
          <w:tcPr>
            <w:tcW w:w="0" w:type="auto"/>
            <w:gridSpan w:val="3"/>
            <w:shd w:val="clear" w:color="auto" w:fill="auto"/>
            <w:tcMar>
              <w:top w:w="40" w:type="dxa"/>
              <w:left w:w="20" w:type="dxa"/>
              <w:bottom w:w="40" w:type="dxa"/>
              <w:right w:w="20" w:type="dxa"/>
            </w:tcMar>
          </w:tcPr>
          <w:p w14:paraId="20ADF64E" w14:textId="77777777" w:rsidR="00B626E7" w:rsidRDefault="00175C1D">
            <w:pPr>
              <w:jc w:val="center"/>
              <w:textAlignment w:val="top"/>
            </w:pPr>
            <w:r>
              <w:rPr>
                <w:rFonts w:ascii="Arial" w:eastAsia="宋体" w:hAnsi="Arial" w:cs="Arial"/>
                <w:color w:val="333333"/>
                <w:sz w:val="18"/>
                <w:szCs w:val="18"/>
              </w:rPr>
              <w:t>Accelerated filer  </w:t>
            </w:r>
          </w:p>
        </w:tc>
        <w:tc>
          <w:tcPr>
            <w:tcW w:w="0" w:type="auto"/>
            <w:shd w:val="clear" w:color="auto" w:fill="auto"/>
          </w:tcPr>
          <w:p w14:paraId="20ADF64F" w14:textId="77777777" w:rsidR="00B626E7" w:rsidRDefault="00B626E7">
            <w:pPr>
              <w:rPr>
                <w:rFonts w:ascii="宋体"/>
                <w:vanish/>
              </w:rPr>
            </w:pPr>
          </w:p>
        </w:tc>
        <w:tc>
          <w:tcPr>
            <w:tcW w:w="0" w:type="auto"/>
            <w:gridSpan w:val="3"/>
            <w:shd w:val="clear" w:color="auto" w:fill="auto"/>
            <w:tcMar>
              <w:top w:w="40" w:type="dxa"/>
              <w:left w:w="20" w:type="dxa"/>
              <w:bottom w:w="40" w:type="dxa"/>
              <w:right w:w="20" w:type="dxa"/>
            </w:tcMar>
          </w:tcPr>
          <w:p w14:paraId="20ADF650" w14:textId="77777777" w:rsidR="00B626E7" w:rsidRDefault="00175C1D">
            <w:pPr>
              <w:jc w:val="center"/>
              <w:textAlignment w:val="top"/>
            </w:pPr>
            <w:r>
              <w:rPr>
                <w:rFonts w:ascii="Arial" w:eastAsia="宋体" w:hAnsi="Arial" w:cs="Arial"/>
                <w:color w:val="333333"/>
                <w:sz w:val="18"/>
                <w:szCs w:val="18"/>
              </w:rPr>
              <w:t xml:space="preserve">Non-accelerated filer  </w:t>
            </w:r>
          </w:p>
        </w:tc>
        <w:tc>
          <w:tcPr>
            <w:tcW w:w="0" w:type="auto"/>
            <w:shd w:val="clear" w:color="auto" w:fill="auto"/>
          </w:tcPr>
          <w:p w14:paraId="20ADF651" w14:textId="77777777" w:rsidR="00B626E7" w:rsidRDefault="00B626E7">
            <w:pPr>
              <w:rPr>
                <w:rFonts w:ascii="宋体"/>
                <w:vanish/>
              </w:rPr>
            </w:pPr>
          </w:p>
        </w:tc>
        <w:tc>
          <w:tcPr>
            <w:tcW w:w="0" w:type="auto"/>
            <w:gridSpan w:val="3"/>
            <w:shd w:val="clear" w:color="auto" w:fill="auto"/>
            <w:tcMar>
              <w:top w:w="40" w:type="dxa"/>
              <w:left w:w="20" w:type="dxa"/>
              <w:bottom w:w="40" w:type="dxa"/>
              <w:right w:w="20" w:type="dxa"/>
            </w:tcMar>
          </w:tcPr>
          <w:p w14:paraId="20ADF652" w14:textId="77777777" w:rsidR="00B626E7" w:rsidRDefault="00175C1D">
            <w:pPr>
              <w:jc w:val="center"/>
              <w:textAlignment w:val="top"/>
            </w:pPr>
            <w:r>
              <w:rPr>
                <w:rFonts w:ascii="Arial" w:eastAsia="宋体" w:hAnsi="Arial" w:cs="Arial"/>
                <w:color w:val="333333"/>
                <w:sz w:val="18"/>
                <w:szCs w:val="18"/>
              </w:rPr>
              <w:t>Smaller reporting company </w:t>
            </w:r>
          </w:p>
        </w:tc>
        <w:tc>
          <w:tcPr>
            <w:tcW w:w="0" w:type="auto"/>
            <w:gridSpan w:val="3"/>
            <w:shd w:val="clear" w:color="auto" w:fill="auto"/>
            <w:tcMar>
              <w:top w:w="40" w:type="dxa"/>
              <w:left w:w="20" w:type="dxa"/>
              <w:bottom w:w="40" w:type="dxa"/>
              <w:right w:w="20" w:type="dxa"/>
            </w:tcMar>
          </w:tcPr>
          <w:p w14:paraId="20ADF653" w14:textId="77777777" w:rsidR="00B626E7" w:rsidRDefault="00175C1D">
            <w:pPr>
              <w:jc w:val="center"/>
              <w:textAlignment w:val="top"/>
            </w:pPr>
            <w:r>
              <w:rPr>
                <w:rFonts w:ascii="Arial" w:eastAsia="宋体" w:hAnsi="Arial" w:cs="Arial"/>
                <w:color w:val="333333"/>
                <w:sz w:val="18"/>
                <w:szCs w:val="18"/>
              </w:rPr>
              <w:t>Emerging growth company  </w:t>
            </w:r>
          </w:p>
        </w:tc>
      </w:tr>
      <w:tr w:rsidR="00B626E7" w14:paraId="20ADF65D" w14:textId="77777777">
        <w:tc>
          <w:tcPr>
            <w:tcW w:w="0" w:type="auto"/>
            <w:gridSpan w:val="3"/>
            <w:shd w:val="clear" w:color="auto" w:fill="auto"/>
            <w:tcMar>
              <w:top w:w="40" w:type="dxa"/>
              <w:left w:w="20" w:type="dxa"/>
              <w:bottom w:w="40" w:type="dxa"/>
              <w:right w:w="20" w:type="dxa"/>
            </w:tcMar>
          </w:tcPr>
          <w:p w14:paraId="20ADF655" w14:textId="77777777" w:rsidR="00B626E7" w:rsidRDefault="00175C1D">
            <w:pPr>
              <w:jc w:val="center"/>
              <w:textAlignment w:val="top"/>
            </w:pPr>
            <w:r>
              <w:rPr>
                <w:rFonts w:ascii="Arial Unicode MS" w:eastAsia="Arial Unicode MS" w:hAnsi="Arial Unicode MS" w:cs="Arial Unicode MS" w:hint="eastAsia"/>
                <w:color w:val="333333"/>
              </w:rPr>
              <w:t>☑</w:t>
            </w:r>
          </w:p>
        </w:tc>
        <w:tc>
          <w:tcPr>
            <w:tcW w:w="0" w:type="auto"/>
            <w:shd w:val="clear" w:color="auto" w:fill="auto"/>
          </w:tcPr>
          <w:p w14:paraId="20ADF656" w14:textId="77777777" w:rsidR="00B626E7" w:rsidRDefault="00B626E7">
            <w:pPr>
              <w:rPr>
                <w:rFonts w:ascii="宋体"/>
                <w:vanish/>
              </w:rPr>
            </w:pPr>
          </w:p>
        </w:tc>
        <w:tc>
          <w:tcPr>
            <w:tcW w:w="0" w:type="auto"/>
            <w:gridSpan w:val="3"/>
            <w:shd w:val="clear" w:color="auto" w:fill="auto"/>
            <w:tcMar>
              <w:top w:w="40" w:type="dxa"/>
              <w:left w:w="20" w:type="dxa"/>
              <w:bottom w:w="40" w:type="dxa"/>
              <w:right w:w="20" w:type="dxa"/>
            </w:tcMar>
          </w:tcPr>
          <w:p w14:paraId="20ADF657" w14:textId="77777777" w:rsidR="00B626E7" w:rsidRDefault="00175C1D">
            <w:pPr>
              <w:jc w:val="center"/>
              <w:textAlignment w:val="top"/>
            </w:pPr>
            <w:r>
              <w:rPr>
                <w:rFonts w:ascii="Wingdings" w:eastAsia="宋体" w:hAnsi="Wingdings" w:cs="Wingdings"/>
                <w:color w:val="333333"/>
                <w:sz w:val="18"/>
                <w:szCs w:val="18"/>
              </w:rPr>
              <w:t>¨</w:t>
            </w:r>
          </w:p>
        </w:tc>
        <w:tc>
          <w:tcPr>
            <w:tcW w:w="0" w:type="auto"/>
            <w:shd w:val="clear" w:color="auto" w:fill="auto"/>
          </w:tcPr>
          <w:p w14:paraId="20ADF658" w14:textId="77777777" w:rsidR="00B626E7" w:rsidRDefault="00B626E7">
            <w:pPr>
              <w:rPr>
                <w:rFonts w:ascii="宋体"/>
                <w:vanish/>
              </w:rPr>
            </w:pPr>
          </w:p>
        </w:tc>
        <w:tc>
          <w:tcPr>
            <w:tcW w:w="0" w:type="auto"/>
            <w:gridSpan w:val="3"/>
            <w:shd w:val="clear" w:color="auto" w:fill="auto"/>
            <w:tcMar>
              <w:top w:w="40" w:type="dxa"/>
              <w:left w:w="20" w:type="dxa"/>
              <w:bottom w:w="40" w:type="dxa"/>
              <w:right w:w="20" w:type="dxa"/>
            </w:tcMar>
          </w:tcPr>
          <w:p w14:paraId="20ADF659" w14:textId="77777777" w:rsidR="00B626E7" w:rsidRDefault="00175C1D">
            <w:pPr>
              <w:jc w:val="center"/>
              <w:textAlignment w:val="top"/>
            </w:pPr>
            <w:r>
              <w:rPr>
                <w:rFonts w:ascii="Wingdings" w:eastAsia="宋体" w:hAnsi="Wingdings" w:cs="Wingdings"/>
                <w:color w:val="333333"/>
                <w:sz w:val="18"/>
                <w:szCs w:val="18"/>
              </w:rPr>
              <w:t>¨</w:t>
            </w:r>
          </w:p>
        </w:tc>
        <w:tc>
          <w:tcPr>
            <w:tcW w:w="0" w:type="auto"/>
            <w:shd w:val="clear" w:color="auto" w:fill="auto"/>
          </w:tcPr>
          <w:p w14:paraId="20ADF65A" w14:textId="77777777" w:rsidR="00B626E7" w:rsidRDefault="00B626E7">
            <w:pPr>
              <w:rPr>
                <w:rFonts w:ascii="宋体"/>
                <w:vanish/>
              </w:rPr>
            </w:pPr>
          </w:p>
        </w:tc>
        <w:tc>
          <w:tcPr>
            <w:tcW w:w="0" w:type="auto"/>
            <w:gridSpan w:val="3"/>
            <w:shd w:val="clear" w:color="auto" w:fill="auto"/>
            <w:tcMar>
              <w:top w:w="40" w:type="dxa"/>
              <w:left w:w="20" w:type="dxa"/>
              <w:bottom w:w="40" w:type="dxa"/>
              <w:right w:w="20" w:type="dxa"/>
            </w:tcMar>
          </w:tcPr>
          <w:p w14:paraId="20ADF65B" w14:textId="77777777" w:rsidR="00B626E7" w:rsidRDefault="00175C1D">
            <w:pPr>
              <w:jc w:val="center"/>
              <w:textAlignment w:val="top"/>
            </w:pPr>
            <w:r>
              <w:rPr>
                <w:rFonts w:ascii="Arial Unicode MS" w:eastAsia="Arial Unicode MS" w:hAnsi="Arial Unicode MS" w:cs="Arial Unicode MS" w:hint="eastAsia"/>
                <w:color w:val="333333"/>
                <w:sz w:val="18"/>
                <w:szCs w:val="18"/>
              </w:rPr>
              <w:t>☐</w:t>
            </w:r>
          </w:p>
        </w:tc>
        <w:tc>
          <w:tcPr>
            <w:tcW w:w="0" w:type="auto"/>
            <w:gridSpan w:val="3"/>
            <w:shd w:val="clear" w:color="auto" w:fill="auto"/>
            <w:tcMar>
              <w:top w:w="40" w:type="dxa"/>
              <w:left w:w="20" w:type="dxa"/>
              <w:bottom w:w="40" w:type="dxa"/>
              <w:right w:w="20" w:type="dxa"/>
            </w:tcMar>
          </w:tcPr>
          <w:p w14:paraId="20ADF65C" w14:textId="77777777" w:rsidR="00B626E7" w:rsidRDefault="00175C1D">
            <w:pPr>
              <w:jc w:val="center"/>
              <w:textAlignment w:val="top"/>
            </w:pPr>
            <w:r>
              <w:rPr>
                <w:rFonts w:ascii="Arial Unicode MS" w:eastAsia="Arial Unicode MS" w:hAnsi="Arial Unicode MS" w:cs="Arial Unicode MS" w:hint="eastAsia"/>
                <w:color w:val="333333"/>
                <w:sz w:val="18"/>
                <w:szCs w:val="18"/>
              </w:rPr>
              <w:t>☐</w:t>
            </w:r>
          </w:p>
        </w:tc>
      </w:tr>
      <w:tr w:rsidR="00B626E7" w14:paraId="20ADF666" w14:textId="77777777">
        <w:trPr>
          <w:hidden/>
        </w:trPr>
        <w:tc>
          <w:tcPr>
            <w:tcW w:w="0" w:type="auto"/>
            <w:gridSpan w:val="3"/>
            <w:shd w:val="clear" w:color="auto" w:fill="auto"/>
          </w:tcPr>
          <w:p w14:paraId="20ADF65E" w14:textId="77777777" w:rsidR="00B626E7" w:rsidRDefault="00B626E7">
            <w:pPr>
              <w:rPr>
                <w:rFonts w:ascii="宋体"/>
                <w:vanish/>
              </w:rPr>
            </w:pPr>
          </w:p>
        </w:tc>
        <w:tc>
          <w:tcPr>
            <w:tcW w:w="0" w:type="auto"/>
            <w:shd w:val="clear" w:color="auto" w:fill="auto"/>
          </w:tcPr>
          <w:p w14:paraId="20ADF65F" w14:textId="77777777" w:rsidR="00B626E7" w:rsidRDefault="00B626E7">
            <w:pPr>
              <w:rPr>
                <w:rFonts w:ascii="宋体"/>
                <w:vanish/>
              </w:rPr>
            </w:pPr>
          </w:p>
        </w:tc>
        <w:tc>
          <w:tcPr>
            <w:tcW w:w="0" w:type="auto"/>
            <w:gridSpan w:val="3"/>
            <w:shd w:val="clear" w:color="auto" w:fill="auto"/>
          </w:tcPr>
          <w:p w14:paraId="20ADF660" w14:textId="77777777" w:rsidR="00B626E7" w:rsidRDefault="00B626E7">
            <w:pPr>
              <w:rPr>
                <w:rFonts w:ascii="宋体"/>
                <w:vanish/>
              </w:rPr>
            </w:pPr>
          </w:p>
        </w:tc>
        <w:tc>
          <w:tcPr>
            <w:tcW w:w="0" w:type="auto"/>
            <w:shd w:val="clear" w:color="auto" w:fill="auto"/>
          </w:tcPr>
          <w:p w14:paraId="20ADF661" w14:textId="77777777" w:rsidR="00B626E7" w:rsidRDefault="00B626E7">
            <w:pPr>
              <w:rPr>
                <w:rFonts w:ascii="宋体"/>
                <w:vanish/>
              </w:rPr>
            </w:pPr>
          </w:p>
        </w:tc>
        <w:tc>
          <w:tcPr>
            <w:tcW w:w="0" w:type="auto"/>
            <w:gridSpan w:val="3"/>
            <w:shd w:val="clear" w:color="auto" w:fill="auto"/>
          </w:tcPr>
          <w:p w14:paraId="20ADF662" w14:textId="77777777" w:rsidR="00B626E7" w:rsidRDefault="00B626E7">
            <w:pPr>
              <w:rPr>
                <w:rFonts w:ascii="宋体"/>
                <w:vanish/>
              </w:rPr>
            </w:pPr>
          </w:p>
        </w:tc>
        <w:tc>
          <w:tcPr>
            <w:tcW w:w="0" w:type="auto"/>
            <w:shd w:val="clear" w:color="auto" w:fill="auto"/>
          </w:tcPr>
          <w:p w14:paraId="20ADF663" w14:textId="77777777" w:rsidR="00B626E7" w:rsidRDefault="00B626E7">
            <w:pPr>
              <w:rPr>
                <w:rFonts w:ascii="宋体"/>
                <w:vanish/>
              </w:rPr>
            </w:pPr>
          </w:p>
        </w:tc>
        <w:tc>
          <w:tcPr>
            <w:tcW w:w="0" w:type="auto"/>
            <w:gridSpan w:val="3"/>
            <w:shd w:val="clear" w:color="auto" w:fill="auto"/>
          </w:tcPr>
          <w:p w14:paraId="20ADF664" w14:textId="77777777" w:rsidR="00B626E7" w:rsidRDefault="00B626E7">
            <w:pPr>
              <w:rPr>
                <w:rFonts w:ascii="宋体"/>
                <w:vanish/>
              </w:rPr>
            </w:pPr>
          </w:p>
        </w:tc>
        <w:tc>
          <w:tcPr>
            <w:tcW w:w="0" w:type="auto"/>
            <w:gridSpan w:val="3"/>
            <w:shd w:val="clear" w:color="auto" w:fill="auto"/>
          </w:tcPr>
          <w:p w14:paraId="20ADF665" w14:textId="77777777" w:rsidR="00B626E7" w:rsidRDefault="00B626E7">
            <w:pPr>
              <w:rPr>
                <w:rFonts w:ascii="宋体"/>
                <w:vanish/>
              </w:rPr>
            </w:pPr>
          </w:p>
        </w:tc>
      </w:tr>
    </w:tbl>
    <w:p w14:paraId="20ADF667" w14:textId="77777777" w:rsidR="00B626E7" w:rsidRDefault="00175C1D">
      <w:pPr>
        <w:spacing w:after="180"/>
      </w:pPr>
      <w:r>
        <w:rPr>
          <w:rFonts w:ascii="Arial" w:eastAsia="宋体" w:hAnsi="Arial" w:cs="Arial"/>
          <w:color w:val="333333"/>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宋体" w:hAnsi="Wingdings" w:cs="Wingdings"/>
          <w:color w:val="333333"/>
          <w:sz w:val="18"/>
          <w:szCs w:val="18"/>
        </w:rPr>
        <w:t>¨</w:t>
      </w:r>
    </w:p>
    <w:p w14:paraId="20ADF668" w14:textId="77777777" w:rsidR="00B626E7" w:rsidRDefault="00175C1D">
      <w:pPr>
        <w:spacing w:before="180" w:after="180"/>
      </w:pPr>
      <w:r>
        <w:rPr>
          <w:rFonts w:ascii="Arial" w:eastAsia="宋体" w:hAnsi="Arial" w:cs="Arial"/>
          <w:color w:val="333333"/>
          <w:sz w:val="18"/>
          <w:szCs w:val="18"/>
        </w:rPr>
        <w:t>Ind</w:t>
      </w:r>
      <w:r>
        <w:rPr>
          <w:rFonts w:ascii="Arial" w:eastAsia="宋体" w:hAnsi="Arial" w:cs="Arial"/>
          <w:color w:val="333333"/>
          <w:sz w:val="18"/>
          <w:szCs w:val="18"/>
        </w:rPr>
        <w:t>icate by check mark whether the registrant is a shell company (as defined in Rule 12b-2 of the Exchange Act).    Yes  </w:t>
      </w:r>
      <w:r>
        <w:rPr>
          <w:rFonts w:ascii="Arial Unicode MS" w:eastAsia="Arial Unicode MS" w:hAnsi="Arial Unicode MS" w:cs="Arial Unicode MS" w:hint="eastAsia"/>
          <w:color w:val="333333"/>
          <w:sz w:val="18"/>
          <w:szCs w:val="18"/>
        </w:rPr>
        <w:t>☐</w:t>
      </w:r>
      <w:r>
        <w:rPr>
          <w:rFonts w:ascii="Arial" w:eastAsia="宋体" w:hAnsi="Arial" w:cs="Arial"/>
          <w:color w:val="333333"/>
          <w:sz w:val="18"/>
          <w:szCs w:val="18"/>
        </w:rPr>
        <w:t xml:space="preserve">    No  </w:t>
      </w:r>
      <w:r>
        <w:rPr>
          <w:rFonts w:ascii="Arial Unicode MS" w:eastAsia="Arial Unicode MS" w:hAnsi="Arial Unicode MS" w:cs="Arial Unicode MS" w:hint="eastAsia"/>
          <w:color w:val="333333"/>
        </w:rPr>
        <w:t>☑</w:t>
      </w:r>
    </w:p>
    <w:p w14:paraId="20ADF669" w14:textId="77777777" w:rsidR="00B626E7" w:rsidRDefault="00175C1D">
      <w:pPr>
        <w:spacing w:after="180"/>
      </w:pPr>
      <w:r>
        <w:rPr>
          <w:rFonts w:ascii="Arial" w:eastAsia="宋体" w:hAnsi="Arial" w:cs="Arial"/>
          <w:color w:val="333333"/>
          <w:sz w:val="18"/>
          <w:szCs w:val="18"/>
        </w:rPr>
        <w:t xml:space="preserve">As of June 27, 2020, the registrant had outstanding 4,253 million shares of common stock. </w:t>
      </w:r>
    </w:p>
    <w:p w14:paraId="20ADF66A" w14:textId="77777777" w:rsidR="00B626E7" w:rsidRDefault="00B626E7">
      <w:pPr>
        <w:spacing w:after="180"/>
      </w:pPr>
    </w:p>
    <w:p w14:paraId="20ADF66B" w14:textId="77777777" w:rsidR="00B626E7" w:rsidRDefault="00175C1D">
      <w:r>
        <w:pict w14:anchorId="20AE3C10">
          <v:rect id="_x0000_i1025" style="width:415.3pt;height:1.5pt" o:hralign="center" o:hrstd="t" o:hr="t" fillcolor="#a0a0a0" stroked="f"/>
        </w:pict>
      </w:r>
    </w:p>
    <w:p w14:paraId="20ADF66C" w14:textId="77777777" w:rsidR="00B626E7" w:rsidRDefault="00B626E7">
      <w:pPr>
        <w:spacing w:after="180"/>
      </w:pPr>
    </w:p>
    <w:p w14:paraId="20ADF66D" w14:textId="77777777" w:rsidR="00B626E7" w:rsidRDefault="00175C1D">
      <w:pPr>
        <w:spacing w:before="180" w:after="180"/>
      </w:pPr>
      <w:r>
        <w:rPr>
          <w:rFonts w:ascii="Arial" w:eastAsia="宋体" w:hAnsi="Arial" w:cs="Arial"/>
          <w:b/>
          <w:bCs/>
          <w:color w:val="0071C5"/>
          <w:sz w:val="36"/>
          <w:szCs w:val="36"/>
        </w:rPr>
        <w:t>TABLE OF CONTENTS</w:t>
      </w:r>
    </w:p>
    <w:p w14:paraId="20ADF66E" w14:textId="77777777" w:rsidR="00B626E7" w:rsidRDefault="00175C1D">
      <w:pPr>
        <w:spacing w:after="120"/>
      </w:pPr>
      <w:r>
        <w:rPr>
          <w:rFonts w:ascii="Arial" w:eastAsia="宋体" w:hAnsi="Arial" w:cs="Arial"/>
          <w:b/>
          <w:bCs/>
          <w:color w:val="0071C5"/>
        </w:rPr>
        <w:t>THE ORGANIZATI</w:t>
      </w:r>
      <w:r>
        <w:rPr>
          <w:rFonts w:ascii="Arial" w:eastAsia="宋体" w:hAnsi="Arial" w:cs="Arial"/>
          <w:b/>
          <w:bCs/>
          <w:color w:val="0071C5"/>
        </w:rPr>
        <w:t>ON OF OUR QUARTERLY REPORT ON FORM 10-Q</w:t>
      </w:r>
    </w:p>
    <w:p w14:paraId="20ADF66F" w14:textId="77777777" w:rsidR="00B626E7" w:rsidRDefault="00175C1D">
      <w:pPr>
        <w:spacing w:after="180"/>
      </w:pPr>
      <w:r>
        <w:rPr>
          <w:rFonts w:ascii="Arial" w:eastAsia="宋体" w:hAnsi="Arial" w:cs="Arial"/>
          <w:color w:val="333333"/>
          <w:sz w:val="18"/>
          <w:szCs w:val="18"/>
        </w:rPr>
        <w:t xml:space="preserve">The order and presentation of content in our Form 10-Q differs from the traditional SEC Form 10-Q format. Our format is designed to improve readability and better present how we organize and manage our </w:t>
      </w:r>
      <w:r>
        <w:rPr>
          <w:rFonts w:ascii="Arial" w:eastAsia="宋体" w:hAnsi="Arial" w:cs="Arial"/>
          <w:color w:val="333333"/>
          <w:sz w:val="18"/>
          <w:szCs w:val="18"/>
        </w:rPr>
        <w:t>business. See "Form 10-Q Cross-Reference Index" within Other Key Information for a cross-reference index to the traditional SEC Form 10-Q format. To reflect our focus on transforming from a PC-centric</w:t>
      </w:r>
      <w:r>
        <w:rPr>
          <w:rFonts w:ascii="Arial" w:eastAsia="宋体" w:hAnsi="Arial" w:cs="Arial"/>
          <w:color w:val="333333"/>
          <w:sz w:val="11"/>
          <w:szCs w:val="11"/>
        </w:rPr>
        <w:t>1</w:t>
      </w:r>
      <w:r>
        <w:rPr>
          <w:rFonts w:ascii="Arial" w:eastAsia="宋体" w:hAnsi="Arial" w:cs="Arial"/>
          <w:color w:val="333333"/>
          <w:sz w:val="18"/>
          <w:szCs w:val="18"/>
        </w:rPr>
        <w:t xml:space="preserve"> company to a data-centric company, we have presented o</w:t>
      </w:r>
      <w:r>
        <w:rPr>
          <w:rFonts w:ascii="Arial" w:eastAsia="宋体" w:hAnsi="Arial" w:cs="Arial"/>
          <w:color w:val="333333"/>
          <w:sz w:val="18"/>
          <w:szCs w:val="18"/>
        </w:rPr>
        <w:t>ur data-centric businesses</w:t>
      </w:r>
      <w:r>
        <w:rPr>
          <w:rFonts w:ascii="Arial" w:eastAsia="宋体" w:hAnsi="Arial" w:cs="Arial"/>
          <w:color w:val="333333"/>
          <w:sz w:val="11"/>
          <w:szCs w:val="11"/>
        </w:rPr>
        <w:t>1</w:t>
      </w:r>
      <w:r>
        <w:rPr>
          <w:rFonts w:ascii="Arial" w:eastAsia="宋体" w:hAnsi="Arial" w:cs="Arial"/>
          <w:color w:val="333333"/>
          <w:sz w:val="18"/>
          <w:szCs w:val="18"/>
        </w:rPr>
        <w:t xml:space="preserve"> first in "Segment Trends and Results" within MD&amp;A.</w:t>
      </w:r>
    </w:p>
    <w:p w14:paraId="20ADF670" w14:textId="77777777" w:rsidR="00B626E7" w:rsidRDefault="00175C1D">
      <w:pPr>
        <w:spacing w:after="180"/>
      </w:pPr>
      <w:r>
        <w:rPr>
          <w:rFonts w:ascii="Arial" w:eastAsia="宋体" w:hAnsi="Arial" w:cs="Arial"/>
          <w:color w:val="333333"/>
          <w:sz w:val="18"/>
          <w:szCs w:val="18"/>
        </w:rPr>
        <w:t xml:space="preserve">We have defined certain terms and abbreviations used throughout our Form 10-Q in "Key Terms" within the Consolidated Condensed Financial Statements and Supplemental Details. </w:t>
      </w:r>
    </w:p>
    <w:p w14:paraId="20ADF671" w14:textId="77777777" w:rsidR="00B626E7" w:rsidRDefault="00175C1D">
      <w:pPr>
        <w:spacing w:after="180"/>
      </w:pPr>
      <w:r>
        <w:rPr>
          <w:rFonts w:ascii="Arial" w:eastAsia="宋体" w:hAnsi="Arial" w:cs="Arial"/>
          <w:color w:val="333333"/>
          <w:sz w:val="18"/>
          <w:szCs w:val="18"/>
        </w:rPr>
        <w:t>Th</w:t>
      </w:r>
      <w:r>
        <w:rPr>
          <w:rFonts w:ascii="Arial" w:eastAsia="宋体" w:hAnsi="Arial" w:cs="Arial"/>
          <w:color w:val="333333"/>
          <w:sz w:val="18"/>
          <w:szCs w:val="18"/>
        </w:rPr>
        <w:t>e preparation of our Consolidated Condensed Financial Statements is in conformity with U.S. GAAP. Our Form 10-Q includes key metrics that we use to measure our business, some of which are non-GAAP measures. See "Non-GAAP Financial Measures" within MD&amp;A for</w:t>
      </w:r>
      <w:r>
        <w:rPr>
          <w:rFonts w:ascii="Arial" w:eastAsia="宋体" w:hAnsi="Arial" w:cs="Arial"/>
          <w:color w:val="333333"/>
          <w:sz w:val="18"/>
          <w:szCs w:val="18"/>
        </w:rPr>
        <w:t xml:space="preserve"> an explanation of these measures and why management uses them and believes they provide investors with useful supplemental information. </w:t>
      </w:r>
    </w:p>
    <w:tbl>
      <w:tblPr>
        <w:tblW w:w="5000" w:type="pct"/>
        <w:tblCellMar>
          <w:top w:w="15" w:type="dxa"/>
          <w:left w:w="15" w:type="dxa"/>
          <w:bottom w:w="15" w:type="dxa"/>
          <w:right w:w="15" w:type="dxa"/>
        </w:tblCellMar>
        <w:tblLook w:val="04A0" w:firstRow="1" w:lastRow="0" w:firstColumn="1" w:lastColumn="0" w:noHBand="0" w:noVBand="1"/>
      </w:tblPr>
      <w:tblGrid>
        <w:gridCol w:w="65"/>
        <w:gridCol w:w="118"/>
        <w:gridCol w:w="65"/>
        <w:gridCol w:w="36"/>
        <w:gridCol w:w="108"/>
        <w:gridCol w:w="36"/>
        <w:gridCol w:w="65"/>
        <w:gridCol w:w="6924"/>
        <w:gridCol w:w="66"/>
        <w:gridCol w:w="89"/>
        <w:gridCol w:w="294"/>
        <w:gridCol w:w="88"/>
        <w:gridCol w:w="81"/>
        <w:gridCol w:w="80"/>
        <w:gridCol w:w="80"/>
        <w:gridCol w:w="47"/>
        <w:gridCol w:w="47"/>
        <w:gridCol w:w="47"/>
      </w:tblGrid>
      <w:tr w:rsidR="00B626E7" w14:paraId="20ADF67E" w14:textId="77777777">
        <w:trPr>
          <w:gridAfter w:val="6"/>
        </w:trPr>
        <w:tc>
          <w:tcPr>
            <w:tcW w:w="50" w:type="pct"/>
            <w:shd w:val="clear" w:color="auto" w:fill="auto"/>
          </w:tcPr>
          <w:p w14:paraId="20ADF672" w14:textId="77777777" w:rsidR="00B626E7" w:rsidRDefault="00B626E7">
            <w:pPr>
              <w:rPr>
                <w:rFonts w:ascii="宋体"/>
              </w:rPr>
            </w:pPr>
          </w:p>
        </w:tc>
        <w:tc>
          <w:tcPr>
            <w:tcW w:w="84" w:type="pct"/>
            <w:shd w:val="clear" w:color="auto" w:fill="auto"/>
          </w:tcPr>
          <w:p w14:paraId="20ADF673" w14:textId="77777777" w:rsidR="00B626E7" w:rsidRDefault="00B626E7">
            <w:pPr>
              <w:rPr>
                <w:rFonts w:ascii="宋体"/>
              </w:rPr>
            </w:pPr>
          </w:p>
        </w:tc>
        <w:tc>
          <w:tcPr>
            <w:tcW w:w="50" w:type="pct"/>
            <w:shd w:val="clear" w:color="auto" w:fill="auto"/>
          </w:tcPr>
          <w:p w14:paraId="20ADF674" w14:textId="77777777" w:rsidR="00B626E7" w:rsidRDefault="00B626E7">
            <w:pPr>
              <w:rPr>
                <w:rFonts w:ascii="宋体"/>
              </w:rPr>
            </w:pPr>
          </w:p>
        </w:tc>
        <w:tc>
          <w:tcPr>
            <w:tcW w:w="5" w:type="pct"/>
            <w:shd w:val="clear" w:color="auto" w:fill="auto"/>
          </w:tcPr>
          <w:p w14:paraId="20ADF675" w14:textId="77777777" w:rsidR="00B626E7" w:rsidRDefault="00B626E7">
            <w:pPr>
              <w:rPr>
                <w:rFonts w:ascii="宋体"/>
              </w:rPr>
            </w:pPr>
          </w:p>
        </w:tc>
        <w:tc>
          <w:tcPr>
            <w:tcW w:w="78" w:type="pct"/>
            <w:shd w:val="clear" w:color="auto" w:fill="auto"/>
          </w:tcPr>
          <w:p w14:paraId="20ADF676" w14:textId="77777777" w:rsidR="00B626E7" w:rsidRDefault="00B626E7">
            <w:pPr>
              <w:rPr>
                <w:rFonts w:ascii="宋体"/>
              </w:rPr>
            </w:pPr>
          </w:p>
        </w:tc>
        <w:tc>
          <w:tcPr>
            <w:tcW w:w="5" w:type="pct"/>
            <w:shd w:val="clear" w:color="auto" w:fill="auto"/>
          </w:tcPr>
          <w:p w14:paraId="20ADF677" w14:textId="77777777" w:rsidR="00B626E7" w:rsidRDefault="00B626E7">
            <w:pPr>
              <w:rPr>
                <w:rFonts w:ascii="宋体"/>
              </w:rPr>
            </w:pPr>
          </w:p>
        </w:tc>
        <w:tc>
          <w:tcPr>
            <w:tcW w:w="50" w:type="pct"/>
            <w:shd w:val="clear" w:color="auto" w:fill="auto"/>
          </w:tcPr>
          <w:p w14:paraId="20ADF678" w14:textId="77777777" w:rsidR="00B626E7" w:rsidRDefault="00B626E7">
            <w:pPr>
              <w:rPr>
                <w:rFonts w:ascii="宋体"/>
              </w:rPr>
            </w:pPr>
          </w:p>
        </w:tc>
        <w:tc>
          <w:tcPr>
            <w:tcW w:w="4360" w:type="pct"/>
            <w:shd w:val="clear" w:color="auto" w:fill="auto"/>
          </w:tcPr>
          <w:p w14:paraId="20ADF679" w14:textId="77777777" w:rsidR="00B626E7" w:rsidRDefault="00B626E7">
            <w:pPr>
              <w:rPr>
                <w:rFonts w:ascii="宋体"/>
              </w:rPr>
            </w:pPr>
          </w:p>
        </w:tc>
        <w:tc>
          <w:tcPr>
            <w:tcW w:w="50" w:type="pct"/>
            <w:shd w:val="clear" w:color="auto" w:fill="auto"/>
          </w:tcPr>
          <w:p w14:paraId="20ADF67A" w14:textId="77777777" w:rsidR="00B626E7" w:rsidRDefault="00B626E7">
            <w:pPr>
              <w:rPr>
                <w:rFonts w:ascii="宋体"/>
              </w:rPr>
            </w:pPr>
          </w:p>
        </w:tc>
        <w:tc>
          <w:tcPr>
            <w:tcW w:w="50" w:type="pct"/>
            <w:shd w:val="clear" w:color="auto" w:fill="auto"/>
          </w:tcPr>
          <w:p w14:paraId="20ADF67B" w14:textId="77777777" w:rsidR="00B626E7" w:rsidRDefault="00B626E7">
            <w:pPr>
              <w:rPr>
                <w:rFonts w:ascii="宋体"/>
              </w:rPr>
            </w:pPr>
          </w:p>
        </w:tc>
        <w:tc>
          <w:tcPr>
            <w:tcW w:w="166" w:type="pct"/>
            <w:shd w:val="clear" w:color="auto" w:fill="auto"/>
          </w:tcPr>
          <w:p w14:paraId="20ADF67C" w14:textId="77777777" w:rsidR="00B626E7" w:rsidRDefault="00B626E7">
            <w:pPr>
              <w:rPr>
                <w:rFonts w:ascii="宋体"/>
              </w:rPr>
            </w:pPr>
          </w:p>
        </w:tc>
        <w:tc>
          <w:tcPr>
            <w:tcW w:w="50" w:type="pct"/>
            <w:shd w:val="clear" w:color="auto" w:fill="auto"/>
          </w:tcPr>
          <w:p w14:paraId="20ADF67D" w14:textId="77777777" w:rsidR="00B626E7" w:rsidRDefault="00B626E7">
            <w:pPr>
              <w:rPr>
                <w:rFonts w:ascii="宋体"/>
              </w:rPr>
            </w:pPr>
          </w:p>
        </w:tc>
      </w:tr>
      <w:tr w:rsidR="00B626E7" w14:paraId="20ADF683" w14:textId="77777777">
        <w:trPr>
          <w:gridAfter w:val="6"/>
        </w:trPr>
        <w:tc>
          <w:tcPr>
            <w:tcW w:w="0" w:type="auto"/>
            <w:gridSpan w:val="3"/>
            <w:shd w:val="clear" w:color="auto" w:fill="auto"/>
            <w:tcMar>
              <w:left w:w="20" w:type="dxa"/>
              <w:right w:w="20" w:type="dxa"/>
            </w:tcMar>
            <w:vAlign w:val="bottom"/>
          </w:tcPr>
          <w:p w14:paraId="20ADF67F" w14:textId="77777777" w:rsidR="00B626E7" w:rsidRDefault="00B626E7">
            <w:pPr>
              <w:rPr>
                <w:rFonts w:ascii="宋体"/>
              </w:rPr>
            </w:pPr>
          </w:p>
        </w:tc>
        <w:tc>
          <w:tcPr>
            <w:tcW w:w="0" w:type="auto"/>
            <w:gridSpan w:val="3"/>
            <w:tcBorders>
              <w:bottom w:val="single" w:sz="8" w:space="0" w:color="0071C5"/>
            </w:tcBorders>
            <w:shd w:val="clear" w:color="auto" w:fill="auto"/>
            <w:tcMar>
              <w:left w:w="20" w:type="dxa"/>
              <w:right w:w="20" w:type="dxa"/>
            </w:tcMar>
            <w:vAlign w:val="bottom"/>
          </w:tcPr>
          <w:p w14:paraId="20ADF680" w14:textId="77777777" w:rsidR="00B626E7" w:rsidRDefault="00B626E7">
            <w:pPr>
              <w:rPr>
                <w:rFonts w:ascii="宋体"/>
              </w:rPr>
            </w:pPr>
          </w:p>
        </w:tc>
        <w:tc>
          <w:tcPr>
            <w:tcW w:w="0" w:type="auto"/>
            <w:gridSpan w:val="3"/>
            <w:tcBorders>
              <w:bottom w:val="single" w:sz="8" w:space="0" w:color="0071C5"/>
            </w:tcBorders>
            <w:shd w:val="clear" w:color="auto" w:fill="auto"/>
            <w:tcMar>
              <w:left w:w="20" w:type="dxa"/>
              <w:right w:w="20" w:type="dxa"/>
            </w:tcMar>
            <w:vAlign w:val="bottom"/>
          </w:tcPr>
          <w:p w14:paraId="20ADF681"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bottom"/>
          </w:tcPr>
          <w:p w14:paraId="20ADF682" w14:textId="77777777" w:rsidR="00B626E7" w:rsidRDefault="00175C1D">
            <w:pPr>
              <w:textAlignment w:val="bottom"/>
            </w:pPr>
            <w:r>
              <w:rPr>
                <w:rFonts w:ascii="Arial" w:eastAsia="宋体" w:hAnsi="Arial" w:cs="Arial"/>
                <w:b/>
                <w:bCs/>
                <w:color w:val="333333"/>
                <w:sz w:val="18"/>
                <w:szCs w:val="18"/>
              </w:rPr>
              <w:t>Page</w:t>
            </w:r>
          </w:p>
        </w:tc>
      </w:tr>
      <w:tr w:rsidR="00B626E7" w14:paraId="20ADF688" w14:textId="77777777">
        <w:tc>
          <w:tcPr>
            <w:tcW w:w="0" w:type="auto"/>
            <w:gridSpan w:val="9"/>
            <w:tcBorders>
              <w:top w:val="single" w:sz="8" w:space="0" w:color="0071C5"/>
            </w:tcBorders>
            <w:shd w:val="clear" w:color="auto" w:fill="auto"/>
            <w:tcMar>
              <w:top w:w="40" w:type="dxa"/>
              <w:left w:w="20" w:type="dxa"/>
              <w:bottom w:w="40" w:type="dxa"/>
              <w:right w:w="20" w:type="dxa"/>
            </w:tcMar>
            <w:vAlign w:val="bottom"/>
          </w:tcPr>
          <w:p w14:paraId="20ADF684" w14:textId="77777777" w:rsidR="00B626E7" w:rsidRDefault="00175C1D">
            <w:pPr>
              <w:textAlignment w:val="bottom"/>
            </w:pPr>
            <w:r>
              <w:rPr>
                <w:rFonts w:ascii="Arial" w:eastAsia="宋体" w:hAnsi="Arial" w:cs="Arial"/>
                <w:b/>
                <w:bCs/>
                <w:color w:val="0071C5"/>
                <w:sz w:val="20"/>
                <w:szCs w:val="20"/>
              </w:rPr>
              <w:t>FORWARD-LOOKING STATEMENTS</w:t>
            </w:r>
          </w:p>
        </w:tc>
        <w:tc>
          <w:tcPr>
            <w:tcW w:w="0" w:type="auto"/>
            <w:gridSpan w:val="3"/>
            <w:shd w:val="clear" w:color="auto" w:fill="auto"/>
          </w:tcPr>
          <w:p w14:paraId="20ADF685" w14:textId="77777777" w:rsidR="00B626E7" w:rsidRDefault="00B626E7">
            <w:pPr>
              <w:rPr>
                <w:rFonts w:ascii="宋体"/>
                <w:vanish/>
              </w:rPr>
            </w:pPr>
          </w:p>
        </w:tc>
        <w:tc>
          <w:tcPr>
            <w:tcW w:w="0" w:type="auto"/>
            <w:gridSpan w:val="3"/>
            <w:shd w:val="clear" w:color="auto" w:fill="auto"/>
          </w:tcPr>
          <w:p w14:paraId="20ADF686" w14:textId="77777777" w:rsidR="00B626E7" w:rsidRDefault="00B626E7">
            <w:pPr>
              <w:rPr>
                <w:rFonts w:ascii="宋体"/>
                <w:vanish/>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DF687" w14:textId="77777777" w:rsidR="00B626E7" w:rsidRDefault="00175C1D">
            <w:pPr>
              <w:jc w:val="center"/>
              <w:textAlignment w:val="bottom"/>
            </w:pPr>
            <w:hyperlink r:id="rId7" w:anchor="ib035cc8759904e51927d703ec8414366_10" w:history="1">
              <w:r>
                <w:rPr>
                  <w:rStyle w:val="a5"/>
                  <w:rFonts w:ascii="Arial" w:eastAsia="宋体" w:hAnsi="Arial" w:cs="Arial"/>
                  <w:sz w:val="18"/>
                  <w:szCs w:val="18"/>
                </w:rPr>
                <w:t>1</w:t>
              </w:r>
            </w:hyperlink>
          </w:p>
        </w:tc>
      </w:tr>
      <w:tr w:rsidR="00B626E7" w14:paraId="20ADF68D" w14:textId="77777777">
        <w:tc>
          <w:tcPr>
            <w:tcW w:w="0" w:type="auto"/>
            <w:gridSpan w:val="9"/>
            <w:shd w:val="clear" w:color="auto" w:fill="auto"/>
            <w:tcMar>
              <w:top w:w="40" w:type="dxa"/>
              <w:left w:w="20" w:type="dxa"/>
              <w:bottom w:w="40" w:type="dxa"/>
              <w:right w:w="20" w:type="dxa"/>
            </w:tcMar>
            <w:vAlign w:val="bottom"/>
          </w:tcPr>
          <w:p w14:paraId="20ADF689" w14:textId="77777777" w:rsidR="00B626E7" w:rsidRDefault="00175C1D">
            <w:pPr>
              <w:textAlignment w:val="bottom"/>
            </w:pPr>
            <w:r>
              <w:rPr>
                <w:rFonts w:ascii="Arial" w:eastAsia="宋体" w:hAnsi="Arial" w:cs="Arial"/>
                <w:b/>
                <w:bCs/>
                <w:color w:val="0071C5"/>
                <w:sz w:val="20"/>
                <w:szCs w:val="20"/>
              </w:rPr>
              <w:t>OUR PANDEMIC RESPONSE</w:t>
            </w:r>
          </w:p>
        </w:tc>
        <w:tc>
          <w:tcPr>
            <w:tcW w:w="0" w:type="auto"/>
            <w:gridSpan w:val="3"/>
            <w:shd w:val="clear" w:color="auto" w:fill="auto"/>
          </w:tcPr>
          <w:p w14:paraId="20ADF68A" w14:textId="77777777" w:rsidR="00B626E7" w:rsidRDefault="00B626E7">
            <w:pPr>
              <w:rPr>
                <w:rFonts w:ascii="宋体"/>
                <w:vanish/>
              </w:rPr>
            </w:pPr>
          </w:p>
        </w:tc>
        <w:tc>
          <w:tcPr>
            <w:tcW w:w="0" w:type="auto"/>
            <w:gridSpan w:val="3"/>
            <w:shd w:val="clear" w:color="auto" w:fill="auto"/>
          </w:tcPr>
          <w:p w14:paraId="20ADF68B" w14:textId="77777777" w:rsidR="00B626E7" w:rsidRDefault="00B626E7">
            <w:pPr>
              <w:rPr>
                <w:rFonts w:ascii="宋体"/>
                <w:vanish/>
              </w:rPr>
            </w:pPr>
          </w:p>
        </w:tc>
        <w:tc>
          <w:tcPr>
            <w:tcW w:w="0" w:type="auto"/>
            <w:gridSpan w:val="3"/>
            <w:shd w:val="clear" w:color="auto" w:fill="auto"/>
            <w:tcMar>
              <w:top w:w="40" w:type="dxa"/>
              <w:left w:w="20" w:type="dxa"/>
              <w:bottom w:w="40" w:type="dxa"/>
              <w:right w:w="20" w:type="dxa"/>
            </w:tcMar>
            <w:vAlign w:val="bottom"/>
          </w:tcPr>
          <w:p w14:paraId="20ADF68C" w14:textId="77777777" w:rsidR="00B626E7" w:rsidRDefault="00175C1D">
            <w:pPr>
              <w:jc w:val="center"/>
              <w:textAlignment w:val="bottom"/>
            </w:pPr>
            <w:hyperlink r:id="rId8" w:anchor="ib035cc8759904e51927d703ec8414366_13" w:history="1">
              <w:r>
                <w:rPr>
                  <w:rStyle w:val="a5"/>
                  <w:rFonts w:ascii="Arial" w:eastAsia="宋体" w:hAnsi="Arial" w:cs="Arial"/>
                  <w:sz w:val="18"/>
                  <w:szCs w:val="18"/>
                </w:rPr>
                <w:t>2</w:t>
              </w:r>
            </w:hyperlink>
          </w:p>
        </w:tc>
      </w:tr>
      <w:tr w:rsidR="00B626E7" w14:paraId="20ADF692" w14:textId="77777777">
        <w:tc>
          <w:tcPr>
            <w:tcW w:w="0" w:type="auto"/>
            <w:gridSpan w:val="9"/>
            <w:shd w:val="clear" w:color="auto" w:fill="auto"/>
            <w:tcMar>
              <w:top w:w="40" w:type="dxa"/>
              <w:left w:w="20" w:type="dxa"/>
              <w:bottom w:w="40" w:type="dxa"/>
              <w:right w:w="20" w:type="dxa"/>
            </w:tcMar>
            <w:vAlign w:val="bottom"/>
          </w:tcPr>
          <w:p w14:paraId="20ADF68E" w14:textId="77777777" w:rsidR="00B626E7" w:rsidRDefault="00175C1D">
            <w:pPr>
              <w:textAlignment w:val="bottom"/>
            </w:pPr>
            <w:r>
              <w:rPr>
                <w:rFonts w:ascii="Arial" w:eastAsia="宋体" w:hAnsi="Arial" w:cs="Arial"/>
                <w:b/>
                <w:bCs/>
                <w:color w:val="0071C5"/>
                <w:sz w:val="20"/>
                <w:szCs w:val="20"/>
              </w:rPr>
              <w:t>A QUARTER IN REVIEW</w:t>
            </w:r>
          </w:p>
        </w:tc>
        <w:tc>
          <w:tcPr>
            <w:tcW w:w="0" w:type="auto"/>
            <w:gridSpan w:val="3"/>
            <w:shd w:val="clear" w:color="auto" w:fill="auto"/>
          </w:tcPr>
          <w:p w14:paraId="20ADF68F" w14:textId="77777777" w:rsidR="00B626E7" w:rsidRDefault="00B626E7">
            <w:pPr>
              <w:rPr>
                <w:rFonts w:ascii="宋体"/>
                <w:vanish/>
              </w:rPr>
            </w:pPr>
          </w:p>
        </w:tc>
        <w:tc>
          <w:tcPr>
            <w:tcW w:w="0" w:type="auto"/>
            <w:gridSpan w:val="3"/>
            <w:shd w:val="clear" w:color="auto" w:fill="auto"/>
          </w:tcPr>
          <w:p w14:paraId="20ADF690" w14:textId="77777777" w:rsidR="00B626E7" w:rsidRDefault="00B626E7">
            <w:pPr>
              <w:rPr>
                <w:rFonts w:ascii="宋体"/>
                <w:vanish/>
              </w:rPr>
            </w:pPr>
          </w:p>
        </w:tc>
        <w:tc>
          <w:tcPr>
            <w:tcW w:w="0" w:type="auto"/>
            <w:gridSpan w:val="3"/>
            <w:shd w:val="clear" w:color="auto" w:fill="auto"/>
            <w:tcMar>
              <w:top w:w="40" w:type="dxa"/>
              <w:left w:w="20" w:type="dxa"/>
              <w:bottom w:w="40" w:type="dxa"/>
              <w:right w:w="20" w:type="dxa"/>
            </w:tcMar>
            <w:vAlign w:val="bottom"/>
          </w:tcPr>
          <w:p w14:paraId="20ADF691" w14:textId="77777777" w:rsidR="00B626E7" w:rsidRDefault="00175C1D">
            <w:pPr>
              <w:jc w:val="center"/>
              <w:textAlignment w:val="bottom"/>
            </w:pPr>
            <w:hyperlink r:id="rId9" w:anchor="ib035cc8759904e51927d703ec8414366_25" w:history="1">
              <w:r>
                <w:rPr>
                  <w:rStyle w:val="a5"/>
                  <w:rFonts w:ascii="Arial" w:eastAsia="宋体" w:hAnsi="Arial" w:cs="Arial"/>
                  <w:sz w:val="18"/>
                  <w:szCs w:val="18"/>
                </w:rPr>
                <w:t>3</w:t>
              </w:r>
            </w:hyperlink>
          </w:p>
        </w:tc>
      </w:tr>
      <w:tr w:rsidR="00B626E7" w14:paraId="20ADF697" w14:textId="77777777">
        <w:tc>
          <w:tcPr>
            <w:tcW w:w="0" w:type="auto"/>
            <w:gridSpan w:val="9"/>
            <w:tcBorders>
              <w:bottom w:val="single" w:sz="8" w:space="0" w:color="333333"/>
            </w:tcBorders>
            <w:shd w:val="clear" w:color="auto" w:fill="auto"/>
            <w:tcMar>
              <w:top w:w="40" w:type="dxa"/>
              <w:left w:w="20" w:type="dxa"/>
              <w:bottom w:w="40" w:type="dxa"/>
              <w:right w:w="20" w:type="dxa"/>
            </w:tcMar>
            <w:vAlign w:val="bottom"/>
          </w:tcPr>
          <w:p w14:paraId="20ADF693" w14:textId="77777777" w:rsidR="00B626E7" w:rsidRDefault="00175C1D">
            <w:pPr>
              <w:textAlignment w:val="bottom"/>
            </w:pPr>
            <w:r>
              <w:rPr>
                <w:rFonts w:ascii="Arial" w:eastAsia="宋体" w:hAnsi="Arial" w:cs="Arial"/>
                <w:b/>
                <w:bCs/>
                <w:color w:val="0071C5"/>
                <w:sz w:val="20"/>
                <w:szCs w:val="20"/>
              </w:rPr>
              <w:t>CONSOLIDATED CONDENSED FINANCIAL STATEMENTS AND SUPPLEMENTAL DETAILS</w:t>
            </w:r>
          </w:p>
        </w:tc>
        <w:tc>
          <w:tcPr>
            <w:tcW w:w="0" w:type="auto"/>
            <w:gridSpan w:val="3"/>
            <w:shd w:val="clear" w:color="auto" w:fill="auto"/>
          </w:tcPr>
          <w:p w14:paraId="20ADF694" w14:textId="77777777" w:rsidR="00B626E7" w:rsidRDefault="00B626E7">
            <w:pPr>
              <w:rPr>
                <w:rFonts w:ascii="宋体"/>
                <w:vanish/>
              </w:rPr>
            </w:pPr>
          </w:p>
        </w:tc>
        <w:tc>
          <w:tcPr>
            <w:tcW w:w="0" w:type="auto"/>
            <w:gridSpan w:val="3"/>
            <w:shd w:val="clear" w:color="auto" w:fill="auto"/>
          </w:tcPr>
          <w:p w14:paraId="20ADF695" w14:textId="77777777" w:rsidR="00B626E7" w:rsidRDefault="00B626E7">
            <w:pPr>
              <w:rPr>
                <w:rFonts w:ascii="宋体"/>
                <w:vanish/>
              </w:rPr>
            </w:pPr>
          </w:p>
        </w:tc>
        <w:tc>
          <w:tcPr>
            <w:tcW w:w="0" w:type="auto"/>
            <w:gridSpan w:val="3"/>
            <w:shd w:val="clear" w:color="auto" w:fill="auto"/>
            <w:tcMar>
              <w:left w:w="20" w:type="dxa"/>
              <w:right w:w="20" w:type="dxa"/>
            </w:tcMar>
            <w:vAlign w:val="bottom"/>
          </w:tcPr>
          <w:p w14:paraId="20ADF696" w14:textId="77777777" w:rsidR="00B626E7" w:rsidRDefault="00B626E7">
            <w:pPr>
              <w:rPr>
                <w:rFonts w:ascii="宋体"/>
              </w:rPr>
            </w:pPr>
          </w:p>
        </w:tc>
      </w:tr>
      <w:tr w:rsidR="00B626E7" w14:paraId="20ADF69F" w14:textId="77777777">
        <w:tc>
          <w:tcPr>
            <w:tcW w:w="0" w:type="auto"/>
            <w:gridSpan w:val="3"/>
            <w:tcBorders>
              <w:top w:val="single" w:sz="8" w:space="0" w:color="333333"/>
            </w:tcBorders>
            <w:shd w:val="clear" w:color="auto" w:fill="auto"/>
            <w:tcMar>
              <w:left w:w="20" w:type="dxa"/>
              <w:right w:w="20" w:type="dxa"/>
            </w:tcMar>
            <w:vAlign w:val="bottom"/>
          </w:tcPr>
          <w:p w14:paraId="20ADF698" w14:textId="77777777" w:rsidR="00B626E7" w:rsidRDefault="00B626E7">
            <w:pPr>
              <w:rPr>
                <w:rFonts w:ascii="宋体"/>
              </w:rPr>
            </w:pPr>
          </w:p>
        </w:tc>
        <w:tc>
          <w:tcPr>
            <w:tcW w:w="0" w:type="auto"/>
            <w:gridSpan w:val="6"/>
            <w:tcBorders>
              <w:top w:val="single" w:sz="8" w:space="0" w:color="333333"/>
            </w:tcBorders>
            <w:shd w:val="clear" w:color="auto" w:fill="auto"/>
            <w:tcMar>
              <w:top w:w="40" w:type="dxa"/>
              <w:left w:w="20" w:type="dxa"/>
              <w:bottom w:w="40" w:type="dxa"/>
              <w:right w:w="20" w:type="dxa"/>
            </w:tcMar>
            <w:vAlign w:val="bottom"/>
          </w:tcPr>
          <w:p w14:paraId="20ADF699" w14:textId="77777777" w:rsidR="00B626E7" w:rsidRDefault="00175C1D">
            <w:pPr>
              <w:textAlignment w:val="bottom"/>
            </w:pPr>
            <w:r>
              <w:rPr>
                <w:rFonts w:ascii="Arial" w:eastAsia="宋体" w:hAnsi="Arial" w:cs="Arial"/>
                <w:color w:val="333333"/>
                <w:sz w:val="18"/>
                <w:szCs w:val="18"/>
              </w:rPr>
              <w:t xml:space="preserve">Consolidated </w:t>
            </w:r>
            <w:r>
              <w:rPr>
                <w:rFonts w:ascii="Arial" w:eastAsia="宋体" w:hAnsi="Arial" w:cs="Arial"/>
                <w:color w:val="333333"/>
                <w:sz w:val="18"/>
                <w:szCs w:val="18"/>
              </w:rPr>
              <w:t>Condensed Statements of Income</w:t>
            </w:r>
          </w:p>
        </w:tc>
        <w:tc>
          <w:tcPr>
            <w:tcW w:w="0" w:type="auto"/>
            <w:gridSpan w:val="3"/>
            <w:shd w:val="clear" w:color="auto" w:fill="auto"/>
          </w:tcPr>
          <w:p w14:paraId="20ADF69A" w14:textId="77777777" w:rsidR="00B626E7" w:rsidRDefault="00B626E7">
            <w:pPr>
              <w:rPr>
                <w:rFonts w:ascii="宋体"/>
                <w:vanish/>
              </w:rPr>
            </w:pPr>
          </w:p>
        </w:tc>
        <w:tc>
          <w:tcPr>
            <w:tcW w:w="0" w:type="auto"/>
            <w:gridSpan w:val="3"/>
            <w:tcBorders>
              <w:top w:val="single" w:sz="8" w:space="0" w:color="333333"/>
            </w:tcBorders>
            <w:shd w:val="clear" w:color="auto" w:fill="auto"/>
            <w:tcMar>
              <w:top w:w="40" w:type="dxa"/>
              <w:left w:w="20" w:type="dxa"/>
              <w:bottom w:w="40" w:type="dxa"/>
              <w:right w:w="20" w:type="dxa"/>
            </w:tcMar>
            <w:vAlign w:val="bottom"/>
          </w:tcPr>
          <w:p w14:paraId="20ADF69B" w14:textId="77777777" w:rsidR="00B626E7" w:rsidRDefault="00175C1D">
            <w:pPr>
              <w:jc w:val="center"/>
              <w:textAlignment w:val="bottom"/>
            </w:pPr>
            <w:hyperlink r:id="rId10" w:anchor="ib035cc8759904e51927d703ec8414366_34" w:history="1">
              <w:r>
                <w:rPr>
                  <w:rStyle w:val="a5"/>
                  <w:rFonts w:ascii="Arial" w:eastAsia="宋体" w:hAnsi="Arial" w:cs="Arial"/>
                  <w:sz w:val="18"/>
                  <w:szCs w:val="18"/>
                </w:rPr>
                <w:t>5</w:t>
              </w:r>
            </w:hyperlink>
          </w:p>
        </w:tc>
        <w:tc>
          <w:tcPr>
            <w:tcW w:w="0" w:type="auto"/>
            <w:shd w:val="clear" w:color="auto" w:fill="auto"/>
          </w:tcPr>
          <w:p w14:paraId="20ADF69C" w14:textId="77777777" w:rsidR="00B626E7" w:rsidRDefault="00B626E7">
            <w:pPr>
              <w:rPr>
                <w:rFonts w:ascii="宋体"/>
              </w:rPr>
            </w:pPr>
          </w:p>
        </w:tc>
        <w:tc>
          <w:tcPr>
            <w:tcW w:w="0" w:type="auto"/>
            <w:shd w:val="clear" w:color="auto" w:fill="auto"/>
          </w:tcPr>
          <w:p w14:paraId="20ADF69D" w14:textId="77777777" w:rsidR="00B626E7" w:rsidRDefault="00B626E7">
            <w:pPr>
              <w:rPr>
                <w:rFonts w:ascii="宋体"/>
              </w:rPr>
            </w:pPr>
          </w:p>
        </w:tc>
        <w:tc>
          <w:tcPr>
            <w:tcW w:w="0" w:type="auto"/>
            <w:shd w:val="clear" w:color="auto" w:fill="auto"/>
          </w:tcPr>
          <w:p w14:paraId="20ADF69E" w14:textId="77777777" w:rsidR="00B626E7" w:rsidRDefault="00B626E7">
            <w:pPr>
              <w:rPr>
                <w:rFonts w:ascii="宋体"/>
              </w:rPr>
            </w:pPr>
          </w:p>
        </w:tc>
      </w:tr>
      <w:tr w:rsidR="00B626E7" w14:paraId="20ADF6A7" w14:textId="77777777">
        <w:tc>
          <w:tcPr>
            <w:tcW w:w="0" w:type="auto"/>
            <w:gridSpan w:val="3"/>
            <w:shd w:val="clear" w:color="auto" w:fill="auto"/>
            <w:tcMar>
              <w:left w:w="20" w:type="dxa"/>
              <w:right w:w="20" w:type="dxa"/>
            </w:tcMar>
            <w:vAlign w:val="bottom"/>
          </w:tcPr>
          <w:p w14:paraId="20ADF6A0" w14:textId="77777777" w:rsidR="00B626E7" w:rsidRDefault="00B626E7">
            <w:pPr>
              <w:rPr>
                <w:rFonts w:ascii="宋体"/>
              </w:rPr>
            </w:pPr>
          </w:p>
        </w:tc>
        <w:tc>
          <w:tcPr>
            <w:tcW w:w="0" w:type="auto"/>
            <w:gridSpan w:val="6"/>
            <w:shd w:val="clear" w:color="auto" w:fill="auto"/>
            <w:tcMar>
              <w:top w:w="40" w:type="dxa"/>
              <w:left w:w="20" w:type="dxa"/>
              <w:bottom w:w="40" w:type="dxa"/>
              <w:right w:w="20" w:type="dxa"/>
            </w:tcMar>
            <w:vAlign w:val="bottom"/>
          </w:tcPr>
          <w:p w14:paraId="20ADF6A1" w14:textId="77777777" w:rsidR="00B626E7" w:rsidRDefault="00175C1D">
            <w:pPr>
              <w:textAlignment w:val="bottom"/>
            </w:pPr>
            <w:r>
              <w:rPr>
                <w:rFonts w:ascii="Arial" w:eastAsia="宋体" w:hAnsi="Arial" w:cs="Arial"/>
                <w:color w:val="333333"/>
                <w:sz w:val="18"/>
                <w:szCs w:val="18"/>
              </w:rPr>
              <w:t>Consolidated Condensed Statements of Comprehensive Income</w:t>
            </w:r>
          </w:p>
        </w:tc>
        <w:tc>
          <w:tcPr>
            <w:tcW w:w="0" w:type="auto"/>
            <w:gridSpan w:val="3"/>
            <w:shd w:val="clear" w:color="auto" w:fill="auto"/>
          </w:tcPr>
          <w:p w14:paraId="20ADF6A2" w14:textId="77777777" w:rsidR="00B626E7" w:rsidRDefault="00B626E7">
            <w:pPr>
              <w:rPr>
                <w:rFonts w:ascii="宋体"/>
                <w:vanish/>
              </w:rPr>
            </w:pPr>
          </w:p>
        </w:tc>
        <w:tc>
          <w:tcPr>
            <w:tcW w:w="0" w:type="auto"/>
            <w:gridSpan w:val="3"/>
            <w:shd w:val="clear" w:color="auto" w:fill="auto"/>
            <w:tcMar>
              <w:top w:w="40" w:type="dxa"/>
              <w:left w:w="20" w:type="dxa"/>
              <w:bottom w:w="40" w:type="dxa"/>
              <w:right w:w="20" w:type="dxa"/>
            </w:tcMar>
            <w:vAlign w:val="bottom"/>
          </w:tcPr>
          <w:p w14:paraId="20ADF6A3" w14:textId="77777777" w:rsidR="00B626E7" w:rsidRDefault="00175C1D">
            <w:pPr>
              <w:jc w:val="center"/>
              <w:textAlignment w:val="bottom"/>
            </w:pPr>
            <w:hyperlink r:id="rId11" w:anchor="ib035cc8759904e51927d703ec8414366_37" w:history="1">
              <w:r>
                <w:rPr>
                  <w:rStyle w:val="a5"/>
                  <w:rFonts w:ascii="Arial" w:eastAsia="宋体" w:hAnsi="Arial" w:cs="Arial"/>
                  <w:sz w:val="18"/>
                  <w:szCs w:val="18"/>
                </w:rPr>
                <w:t>6</w:t>
              </w:r>
            </w:hyperlink>
          </w:p>
        </w:tc>
        <w:tc>
          <w:tcPr>
            <w:tcW w:w="0" w:type="auto"/>
            <w:shd w:val="clear" w:color="auto" w:fill="auto"/>
          </w:tcPr>
          <w:p w14:paraId="20ADF6A4" w14:textId="77777777" w:rsidR="00B626E7" w:rsidRDefault="00B626E7">
            <w:pPr>
              <w:rPr>
                <w:rFonts w:ascii="宋体"/>
              </w:rPr>
            </w:pPr>
          </w:p>
        </w:tc>
        <w:tc>
          <w:tcPr>
            <w:tcW w:w="0" w:type="auto"/>
            <w:shd w:val="clear" w:color="auto" w:fill="auto"/>
          </w:tcPr>
          <w:p w14:paraId="20ADF6A5" w14:textId="77777777" w:rsidR="00B626E7" w:rsidRDefault="00B626E7">
            <w:pPr>
              <w:rPr>
                <w:rFonts w:ascii="宋体"/>
              </w:rPr>
            </w:pPr>
          </w:p>
        </w:tc>
        <w:tc>
          <w:tcPr>
            <w:tcW w:w="0" w:type="auto"/>
            <w:shd w:val="clear" w:color="auto" w:fill="auto"/>
          </w:tcPr>
          <w:p w14:paraId="20ADF6A6" w14:textId="77777777" w:rsidR="00B626E7" w:rsidRDefault="00B626E7">
            <w:pPr>
              <w:rPr>
                <w:rFonts w:ascii="宋体"/>
              </w:rPr>
            </w:pPr>
          </w:p>
        </w:tc>
      </w:tr>
      <w:tr w:rsidR="00B626E7" w14:paraId="20ADF6AF" w14:textId="77777777">
        <w:tc>
          <w:tcPr>
            <w:tcW w:w="0" w:type="auto"/>
            <w:gridSpan w:val="3"/>
            <w:shd w:val="clear" w:color="auto" w:fill="auto"/>
            <w:tcMar>
              <w:left w:w="20" w:type="dxa"/>
              <w:right w:w="20" w:type="dxa"/>
            </w:tcMar>
            <w:vAlign w:val="bottom"/>
          </w:tcPr>
          <w:p w14:paraId="20ADF6A8" w14:textId="77777777" w:rsidR="00B626E7" w:rsidRDefault="00B626E7">
            <w:pPr>
              <w:rPr>
                <w:rFonts w:ascii="宋体"/>
              </w:rPr>
            </w:pPr>
          </w:p>
        </w:tc>
        <w:tc>
          <w:tcPr>
            <w:tcW w:w="0" w:type="auto"/>
            <w:gridSpan w:val="6"/>
            <w:shd w:val="clear" w:color="auto" w:fill="auto"/>
            <w:tcMar>
              <w:top w:w="40" w:type="dxa"/>
              <w:left w:w="20" w:type="dxa"/>
              <w:bottom w:w="40" w:type="dxa"/>
              <w:right w:w="20" w:type="dxa"/>
            </w:tcMar>
            <w:vAlign w:val="bottom"/>
          </w:tcPr>
          <w:p w14:paraId="20ADF6A9" w14:textId="77777777" w:rsidR="00B626E7" w:rsidRDefault="00175C1D">
            <w:pPr>
              <w:textAlignment w:val="bottom"/>
            </w:pPr>
            <w:r>
              <w:rPr>
                <w:rFonts w:ascii="Arial" w:eastAsia="宋体" w:hAnsi="Arial" w:cs="Arial"/>
                <w:color w:val="333333"/>
                <w:sz w:val="18"/>
                <w:szCs w:val="18"/>
              </w:rPr>
              <w:t>Consolidated Condensed Balance Sheets</w:t>
            </w:r>
          </w:p>
        </w:tc>
        <w:tc>
          <w:tcPr>
            <w:tcW w:w="0" w:type="auto"/>
            <w:gridSpan w:val="3"/>
            <w:shd w:val="clear" w:color="auto" w:fill="auto"/>
          </w:tcPr>
          <w:p w14:paraId="20ADF6AA" w14:textId="77777777" w:rsidR="00B626E7" w:rsidRDefault="00B626E7">
            <w:pPr>
              <w:rPr>
                <w:rFonts w:ascii="宋体"/>
                <w:vanish/>
              </w:rPr>
            </w:pPr>
          </w:p>
        </w:tc>
        <w:tc>
          <w:tcPr>
            <w:tcW w:w="0" w:type="auto"/>
            <w:gridSpan w:val="3"/>
            <w:shd w:val="clear" w:color="auto" w:fill="auto"/>
            <w:tcMar>
              <w:top w:w="40" w:type="dxa"/>
              <w:left w:w="20" w:type="dxa"/>
              <w:bottom w:w="40" w:type="dxa"/>
              <w:right w:w="20" w:type="dxa"/>
            </w:tcMar>
            <w:vAlign w:val="bottom"/>
          </w:tcPr>
          <w:p w14:paraId="20ADF6AB" w14:textId="77777777" w:rsidR="00B626E7" w:rsidRDefault="00175C1D">
            <w:pPr>
              <w:jc w:val="center"/>
              <w:textAlignment w:val="bottom"/>
            </w:pPr>
            <w:hyperlink r:id="rId12" w:anchor="ib035cc8759904e51927d703ec8414366_40" w:history="1">
              <w:r>
                <w:rPr>
                  <w:rStyle w:val="a5"/>
                  <w:rFonts w:ascii="Arial" w:eastAsia="宋体" w:hAnsi="Arial" w:cs="Arial"/>
                  <w:sz w:val="18"/>
                  <w:szCs w:val="18"/>
                </w:rPr>
                <w:t>7</w:t>
              </w:r>
            </w:hyperlink>
          </w:p>
        </w:tc>
        <w:tc>
          <w:tcPr>
            <w:tcW w:w="0" w:type="auto"/>
            <w:shd w:val="clear" w:color="auto" w:fill="auto"/>
          </w:tcPr>
          <w:p w14:paraId="20ADF6AC" w14:textId="77777777" w:rsidR="00B626E7" w:rsidRDefault="00B626E7">
            <w:pPr>
              <w:rPr>
                <w:rFonts w:ascii="宋体"/>
              </w:rPr>
            </w:pPr>
          </w:p>
        </w:tc>
        <w:tc>
          <w:tcPr>
            <w:tcW w:w="0" w:type="auto"/>
            <w:shd w:val="clear" w:color="auto" w:fill="auto"/>
          </w:tcPr>
          <w:p w14:paraId="20ADF6AD" w14:textId="77777777" w:rsidR="00B626E7" w:rsidRDefault="00B626E7">
            <w:pPr>
              <w:rPr>
                <w:rFonts w:ascii="宋体"/>
              </w:rPr>
            </w:pPr>
          </w:p>
        </w:tc>
        <w:tc>
          <w:tcPr>
            <w:tcW w:w="0" w:type="auto"/>
            <w:shd w:val="clear" w:color="auto" w:fill="auto"/>
          </w:tcPr>
          <w:p w14:paraId="20ADF6AE" w14:textId="77777777" w:rsidR="00B626E7" w:rsidRDefault="00B626E7">
            <w:pPr>
              <w:rPr>
                <w:rFonts w:ascii="宋体"/>
              </w:rPr>
            </w:pPr>
          </w:p>
        </w:tc>
      </w:tr>
      <w:tr w:rsidR="00B626E7" w14:paraId="20ADF6B7" w14:textId="77777777">
        <w:tc>
          <w:tcPr>
            <w:tcW w:w="0" w:type="auto"/>
            <w:gridSpan w:val="3"/>
            <w:shd w:val="clear" w:color="auto" w:fill="auto"/>
            <w:tcMar>
              <w:left w:w="20" w:type="dxa"/>
              <w:right w:w="20" w:type="dxa"/>
            </w:tcMar>
            <w:vAlign w:val="bottom"/>
          </w:tcPr>
          <w:p w14:paraId="20ADF6B0" w14:textId="77777777" w:rsidR="00B626E7" w:rsidRDefault="00B626E7">
            <w:pPr>
              <w:rPr>
                <w:rFonts w:ascii="宋体"/>
              </w:rPr>
            </w:pPr>
          </w:p>
        </w:tc>
        <w:tc>
          <w:tcPr>
            <w:tcW w:w="0" w:type="auto"/>
            <w:gridSpan w:val="6"/>
            <w:shd w:val="clear" w:color="auto" w:fill="auto"/>
            <w:tcMar>
              <w:top w:w="40" w:type="dxa"/>
              <w:left w:w="20" w:type="dxa"/>
              <w:bottom w:w="40" w:type="dxa"/>
              <w:right w:w="20" w:type="dxa"/>
            </w:tcMar>
            <w:vAlign w:val="bottom"/>
          </w:tcPr>
          <w:p w14:paraId="20ADF6B1" w14:textId="77777777" w:rsidR="00B626E7" w:rsidRDefault="00175C1D">
            <w:pPr>
              <w:textAlignment w:val="bottom"/>
            </w:pPr>
            <w:r>
              <w:rPr>
                <w:rFonts w:ascii="Arial" w:eastAsia="宋体" w:hAnsi="Arial" w:cs="Arial"/>
                <w:color w:val="333333"/>
                <w:sz w:val="18"/>
                <w:szCs w:val="18"/>
              </w:rPr>
              <w:t>Consolidated Condensed Statements of Cash Flows</w:t>
            </w:r>
          </w:p>
        </w:tc>
        <w:tc>
          <w:tcPr>
            <w:tcW w:w="0" w:type="auto"/>
            <w:gridSpan w:val="3"/>
            <w:shd w:val="clear" w:color="auto" w:fill="auto"/>
          </w:tcPr>
          <w:p w14:paraId="20ADF6B2" w14:textId="77777777" w:rsidR="00B626E7" w:rsidRDefault="00B626E7">
            <w:pPr>
              <w:rPr>
                <w:rFonts w:ascii="宋体"/>
                <w:vanish/>
              </w:rPr>
            </w:pPr>
          </w:p>
        </w:tc>
        <w:tc>
          <w:tcPr>
            <w:tcW w:w="0" w:type="auto"/>
            <w:gridSpan w:val="3"/>
            <w:shd w:val="clear" w:color="auto" w:fill="auto"/>
            <w:tcMar>
              <w:top w:w="40" w:type="dxa"/>
              <w:left w:w="20" w:type="dxa"/>
              <w:bottom w:w="40" w:type="dxa"/>
              <w:right w:w="20" w:type="dxa"/>
            </w:tcMar>
            <w:vAlign w:val="bottom"/>
          </w:tcPr>
          <w:p w14:paraId="20ADF6B3" w14:textId="77777777" w:rsidR="00B626E7" w:rsidRDefault="00175C1D">
            <w:pPr>
              <w:jc w:val="center"/>
              <w:textAlignment w:val="bottom"/>
            </w:pPr>
            <w:hyperlink r:id="rId13" w:anchor="ib035cc8759904e51927d703ec8414366_46" w:history="1">
              <w:r>
                <w:rPr>
                  <w:rStyle w:val="a5"/>
                  <w:rFonts w:ascii="Arial" w:eastAsia="宋体" w:hAnsi="Arial" w:cs="Arial"/>
                  <w:sz w:val="18"/>
                  <w:szCs w:val="18"/>
                </w:rPr>
                <w:t>8</w:t>
              </w:r>
            </w:hyperlink>
          </w:p>
        </w:tc>
        <w:tc>
          <w:tcPr>
            <w:tcW w:w="0" w:type="auto"/>
            <w:shd w:val="clear" w:color="auto" w:fill="auto"/>
          </w:tcPr>
          <w:p w14:paraId="20ADF6B4" w14:textId="77777777" w:rsidR="00B626E7" w:rsidRDefault="00B626E7">
            <w:pPr>
              <w:rPr>
                <w:rFonts w:ascii="宋体"/>
              </w:rPr>
            </w:pPr>
          </w:p>
        </w:tc>
        <w:tc>
          <w:tcPr>
            <w:tcW w:w="0" w:type="auto"/>
            <w:shd w:val="clear" w:color="auto" w:fill="auto"/>
          </w:tcPr>
          <w:p w14:paraId="20ADF6B5" w14:textId="77777777" w:rsidR="00B626E7" w:rsidRDefault="00B626E7">
            <w:pPr>
              <w:rPr>
                <w:rFonts w:ascii="宋体"/>
              </w:rPr>
            </w:pPr>
          </w:p>
        </w:tc>
        <w:tc>
          <w:tcPr>
            <w:tcW w:w="0" w:type="auto"/>
            <w:shd w:val="clear" w:color="auto" w:fill="auto"/>
          </w:tcPr>
          <w:p w14:paraId="20ADF6B6" w14:textId="77777777" w:rsidR="00B626E7" w:rsidRDefault="00B626E7">
            <w:pPr>
              <w:rPr>
                <w:rFonts w:ascii="宋体"/>
              </w:rPr>
            </w:pPr>
          </w:p>
        </w:tc>
      </w:tr>
      <w:tr w:rsidR="00B626E7" w14:paraId="20ADF6BF" w14:textId="77777777">
        <w:tc>
          <w:tcPr>
            <w:tcW w:w="0" w:type="auto"/>
            <w:gridSpan w:val="3"/>
            <w:shd w:val="clear" w:color="auto" w:fill="auto"/>
            <w:tcMar>
              <w:left w:w="20" w:type="dxa"/>
              <w:right w:w="20" w:type="dxa"/>
            </w:tcMar>
            <w:vAlign w:val="bottom"/>
          </w:tcPr>
          <w:p w14:paraId="20ADF6B8" w14:textId="77777777" w:rsidR="00B626E7" w:rsidRDefault="00B626E7">
            <w:pPr>
              <w:rPr>
                <w:rFonts w:ascii="宋体"/>
              </w:rPr>
            </w:pPr>
          </w:p>
        </w:tc>
        <w:tc>
          <w:tcPr>
            <w:tcW w:w="0" w:type="auto"/>
            <w:gridSpan w:val="6"/>
            <w:shd w:val="clear" w:color="auto" w:fill="auto"/>
            <w:tcMar>
              <w:top w:w="40" w:type="dxa"/>
              <w:left w:w="20" w:type="dxa"/>
              <w:bottom w:w="40" w:type="dxa"/>
              <w:right w:w="20" w:type="dxa"/>
            </w:tcMar>
            <w:vAlign w:val="bottom"/>
          </w:tcPr>
          <w:p w14:paraId="20ADF6B9" w14:textId="77777777" w:rsidR="00B626E7" w:rsidRDefault="00175C1D">
            <w:pPr>
              <w:textAlignment w:val="bottom"/>
            </w:pPr>
            <w:r>
              <w:rPr>
                <w:rFonts w:ascii="Arial" w:eastAsia="宋体" w:hAnsi="Arial" w:cs="Arial"/>
                <w:color w:val="333333"/>
                <w:sz w:val="18"/>
                <w:szCs w:val="18"/>
              </w:rPr>
              <w:t>Consolidated Condensed Statements of Stockholders' Equity</w:t>
            </w:r>
          </w:p>
        </w:tc>
        <w:tc>
          <w:tcPr>
            <w:tcW w:w="0" w:type="auto"/>
            <w:gridSpan w:val="3"/>
            <w:shd w:val="clear" w:color="auto" w:fill="auto"/>
          </w:tcPr>
          <w:p w14:paraId="20ADF6BA" w14:textId="77777777" w:rsidR="00B626E7" w:rsidRDefault="00B626E7">
            <w:pPr>
              <w:rPr>
                <w:rFonts w:ascii="宋体"/>
                <w:vanish/>
              </w:rPr>
            </w:pPr>
          </w:p>
        </w:tc>
        <w:tc>
          <w:tcPr>
            <w:tcW w:w="0" w:type="auto"/>
            <w:gridSpan w:val="3"/>
            <w:shd w:val="clear" w:color="auto" w:fill="auto"/>
            <w:tcMar>
              <w:top w:w="40" w:type="dxa"/>
              <w:left w:w="20" w:type="dxa"/>
              <w:bottom w:w="40" w:type="dxa"/>
              <w:right w:w="20" w:type="dxa"/>
            </w:tcMar>
            <w:vAlign w:val="bottom"/>
          </w:tcPr>
          <w:p w14:paraId="20ADF6BB" w14:textId="77777777" w:rsidR="00B626E7" w:rsidRDefault="00175C1D">
            <w:pPr>
              <w:jc w:val="center"/>
              <w:textAlignment w:val="bottom"/>
            </w:pPr>
            <w:hyperlink r:id="rId14" w:anchor="ib035cc8759904e51927d703ec8414366_49" w:history="1">
              <w:r>
                <w:rPr>
                  <w:rStyle w:val="a5"/>
                  <w:rFonts w:ascii="Arial" w:eastAsia="宋体" w:hAnsi="Arial" w:cs="Arial"/>
                  <w:sz w:val="18"/>
                  <w:szCs w:val="18"/>
                </w:rPr>
                <w:t>9</w:t>
              </w:r>
            </w:hyperlink>
          </w:p>
        </w:tc>
        <w:tc>
          <w:tcPr>
            <w:tcW w:w="0" w:type="auto"/>
            <w:shd w:val="clear" w:color="auto" w:fill="auto"/>
          </w:tcPr>
          <w:p w14:paraId="20ADF6BC" w14:textId="77777777" w:rsidR="00B626E7" w:rsidRDefault="00B626E7">
            <w:pPr>
              <w:rPr>
                <w:rFonts w:ascii="宋体"/>
              </w:rPr>
            </w:pPr>
          </w:p>
        </w:tc>
        <w:tc>
          <w:tcPr>
            <w:tcW w:w="0" w:type="auto"/>
            <w:shd w:val="clear" w:color="auto" w:fill="auto"/>
          </w:tcPr>
          <w:p w14:paraId="20ADF6BD" w14:textId="77777777" w:rsidR="00B626E7" w:rsidRDefault="00B626E7">
            <w:pPr>
              <w:rPr>
                <w:rFonts w:ascii="宋体"/>
              </w:rPr>
            </w:pPr>
          </w:p>
        </w:tc>
        <w:tc>
          <w:tcPr>
            <w:tcW w:w="0" w:type="auto"/>
            <w:shd w:val="clear" w:color="auto" w:fill="auto"/>
          </w:tcPr>
          <w:p w14:paraId="20ADF6BE" w14:textId="77777777" w:rsidR="00B626E7" w:rsidRDefault="00B626E7">
            <w:pPr>
              <w:rPr>
                <w:rFonts w:ascii="宋体"/>
              </w:rPr>
            </w:pPr>
          </w:p>
        </w:tc>
      </w:tr>
      <w:tr w:rsidR="00B626E7" w14:paraId="20ADF6C7" w14:textId="77777777">
        <w:tc>
          <w:tcPr>
            <w:tcW w:w="0" w:type="auto"/>
            <w:gridSpan w:val="3"/>
            <w:shd w:val="clear" w:color="auto" w:fill="auto"/>
            <w:tcMar>
              <w:left w:w="20" w:type="dxa"/>
              <w:right w:w="20" w:type="dxa"/>
            </w:tcMar>
            <w:vAlign w:val="bottom"/>
          </w:tcPr>
          <w:p w14:paraId="20ADF6C0" w14:textId="77777777" w:rsidR="00B626E7" w:rsidRDefault="00B626E7">
            <w:pPr>
              <w:rPr>
                <w:rFonts w:ascii="宋体"/>
              </w:rPr>
            </w:pPr>
          </w:p>
        </w:tc>
        <w:tc>
          <w:tcPr>
            <w:tcW w:w="0" w:type="auto"/>
            <w:gridSpan w:val="6"/>
            <w:shd w:val="clear" w:color="auto" w:fill="auto"/>
            <w:tcMar>
              <w:top w:w="40" w:type="dxa"/>
              <w:left w:w="20" w:type="dxa"/>
              <w:bottom w:w="40" w:type="dxa"/>
              <w:right w:w="20" w:type="dxa"/>
            </w:tcMar>
            <w:vAlign w:val="bottom"/>
          </w:tcPr>
          <w:p w14:paraId="20ADF6C1" w14:textId="77777777" w:rsidR="00B626E7" w:rsidRDefault="00175C1D">
            <w:pPr>
              <w:textAlignment w:val="bottom"/>
            </w:pPr>
            <w:r>
              <w:rPr>
                <w:rFonts w:ascii="Arial" w:eastAsia="宋体" w:hAnsi="Arial" w:cs="Arial"/>
                <w:color w:val="333333"/>
                <w:sz w:val="18"/>
                <w:szCs w:val="18"/>
              </w:rPr>
              <w:t>Notes to Consolidated Condensed Financial Statements</w:t>
            </w:r>
          </w:p>
        </w:tc>
        <w:tc>
          <w:tcPr>
            <w:tcW w:w="0" w:type="auto"/>
            <w:gridSpan w:val="3"/>
            <w:shd w:val="clear" w:color="auto" w:fill="auto"/>
          </w:tcPr>
          <w:p w14:paraId="20ADF6C2" w14:textId="77777777" w:rsidR="00B626E7" w:rsidRDefault="00B626E7">
            <w:pPr>
              <w:rPr>
                <w:rFonts w:ascii="宋体"/>
                <w:vanish/>
              </w:rPr>
            </w:pPr>
          </w:p>
        </w:tc>
        <w:tc>
          <w:tcPr>
            <w:tcW w:w="0" w:type="auto"/>
            <w:gridSpan w:val="3"/>
            <w:shd w:val="clear" w:color="auto" w:fill="auto"/>
            <w:tcMar>
              <w:top w:w="40" w:type="dxa"/>
              <w:left w:w="20" w:type="dxa"/>
              <w:bottom w:w="40" w:type="dxa"/>
              <w:right w:w="20" w:type="dxa"/>
            </w:tcMar>
            <w:vAlign w:val="bottom"/>
          </w:tcPr>
          <w:p w14:paraId="20ADF6C3" w14:textId="77777777" w:rsidR="00B626E7" w:rsidRDefault="00175C1D">
            <w:pPr>
              <w:jc w:val="center"/>
              <w:textAlignment w:val="bottom"/>
            </w:pPr>
            <w:hyperlink r:id="rId15" w:anchor="ib035cc8759904e51927d703ec8414366_55" w:history="1">
              <w:r>
                <w:rPr>
                  <w:rStyle w:val="a5"/>
                  <w:rFonts w:ascii="Arial" w:eastAsia="宋体" w:hAnsi="Arial" w:cs="Arial"/>
                  <w:sz w:val="18"/>
                  <w:szCs w:val="18"/>
                </w:rPr>
                <w:t>10</w:t>
              </w:r>
            </w:hyperlink>
          </w:p>
        </w:tc>
        <w:tc>
          <w:tcPr>
            <w:tcW w:w="0" w:type="auto"/>
            <w:shd w:val="clear" w:color="auto" w:fill="auto"/>
          </w:tcPr>
          <w:p w14:paraId="20ADF6C4" w14:textId="77777777" w:rsidR="00B626E7" w:rsidRDefault="00B626E7">
            <w:pPr>
              <w:rPr>
                <w:rFonts w:ascii="宋体"/>
              </w:rPr>
            </w:pPr>
          </w:p>
        </w:tc>
        <w:tc>
          <w:tcPr>
            <w:tcW w:w="0" w:type="auto"/>
            <w:shd w:val="clear" w:color="auto" w:fill="auto"/>
          </w:tcPr>
          <w:p w14:paraId="20ADF6C5" w14:textId="77777777" w:rsidR="00B626E7" w:rsidRDefault="00B626E7">
            <w:pPr>
              <w:rPr>
                <w:rFonts w:ascii="宋体"/>
              </w:rPr>
            </w:pPr>
          </w:p>
        </w:tc>
        <w:tc>
          <w:tcPr>
            <w:tcW w:w="0" w:type="auto"/>
            <w:shd w:val="clear" w:color="auto" w:fill="auto"/>
          </w:tcPr>
          <w:p w14:paraId="20ADF6C6" w14:textId="77777777" w:rsidR="00B626E7" w:rsidRDefault="00B626E7">
            <w:pPr>
              <w:rPr>
                <w:rFonts w:ascii="宋体"/>
              </w:rPr>
            </w:pPr>
          </w:p>
        </w:tc>
      </w:tr>
      <w:tr w:rsidR="00B626E7" w14:paraId="20ADF6CF" w14:textId="77777777">
        <w:tc>
          <w:tcPr>
            <w:tcW w:w="0" w:type="auto"/>
            <w:gridSpan w:val="3"/>
            <w:shd w:val="clear" w:color="auto" w:fill="auto"/>
            <w:tcMar>
              <w:left w:w="20" w:type="dxa"/>
              <w:right w:w="20" w:type="dxa"/>
            </w:tcMar>
            <w:vAlign w:val="bottom"/>
          </w:tcPr>
          <w:p w14:paraId="20ADF6C8" w14:textId="77777777" w:rsidR="00B626E7" w:rsidRDefault="00B626E7">
            <w:pPr>
              <w:rPr>
                <w:rFonts w:ascii="宋体"/>
              </w:rPr>
            </w:pPr>
          </w:p>
        </w:tc>
        <w:tc>
          <w:tcPr>
            <w:tcW w:w="0" w:type="auto"/>
            <w:gridSpan w:val="6"/>
            <w:shd w:val="clear" w:color="auto" w:fill="auto"/>
            <w:tcMar>
              <w:top w:w="40" w:type="dxa"/>
              <w:left w:w="20" w:type="dxa"/>
              <w:bottom w:w="40" w:type="dxa"/>
              <w:right w:w="20" w:type="dxa"/>
            </w:tcMar>
            <w:vAlign w:val="bottom"/>
          </w:tcPr>
          <w:p w14:paraId="20ADF6C9" w14:textId="77777777" w:rsidR="00B626E7" w:rsidRDefault="00175C1D">
            <w:pPr>
              <w:textAlignment w:val="bottom"/>
            </w:pPr>
            <w:r>
              <w:rPr>
                <w:rFonts w:ascii="Arial" w:eastAsia="宋体" w:hAnsi="Arial" w:cs="Arial"/>
                <w:color w:val="333333"/>
                <w:sz w:val="18"/>
                <w:szCs w:val="18"/>
              </w:rPr>
              <w:t>Key Terms</w:t>
            </w:r>
          </w:p>
        </w:tc>
        <w:tc>
          <w:tcPr>
            <w:tcW w:w="0" w:type="auto"/>
            <w:gridSpan w:val="3"/>
            <w:shd w:val="clear" w:color="auto" w:fill="auto"/>
          </w:tcPr>
          <w:p w14:paraId="20ADF6CA" w14:textId="77777777" w:rsidR="00B626E7" w:rsidRDefault="00B626E7">
            <w:pPr>
              <w:rPr>
                <w:rFonts w:ascii="宋体"/>
                <w:vanish/>
              </w:rPr>
            </w:pPr>
          </w:p>
        </w:tc>
        <w:tc>
          <w:tcPr>
            <w:tcW w:w="0" w:type="auto"/>
            <w:gridSpan w:val="3"/>
            <w:shd w:val="clear" w:color="auto" w:fill="auto"/>
            <w:tcMar>
              <w:top w:w="40" w:type="dxa"/>
              <w:left w:w="20" w:type="dxa"/>
              <w:bottom w:w="40" w:type="dxa"/>
              <w:right w:w="20" w:type="dxa"/>
            </w:tcMar>
            <w:vAlign w:val="bottom"/>
          </w:tcPr>
          <w:p w14:paraId="20ADF6CB" w14:textId="77777777" w:rsidR="00B626E7" w:rsidRDefault="00175C1D">
            <w:pPr>
              <w:jc w:val="center"/>
              <w:textAlignment w:val="bottom"/>
            </w:pPr>
            <w:hyperlink r:id="rId16" w:anchor="ib035cc8759904e51927d703ec8414366_163" w:history="1">
              <w:r>
                <w:rPr>
                  <w:rStyle w:val="a5"/>
                  <w:rFonts w:ascii="Arial" w:eastAsia="宋体" w:hAnsi="Arial" w:cs="Arial"/>
                  <w:sz w:val="18"/>
                  <w:szCs w:val="18"/>
                </w:rPr>
                <w:t>27</w:t>
              </w:r>
            </w:hyperlink>
          </w:p>
        </w:tc>
        <w:tc>
          <w:tcPr>
            <w:tcW w:w="0" w:type="auto"/>
            <w:shd w:val="clear" w:color="auto" w:fill="auto"/>
          </w:tcPr>
          <w:p w14:paraId="20ADF6CC" w14:textId="77777777" w:rsidR="00B626E7" w:rsidRDefault="00B626E7">
            <w:pPr>
              <w:rPr>
                <w:rFonts w:ascii="宋体"/>
              </w:rPr>
            </w:pPr>
          </w:p>
        </w:tc>
        <w:tc>
          <w:tcPr>
            <w:tcW w:w="0" w:type="auto"/>
            <w:shd w:val="clear" w:color="auto" w:fill="auto"/>
          </w:tcPr>
          <w:p w14:paraId="20ADF6CD" w14:textId="77777777" w:rsidR="00B626E7" w:rsidRDefault="00B626E7">
            <w:pPr>
              <w:rPr>
                <w:rFonts w:ascii="宋体"/>
              </w:rPr>
            </w:pPr>
          </w:p>
        </w:tc>
        <w:tc>
          <w:tcPr>
            <w:tcW w:w="0" w:type="auto"/>
            <w:shd w:val="clear" w:color="auto" w:fill="auto"/>
          </w:tcPr>
          <w:p w14:paraId="20ADF6CE" w14:textId="77777777" w:rsidR="00B626E7" w:rsidRDefault="00B626E7">
            <w:pPr>
              <w:rPr>
                <w:rFonts w:ascii="宋体"/>
              </w:rPr>
            </w:pPr>
          </w:p>
        </w:tc>
      </w:tr>
      <w:tr w:rsidR="00B626E7" w14:paraId="20ADF6DA" w14:textId="77777777">
        <w:trPr>
          <w:trHeight w:val="60"/>
        </w:trPr>
        <w:tc>
          <w:tcPr>
            <w:tcW w:w="0" w:type="auto"/>
            <w:gridSpan w:val="3"/>
            <w:shd w:val="clear" w:color="auto" w:fill="auto"/>
            <w:tcMar>
              <w:left w:w="20" w:type="dxa"/>
              <w:right w:w="20" w:type="dxa"/>
            </w:tcMar>
            <w:vAlign w:val="bottom"/>
          </w:tcPr>
          <w:p w14:paraId="20ADF6D0"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DF6D1"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DF6D2"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DF6D3" w14:textId="77777777" w:rsidR="00B626E7" w:rsidRDefault="00B626E7">
            <w:pPr>
              <w:rPr>
                <w:rFonts w:ascii="宋体"/>
              </w:rPr>
            </w:pPr>
          </w:p>
        </w:tc>
        <w:tc>
          <w:tcPr>
            <w:tcW w:w="0" w:type="auto"/>
            <w:shd w:val="clear" w:color="auto" w:fill="auto"/>
          </w:tcPr>
          <w:p w14:paraId="20ADF6D4" w14:textId="77777777" w:rsidR="00B626E7" w:rsidRDefault="00B626E7">
            <w:pPr>
              <w:rPr>
                <w:rFonts w:ascii="宋体"/>
              </w:rPr>
            </w:pPr>
          </w:p>
        </w:tc>
        <w:tc>
          <w:tcPr>
            <w:tcW w:w="0" w:type="auto"/>
            <w:shd w:val="clear" w:color="auto" w:fill="auto"/>
          </w:tcPr>
          <w:p w14:paraId="20ADF6D5" w14:textId="77777777" w:rsidR="00B626E7" w:rsidRDefault="00B626E7">
            <w:pPr>
              <w:rPr>
                <w:rFonts w:ascii="宋体"/>
              </w:rPr>
            </w:pPr>
          </w:p>
        </w:tc>
        <w:tc>
          <w:tcPr>
            <w:tcW w:w="0" w:type="auto"/>
            <w:shd w:val="clear" w:color="auto" w:fill="auto"/>
          </w:tcPr>
          <w:p w14:paraId="20ADF6D6" w14:textId="77777777" w:rsidR="00B626E7" w:rsidRDefault="00B626E7">
            <w:pPr>
              <w:rPr>
                <w:rFonts w:ascii="宋体"/>
              </w:rPr>
            </w:pPr>
          </w:p>
        </w:tc>
        <w:tc>
          <w:tcPr>
            <w:tcW w:w="0" w:type="auto"/>
            <w:shd w:val="clear" w:color="auto" w:fill="auto"/>
          </w:tcPr>
          <w:p w14:paraId="20ADF6D7" w14:textId="77777777" w:rsidR="00B626E7" w:rsidRDefault="00B626E7">
            <w:pPr>
              <w:rPr>
                <w:rFonts w:ascii="宋体"/>
              </w:rPr>
            </w:pPr>
          </w:p>
        </w:tc>
        <w:tc>
          <w:tcPr>
            <w:tcW w:w="0" w:type="auto"/>
            <w:shd w:val="clear" w:color="auto" w:fill="auto"/>
          </w:tcPr>
          <w:p w14:paraId="20ADF6D8" w14:textId="77777777" w:rsidR="00B626E7" w:rsidRDefault="00B626E7">
            <w:pPr>
              <w:rPr>
                <w:rFonts w:ascii="宋体"/>
              </w:rPr>
            </w:pPr>
          </w:p>
        </w:tc>
        <w:tc>
          <w:tcPr>
            <w:tcW w:w="0" w:type="auto"/>
            <w:shd w:val="clear" w:color="auto" w:fill="auto"/>
          </w:tcPr>
          <w:p w14:paraId="20ADF6D9" w14:textId="77777777" w:rsidR="00B626E7" w:rsidRDefault="00B626E7">
            <w:pPr>
              <w:rPr>
                <w:rFonts w:ascii="宋体"/>
              </w:rPr>
            </w:pPr>
          </w:p>
        </w:tc>
      </w:tr>
      <w:tr w:rsidR="00B626E7" w14:paraId="20ADF6DF" w14:textId="77777777">
        <w:tc>
          <w:tcPr>
            <w:tcW w:w="0" w:type="auto"/>
            <w:gridSpan w:val="9"/>
            <w:shd w:val="clear" w:color="auto" w:fill="auto"/>
            <w:tcMar>
              <w:top w:w="40" w:type="dxa"/>
              <w:left w:w="20" w:type="dxa"/>
              <w:bottom w:w="40" w:type="dxa"/>
              <w:right w:w="20" w:type="dxa"/>
            </w:tcMar>
            <w:vAlign w:val="bottom"/>
          </w:tcPr>
          <w:p w14:paraId="20ADF6DB" w14:textId="77777777" w:rsidR="00B626E7" w:rsidRDefault="00175C1D">
            <w:pPr>
              <w:textAlignment w:val="bottom"/>
            </w:pPr>
            <w:r>
              <w:rPr>
                <w:rFonts w:ascii="Arial" w:eastAsia="宋体" w:hAnsi="Arial" w:cs="Arial"/>
                <w:b/>
                <w:bCs/>
                <w:color w:val="0071C5"/>
                <w:sz w:val="20"/>
                <w:szCs w:val="20"/>
              </w:rPr>
              <w:t>MANAGEMENT'S DISCUSSION AND ANALYSIS</w:t>
            </w:r>
          </w:p>
        </w:tc>
        <w:tc>
          <w:tcPr>
            <w:tcW w:w="0" w:type="auto"/>
            <w:gridSpan w:val="3"/>
            <w:shd w:val="clear" w:color="auto" w:fill="auto"/>
          </w:tcPr>
          <w:p w14:paraId="20ADF6DC" w14:textId="77777777" w:rsidR="00B626E7" w:rsidRDefault="00B626E7">
            <w:pPr>
              <w:rPr>
                <w:rFonts w:ascii="宋体"/>
                <w:vanish/>
              </w:rPr>
            </w:pPr>
          </w:p>
        </w:tc>
        <w:tc>
          <w:tcPr>
            <w:tcW w:w="0" w:type="auto"/>
            <w:gridSpan w:val="3"/>
            <w:shd w:val="clear" w:color="auto" w:fill="auto"/>
          </w:tcPr>
          <w:p w14:paraId="20ADF6DD" w14:textId="77777777" w:rsidR="00B626E7" w:rsidRDefault="00B626E7">
            <w:pPr>
              <w:rPr>
                <w:rFonts w:ascii="宋体"/>
                <w:vanish/>
              </w:rPr>
            </w:pPr>
          </w:p>
        </w:tc>
        <w:tc>
          <w:tcPr>
            <w:tcW w:w="0" w:type="auto"/>
            <w:gridSpan w:val="3"/>
            <w:shd w:val="clear" w:color="auto" w:fill="auto"/>
            <w:tcMar>
              <w:left w:w="20" w:type="dxa"/>
              <w:right w:w="20" w:type="dxa"/>
            </w:tcMar>
            <w:vAlign w:val="bottom"/>
          </w:tcPr>
          <w:p w14:paraId="20ADF6DE" w14:textId="77777777" w:rsidR="00B626E7" w:rsidRDefault="00B626E7">
            <w:pPr>
              <w:rPr>
                <w:rFonts w:ascii="宋体"/>
              </w:rPr>
            </w:pPr>
          </w:p>
        </w:tc>
      </w:tr>
      <w:tr w:rsidR="00B626E7" w14:paraId="20ADF6EA" w14:textId="77777777">
        <w:trPr>
          <w:hidden/>
        </w:trPr>
        <w:tc>
          <w:tcPr>
            <w:tcW w:w="0" w:type="auto"/>
            <w:gridSpan w:val="3"/>
            <w:shd w:val="clear" w:color="auto" w:fill="auto"/>
          </w:tcPr>
          <w:p w14:paraId="20ADF6E0" w14:textId="77777777" w:rsidR="00B626E7" w:rsidRDefault="00B626E7">
            <w:pPr>
              <w:rPr>
                <w:rFonts w:ascii="宋体"/>
                <w:vanish/>
              </w:rPr>
            </w:pPr>
          </w:p>
        </w:tc>
        <w:tc>
          <w:tcPr>
            <w:tcW w:w="0" w:type="auto"/>
            <w:gridSpan w:val="3"/>
            <w:shd w:val="clear" w:color="auto" w:fill="auto"/>
          </w:tcPr>
          <w:p w14:paraId="20ADF6E1" w14:textId="77777777" w:rsidR="00B626E7" w:rsidRDefault="00B626E7">
            <w:pPr>
              <w:rPr>
                <w:rFonts w:ascii="宋体"/>
                <w:vanish/>
              </w:rPr>
            </w:pPr>
          </w:p>
        </w:tc>
        <w:tc>
          <w:tcPr>
            <w:tcW w:w="0" w:type="auto"/>
            <w:gridSpan w:val="3"/>
            <w:shd w:val="clear" w:color="auto" w:fill="auto"/>
          </w:tcPr>
          <w:p w14:paraId="20ADF6E2" w14:textId="77777777" w:rsidR="00B626E7" w:rsidRDefault="00B626E7">
            <w:pPr>
              <w:rPr>
                <w:rFonts w:ascii="宋体"/>
                <w:vanish/>
              </w:rPr>
            </w:pPr>
          </w:p>
        </w:tc>
        <w:tc>
          <w:tcPr>
            <w:tcW w:w="0" w:type="auto"/>
            <w:gridSpan w:val="3"/>
            <w:shd w:val="clear" w:color="auto" w:fill="auto"/>
          </w:tcPr>
          <w:p w14:paraId="20ADF6E3" w14:textId="77777777" w:rsidR="00B626E7" w:rsidRDefault="00B626E7">
            <w:pPr>
              <w:rPr>
                <w:rFonts w:ascii="宋体"/>
                <w:vanish/>
              </w:rPr>
            </w:pPr>
          </w:p>
        </w:tc>
        <w:tc>
          <w:tcPr>
            <w:tcW w:w="0" w:type="auto"/>
            <w:shd w:val="clear" w:color="auto" w:fill="auto"/>
          </w:tcPr>
          <w:p w14:paraId="20ADF6E4" w14:textId="77777777" w:rsidR="00B626E7" w:rsidRDefault="00B626E7">
            <w:pPr>
              <w:rPr>
                <w:rFonts w:ascii="宋体"/>
              </w:rPr>
            </w:pPr>
          </w:p>
        </w:tc>
        <w:tc>
          <w:tcPr>
            <w:tcW w:w="0" w:type="auto"/>
            <w:shd w:val="clear" w:color="auto" w:fill="auto"/>
          </w:tcPr>
          <w:p w14:paraId="20ADF6E5" w14:textId="77777777" w:rsidR="00B626E7" w:rsidRDefault="00B626E7">
            <w:pPr>
              <w:rPr>
                <w:rFonts w:ascii="宋体"/>
              </w:rPr>
            </w:pPr>
          </w:p>
        </w:tc>
        <w:tc>
          <w:tcPr>
            <w:tcW w:w="0" w:type="auto"/>
            <w:shd w:val="clear" w:color="auto" w:fill="auto"/>
          </w:tcPr>
          <w:p w14:paraId="20ADF6E6" w14:textId="77777777" w:rsidR="00B626E7" w:rsidRDefault="00B626E7">
            <w:pPr>
              <w:rPr>
                <w:rFonts w:ascii="宋体"/>
              </w:rPr>
            </w:pPr>
          </w:p>
        </w:tc>
        <w:tc>
          <w:tcPr>
            <w:tcW w:w="0" w:type="auto"/>
            <w:shd w:val="clear" w:color="auto" w:fill="auto"/>
          </w:tcPr>
          <w:p w14:paraId="20ADF6E7" w14:textId="77777777" w:rsidR="00B626E7" w:rsidRDefault="00B626E7">
            <w:pPr>
              <w:rPr>
                <w:rFonts w:ascii="宋体"/>
              </w:rPr>
            </w:pPr>
          </w:p>
        </w:tc>
        <w:tc>
          <w:tcPr>
            <w:tcW w:w="0" w:type="auto"/>
            <w:shd w:val="clear" w:color="auto" w:fill="auto"/>
          </w:tcPr>
          <w:p w14:paraId="20ADF6E8" w14:textId="77777777" w:rsidR="00B626E7" w:rsidRDefault="00B626E7">
            <w:pPr>
              <w:rPr>
                <w:rFonts w:ascii="宋体"/>
              </w:rPr>
            </w:pPr>
          </w:p>
        </w:tc>
        <w:tc>
          <w:tcPr>
            <w:tcW w:w="0" w:type="auto"/>
            <w:shd w:val="clear" w:color="auto" w:fill="auto"/>
          </w:tcPr>
          <w:p w14:paraId="20ADF6E9" w14:textId="77777777" w:rsidR="00B626E7" w:rsidRDefault="00B626E7">
            <w:pPr>
              <w:rPr>
                <w:rFonts w:ascii="宋体"/>
              </w:rPr>
            </w:pPr>
          </w:p>
        </w:tc>
      </w:tr>
      <w:tr w:rsidR="00B626E7" w14:paraId="20ADF6F5" w14:textId="77777777">
        <w:trPr>
          <w:hidden/>
        </w:trPr>
        <w:tc>
          <w:tcPr>
            <w:tcW w:w="0" w:type="auto"/>
            <w:gridSpan w:val="3"/>
            <w:shd w:val="clear" w:color="auto" w:fill="auto"/>
          </w:tcPr>
          <w:p w14:paraId="20ADF6EB" w14:textId="77777777" w:rsidR="00B626E7" w:rsidRDefault="00B626E7">
            <w:pPr>
              <w:rPr>
                <w:rFonts w:ascii="宋体"/>
                <w:vanish/>
              </w:rPr>
            </w:pPr>
          </w:p>
        </w:tc>
        <w:tc>
          <w:tcPr>
            <w:tcW w:w="0" w:type="auto"/>
            <w:gridSpan w:val="3"/>
            <w:shd w:val="clear" w:color="auto" w:fill="auto"/>
          </w:tcPr>
          <w:p w14:paraId="20ADF6EC" w14:textId="77777777" w:rsidR="00B626E7" w:rsidRDefault="00B626E7">
            <w:pPr>
              <w:rPr>
                <w:rFonts w:ascii="宋体"/>
                <w:vanish/>
              </w:rPr>
            </w:pPr>
          </w:p>
        </w:tc>
        <w:tc>
          <w:tcPr>
            <w:tcW w:w="0" w:type="auto"/>
            <w:gridSpan w:val="3"/>
            <w:shd w:val="clear" w:color="auto" w:fill="auto"/>
          </w:tcPr>
          <w:p w14:paraId="20ADF6ED" w14:textId="77777777" w:rsidR="00B626E7" w:rsidRDefault="00B626E7">
            <w:pPr>
              <w:rPr>
                <w:rFonts w:ascii="宋体"/>
                <w:vanish/>
              </w:rPr>
            </w:pPr>
          </w:p>
        </w:tc>
        <w:tc>
          <w:tcPr>
            <w:tcW w:w="0" w:type="auto"/>
            <w:gridSpan w:val="3"/>
            <w:shd w:val="clear" w:color="auto" w:fill="auto"/>
          </w:tcPr>
          <w:p w14:paraId="20ADF6EE" w14:textId="77777777" w:rsidR="00B626E7" w:rsidRDefault="00B626E7">
            <w:pPr>
              <w:rPr>
                <w:rFonts w:ascii="宋体"/>
                <w:vanish/>
              </w:rPr>
            </w:pPr>
          </w:p>
        </w:tc>
        <w:tc>
          <w:tcPr>
            <w:tcW w:w="0" w:type="auto"/>
            <w:shd w:val="clear" w:color="auto" w:fill="auto"/>
          </w:tcPr>
          <w:p w14:paraId="20ADF6EF" w14:textId="77777777" w:rsidR="00B626E7" w:rsidRDefault="00B626E7">
            <w:pPr>
              <w:rPr>
                <w:rFonts w:ascii="宋体"/>
              </w:rPr>
            </w:pPr>
          </w:p>
        </w:tc>
        <w:tc>
          <w:tcPr>
            <w:tcW w:w="0" w:type="auto"/>
            <w:shd w:val="clear" w:color="auto" w:fill="auto"/>
          </w:tcPr>
          <w:p w14:paraId="20ADF6F0" w14:textId="77777777" w:rsidR="00B626E7" w:rsidRDefault="00B626E7">
            <w:pPr>
              <w:rPr>
                <w:rFonts w:ascii="宋体"/>
              </w:rPr>
            </w:pPr>
          </w:p>
        </w:tc>
        <w:tc>
          <w:tcPr>
            <w:tcW w:w="0" w:type="auto"/>
            <w:shd w:val="clear" w:color="auto" w:fill="auto"/>
          </w:tcPr>
          <w:p w14:paraId="20ADF6F1" w14:textId="77777777" w:rsidR="00B626E7" w:rsidRDefault="00B626E7">
            <w:pPr>
              <w:rPr>
                <w:rFonts w:ascii="宋体"/>
              </w:rPr>
            </w:pPr>
          </w:p>
        </w:tc>
        <w:tc>
          <w:tcPr>
            <w:tcW w:w="0" w:type="auto"/>
            <w:shd w:val="clear" w:color="auto" w:fill="auto"/>
          </w:tcPr>
          <w:p w14:paraId="20ADF6F2" w14:textId="77777777" w:rsidR="00B626E7" w:rsidRDefault="00B626E7">
            <w:pPr>
              <w:rPr>
                <w:rFonts w:ascii="宋体"/>
              </w:rPr>
            </w:pPr>
          </w:p>
        </w:tc>
        <w:tc>
          <w:tcPr>
            <w:tcW w:w="0" w:type="auto"/>
            <w:shd w:val="clear" w:color="auto" w:fill="auto"/>
          </w:tcPr>
          <w:p w14:paraId="20ADF6F3" w14:textId="77777777" w:rsidR="00B626E7" w:rsidRDefault="00B626E7">
            <w:pPr>
              <w:rPr>
                <w:rFonts w:ascii="宋体"/>
              </w:rPr>
            </w:pPr>
          </w:p>
        </w:tc>
        <w:tc>
          <w:tcPr>
            <w:tcW w:w="0" w:type="auto"/>
            <w:shd w:val="clear" w:color="auto" w:fill="auto"/>
          </w:tcPr>
          <w:p w14:paraId="20ADF6F4" w14:textId="77777777" w:rsidR="00B626E7" w:rsidRDefault="00B626E7">
            <w:pPr>
              <w:rPr>
                <w:rFonts w:ascii="宋体"/>
              </w:rPr>
            </w:pPr>
          </w:p>
        </w:tc>
      </w:tr>
      <w:tr w:rsidR="00B626E7" w14:paraId="20ADF6FD" w14:textId="77777777">
        <w:tc>
          <w:tcPr>
            <w:tcW w:w="0" w:type="auto"/>
            <w:gridSpan w:val="3"/>
            <w:tcBorders>
              <w:top w:val="single" w:sz="8" w:space="0" w:color="333333"/>
            </w:tcBorders>
            <w:shd w:val="clear" w:color="auto" w:fill="auto"/>
            <w:tcMar>
              <w:left w:w="20" w:type="dxa"/>
              <w:right w:w="20" w:type="dxa"/>
            </w:tcMar>
            <w:vAlign w:val="bottom"/>
          </w:tcPr>
          <w:p w14:paraId="20ADF6F6" w14:textId="77777777" w:rsidR="00B626E7" w:rsidRDefault="00B626E7">
            <w:pPr>
              <w:rPr>
                <w:rFonts w:ascii="宋体"/>
              </w:rPr>
            </w:pPr>
          </w:p>
        </w:tc>
        <w:tc>
          <w:tcPr>
            <w:tcW w:w="0" w:type="auto"/>
            <w:gridSpan w:val="6"/>
            <w:tcBorders>
              <w:top w:val="single" w:sz="8" w:space="0" w:color="333333"/>
            </w:tcBorders>
            <w:shd w:val="clear" w:color="auto" w:fill="auto"/>
            <w:tcMar>
              <w:top w:w="40" w:type="dxa"/>
              <w:left w:w="20" w:type="dxa"/>
              <w:bottom w:w="40" w:type="dxa"/>
              <w:right w:w="20" w:type="dxa"/>
            </w:tcMar>
            <w:vAlign w:val="bottom"/>
          </w:tcPr>
          <w:p w14:paraId="20ADF6F7" w14:textId="77777777" w:rsidR="00B626E7" w:rsidRDefault="00175C1D">
            <w:pPr>
              <w:textAlignment w:val="bottom"/>
            </w:pPr>
            <w:r>
              <w:rPr>
                <w:rFonts w:ascii="Arial" w:eastAsia="宋体" w:hAnsi="Arial" w:cs="Arial"/>
                <w:color w:val="333333"/>
                <w:sz w:val="18"/>
                <w:szCs w:val="18"/>
              </w:rPr>
              <w:t xml:space="preserve">Segment </w:t>
            </w:r>
            <w:r>
              <w:rPr>
                <w:rFonts w:ascii="Arial" w:eastAsia="宋体" w:hAnsi="Arial" w:cs="Arial"/>
                <w:color w:val="333333"/>
                <w:sz w:val="18"/>
                <w:szCs w:val="18"/>
              </w:rPr>
              <w:t>Trends and Results</w:t>
            </w:r>
          </w:p>
        </w:tc>
        <w:tc>
          <w:tcPr>
            <w:tcW w:w="0" w:type="auto"/>
            <w:gridSpan w:val="3"/>
            <w:shd w:val="clear" w:color="auto" w:fill="auto"/>
          </w:tcPr>
          <w:p w14:paraId="20ADF6F8" w14:textId="77777777" w:rsidR="00B626E7" w:rsidRDefault="00B626E7">
            <w:pPr>
              <w:rPr>
                <w:rFonts w:ascii="宋体"/>
                <w:vanish/>
              </w:rPr>
            </w:pPr>
          </w:p>
        </w:tc>
        <w:tc>
          <w:tcPr>
            <w:tcW w:w="0" w:type="auto"/>
            <w:gridSpan w:val="3"/>
            <w:tcBorders>
              <w:top w:val="single" w:sz="8" w:space="0" w:color="333333"/>
            </w:tcBorders>
            <w:shd w:val="clear" w:color="auto" w:fill="auto"/>
            <w:tcMar>
              <w:top w:w="40" w:type="dxa"/>
              <w:left w:w="20" w:type="dxa"/>
              <w:bottom w:w="40" w:type="dxa"/>
              <w:right w:w="20" w:type="dxa"/>
            </w:tcMar>
            <w:vAlign w:val="bottom"/>
          </w:tcPr>
          <w:p w14:paraId="20ADF6F9" w14:textId="77777777" w:rsidR="00B626E7" w:rsidRDefault="00175C1D">
            <w:pPr>
              <w:jc w:val="center"/>
              <w:textAlignment w:val="bottom"/>
            </w:pPr>
            <w:hyperlink r:id="rId17" w:anchor="ib035cc8759904e51927d703ec8414366_172" w:history="1">
              <w:r>
                <w:rPr>
                  <w:rStyle w:val="a5"/>
                  <w:rFonts w:ascii="Arial" w:eastAsia="宋体" w:hAnsi="Arial" w:cs="Arial"/>
                  <w:sz w:val="18"/>
                  <w:szCs w:val="18"/>
                </w:rPr>
                <w:t>28</w:t>
              </w:r>
            </w:hyperlink>
          </w:p>
        </w:tc>
        <w:tc>
          <w:tcPr>
            <w:tcW w:w="0" w:type="auto"/>
            <w:shd w:val="clear" w:color="auto" w:fill="auto"/>
          </w:tcPr>
          <w:p w14:paraId="20ADF6FA" w14:textId="77777777" w:rsidR="00B626E7" w:rsidRDefault="00B626E7">
            <w:pPr>
              <w:rPr>
                <w:rFonts w:ascii="宋体"/>
              </w:rPr>
            </w:pPr>
          </w:p>
        </w:tc>
        <w:tc>
          <w:tcPr>
            <w:tcW w:w="0" w:type="auto"/>
            <w:shd w:val="clear" w:color="auto" w:fill="auto"/>
          </w:tcPr>
          <w:p w14:paraId="20ADF6FB" w14:textId="77777777" w:rsidR="00B626E7" w:rsidRDefault="00B626E7">
            <w:pPr>
              <w:rPr>
                <w:rFonts w:ascii="宋体"/>
              </w:rPr>
            </w:pPr>
          </w:p>
        </w:tc>
        <w:tc>
          <w:tcPr>
            <w:tcW w:w="0" w:type="auto"/>
            <w:shd w:val="clear" w:color="auto" w:fill="auto"/>
          </w:tcPr>
          <w:p w14:paraId="20ADF6FC" w14:textId="77777777" w:rsidR="00B626E7" w:rsidRDefault="00B626E7">
            <w:pPr>
              <w:rPr>
                <w:rFonts w:ascii="宋体"/>
              </w:rPr>
            </w:pPr>
          </w:p>
        </w:tc>
      </w:tr>
      <w:tr w:rsidR="00B626E7" w14:paraId="20ADF708" w14:textId="77777777">
        <w:trPr>
          <w:hidden/>
        </w:trPr>
        <w:tc>
          <w:tcPr>
            <w:tcW w:w="0" w:type="auto"/>
            <w:gridSpan w:val="3"/>
            <w:shd w:val="clear" w:color="auto" w:fill="auto"/>
          </w:tcPr>
          <w:p w14:paraId="20ADF6FE" w14:textId="77777777" w:rsidR="00B626E7" w:rsidRDefault="00B626E7">
            <w:pPr>
              <w:rPr>
                <w:rFonts w:ascii="宋体"/>
                <w:vanish/>
              </w:rPr>
            </w:pPr>
          </w:p>
        </w:tc>
        <w:tc>
          <w:tcPr>
            <w:tcW w:w="0" w:type="auto"/>
            <w:gridSpan w:val="3"/>
            <w:shd w:val="clear" w:color="auto" w:fill="auto"/>
          </w:tcPr>
          <w:p w14:paraId="20ADF6FF" w14:textId="77777777" w:rsidR="00B626E7" w:rsidRDefault="00B626E7">
            <w:pPr>
              <w:rPr>
                <w:rFonts w:ascii="宋体"/>
                <w:vanish/>
              </w:rPr>
            </w:pPr>
          </w:p>
        </w:tc>
        <w:tc>
          <w:tcPr>
            <w:tcW w:w="0" w:type="auto"/>
            <w:gridSpan w:val="3"/>
            <w:shd w:val="clear" w:color="auto" w:fill="auto"/>
          </w:tcPr>
          <w:p w14:paraId="20ADF700" w14:textId="77777777" w:rsidR="00B626E7" w:rsidRDefault="00B626E7">
            <w:pPr>
              <w:rPr>
                <w:rFonts w:ascii="宋体"/>
                <w:vanish/>
              </w:rPr>
            </w:pPr>
          </w:p>
        </w:tc>
        <w:tc>
          <w:tcPr>
            <w:tcW w:w="0" w:type="auto"/>
            <w:gridSpan w:val="3"/>
            <w:shd w:val="clear" w:color="auto" w:fill="auto"/>
          </w:tcPr>
          <w:p w14:paraId="20ADF701" w14:textId="77777777" w:rsidR="00B626E7" w:rsidRDefault="00B626E7">
            <w:pPr>
              <w:rPr>
                <w:rFonts w:ascii="宋体"/>
                <w:vanish/>
              </w:rPr>
            </w:pPr>
          </w:p>
        </w:tc>
        <w:tc>
          <w:tcPr>
            <w:tcW w:w="0" w:type="auto"/>
            <w:shd w:val="clear" w:color="auto" w:fill="auto"/>
          </w:tcPr>
          <w:p w14:paraId="20ADF702" w14:textId="77777777" w:rsidR="00B626E7" w:rsidRDefault="00B626E7">
            <w:pPr>
              <w:rPr>
                <w:rFonts w:ascii="宋体"/>
              </w:rPr>
            </w:pPr>
          </w:p>
        </w:tc>
        <w:tc>
          <w:tcPr>
            <w:tcW w:w="0" w:type="auto"/>
            <w:shd w:val="clear" w:color="auto" w:fill="auto"/>
          </w:tcPr>
          <w:p w14:paraId="20ADF703" w14:textId="77777777" w:rsidR="00B626E7" w:rsidRDefault="00B626E7">
            <w:pPr>
              <w:rPr>
                <w:rFonts w:ascii="宋体"/>
              </w:rPr>
            </w:pPr>
          </w:p>
        </w:tc>
        <w:tc>
          <w:tcPr>
            <w:tcW w:w="0" w:type="auto"/>
            <w:shd w:val="clear" w:color="auto" w:fill="auto"/>
          </w:tcPr>
          <w:p w14:paraId="20ADF704" w14:textId="77777777" w:rsidR="00B626E7" w:rsidRDefault="00B626E7">
            <w:pPr>
              <w:rPr>
                <w:rFonts w:ascii="宋体"/>
              </w:rPr>
            </w:pPr>
          </w:p>
        </w:tc>
        <w:tc>
          <w:tcPr>
            <w:tcW w:w="0" w:type="auto"/>
            <w:shd w:val="clear" w:color="auto" w:fill="auto"/>
          </w:tcPr>
          <w:p w14:paraId="20ADF705" w14:textId="77777777" w:rsidR="00B626E7" w:rsidRDefault="00B626E7">
            <w:pPr>
              <w:rPr>
                <w:rFonts w:ascii="宋体"/>
              </w:rPr>
            </w:pPr>
          </w:p>
        </w:tc>
        <w:tc>
          <w:tcPr>
            <w:tcW w:w="0" w:type="auto"/>
            <w:shd w:val="clear" w:color="auto" w:fill="auto"/>
          </w:tcPr>
          <w:p w14:paraId="20ADF706" w14:textId="77777777" w:rsidR="00B626E7" w:rsidRDefault="00B626E7">
            <w:pPr>
              <w:rPr>
                <w:rFonts w:ascii="宋体"/>
              </w:rPr>
            </w:pPr>
          </w:p>
        </w:tc>
        <w:tc>
          <w:tcPr>
            <w:tcW w:w="0" w:type="auto"/>
            <w:shd w:val="clear" w:color="auto" w:fill="auto"/>
          </w:tcPr>
          <w:p w14:paraId="20ADF707" w14:textId="77777777" w:rsidR="00B626E7" w:rsidRDefault="00B626E7">
            <w:pPr>
              <w:rPr>
                <w:rFonts w:ascii="宋体"/>
              </w:rPr>
            </w:pPr>
          </w:p>
        </w:tc>
      </w:tr>
      <w:tr w:rsidR="00B626E7" w14:paraId="20ADF713" w14:textId="77777777">
        <w:trPr>
          <w:hidden/>
        </w:trPr>
        <w:tc>
          <w:tcPr>
            <w:tcW w:w="0" w:type="auto"/>
            <w:gridSpan w:val="3"/>
            <w:shd w:val="clear" w:color="auto" w:fill="auto"/>
          </w:tcPr>
          <w:p w14:paraId="20ADF709" w14:textId="77777777" w:rsidR="00B626E7" w:rsidRDefault="00B626E7">
            <w:pPr>
              <w:rPr>
                <w:rFonts w:ascii="宋体"/>
                <w:vanish/>
              </w:rPr>
            </w:pPr>
          </w:p>
        </w:tc>
        <w:tc>
          <w:tcPr>
            <w:tcW w:w="0" w:type="auto"/>
            <w:gridSpan w:val="3"/>
            <w:shd w:val="clear" w:color="auto" w:fill="auto"/>
          </w:tcPr>
          <w:p w14:paraId="20ADF70A" w14:textId="77777777" w:rsidR="00B626E7" w:rsidRDefault="00B626E7">
            <w:pPr>
              <w:rPr>
                <w:rFonts w:ascii="宋体"/>
                <w:vanish/>
              </w:rPr>
            </w:pPr>
          </w:p>
        </w:tc>
        <w:tc>
          <w:tcPr>
            <w:tcW w:w="0" w:type="auto"/>
            <w:gridSpan w:val="3"/>
            <w:shd w:val="clear" w:color="auto" w:fill="auto"/>
          </w:tcPr>
          <w:p w14:paraId="20ADF70B" w14:textId="77777777" w:rsidR="00B626E7" w:rsidRDefault="00B626E7">
            <w:pPr>
              <w:rPr>
                <w:rFonts w:ascii="宋体"/>
                <w:vanish/>
              </w:rPr>
            </w:pPr>
          </w:p>
        </w:tc>
        <w:tc>
          <w:tcPr>
            <w:tcW w:w="0" w:type="auto"/>
            <w:gridSpan w:val="3"/>
            <w:shd w:val="clear" w:color="auto" w:fill="auto"/>
          </w:tcPr>
          <w:p w14:paraId="20ADF70C" w14:textId="77777777" w:rsidR="00B626E7" w:rsidRDefault="00B626E7">
            <w:pPr>
              <w:rPr>
                <w:rFonts w:ascii="宋体"/>
                <w:vanish/>
              </w:rPr>
            </w:pPr>
          </w:p>
        </w:tc>
        <w:tc>
          <w:tcPr>
            <w:tcW w:w="0" w:type="auto"/>
            <w:shd w:val="clear" w:color="auto" w:fill="auto"/>
          </w:tcPr>
          <w:p w14:paraId="20ADF70D" w14:textId="77777777" w:rsidR="00B626E7" w:rsidRDefault="00B626E7">
            <w:pPr>
              <w:rPr>
                <w:rFonts w:ascii="宋体"/>
              </w:rPr>
            </w:pPr>
          </w:p>
        </w:tc>
        <w:tc>
          <w:tcPr>
            <w:tcW w:w="0" w:type="auto"/>
            <w:shd w:val="clear" w:color="auto" w:fill="auto"/>
          </w:tcPr>
          <w:p w14:paraId="20ADF70E" w14:textId="77777777" w:rsidR="00B626E7" w:rsidRDefault="00B626E7">
            <w:pPr>
              <w:rPr>
                <w:rFonts w:ascii="宋体"/>
              </w:rPr>
            </w:pPr>
          </w:p>
        </w:tc>
        <w:tc>
          <w:tcPr>
            <w:tcW w:w="0" w:type="auto"/>
            <w:shd w:val="clear" w:color="auto" w:fill="auto"/>
          </w:tcPr>
          <w:p w14:paraId="20ADF70F" w14:textId="77777777" w:rsidR="00B626E7" w:rsidRDefault="00B626E7">
            <w:pPr>
              <w:rPr>
                <w:rFonts w:ascii="宋体"/>
              </w:rPr>
            </w:pPr>
          </w:p>
        </w:tc>
        <w:tc>
          <w:tcPr>
            <w:tcW w:w="0" w:type="auto"/>
            <w:shd w:val="clear" w:color="auto" w:fill="auto"/>
          </w:tcPr>
          <w:p w14:paraId="20ADF710" w14:textId="77777777" w:rsidR="00B626E7" w:rsidRDefault="00B626E7">
            <w:pPr>
              <w:rPr>
                <w:rFonts w:ascii="宋体"/>
              </w:rPr>
            </w:pPr>
          </w:p>
        </w:tc>
        <w:tc>
          <w:tcPr>
            <w:tcW w:w="0" w:type="auto"/>
            <w:shd w:val="clear" w:color="auto" w:fill="auto"/>
          </w:tcPr>
          <w:p w14:paraId="20ADF711" w14:textId="77777777" w:rsidR="00B626E7" w:rsidRDefault="00B626E7">
            <w:pPr>
              <w:rPr>
                <w:rFonts w:ascii="宋体"/>
              </w:rPr>
            </w:pPr>
          </w:p>
        </w:tc>
        <w:tc>
          <w:tcPr>
            <w:tcW w:w="0" w:type="auto"/>
            <w:shd w:val="clear" w:color="auto" w:fill="auto"/>
          </w:tcPr>
          <w:p w14:paraId="20ADF712" w14:textId="77777777" w:rsidR="00B626E7" w:rsidRDefault="00B626E7">
            <w:pPr>
              <w:rPr>
                <w:rFonts w:ascii="宋体"/>
              </w:rPr>
            </w:pPr>
          </w:p>
        </w:tc>
      </w:tr>
      <w:tr w:rsidR="00B626E7" w14:paraId="20ADF71E" w14:textId="77777777">
        <w:trPr>
          <w:hidden/>
        </w:trPr>
        <w:tc>
          <w:tcPr>
            <w:tcW w:w="0" w:type="auto"/>
            <w:gridSpan w:val="3"/>
            <w:shd w:val="clear" w:color="auto" w:fill="auto"/>
          </w:tcPr>
          <w:p w14:paraId="20ADF714" w14:textId="77777777" w:rsidR="00B626E7" w:rsidRDefault="00B626E7">
            <w:pPr>
              <w:rPr>
                <w:rFonts w:ascii="宋体"/>
                <w:vanish/>
              </w:rPr>
            </w:pPr>
          </w:p>
        </w:tc>
        <w:tc>
          <w:tcPr>
            <w:tcW w:w="0" w:type="auto"/>
            <w:gridSpan w:val="3"/>
            <w:shd w:val="clear" w:color="auto" w:fill="auto"/>
          </w:tcPr>
          <w:p w14:paraId="20ADF715" w14:textId="77777777" w:rsidR="00B626E7" w:rsidRDefault="00B626E7">
            <w:pPr>
              <w:rPr>
                <w:rFonts w:ascii="宋体"/>
                <w:vanish/>
              </w:rPr>
            </w:pPr>
          </w:p>
        </w:tc>
        <w:tc>
          <w:tcPr>
            <w:tcW w:w="0" w:type="auto"/>
            <w:gridSpan w:val="3"/>
            <w:shd w:val="clear" w:color="auto" w:fill="auto"/>
          </w:tcPr>
          <w:p w14:paraId="20ADF716" w14:textId="77777777" w:rsidR="00B626E7" w:rsidRDefault="00B626E7">
            <w:pPr>
              <w:rPr>
                <w:rFonts w:ascii="宋体"/>
                <w:vanish/>
              </w:rPr>
            </w:pPr>
          </w:p>
        </w:tc>
        <w:tc>
          <w:tcPr>
            <w:tcW w:w="0" w:type="auto"/>
            <w:gridSpan w:val="3"/>
            <w:shd w:val="clear" w:color="auto" w:fill="auto"/>
          </w:tcPr>
          <w:p w14:paraId="20ADF717" w14:textId="77777777" w:rsidR="00B626E7" w:rsidRDefault="00B626E7">
            <w:pPr>
              <w:rPr>
                <w:rFonts w:ascii="宋体"/>
                <w:vanish/>
              </w:rPr>
            </w:pPr>
          </w:p>
        </w:tc>
        <w:tc>
          <w:tcPr>
            <w:tcW w:w="0" w:type="auto"/>
            <w:shd w:val="clear" w:color="auto" w:fill="auto"/>
          </w:tcPr>
          <w:p w14:paraId="20ADF718" w14:textId="77777777" w:rsidR="00B626E7" w:rsidRDefault="00B626E7">
            <w:pPr>
              <w:rPr>
                <w:rFonts w:ascii="宋体"/>
              </w:rPr>
            </w:pPr>
          </w:p>
        </w:tc>
        <w:tc>
          <w:tcPr>
            <w:tcW w:w="0" w:type="auto"/>
            <w:shd w:val="clear" w:color="auto" w:fill="auto"/>
          </w:tcPr>
          <w:p w14:paraId="20ADF719" w14:textId="77777777" w:rsidR="00B626E7" w:rsidRDefault="00B626E7">
            <w:pPr>
              <w:rPr>
                <w:rFonts w:ascii="宋体"/>
              </w:rPr>
            </w:pPr>
          </w:p>
        </w:tc>
        <w:tc>
          <w:tcPr>
            <w:tcW w:w="0" w:type="auto"/>
            <w:shd w:val="clear" w:color="auto" w:fill="auto"/>
          </w:tcPr>
          <w:p w14:paraId="20ADF71A" w14:textId="77777777" w:rsidR="00B626E7" w:rsidRDefault="00B626E7">
            <w:pPr>
              <w:rPr>
                <w:rFonts w:ascii="宋体"/>
              </w:rPr>
            </w:pPr>
          </w:p>
        </w:tc>
        <w:tc>
          <w:tcPr>
            <w:tcW w:w="0" w:type="auto"/>
            <w:shd w:val="clear" w:color="auto" w:fill="auto"/>
          </w:tcPr>
          <w:p w14:paraId="20ADF71B" w14:textId="77777777" w:rsidR="00B626E7" w:rsidRDefault="00B626E7">
            <w:pPr>
              <w:rPr>
                <w:rFonts w:ascii="宋体"/>
              </w:rPr>
            </w:pPr>
          </w:p>
        </w:tc>
        <w:tc>
          <w:tcPr>
            <w:tcW w:w="0" w:type="auto"/>
            <w:shd w:val="clear" w:color="auto" w:fill="auto"/>
          </w:tcPr>
          <w:p w14:paraId="20ADF71C" w14:textId="77777777" w:rsidR="00B626E7" w:rsidRDefault="00B626E7">
            <w:pPr>
              <w:rPr>
                <w:rFonts w:ascii="宋体"/>
              </w:rPr>
            </w:pPr>
          </w:p>
        </w:tc>
        <w:tc>
          <w:tcPr>
            <w:tcW w:w="0" w:type="auto"/>
            <w:shd w:val="clear" w:color="auto" w:fill="auto"/>
          </w:tcPr>
          <w:p w14:paraId="20ADF71D" w14:textId="77777777" w:rsidR="00B626E7" w:rsidRDefault="00B626E7">
            <w:pPr>
              <w:rPr>
                <w:rFonts w:ascii="宋体"/>
              </w:rPr>
            </w:pPr>
          </w:p>
        </w:tc>
      </w:tr>
      <w:tr w:rsidR="00B626E7" w14:paraId="20ADF729" w14:textId="77777777">
        <w:trPr>
          <w:hidden/>
        </w:trPr>
        <w:tc>
          <w:tcPr>
            <w:tcW w:w="0" w:type="auto"/>
            <w:gridSpan w:val="3"/>
            <w:shd w:val="clear" w:color="auto" w:fill="auto"/>
          </w:tcPr>
          <w:p w14:paraId="20ADF71F" w14:textId="77777777" w:rsidR="00B626E7" w:rsidRDefault="00B626E7">
            <w:pPr>
              <w:rPr>
                <w:rFonts w:ascii="宋体"/>
                <w:vanish/>
              </w:rPr>
            </w:pPr>
          </w:p>
        </w:tc>
        <w:tc>
          <w:tcPr>
            <w:tcW w:w="0" w:type="auto"/>
            <w:gridSpan w:val="3"/>
            <w:shd w:val="clear" w:color="auto" w:fill="auto"/>
          </w:tcPr>
          <w:p w14:paraId="20ADF720" w14:textId="77777777" w:rsidR="00B626E7" w:rsidRDefault="00B626E7">
            <w:pPr>
              <w:rPr>
                <w:rFonts w:ascii="宋体"/>
                <w:vanish/>
              </w:rPr>
            </w:pPr>
          </w:p>
        </w:tc>
        <w:tc>
          <w:tcPr>
            <w:tcW w:w="0" w:type="auto"/>
            <w:gridSpan w:val="3"/>
            <w:shd w:val="clear" w:color="auto" w:fill="auto"/>
          </w:tcPr>
          <w:p w14:paraId="20ADF721" w14:textId="77777777" w:rsidR="00B626E7" w:rsidRDefault="00B626E7">
            <w:pPr>
              <w:rPr>
                <w:rFonts w:ascii="宋体"/>
                <w:vanish/>
              </w:rPr>
            </w:pPr>
          </w:p>
        </w:tc>
        <w:tc>
          <w:tcPr>
            <w:tcW w:w="0" w:type="auto"/>
            <w:gridSpan w:val="3"/>
            <w:shd w:val="clear" w:color="auto" w:fill="auto"/>
          </w:tcPr>
          <w:p w14:paraId="20ADF722" w14:textId="77777777" w:rsidR="00B626E7" w:rsidRDefault="00B626E7">
            <w:pPr>
              <w:rPr>
                <w:rFonts w:ascii="宋体"/>
                <w:vanish/>
              </w:rPr>
            </w:pPr>
          </w:p>
        </w:tc>
        <w:tc>
          <w:tcPr>
            <w:tcW w:w="0" w:type="auto"/>
            <w:shd w:val="clear" w:color="auto" w:fill="auto"/>
          </w:tcPr>
          <w:p w14:paraId="20ADF723" w14:textId="77777777" w:rsidR="00B626E7" w:rsidRDefault="00B626E7">
            <w:pPr>
              <w:rPr>
                <w:rFonts w:ascii="宋体"/>
              </w:rPr>
            </w:pPr>
          </w:p>
        </w:tc>
        <w:tc>
          <w:tcPr>
            <w:tcW w:w="0" w:type="auto"/>
            <w:shd w:val="clear" w:color="auto" w:fill="auto"/>
          </w:tcPr>
          <w:p w14:paraId="20ADF724" w14:textId="77777777" w:rsidR="00B626E7" w:rsidRDefault="00B626E7">
            <w:pPr>
              <w:rPr>
                <w:rFonts w:ascii="宋体"/>
              </w:rPr>
            </w:pPr>
          </w:p>
        </w:tc>
        <w:tc>
          <w:tcPr>
            <w:tcW w:w="0" w:type="auto"/>
            <w:shd w:val="clear" w:color="auto" w:fill="auto"/>
          </w:tcPr>
          <w:p w14:paraId="20ADF725" w14:textId="77777777" w:rsidR="00B626E7" w:rsidRDefault="00B626E7">
            <w:pPr>
              <w:rPr>
                <w:rFonts w:ascii="宋体"/>
              </w:rPr>
            </w:pPr>
          </w:p>
        </w:tc>
        <w:tc>
          <w:tcPr>
            <w:tcW w:w="0" w:type="auto"/>
            <w:shd w:val="clear" w:color="auto" w:fill="auto"/>
          </w:tcPr>
          <w:p w14:paraId="20ADF726" w14:textId="77777777" w:rsidR="00B626E7" w:rsidRDefault="00B626E7">
            <w:pPr>
              <w:rPr>
                <w:rFonts w:ascii="宋体"/>
              </w:rPr>
            </w:pPr>
          </w:p>
        </w:tc>
        <w:tc>
          <w:tcPr>
            <w:tcW w:w="0" w:type="auto"/>
            <w:shd w:val="clear" w:color="auto" w:fill="auto"/>
          </w:tcPr>
          <w:p w14:paraId="20ADF727" w14:textId="77777777" w:rsidR="00B626E7" w:rsidRDefault="00B626E7">
            <w:pPr>
              <w:rPr>
                <w:rFonts w:ascii="宋体"/>
              </w:rPr>
            </w:pPr>
          </w:p>
        </w:tc>
        <w:tc>
          <w:tcPr>
            <w:tcW w:w="0" w:type="auto"/>
            <w:shd w:val="clear" w:color="auto" w:fill="auto"/>
          </w:tcPr>
          <w:p w14:paraId="20ADF728" w14:textId="77777777" w:rsidR="00B626E7" w:rsidRDefault="00B626E7">
            <w:pPr>
              <w:rPr>
                <w:rFonts w:ascii="宋体"/>
              </w:rPr>
            </w:pPr>
          </w:p>
        </w:tc>
      </w:tr>
      <w:tr w:rsidR="00B626E7" w14:paraId="20ADF734" w14:textId="77777777">
        <w:trPr>
          <w:hidden/>
        </w:trPr>
        <w:tc>
          <w:tcPr>
            <w:tcW w:w="0" w:type="auto"/>
            <w:gridSpan w:val="3"/>
            <w:shd w:val="clear" w:color="auto" w:fill="auto"/>
          </w:tcPr>
          <w:p w14:paraId="20ADF72A" w14:textId="77777777" w:rsidR="00B626E7" w:rsidRDefault="00B626E7">
            <w:pPr>
              <w:rPr>
                <w:rFonts w:ascii="宋体"/>
                <w:vanish/>
              </w:rPr>
            </w:pPr>
          </w:p>
        </w:tc>
        <w:tc>
          <w:tcPr>
            <w:tcW w:w="0" w:type="auto"/>
            <w:gridSpan w:val="3"/>
            <w:shd w:val="clear" w:color="auto" w:fill="auto"/>
          </w:tcPr>
          <w:p w14:paraId="20ADF72B" w14:textId="77777777" w:rsidR="00B626E7" w:rsidRDefault="00B626E7">
            <w:pPr>
              <w:rPr>
                <w:rFonts w:ascii="宋体"/>
                <w:vanish/>
              </w:rPr>
            </w:pPr>
          </w:p>
        </w:tc>
        <w:tc>
          <w:tcPr>
            <w:tcW w:w="0" w:type="auto"/>
            <w:gridSpan w:val="3"/>
            <w:shd w:val="clear" w:color="auto" w:fill="auto"/>
          </w:tcPr>
          <w:p w14:paraId="20ADF72C" w14:textId="77777777" w:rsidR="00B626E7" w:rsidRDefault="00B626E7">
            <w:pPr>
              <w:rPr>
                <w:rFonts w:ascii="宋体"/>
                <w:vanish/>
              </w:rPr>
            </w:pPr>
          </w:p>
        </w:tc>
        <w:tc>
          <w:tcPr>
            <w:tcW w:w="0" w:type="auto"/>
            <w:gridSpan w:val="3"/>
            <w:shd w:val="clear" w:color="auto" w:fill="auto"/>
          </w:tcPr>
          <w:p w14:paraId="20ADF72D" w14:textId="77777777" w:rsidR="00B626E7" w:rsidRDefault="00B626E7">
            <w:pPr>
              <w:rPr>
                <w:rFonts w:ascii="宋体"/>
                <w:vanish/>
              </w:rPr>
            </w:pPr>
          </w:p>
        </w:tc>
        <w:tc>
          <w:tcPr>
            <w:tcW w:w="0" w:type="auto"/>
            <w:shd w:val="clear" w:color="auto" w:fill="auto"/>
          </w:tcPr>
          <w:p w14:paraId="20ADF72E" w14:textId="77777777" w:rsidR="00B626E7" w:rsidRDefault="00B626E7">
            <w:pPr>
              <w:rPr>
                <w:rFonts w:ascii="宋体"/>
              </w:rPr>
            </w:pPr>
          </w:p>
        </w:tc>
        <w:tc>
          <w:tcPr>
            <w:tcW w:w="0" w:type="auto"/>
            <w:shd w:val="clear" w:color="auto" w:fill="auto"/>
          </w:tcPr>
          <w:p w14:paraId="20ADF72F" w14:textId="77777777" w:rsidR="00B626E7" w:rsidRDefault="00B626E7">
            <w:pPr>
              <w:rPr>
                <w:rFonts w:ascii="宋体"/>
              </w:rPr>
            </w:pPr>
          </w:p>
        </w:tc>
        <w:tc>
          <w:tcPr>
            <w:tcW w:w="0" w:type="auto"/>
            <w:shd w:val="clear" w:color="auto" w:fill="auto"/>
          </w:tcPr>
          <w:p w14:paraId="20ADF730" w14:textId="77777777" w:rsidR="00B626E7" w:rsidRDefault="00B626E7">
            <w:pPr>
              <w:rPr>
                <w:rFonts w:ascii="宋体"/>
              </w:rPr>
            </w:pPr>
          </w:p>
        </w:tc>
        <w:tc>
          <w:tcPr>
            <w:tcW w:w="0" w:type="auto"/>
            <w:shd w:val="clear" w:color="auto" w:fill="auto"/>
          </w:tcPr>
          <w:p w14:paraId="20ADF731" w14:textId="77777777" w:rsidR="00B626E7" w:rsidRDefault="00B626E7">
            <w:pPr>
              <w:rPr>
                <w:rFonts w:ascii="宋体"/>
              </w:rPr>
            </w:pPr>
          </w:p>
        </w:tc>
        <w:tc>
          <w:tcPr>
            <w:tcW w:w="0" w:type="auto"/>
            <w:shd w:val="clear" w:color="auto" w:fill="auto"/>
          </w:tcPr>
          <w:p w14:paraId="20ADF732" w14:textId="77777777" w:rsidR="00B626E7" w:rsidRDefault="00B626E7">
            <w:pPr>
              <w:rPr>
                <w:rFonts w:ascii="宋体"/>
              </w:rPr>
            </w:pPr>
          </w:p>
        </w:tc>
        <w:tc>
          <w:tcPr>
            <w:tcW w:w="0" w:type="auto"/>
            <w:shd w:val="clear" w:color="auto" w:fill="auto"/>
          </w:tcPr>
          <w:p w14:paraId="20ADF733" w14:textId="77777777" w:rsidR="00B626E7" w:rsidRDefault="00B626E7">
            <w:pPr>
              <w:rPr>
                <w:rFonts w:ascii="宋体"/>
              </w:rPr>
            </w:pPr>
          </w:p>
        </w:tc>
      </w:tr>
      <w:tr w:rsidR="00B626E7" w14:paraId="20ADF73C" w14:textId="77777777">
        <w:tc>
          <w:tcPr>
            <w:tcW w:w="0" w:type="auto"/>
            <w:gridSpan w:val="3"/>
            <w:shd w:val="clear" w:color="auto" w:fill="auto"/>
            <w:tcMar>
              <w:left w:w="20" w:type="dxa"/>
              <w:right w:w="20" w:type="dxa"/>
            </w:tcMar>
            <w:vAlign w:val="bottom"/>
          </w:tcPr>
          <w:p w14:paraId="20ADF735" w14:textId="77777777" w:rsidR="00B626E7" w:rsidRDefault="00B626E7">
            <w:pPr>
              <w:rPr>
                <w:rFonts w:ascii="宋体"/>
              </w:rPr>
            </w:pPr>
          </w:p>
        </w:tc>
        <w:tc>
          <w:tcPr>
            <w:tcW w:w="0" w:type="auto"/>
            <w:gridSpan w:val="6"/>
            <w:shd w:val="clear" w:color="auto" w:fill="auto"/>
            <w:tcMar>
              <w:top w:w="40" w:type="dxa"/>
              <w:left w:w="20" w:type="dxa"/>
              <w:bottom w:w="40" w:type="dxa"/>
              <w:right w:w="20" w:type="dxa"/>
            </w:tcMar>
            <w:vAlign w:val="bottom"/>
          </w:tcPr>
          <w:p w14:paraId="20ADF736" w14:textId="77777777" w:rsidR="00B626E7" w:rsidRDefault="00175C1D">
            <w:pPr>
              <w:textAlignment w:val="bottom"/>
            </w:pPr>
            <w:r>
              <w:rPr>
                <w:rFonts w:ascii="Arial" w:eastAsia="宋体" w:hAnsi="Arial" w:cs="Arial"/>
                <w:color w:val="333333"/>
                <w:sz w:val="18"/>
                <w:szCs w:val="18"/>
              </w:rPr>
              <w:t xml:space="preserve">Consolidated Results of </w:t>
            </w:r>
            <w:r>
              <w:rPr>
                <w:rFonts w:ascii="Arial" w:eastAsia="宋体" w:hAnsi="Arial" w:cs="Arial"/>
                <w:color w:val="333333"/>
                <w:sz w:val="18"/>
                <w:szCs w:val="18"/>
              </w:rPr>
              <w:t>Operations</w:t>
            </w:r>
          </w:p>
        </w:tc>
        <w:tc>
          <w:tcPr>
            <w:tcW w:w="0" w:type="auto"/>
            <w:gridSpan w:val="3"/>
            <w:shd w:val="clear" w:color="auto" w:fill="auto"/>
          </w:tcPr>
          <w:p w14:paraId="20ADF737" w14:textId="77777777" w:rsidR="00B626E7" w:rsidRDefault="00B626E7">
            <w:pPr>
              <w:rPr>
                <w:rFonts w:ascii="宋体"/>
                <w:vanish/>
              </w:rPr>
            </w:pPr>
          </w:p>
        </w:tc>
        <w:tc>
          <w:tcPr>
            <w:tcW w:w="0" w:type="auto"/>
            <w:gridSpan w:val="3"/>
            <w:shd w:val="clear" w:color="auto" w:fill="auto"/>
            <w:tcMar>
              <w:top w:w="40" w:type="dxa"/>
              <w:left w:w="20" w:type="dxa"/>
              <w:bottom w:w="40" w:type="dxa"/>
              <w:right w:w="20" w:type="dxa"/>
            </w:tcMar>
            <w:vAlign w:val="bottom"/>
          </w:tcPr>
          <w:p w14:paraId="20ADF738" w14:textId="77777777" w:rsidR="00B626E7" w:rsidRDefault="00175C1D">
            <w:pPr>
              <w:jc w:val="center"/>
              <w:textAlignment w:val="bottom"/>
            </w:pPr>
            <w:hyperlink r:id="rId18" w:anchor="ib035cc8759904e51927d703ec8414366_187" w:history="1">
              <w:r>
                <w:rPr>
                  <w:rStyle w:val="a5"/>
                  <w:rFonts w:ascii="Arial" w:eastAsia="宋体" w:hAnsi="Arial" w:cs="Arial"/>
                  <w:sz w:val="18"/>
                  <w:szCs w:val="18"/>
                </w:rPr>
                <w:t>35</w:t>
              </w:r>
            </w:hyperlink>
          </w:p>
        </w:tc>
        <w:tc>
          <w:tcPr>
            <w:tcW w:w="0" w:type="auto"/>
            <w:shd w:val="clear" w:color="auto" w:fill="auto"/>
          </w:tcPr>
          <w:p w14:paraId="20ADF739" w14:textId="77777777" w:rsidR="00B626E7" w:rsidRDefault="00B626E7">
            <w:pPr>
              <w:rPr>
                <w:rFonts w:ascii="宋体"/>
              </w:rPr>
            </w:pPr>
          </w:p>
        </w:tc>
        <w:tc>
          <w:tcPr>
            <w:tcW w:w="0" w:type="auto"/>
            <w:shd w:val="clear" w:color="auto" w:fill="auto"/>
          </w:tcPr>
          <w:p w14:paraId="20ADF73A" w14:textId="77777777" w:rsidR="00B626E7" w:rsidRDefault="00B626E7">
            <w:pPr>
              <w:rPr>
                <w:rFonts w:ascii="宋体"/>
              </w:rPr>
            </w:pPr>
          </w:p>
        </w:tc>
        <w:tc>
          <w:tcPr>
            <w:tcW w:w="0" w:type="auto"/>
            <w:shd w:val="clear" w:color="auto" w:fill="auto"/>
          </w:tcPr>
          <w:p w14:paraId="20ADF73B" w14:textId="77777777" w:rsidR="00B626E7" w:rsidRDefault="00B626E7">
            <w:pPr>
              <w:rPr>
                <w:rFonts w:ascii="宋体"/>
              </w:rPr>
            </w:pPr>
          </w:p>
        </w:tc>
      </w:tr>
      <w:tr w:rsidR="00B626E7" w14:paraId="20ADF744" w14:textId="77777777">
        <w:tc>
          <w:tcPr>
            <w:tcW w:w="0" w:type="auto"/>
            <w:gridSpan w:val="3"/>
            <w:shd w:val="clear" w:color="auto" w:fill="auto"/>
            <w:tcMar>
              <w:left w:w="20" w:type="dxa"/>
              <w:right w:w="20" w:type="dxa"/>
            </w:tcMar>
            <w:vAlign w:val="bottom"/>
          </w:tcPr>
          <w:p w14:paraId="20ADF73D" w14:textId="77777777" w:rsidR="00B626E7" w:rsidRDefault="00B626E7">
            <w:pPr>
              <w:rPr>
                <w:rFonts w:ascii="宋体"/>
              </w:rPr>
            </w:pPr>
          </w:p>
        </w:tc>
        <w:tc>
          <w:tcPr>
            <w:tcW w:w="0" w:type="auto"/>
            <w:gridSpan w:val="6"/>
            <w:shd w:val="clear" w:color="auto" w:fill="auto"/>
            <w:tcMar>
              <w:top w:w="40" w:type="dxa"/>
              <w:left w:w="20" w:type="dxa"/>
              <w:bottom w:w="40" w:type="dxa"/>
              <w:right w:w="20" w:type="dxa"/>
            </w:tcMar>
            <w:vAlign w:val="bottom"/>
          </w:tcPr>
          <w:p w14:paraId="20ADF73E" w14:textId="77777777" w:rsidR="00B626E7" w:rsidRDefault="00175C1D">
            <w:pPr>
              <w:textAlignment w:val="bottom"/>
            </w:pPr>
            <w:r>
              <w:rPr>
                <w:rFonts w:ascii="Arial" w:eastAsia="宋体" w:hAnsi="Arial" w:cs="Arial"/>
                <w:color w:val="333333"/>
                <w:sz w:val="18"/>
                <w:szCs w:val="18"/>
              </w:rPr>
              <w:t>Liquidity and Capital Resources</w:t>
            </w:r>
          </w:p>
        </w:tc>
        <w:tc>
          <w:tcPr>
            <w:tcW w:w="0" w:type="auto"/>
            <w:gridSpan w:val="3"/>
            <w:shd w:val="clear" w:color="auto" w:fill="auto"/>
          </w:tcPr>
          <w:p w14:paraId="20ADF73F" w14:textId="77777777" w:rsidR="00B626E7" w:rsidRDefault="00B626E7">
            <w:pPr>
              <w:rPr>
                <w:rFonts w:ascii="宋体"/>
                <w:vanish/>
              </w:rPr>
            </w:pPr>
          </w:p>
        </w:tc>
        <w:tc>
          <w:tcPr>
            <w:tcW w:w="0" w:type="auto"/>
            <w:gridSpan w:val="3"/>
            <w:shd w:val="clear" w:color="auto" w:fill="auto"/>
            <w:tcMar>
              <w:top w:w="40" w:type="dxa"/>
              <w:left w:w="20" w:type="dxa"/>
              <w:bottom w:w="40" w:type="dxa"/>
              <w:right w:w="20" w:type="dxa"/>
            </w:tcMar>
            <w:vAlign w:val="bottom"/>
          </w:tcPr>
          <w:p w14:paraId="20ADF740" w14:textId="77777777" w:rsidR="00B626E7" w:rsidRDefault="00175C1D">
            <w:pPr>
              <w:jc w:val="center"/>
              <w:textAlignment w:val="bottom"/>
            </w:pPr>
            <w:hyperlink r:id="rId19" w:anchor="ib035cc8759904e51927d703ec8414366_211" w:history="1">
              <w:r>
                <w:rPr>
                  <w:rStyle w:val="a5"/>
                  <w:rFonts w:ascii="Arial" w:eastAsia="宋体" w:hAnsi="Arial" w:cs="Arial"/>
                  <w:sz w:val="18"/>
                  <w:szCs w:val="18"/>
                </w:rPr>
                <w:t>40</w:t>
              </w:r>
            </w:hyperlink>
          </w:p>
        </w:tc>
        <w:tc>
          <w:tcPr>
            <w:tcW w:w="0" w:type="auto"/>
            <w:shd w:val="clear" w:color="auto" w:fill="auto"/>
          </w:tcPr>
          <w:p w14:paraId="20ADF741" w14:textId="77777777" w:rsidR="00B626E7" w:rsidRDefault="00B626E7">
            <w:pPr>
              <w:rPr>
                <w:rFonts w:ascii="宋体"/>
              </w:rPr>
            </w:pPr>
          </w:p>
        </w:tc>
        <w:tc>
          <w:tcPr>
            <w:tcW w:w="0" w:type="auto"/>
            <w:shd w:val="clear" w:color="auto" w:fill="auto"/>
          </w:tcPr>
          <w:p w14:paraId="20ADF742" w14:textId="77777777" w:rsidR="00B626E7" w:rsidRDefault="00B626E7">
            <w:pPr>
              <w:rPr>
                <w:rFonts w:ascii="宋体"/>
              </w:rPr>
            </w:pPr>
          </w:p>
        </w:tc>
        <w:tc>
          <w:tcPr>
            <w:tcW w:w="0" w:type="auto"/>
            <w:shd w:val="clear" w:color="auto" w:fill="auto"/>
          </w:tcPr>
          <w:p w14:paraId="20ADF743" w14:textId="77777777" w:rsidR="00B626E7" w:rsidRDefault="00B626E7">
            <w:pPr>
              <w:rPr>
                <w:rFonts w:ascii="宋体"/>
              </w:rPr>
            </w:pPr>
          </w:p>
        </w:tc>
      </w:tr>
      <w:tr w:rsidR="00B626E7" w14:paraId="20ADF74C" w14:textId="77777777">
        <w:tc>
          <w:tcPr>
            <w:tcW w:w="0" w:type="auto"/>
            <w:gridSpan w:val="3"/>
            <w:shd w:val="clear" w:color="auto" w:fill="auto"/>
            <w:tcMar>
              <w:left w:w="20" w:type="dxa"/>
              <w:right w:w="20" w:type="dxa"/>
            </w:tcMar>
            <w:vAlign w:val="bottom"/>
          </w:tcPr>
          <w:p w14:paraId="20ADF745" w14:textId="77777777" w:rsidR="00B626E7" w:rsidRDefault="00B626E7">
            <w:pPr>
              <w:rPr>
                <w:rFonts w:ascii="宋体"/>
              </w:rPr>
            </w:pPr>
          </w:p>
        </w:tc>
        <w:tc>
          <w:tcPr>
            <w:tcW w:w="0" w:type="auto"/>
            <w:gridSpan w:val="6"/>
            <w:shd w:val="clear" w:color="auto" w:fill="auto"/>
            <w:tcMar>
              <w:top w:w="40" w:type="dxa"/>
              <w:left w:w="20" w:type="dxa"/>
              <w:bottom w:w="40" w:type="dxa"/>
              <w:right w:w="20" w:type="dxa"/>
            </w:tcMar>
            <w:vAlign w:val="bottom"/>
          </w:tcPr>
          <w:p w14:paraId="20ADF746" w14:textId="77777777" w:rsidR="00B626E7" w:rsidRDefault="00175C1D">
            <w:pPr>
              <w:textAlignment w:val="bottom"/>
            </w:pPr>
            <w:r>
              <w:rPr>
                <w:rFonts w:ascii="Arial" w:eastAsia="宋体" w:hAnsi="Arial" w:cs="Arial"/>
                <w:color w:val="333333"/>
                <w:sz w:val="18"/>
                <w:szCs w:val="18"/>
              </w:rPr>
              <w:t>Contractual Obligations</w:t>
            </w:r>
          </w:p>
        </w:tc>
        <w:tc>
          <w:tcPr>
            <w:tcW w:w="0" w:type="auto"/>
            <w:gridSpan w:val="3"/>
            <w:shd w:val="clear" w:color="auto" w:fill="auto"/>
          </w:tcPr>
          <w:p w14:paraId="20ADF747" w14:textId="77777777" w:rsidR="00B626E7" w:rsidRDefault="00B626E7">
            <w:pPr>
              <w:rPr>
                <w:rFonts w:ascii="宋体"/>
                <w:vanish/>
              </w:rPr>
            </w:pPr>
          </w:p>
        </w:tc>
        <w:tc>
          <w:tcPr>
            <w:tcW w:w="0" w:type="auto"/>
            <w:gridSpan w:val="3"/>
            <w:shd w:val="clear" w:color="auto" w:fill="auto"/>
            <w:tcMar>
              <w:top w:w="40" w:type="dxa"/>
              <w:left w:w="20" w:type="dxa"/>
              <w:bottom w:w="40" w:type="dxa"/>
              <w:right w:w="20" w:type="dxa"/>
            </w:tcMar>
            <w:vAlign w:val="bottom"/>
          </w:tcPr>
          <w:p w14:paraId="20ADF748" w14:textId="77777777" w:rsidR="00B626E7" w:rsidRDefault="00175C1D">
            <w:pPr>
              <w:jc w:val="center"/>
              <w:textAlignment w:val="bottom"/>
            </w:pPr>
            <w:hyperlink r:id="rId20" w:anchor="ib035cc8759904e51927d703ec8414366_217" w:history="1">
              <w:r>
                <w:rPr>
                  <w:rStyle w:val="a5"/>
                  <w:rFonts w:ascii="Arial" w:eastAsia="宋体" w:hAnsi="Arial" w:cs="Arial"/>
                  <w:sz w:val="18"/>
                  <w:szCs w:val="18"/>
                </w:rPr>
                <w:t>41</w:t>
              </w:r>
            </w:hyperlink>
          </w:p>
        </w:tc>
        <w:tc>
          <w:tcPr>
            <w:tcW w:w="0" w:type="auto"/>
            <w:shd w:val="clear" w:color="auto" w:fill="auto"/>
          </w:tcPr>
          <w:p w14:paraId="20ADF749" w14:textId="77777777" w:rsidR="00B626E7" w:rsidRDefault="00B626E7">
            <w:pPr>
              <w:rPr>
                <w:rFonts w:ascii="宋体"/>
              </w:rPr>
            </w:pPr>
          </w:p>
        </w:tc>
        <w:tc>
          <w:tcPr>
            <w:tcW w:w="0" w:type="auto"/>
            <w:shd w:val="clear" w:color="auto" w:fill="auto"/>
          </w:tcPr>
          <w:p w14:paraId="20ADF74A" w14:textId="77777777" w:rsidR="00B626E7" w:rsidRDefault="00B626E7">
            <w:pPr>
              <w:rPr>
                <w:rFonts w:ascii="宋体"/>
              </w:rPr>
            </w:pPr>
          </w:p>
        </w:tc>
        <w:tc>
          <w:tcPr>
            <w:tcW w:w="0" w:type="auto"/>
            <w:shd w:val="clear" w:color="auto" w:fill="auto"/>
          </w:tcPr>
          <w:p w14:paraId="20ADF74B" w14:textId="77777777" w:rsidR="00B626E7" w:rsidRDefault="00B626E7">
            <w:pPr>
              <w:rPr>
                <w:rFonts w:ascii="宋体"/>
              </w:rPr>
            </w:pPr>
          </w:p>
        </w:tc>
      </w:tr>
      <w:tr w:rsidR="00B626E7" w14:paraId="20ADF754" w14:textId="77777777">
        <w:tc>
          <w:tcPr>
            <w:tcW w:w="0" w:type="auto"/>
            <w:gridSpan w:val="3"/>
            <w:shd w:val="clear" w:color="auto" w:fill="auto"/>
            <w:tcMar>
              <w:left w:w="20" w:type="dxa"/>
              <w:right w:w="20" w:type="dxa"/>
            </w:tcMar>
            <w:vAlign w:val="bottom"/>
          </w:tcPr>
          <w:p w14:paraId="20ADF74D" w14:textId="77777777" w:rsidR="00B626E7" w:rsidRDefault="00B626E7">
            <w:pPr>
              <w:rPr>
                <w:rFonts w:ascii="宋体"/>
              </w:rPr>
            </w:pPr>
          </w:p>
        </w:tc>
        <w:tc>
          <w:tcPr>
            <w:tcW w:w="0" w:type="auto"/>
            <w:gridSpan w:val="6"/>
            <w:shd w:val="clear" w:color="auto" w:fill="auto"/>
            <w:tcMar>
              <w:top w:w="40" w:type="dxa"/>
              <w:left w:w="20" w:type="dxa"/>
              <w:bottom w:w="40" w:type="dxa"/>
              <w:right w:w="20" w:type="dxa"/>
            </w:tcMar>
            <w:vAlign w:val="bottom"/>
          </w:tcPr>
          <w:p w14:paraId="20ADF74E" w14:textId="77777777" w:rsidR="00B626E7" w:rsidRDefault="00175C1D">
            <w:pPr>
              <w:textAlignment w:val="bottom"/>
            </w:pPr>
            <w:r>
              <w:rPr>
                <w:rFonts w:ascii="Arial" w:eastAsia="宋体" w:hAnsi="Arial" w:cs="Arial"/>
                <w:color w:val="333333"/>
                <w:sz w:val="18"/>
                <w:szCs w:val="18"/>
              </w:rPr>
              <w:t>Quantitative and Qualitative Disclosures about Market Risk</w:t>
            </w:r>
          </w:p>
        </w:tc>
        <w:tc>
          <w:tcPr>
            <w:tcW w:w="0" w:type="auto"/>
            <w:gridSpan w:val="3"/>
            <w:shd w:val="clear" w:color="auto" w:fill="auto"/>
          </w:tcPr>
          <w:p w14:paraId="20ADF74F" w14:textId="77777777" w:rsidR="00B626E7" w:rsidRDefault="00B626E7">
            <w:pPr>
              <w:rPr>
                <w:rFonts w:ascii="宋体"/>
                <w:vanish/>
              </w:rPr>
            </w:pPr>
          </w:p>
        </w:tc>
        <w:tc>
          <w:tcPr>
            <w:tcW w:w="0" w:type="auto"/>
            <w:gridSpan w:val="3"/>
            <w:shd w:val="clear" w:color="auto" w:fill="auto"/>
            <w:tcMar>
              <w:top w:w="40" w:type="dxa"/>
              <w:left w:w="20" w:type="dxa"/>
              <w:bottom w:w="40" w:type="dxa"/>
              <w:right w:w="20" w:type="dxa"/>
            </w:tcMar>
            <w:vAlign w:val="bottom"/>
          </w:tcPr>
          <w:p w14:paraId="20ADF750" w14:textId="77777777" w:rsidR="00B626E7" w:rsidRDefault="00175C1D">
            <w:pPr>
              <w:ind w:hanging="1080"/>
              <w:jc w:val="center"/>
              <w:textAlignment w:val="bottom"/>
            </w:pPr>
            <w:hyperlink r:id="rId21" w:anchor="ib035cc8759904e51927d703ec8414366_220" w:history="1">
              <w:r>
                <w:rPr>
                  <w:rStyle w:val="a5"/>
                  <w:rFonts w:ascii="Arial" w:eastAsia="宋体" w:hAnsi="Arial" w:cs="Arial"/>
                  <w:sz w:val="18"/>
                  <w:szCs w:val="18"/>
                </w:rPr>
                <w:t>41</w:t>
              </w:r>
            </w:hyperlink>
          </w:p>
        </w:tc>
        <w:tc>
          <w:tcPr>
            <w:tcW w:w="0" w:type="auto"/>
            <w:shd w:val="clear" w:color="auto" w:fill="auto"/>
          </w:tcPr>
          <w:p w14:paraId="20ADF751" w14:textId="77777777" w:rsidR="00B626E7" w:rsidRDefault="00B626E7">
            <w:pPr>
              <w:rPr>
                <w:rFonts w:ascii="宋体"/>
              </w:rPr>
            </w:pPr>
          </w:p>
        </w:tc>
        <w:tc>
          <w:tcPr>
            <w:tcW w:w="0" w:type="auto"/>
            <w:shd w:val="clear" w:color="auto" w:fill="auto"/>
          </w:tcPr>
          <w:p w14:paraId="20ADF752" w14:textId="77777777" w:rsidR="00B626E7" w:rsidRDefault="00B626E7">
            <w:pPr>
              <w:rPr>
                <w:rFonts w:ascii="宋体"/>
              </w:rPr>
            </w:pPr>
          </w:p>
        </w:tc>
        <w:tc>
          <w:tcPr>
            <w:tcW w:w="0" w:type="auto"/>
            <w:shd w:val="clear" w:color="auto" w:fill="auto"/>
          </w:tcPr>
          <w:p w14:paraId="20ADF753" w14:textId="77777777" w:rsidR="00B626E7" w:rsidRDefault="00B626E7">
            <w:pPr>
              <w:rPr>
                <w:rFonts w:ascii="宋体"/>
              </w:rPr>
            </w:pPr>
          </w:p>
        </w:tc>
      </w:tr>
      <w:tr w:rsidR="00B626E7" w14:paraId="20ADF75C" w14:textId="77777777">
        <w:tc>
          <w:tcPr>
            <w:tcW w:w="0" w:type="auto"/>
            <w:gridSpan w:val="3"/>
            <w:shd w:val="clear" w:color="auto" w:fill="auto"/>
            <w:tcMar>
              <w:left w:w="20" w:type="dxa"/>
              <w:right w:w="20" w:type="dxa"/>
            </w:tcMar>
            <w:vAlign w:val="bottom"/>
          </w:tcPr>
          <w:p w14:paraId="20ADF755" w14:textId="77777777" w:rsidR="00B626E7" w:rsidRDefault="00B626E7">
            <w:pPr>
              <w:rPr>
                <w:rFonts w:ascii="宋体"/>
              </w:rPr>
            </w:pPr>
          </w:p>
        </w:tc>
        <w:tc>
          <w:tcPr>
            <w:tcW w:w="0" w:type="auto"/>
            <w:gridSpan w:val="6"/>
            <w:shd w:val="clear" w:color="auto" w:fill="auto"/>
            <w:tcMar>
              <w:top w:w="40" w:type="dxa"/>
              <w:left w:w="20" w:type="dxa"/>
              <w:bottom w:w="40" w:type="dxa"/>
              <w:right w:w="20" w:type="dxa"/>
            </w:tcMar>
            <w:vAlign w:val="bottom"/>
          </w:tcPr>
          <w:p w14:paraId="20ADF756" w14:textId="77777777" w:rsidR="00B626E7" w:rsidRDefault="00175C1D">
            <w:pPr>
              <w:textAlignment w:val="bottom"/>
            </w:pPr>
            <w:r>
              <w:rPr>
                <w:rFonts w:ascii="Arial" w:eastAsia="宋体" w:hAnsi="Arial" w:cs="Arial"/>
                <w:color w:val="333333"/>
                <w:sz w:val="18"/>
                <w:szCs w:val="18"/>
              </w:rPr>
              <w:t>Non-GAAP Financial Measures</w:t>
            </w:r>
          </w:p>
        </w:tc>
        <w:tc>
          <w:tcPr>
            <w:tcW w:w="0" w:type="auto"/>
            <w:gridSpan w:val="3"/>
            <w:shd w:val="clear" w:color="auto" w:fill="auto"/>
          </w:tcPr>
          <w:p w14:paraId="20ADF757" w14:textId="77777777" w:rsidR="00B626E7" w:rsidRDefault="00B626E7">
            <w:pPr>
              <w:rPr>
                <w:rFonts w:ascii="宋体"/>
                <w:vanish/>
              </w:rPr>
            </w:pPr>
          </w:p>
        </w:tc>
        <w:tc>
          <w:tcPr>
            <w:tcW w:w="0" w:type="auto"/>
            <w:gridSpan w:val="3"/>
            <w:shd w:val="clear" w:color="auto" w:fill="auto"/>
            <w:tcMar>
              <w:top w:w="40" w:type="dxa"/>
              <w:left w:w="20" w:type="dxa"/>
              <w:bottom w:w="40" w:type="dxa"/>
              <w:right w:w="20" w:type="dxa"/>
            </w:tcMar>
            <w:vAlign w:val="bottom"/>
          </w:tcPr>
          <w:p w14:paraId="20ADF758" w14:textId="77777777" w:rsidR="00B626E7" w:rsidRDefault="00175C1D">
            <w:pPr>
              <w:ind w:hanging="1080"/>
              <w:jc w:val="center"/>
              <w:textAlignment w:val="bottom"/>
            </w:pPr>
            <w:hyperlink r:id="rId22" w:anchor="ib035cc8759904e51927d703ec8414366_226" w:history="1">
              <w:r>
                <w:rPr>
                  <w:rStyle w:val="a5"/>
                  <w:rFonts w:ascii="Arial" w:eastAsia="宋体" w:hAnsi="Arial" w:cs="Arial"/>
                  <w:sz w:val="18"/>
                  <w:szCs w:val="18"/>
                </w:rPr>
                <w:t>42</w:t>
              </w:r>
            </w:hyperlink>
          </w:p>
        </w:tc>
        <w:tc>
          <w:tcPr>
            <w:tcW w:w="0" w:type="auto"/>
            <w:shd w:val="clear" w:color="auto" w:fill="auto"/>
          </w:tcPr>
          <w:p w14:paraId="20ADF759" w14:textId="77777777" w:rsidR="00B626E7" w:rsidRDefault="00B626E7">
            <w:pPr>
              <w:rPr>
                <w:rFonts w:ascii="宋体"/>
              </w:rPr>
            </w:pPr>
          </w:p>
        </w:tc>
        <w:tc>
          <w:tcPr>
            <w:tcW w:w="0" w:type="auto"/>
            <w:shd w:val="clear" w:color="auto" w:fill="auto"/>
          </w:tcPr>
          <w:p w14:paraId="20ADF75A" w14:textId="77777777" w:rsidR="00B626E7" w:rsidRDefault="00B626E7">
            <w:pPr>
              <w:rPr>
                <w:rFonts w:ascii="宋体"/>
              </w:rPr>
            </w:pPr>
          </w:p>
        </w:tc>
        <w:tc>
          <w:tcPr>
            <w:tcW w:w="0" w:type="auto"/>
            <w:shd w:val="clear" w:color="auto" w:fill="auto"/>
          </w:tcPr>
          <w:p w14:paraId="20ADF75B" w14:textId="77777777" w:rsidR="00B626E7" w:rsidRDefault="00B626E7">
            <w:pPr>
              <w:rPr>
                <w:rFonts w:ascii="宋体"/>
              </w:rPr>
            </w:pPr>
          </w:p>
        </w:tc>
      </w:tr>
      <w:tr w:rsidR="00B626E7" w14:paraId="20ADF767" w14:textId="77777777">
        <w:trPr>
          <w:trHeight w:val="60"/>
        </w:trPr>
        <w:tc>
          <w:tcPr>
            <w:tcW w:w="0" w:type="auto"/>
            <w:gridSpan w:val="3"/>
            <w:shd w:val="clear" w:color="auto" w:fill="auto"/>
            <w:tcMar>
              <w:left w:w="20" w:type="dxa"/>
              <w:right w:w="20" w:type="dxa"/>
            </w:tcMar>
            <w:vAlign w:val="bottom"/>
          </w:tcPr>
          <w:p w14:paraId="20ADF75D"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DF75E"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DF75F"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DF760" w14:textId="77777777" w:rsidR="00B626E7" w:rsidRDefault="00B626E7">
            <w:pPr>
              <w:rPr>
                <w:rFonts w:ascii="宋体"/>
              </w:rPr>
            </w:pPr>
          </w:p>
        </w:tc>
        <w:tc>
          <w:tcPr>
            <w:tcW w:w="0" w:type="auto"/>
            <w:shd w:val="clear" w:color="auto" w:fill="auto"/>
          </w:tcPr>
          <w:p w14:paraId="20ADF761" w14:textId="77777777" w:rsidR="00B626E7" w:rsidRDefault="00B626E7">
            <w:pPr>
              <w:rPr>
                <w:rFonts w:ascii="宋体"/>
              </w:rPr>
            </w:pPr>
          </w:p>
        </w:tc>
        <w:tc>
          <w:tcPr>
            <w:tcW w:w="0" w:type="auto"/>
            <w:shd w:val="clear" w:color="auto" w:fill="auto"/>
          </w:tcPr>
          <w:p w14:paraId="20ADF762" w14:textId="77777777" w:rsidR="00B626E7" w:rsidRDefault="00B626E7">
            <w:pPr>
              <w:rPr>
                <w:rFonts w:ascii="宋体"/>
              </w:rPr>
            </w:pPr>
          </w:p>
        </w:tc>
        <w:tc>
          <w:tcPr>
            <w:tcW w:w="0" w:type="auto"/>
            <w:shd w:val="clear" w:color="auto" w:fill="auto"/>
          </w:tcPr>
          <w:p w14:paraId="20ADF763" w14:textId="77777777" w:rsidR="00B626E7" w:rsidRDefault="00B626E7">
            <w:pPr>
              <w:rPr>
                <w:rFonts w:ascii="宋体"/>
              </w:rPr>
            </w:pPr>
          </w:p>
        </w:tc>
        <w:tc>
          <w:tcPr>
            <w:tcW w:w="0" w:type="auto"/>
            <w:shd w:val="clear" w:color="auto" w:fill="auto"/>
          </w:tcPr>
          <w:p w14:paraId="20ADF764" w14:textId="77777777" w:rsidR="00B626E7" w:rsidRDefault="00B626E7">
            <w:pPr>
              <w:rPr>
                <w:rFonts w:ascii="宋体"/>
              </w:rPr>
            </w:pPr>
          </w:p>
        </w:tc>
        <w:tc>
          <w:tcPr>
            <w:tcW w:w="0" w:type="auto"/>
            <w:shd w:val="clear" w:color="auto" w:fill="auto"/>
          </w:tcPr>
          <w:p w14:paraId="20ADF765" w14:textId="77777777" w:rsidR="00B626E7" w:rsidRDefault="00B626E7">
            <w:pPr>
              <w:rPr>
                <w:rFonts w:ascii="宋体"/>
              </w:rPr>
            </w:pPr>
          </w:p>
        </w:tc>
        <w:tc>
          <w:tcPr>
            <w:tcW w:w="0" w:type="auto"/>
            <w:shd w:val="clear" w:color="auto" w:fill="auto"/>
          </w:tcPr>
          <w:p w14:paraId="20ADF766" w14:textId="77777777" w:rsidR="00B626E7" w:rsidRDefault="00B626E7">
            <w:pPr>
              <w:rPr>
                <w:rFonts w:ascii="宋体"/>
              </w:rPr>
            </w:pPr>
          </w:p>
        </w:tc>
      </w:tr>
      <w:tr w:rsidR="00B626E7" w14:paraId="20ADF76C" w14:textId="77777777">
        <w:tc>
          <w:tcPr>
            <w:tcW w:w="0" w:type="auto"/>
            <w:gridSpan w:val="9"/>
            <w:tcBorders>
              <w:bottom w:val="single" w:sz="8" w:space="0" w:color="333333"/>
            </w:tcBorders>
            <w:shd w:val="clear" w:color="auto" w:fill="auto"/>
            <w:tcMar>
              <w:top w:w="40" w:type="dxa"/>
              <w:left w:w="20" w:type="dxa"/>
              <w:bottom w:w="40" w:type="dxa"/>
              <w:right w:w="20" w:type="dxa"/>
            </w:tcMar>
            <w:vAlign w:val="bottom"/>
          </w:tcPr>
          <w:p w14:paraId="20ADF768" w14:textId="77777777" w:rsidR="00B626E7" w:rsidRDefault="00175C1D">
            <w:pPr>
              <w:textAlignment w:val="bottom"/>
            </w:pPr>
            <w:r>
              <w:rPr>
                <w:rFonts w:ascii="Arial" w:eastAsia="宋体" w:hAnsi="Arial" w:cs="Arial"/>
                <w:b/>
                <w:bCs/>
                <w:color w:val="0071C5"/>
                <w:sz w:val="20"/>
                <w:szCs w:val="20"/>
              </w:rPr>
              <w:t>OTHER KEY INFORMATION</w:t>
            </w:r>
          </w:p>
        </w:tc>
        <w:tc>
          <w:tcPr>
            <w:tcW w:w="0" w:type="auto"/>
            <w:gridSpan w:val="3"/>
            <w:shd w:val="clear" w:color="auto" w:fill="auto"/>
          </w:tcPr>
          <w:p w14:paraId="20ADF769" w14:textId="77777777" w:rsidR="00B626E7" w:rsidRDefault="00B626E7">
            <w:pPr>
              <w:rPr>
                <w:rFonts w:ascii="宋体"/>
                <w:vanish/>
              </w:rPr>
            </w:pPr>
          </w:p>
        </w:tc>
        <w:tc>
          <w:tcPr>
            <w:tcW w:w="0" w:type="auto"/>
            <w:gridSpan w:val="3"/>
            <w:shd w:val="clear" w:color="auto" w:fill="auto"/>
          </w:tcPr>
          <w:p w14:paraId="20ADF76A" w14:textId="77777777" w:rsidR="00B626E7" w:rsidRDefault="00B626E7">
            <w:pPr>
              <w:rPr>
                <w:rFonts w:ascii="宋体"/>
                <w:vanish/>
              </w:rPr>
            </w:pPr>
          </w:p>
        </w:tc>
        <w:tc>
          <w:tcPr>
            <w:tcW w:w="0" w:type="auto"/>
            <w:gridSpan w:val="3"/>
            <w:shd w:val="clear" w:color="auto" w:fill="auto"/>
            <w:tcMar>
              <w:left w:w="20" w:type="dxa"/>
              <w:right w:w="20" w:type="dxa"/>
            </w:tcMar>
            <w:vAlign w:val="bottom"/>
          </w:tcPr>
          <w:p w14:paraId="20ADF76B" w14:textId="77777777" w:rsidR="00B626E7" w:rsidRDefault="00B626E7">
            <w:pPr>
              <w:rPr>
                <w:rFonts w:ascii="宋体"/>
              </w:rPr>
            </w:pPr>
          </w:p>
        </w:tc>
      </w:tr>
      <w:tr w:rsidR="00B626E7" w14:paraId="20ADF774" w14:textId="77777777">
        <w:tc>
          <w:tcPr>
            <w:tcW w:w="0" w:type="auto"/>
            <w:gridSpan w:val="3"/>
            <w:tcBorders>
              <w:top w:val="single" w:sz="8" w:space="0" w:color="333333"/>
            </w:tcBorders>
            <w:shd w:val="clear" w:color="auto" w:fill="auto"/>
            <w:tcMar>
              <w:left w:w="20" w:type="dxa"/>
              <w:right w:w="20" w:type="dxa"/>
            </w:tcMar>
            <w:vAlign w:val="bottom"/>
          </w:tcPr>
          <w:p w14:paraId="20ADF76D" w14:textId="77777777" w:rsidR="00B626E7" w:rsidRDefault="00B626E7">
            <w:pPr>
              <w:rPr>
                <w:rFonts w:ascii="宋体"/>
              </w:rPr>
            </w:pPr>
          </w:p>
        </w:tc>
        <w:tc>
          <w:tcPr>
            <w:tcW w:w="0" w:type="auto"/>
            <w:gridSpan w:val="6"/>
            <w:tcBorders>
              <w:top w:val="single" w:sz="8" w:space="0" w:color="333333"/>
            </w:tcBorders>
            <w:shd w:val="clear" w:color="auto" w:fill="auto"/>
            <w:tcMar>
              <w:top w:w="40" w:type="dxa"/>
              <w:left w:w="20" w:type="dxa"/>
              <w:bottom w:w="40" w:type="dxa"/>
              <w:right w:w="20" w:type="dxa"/>
            </w:tcMar>
            <w:vAlign w:val="bottom"/>
          </w:tcPr>
          <w:p w14:paraId="20ADF76E" w14:textId="77777777" w:rsidR="00B626E7" w:rsidRDefault="00175C1D">
            <w:pPr>
              <w:textAlignment w:val="bottom"/>
            </w:pPr>
            <w:r>
              <w:rPr>
                <w:rFonts w:ascii="Arial" w:eastAsia="宋体" w:hAnsi="Arial" w:cs="Arial"/>
                <w:color w:val="333333"/>
                <w:sz w:val="18"/>
                <w:szCs w:val="18"/>
              </w:rPr>
              <w:t>Risk Factors</w:t>
            </w:r>
          </w:p>
        </w:tc>
        <w:tc>
          <w:tcPr>
            <w:tcW w:w="0" w:type="auto"/>
            <w:gridSpan w:val="3"/>
            <w:shd w:val="clear" w:color="auto" w:fill="auto"/>
          </w:tcPr>
          <w:p w14:paraId="20ADF76F" w14:textId="77777777" w:rsidR="00B626E7" w:rsidRDefault="00B626E7">
            <w:pPr>
              <w:rPr>
                <w:rFonts w:ascii="宋体"/>
                <w:vanish/>
              </w:rPr>
            </w:pPr>
          </w:p>
        </w:tc>
        <w:tc>
          <w:tcPr>
            <w:tcW w:w="0" w:type="auto"/>
            <w:gridSpan w:val="3"/>
            <w:tcBorders>
              <w:top w:val="single" w:sz="8" w:space="0" w:color="333333"/>
            </w:tcBorders>
            <w:shd w:val="clear" w:color="auto" w:fill="auto"/>
            <w:tcMar>
              <w:top w:w="40" w:type="dxa"/>
              <w:left w:w="20" w:type="dxa"/>
              <w:bottom w:w="40" w:type="dxa"/>
              <w:right w:w="20" w:type="dxa"/>
            </w:tcMar>
            <w:vAlign w:val="bottom"/>
          </w:tcPr>
          <w:p w14:paraId="20ADF770" w14:textId="77777777" w:rsidR="00B626E7" w:rsidRDefault="00175C1D">
            <w:pPr>
              <w:jc w:val="center"/>
              <w:textAlignment w:val="bottom"/>
            </w:pPr>
            <w:hyperlink r:id="rId23" w:anchor="ib035cc8759904e51927d703ec8414366_235" w:history="1">
              <w:r>
                <w:rPr>
                  <w:rStyle w:val="a5"/>
                  <w:rFonts w:ascii="Arial" w:eastAsia="宋体" w:hAnsi="Arial" w:cs="Arial"/>
                  <w:sz w:val="18"/>
                  <w:szCs w:val="18"/>
                </w:rPr>
                <w:t>44</w:t>
              </w:r>
            </w:hyperlink>
          </w:p>
        </w:tc>
        <w:tc>
          <w:tcPr>
            <w:tcW w:w="0" w:type="auto"/>
            <w:shd w:val="clear" w:color="auto" w:fill="auto"/>
          </w:tcPr>
          <w:p w14:paraId="20ADF771" w14:textId="77777777" w:rsidR="00B626E7" w:rsidRDefault="00B626E7">
            <w:pPr>
              <w:rPr>
                <w:rFonts w:ascii="宋体"/>
              </w:rPr>
            </w:pPr>
          </w:p>
        </w:tc>
        <w:tc>
          <w:tcPr>
            <w:tcW w:w="0" w:type="auto"/>
            <w:shd w:val="clear" w:color="auto" w:fill="auto"/>
          </w:tcPr>
          <w:p w14:paraId="20ADF772" w14:textId="77777777" w:rsidR="00B626E7" w:rsidRDefault="00B626E7">
            <w:pPr>
              <w:rPr>
                <w:rFonts w:ascii="宋体"/>
              </w:rPr>
            </w:pPr>
          </w:p>
        </w:tc>
        <w:tc>
          <w:tcPr>
            <w:tcW w:w="0" w:type="auto"/>
            <w:shd w:val="clear" w:color="auto" w:fill="auto"/>
          </w:tcPr>
          <w:p w14:paraId="20ADF773" w14:textId="77777777" w:rsidR="00B626E7" w:rsidRDefault="00B626E7">
            <w:pPr>
              <w:rPr>
                <w:rFonts w:ascii="宋体"/>
              </w:rPr>
            </w:pPr>
          </w:p>
        </w:tc>
      </w:tr>
      <w:tr w:rsidR="00B626E7" w14:paraId="20ADF77C" w14:textId="77777777">
        <w:tc>
          <w:tcPr>
            <w:tcW w:w="0" w:type="auto"/>
            <w:gridSpan w:val="3"/>
            <w:shd w:val="clear" w:color="auto" w:fill="auto"/>
            <w:tcMar>
              <w:left w:w="20" w:type="dxa"/>
              <w:right w:w="20" w:type="dxa"/>
            </w:tcMar>
            <w:vAlign w:val="bottom"/>
          </w:tcPr>
          <w:p w14:paraId="20ADF775" w14:textId="77777777" w:rsidR="00B626E7" w:rsidRDefault="00B626E7">
            <w:pPr>
              <w:rPr>
                <w:rFonts w:ascii="宋体"/>
              </w:rPr>
            </w:pPr>
          </w:p>
        </w:tc>
        <w:tc>
          <w:tcPr>
            <w:tcW w:w="0" w:type="auto"/>
            <w:gridSpan w:val="6"/>
            <w:shd w:val="clear" w:color="auto" w:fill="auto"/>
            <w:tcMar>
              <w:top w:w="40" w:type="dxa"/>
              <w:left w:w="20" w:type="dxa"/>
              <w:bottom w:w="40" w:type="dxa"/>
              <w:right w:w="20" w:type="dxa"/>
            </w:tcMar>
            <w:vAlign w:val="bottom"/>
          </w:tcPr>
          <w:p w14:paraId="20ADF776" w14:textId="77777777" w:rsidR="00B626E7" w:rsidRDefault="00175C1D">
            <w:pPr>
              <w:textAlignment w:val="bottom"/>
            </w:pPr>
            <w:r>
              <w:rPr>
                <w:rFonts w:ascii="Arial" w:eastAsia="宋体" w:hAnsi="Arial" w:cs="Arial"/>
                <w:color w:val="333333"/>
                <w:sz w:val="18"/>
                <w:szCs w:val="18"/>
              </w:rPr>
              <w:t>Controls and Procedures</w:t>
            </w:r>
          </w:p>
        </w:tc>
        <w:tc>
          <w:tcPr>
            <w:tcW w:w="0" w:type="auto"/>
            <w:gridSpan w:val="3"/>
            <w:shd w:val="clear" w:color="auto" w:fill="auto"/>
          </w:tcPr>
          <w:p w14:paraId="20ADF777" w14:textId="77777777" w:rsidR="00B626E7" w:rsidRDefault="00B626E7">
            <w:pPr>
              <w:rPr>
                <w:rFonts w:ascii="宋体"/>
                <w:vanish/>
              </w:rPr>
            </w:pPr>
          </w:p>
        </w:tc>
        <w:tc>
          <w:tcPr>
            <w:tcW w:w="0" w:type="auto"/>
            <w:gridSpan w:val="3"/>
            <w:shd w:val="clear" w:color="auto" w:fill="auto"/>
            <w:tcMar>
              <w:top w:w="40" w:type="dxa"/>
              <w:left w:w="20" w:type="dxa"/>
              <w:bottom w:w="40" w:type="dxa"/>
              <w:right w:w="20" w:type="dxa"/>
            </w:tcMar>
            <w:vAlign w:val="bottom"/>
          </w:tcPr>
          <w:p w14:paraId="20ADF778" w14:textId="77777777" w:rsidR="00B626E7" w:rsidRDefault="00175C1D">
            <w:pPr>
              <w:jc w:val="center"/>
              <w:textAlignment w:val="bottom"/>
            </w:pPr>
            <w:hyperlink r:id="rId24" w:anchor="ib035cc8759904e51927d703ec8414366_241" w:history="1">
              <w:r>
                <w:rPr>
                  <w:rStyle w:val="a5"/>
                  <w:rFonts w:ascii="Arial" w:eastAsia="宋体" w:hAnsi="Arial" w:cs="Arial"/>
                  <w:sz w:val="18"/>
                  <w:szCs w:val="18"/>
                </w:rPr>
                <w:t>44</w:t>
              </w:r>
            </w:hyperlink>
          </w:p>
        </w:tc>
        <w:tc>
          <w:tcPr>
            <w:tcW w:w="0" w:type="auto"/>
            <w:shd w:val="clear" w:color="auto" w:fill="auto"/>
          </w:tcPr>
          <w:p w14:paraId="20ADF779" w14:textId="77777777" w:rsidR="00B626E7" w:rsidRDefault="00B626E7">
            <w:pPr>
              <w:rPr>
                <w:rFonts w:ascii="宋体"/>
              </w:rPr>
            </w:pPr>
          </w:p>
        </w:tc>
        <w:tc>
          <w:tcPr>
            <w:tcW w:w="0" w:type="auto"/>
            <w:shd w:val="clear" w:color="auto" w:fill="auto"/>
          </w:tcPr>
          <w:p w14:paraId="20ADF77A" w14:textId="77777777" w:rsidR="00B626E7" w:rsidRDefault="00B626E7">
            <w:pPr>
              <w:rPr>
                <w:rFonts w:ascii="宋体"/>
              </w:rPr>
            </w:pPr>
          </w:p>
        </w:tc>
        <w:tc>
          <w:tcPr>
            <w:tcW w:w="0" w:type="auto"/>
            <w:shd w:val="clear" w:color="auto" w:fill="auto"/>
          </w:tcPr>
          <w:p w14:paraId="20ADF77B" w14:textId="77777777" w:rsidR="00B626E7" w:rsidRDefault="00B626E7">
            <w:pPr>
              <w:rPr>
                <w:rFonts w:ascii="宋体"/>
              </w:rPr>
            </w:pPr>
          </w:p>
        </w:tc>
      </w:tr>
      <w:tr w:rsidR="00B626E7" w14:paraId="20ADF787" w14:textId="77777777">
        <w:trPr>
          <w:hidden/>
        </w:trPr>
        <w:tc>
          <w:tcPr>
            <w:tcW w:w="0" w:type="auto"/>
            <w:gridSpan w:val="3"/>
            <w:shd w:val="clear" w:color="auto" w:fill="auto"/>
          </w:tcPr>
          <w:p w14:paraId="20ADF77D" w14:textId="77777777" w:rsidR="00B626E7" w:rsidRDefault="00B626E7">
            <w:pPr>
              <w:rPr>
                <w:rFonts w:ascii="宋体"/>
                <w:vanish/>
              </w:rPr>
            </w:pPr>
          </w:p>
        </w:tc>
        <w:tc>
          <w:tcPr>
            <w:tcW w:w="0" w:type="auto"/>
            <w:gridSpan w:val="3"/>
            <w:shd w:val="clear" w:color="auto" w:fill="auto"/>
          </w:tcPr>
          <w:p w14:paraId="20ADF77E" w14:textId="77777777" w:rsidR="00B626E7" w:rsidRDefault="00B626E7">
            <w:pPr>
              <w:rPr>
                <w:rFonts w:ascii="宋体"/>
                <w:vanish/>
              </w:rPr>
            </w:pPr>
          </w:p>
        </w:tc>
        <w:tc>
          <w:tcPr>
            <w:tcW w:w="0" w:type="auto"/>
            <w:gridSpan w:val="3"/>
            <w:shd w:val="clear" w:color="auto" w:fill="auto"/>
          </w:tcPr>
          <w:p w14:paraId="20ADF77F" w14:textId="77777777" w:rsidR="00B626E7" w:rsidRDefault="00B626E7">
            <w:pPr>
              <w:rPr>
                <w:rFonts w:ascii="宋体"/>
                <w:vanish/>
              </w:rPr>
            </w:pPr>
          </w:p>
        </w:tc>
        <w:tc>
          <w:tcPr>
            <w:tcW w:w="0" w:type="auto"/>
            <w:gridSpan w:val="3"/>
            <w:shd w:val="clear" w:color="auto" w:fill="auto"/>
          </w:tcPr>
          <w:p w14:paraId="20ADF780" w14:textId="77777777" w:rsidR="00B626E7" w:rsidRDefault="00B626E7">
            <w:pPr>
              <w:rPr>
                <w:rFonts w:ascii="宋体"/>
                <w:vanish/>
              </w:rPr>
            </w:pPr>
          </w:p>
        </w:tc>
        <w:tc>
          <w:tcPr>
            <w:tcW w:w="0" w:type="auto"/>
            <w:shd w:val="clear" w:color="auto" w:fill="auto"/>
          </w:tcPr>
          <w:p w14:paraId="20ADF781" w14:textId="77777777" w:rsidR="00B626E7" w:rsidRDefault="00B626E7">
            <w:pPr>
              <w:rPr>
                <w:rFonts w:ascii="宋体"/>
              </w:rPr>
            </w:pPr>
          </w:p>
        </w:tc>
        <w:tc>
          <w:tcPr>
            <w:tcW w:w="0" w:type="auto"/>
            <w:shd w:val="clear" w:color="auto" w:fill="auto"/>
          </w:tcPr>
          <w:p w14:paraId="20ADF782" w14:textId="77777777" w:rsidR="00B626E7" w:rsidRDefault="00B626E7">
            <w:pPr>
              <w:rPr>
                <w:rFonts w:ascii="宋体"/>
              </w:rPr>
            </w:pPr>
          </w:p>
        </w:tc>
        <w:tc>
          <w:tcPr>
            <w:tcW w:w="0" w:type="auto"/>
            <w:shd w:val="clear" w:color="auto" w:fill="auto"/>
          </w:tcPr>
          <w:p w14:paraId="20ADF783" w14:textId="77777777" w:rsidR="00B626E7" w:rsidRDefault="00B626E7">
            <w:pPr>
              <w:rPr>
                <w:rFonts w:ascii="宋体"/>
              </w:rPr>
            </w:pPr>
          </w:p>
        </w:tc>
        <w:tc>
          <w:tcPr>
            <w:tcW w:w="0" w:type="auto"/>
            <w:shd w:val="clear" w:color="auto" w:fill="auto"/>
          </w:tcPr>
          <w:p w14:paraId="20ADF784" w14:textId="77777777" w:rsidR="00B626E7" w:rsidRDefault="00B626E7">
            <w:pPr>
              <w:rPr>
                <w:rFonts w:ascii="宋体"/>
              </w:rPr>
            </w:pPr>
          </w:p>
        </w:tc>
        <w:tc>
          <w:tcPr>
            <w:tcW w:w="0" w:type="auto"/>
            <w:shd w:val="clear" w:color="auto" w:fill="auto"/>
          </w:tcPr>
          <w:p w14:paraId="20ADF785" w14:textId="77777777" w:rsidR="00B626E7" w:rsidRDefault="00B626E7">
            <w:pPr>
              <w:rPr>
                <w:rFonts w:ascii="宋体"/>
              </w:rPr>
            </w:pPr>
          </w:p>
        </w:tc>
        <w:tc>
          <w:tcPr>
            <w:tcW w:w="0" w:type="auto"/>
            <w:shd w:val="clear" w:color="auto" w:fill="auto"/>
          </w:tcPr>
          <w:p w14:paraId="20ADF786" w14:textId="77777777" w:rsidR="00B626E7" w:rsidRDefault="00B626E7">
            <w:pPr>
              <w:rPr>
                <w:rFonts w:ascii="宋体"/>
              </w:rPr>
            </w:pPr>
          </w:p>
        </w:tc>
      </w:tr>
      <w:tr w:rsidR="00B626E7" w14:paraId="20ADF78F" w14:textId="77777777">
        <w:tc>
          <w:tcPr>
            <w:tcW w:w="0" w:type="auto"/>
            <w:gridSpan w:val="3"/>
            <w:shd w:val="clear" w:color="auto" w:fill="auto"/>
            <w:tcMar>
              <w:left w:w="20" w:type="dxa"/>
              <w:right w:w="20" w:type="dxa"/>
            </w:tcMar>
            <w:vAlign w:val="bottom"/>
          </w:tcPr>
          <w:p w14:paraId="20ADF788" w14:textId="77777777" w:rsidR="00B626E7" w:rsidRDefault="00B626E7">
            <w:pPr>
              <w:rPr>
                <w:rFonts w:ascii="宋体"/>
              </w:rPr>
            </w:pPr>
          </w:p>
        </w:tc>
        <w:tc>
          <w:tcPr>
            <w:tcW w:w="0" w:type="auto"/>
            <w:gridSpan w:val="6"/>
            <w:shd w:val="clear" w:color="auto" w:fill="auto"/>
            <w:tcMar>
              <w:top w:w="40" w:type="dxa"/>
              <w:left w:w="20" w:type="dxa"/>
              <w:bottom w:w="40" w:type="dxa"/>
              <w:right w:w="20" w:type="dxa"/>
            </w:tcMar>
            <w:vAlign w:val="bottom"/>
          </w:tcPr>
          <w:p w14:paraId="20ADF789" w14:textId="77777777" w:rsidR="00B626E7" w:rsidRDefault="00175C1D">
            <w:pPr>
              <w:textAlignment w:val="bottom"/>
            </w:pPr>
            <w:r>
              <w:rPr>
                <w:rFonts w:ascii="Arial" w:eastAsia="宋体" w:hAnsi="Arial" w:cs="Arial"/>
                <w:color w:val="333333"/>
                <w:sz w:val="18"/>
                <w:szCs w:val="18"/>
              </w:rPr>
              <w:t>Issuer Purchases of Equity Securities</w:t>
            </w:r>
          </w:p>
        </w:tc>
        <w:tc>
          <w:tcPr>
            <w:tcW w:w="0" w:type="auto"/>
            <w:gridSpan w:val="3"/>
            <w:shd w:val="clear" w:color="auto" w:fill="auto"/>
          </w:tcPr>
          <w:p w14:paraId="20ADF78A" w14:textId="77777777" w:rsidR="00B626E7" w:rsidRDefault="00B626E7">
            <w:pPr>
              <w:rPr>
                <w:rFonts w:ascii="宋体"/>
                <w:vanish/>
              </w:rPr>
            </w:pPr>
          </w:p>
        </w:tc>
        <w:tc>
          <w:tcPr>
            <w:tcW w:w="0" w:type="auto"/>
            <w:gridSpan w:val="3"/>
            <w:shd w:val="clear" w:color="auto" w:fill="auto"/>
            <w:tcMar>
              <w:top w:w="40" w:type="dxa"/>
              <w:left w:w="20" w:type="dxa"/>
              <w:bottom w:w="40" w:type="dxa"/>
              <w:right w:w="20" w:type="dxa"/>
            </w:tcMar>
            <w:vAlign w:val="bottom"/>
          </w:tcPr>
          <w:p w14:paraId="20ADF78B" w14:textId="77777777" w:rsidR="00B626E7" w:rsidRDefault="00175C1D">
            <w:pPr>
              <w:jc w:val="center"/>
              <w:textAlignment w:val="bottom"/>
            </w:pPr>
            <w:hyperlink r:id="rId25" w:anchor="ib035cc8759904e51927d703ec8414366_244" w:history="1">
              <w:r>
                <w:rPr>
                  <w:rStyle w:val="a5"/>
                  <w:rFonts w:ascii="Arial" w:eastAsia="宋体" w:hAnsi="Arial" w:cs="Arial"/>
                  <w:sz w:val="18"/>
                  <w:szCs w:val="18"/>
                </w:rPr>
                <w:t>44</w:t>
              </w:r>
            </w:hyperlink>
          </w:p>
        </w:tc>
        <w:tc>
          <w:tcPr>
            <w:tcW w:w="0" w:type="auto"/>
            <w:shd w:val="clear" w:color="auto" w:fill="auto"/>
          </w:tcPr>
          <w:p w14:paraId="20ADF78C" w14:textId="77777777" w:rsidR="00B626E7" w:rsidRDefault="00B626E7">
            <w:pPr>
              <w:rPr>
                <w:rFonts w:ascii="宋体"/>
              </w:rPr>
            </w:pPr>
          </w:p>
        </w:tc>
        <w:tc>
          <w:tcPr>
            <w:tcW w:w="0" w:type="auto"/>
            <w:shd w:val="clear" w:color="auto" w:fill="auto"/>
          </w:tcPr>
          <w:p w14:paraId="20ADF78D" w14:textId="77777777" w:rsidR="00B626E7" w:rsidRDefault="00B626E7">
            <w:pPr>
              <w:rPr>
                <w:rFonts w:ascii="宋体"/>
              </w:rPr>
            </w:pPr>
          </w:p>
        </w:tc>
        <w:tc>
          <w:tcPr>
            <w:tcW w:w="0" w:type="auto"/>
            <w:shd w:val="clear" w:color="auto" w:fill="auto"/>
          </w:tcPr>
          <w:p w14:paraId="20ADF78E" w14:textId="77777777" w:rsidR="00B626E7" w:rsidRDefault="00B626E7">
            <w:pPr>
              <w:rPr>
                <w:rFonts w:ascii="宋体"/>
              </w:rPr>
            </w:pPr>
          </w:p>
        </w:tc>
      </w:tr>
      <w:tr w:rsidR="00B626E7" w14:paraId="20ADF797" w14:textId="77777777">
        <w:tc>
          <w:tcPr>
            <w:tcW w:w="0" w:type="auto"/>
            <w:gridSpan w:val="3"/>
            <w:shd w:val="clear" w:color="auto" w:fill="auto"/>
            <w:tcMar>
              <w:left w:w="20" w:type="dxa"/>
              <w:right w:w="20" w:type="dxa"/>
            </w:tcMar>
            <w:vAlign w:val="bottom"/>
          </w:tcPr>
          <w:p w14:paraId="20ADF790" w14:textId="77777777" w:rsidR="00B626E7" w:rsidRDefault="00B626E7">
            <w:pPr>
              <w:rPr>
                <w:rFonts w:ascii="宋体"/>
              </w:rPr>
            </w:pPr>
          </w:p>
        </w:tc>
        <w:tc>
          <w:tcPr>
            <w:tcW w:w="0" w:type="auto"/>
            <w:gridSpan w:val="6"/>
            <w:shd w:val="clear" w:color="auto" w:fill="auto"/>
            <w:tcMar>
              <w:top w:w="40" w:type="dxa"/>
              <w:left w:w="20" w:type="dxa"/>
              <w:bottom w:w="40" w:type="dxa"/>
              <w:right w:w="20" w:type="dxa"/>
            </w:tcMar>
            <w:vAlign w:val="bottom"/>
          </w:tcPr>
          <w:p w14:paraId="20ADF791" w14:textId="77777777" w:rsidR="00B626E7" w:rsidRDefault="00175C1D">
            <w:pPr>
              <w:textAlignment w:val="bottom"/>
            </w:pPr>
            <w:r>
              <w:rPr>
                <w:rFonts w:ascii="Arial" w:eastAsia="宋体" w:hAnsi="Arial" w:cs="Arial"/>
                <w:color w:val="333333"/>
                <w:sz w:val="18"/>
                <w:szCs w:val="18"/>
              </w:rPr>
              <w:t>Exhibits</w:t>
            </w:r>
          </w:p>
        </w:tc>
        <w:tc>
          <w:tcPr>
            <w:tcW w:w="0" w:type="auto"/>
            <w:gridSpan w:val="3"/>
            <w:shd w:val="clear" w:color="auto" w:fill="auto"/>
          </w:tcPr>
          <w:p w14:paraId="20ADF792" w14:textId="77777777" w:rsidR="00B626E7" w:rsidRDefault="00B626E7">
            <w:pPr>
              <w:rPr>
                <w:rFonts w:ascii="宋体"/>
                <w:vanish/>
              </w:rPr>
            </w:pPr>
          </w:p>
        </w:tc>
        <w:tc>
          <w:tcPr>
            <w:tcW w:w="0" w:type="auto"/>
            <w:gridSpan w:val="3"/>
            <w:shd w:val="clear" w:color="auto" w:fill="auto"/>
            <w:tcMar>
              <w:top w:w="40" w:type="dxa"/>
              <w:left w:w="20" w:type="dxa"/>
              <w:bottom w:w="40" w:type="dxa"/>
              <w:right w:w="20" w:type="dxa"/>
            </w:tcMar>
            <w:vAlign w:val="bottom"/>
          </w:tcPr>
          <w:p w14:paraId="20ADF793" w14:textId="77777777" w:rsidR="00B626E7" w:rsidRDefault="00175C1D">
            <w:pPr>
              <w:jc w:val="center"/>
              <w:textAlignment w:val="bottom"/>
            </w:pPr>
            <w:hyperlink r:id="rId26" w:anchor="ib035cc8759904e51927d703ec8414366_247" w:history="1">
              <w:r>
                <w:rPr>
                  <w:rStyle w:val="a5"/>
                  <w:rFonts w:ascii="Arial" w:eastAsia="宋体" w:hAnsi="Arial" w:cs="Arial"/>
                  <w:sz w:val="18"/>
                  <w:szCs w:val="18"/>
                </w:rPr>
                <w:t>45</w:t>
              </w:r>
            </w:hyperlink>
          </w:p>
        </w:tc>
        <w:tc>
          <w:tcPr>
            <w:tcW w:w="0" w:type="auto"/>
            <w:shd w:val="clear" w:color="auto" w:fill="auto"/>
          </w:tcPr>
          <w:p w14:paraId="20ADF794" w14:textId="77777777" w:rsidR="00B626E7" w:rsidRDefault="00B626E7">
            <w:pPr>
              <w:rPr>
                <w:rFonts w:ascii="宋体"/>
              </w:rPr>
            </w:pPr>
          </w:p>
        </w:tc>
        <w:tc>
          <w:tcPr>
            <w:tcW w:w="0" w:type="auto"/>
            <w:shd w:val="clear" w:color="auto" w:fill="auto"/>
          </w:tcPr>
          <w:p w14:paraId="20ADF795" w14:textId="77777777" w:rsidR="00B626E7" w:rsidRDefault="00B626E7">
            <w:pPr>
              <w:rPr>
                <w:rFonts w:ascii="宋体"/>
              </w:rPr>
            </w:pPr>
          </w:p>
        </w:tc>
        <w:tc>
          <w:tcPr>
            <w:tcW w:w="0" w:type="auto"/>
            <w:shd w:val="clear" w:color="auto" w:fill="auto"/>
          </w:tcPr>
          <w:p w14:paraId="20ADF796" w14:textId="77777777" w:rsidR="00B626E7" w:rsidRDefault="00B626E7">
            <w:pPr>
              <w:rPr>
                <w:rFonts w:ascii="宋体"/>
              </w:rPr>
            </w:pPr>
          </w:p>
        </w:tc>
      </w:tr>
      <w:tr w:rsidR="00B626E7" w14:paraId="20ADF79F" w14:textId="77777777">
        <w:tc>
          <w:tcPr>
            <w:tcW w:w="0" w:type="auto"/>
            <w:gridSpan w:val="3"/>
            <w:shd w:val="clear" w:color="auto" w:fill="auto"/>
            <w:tcMar>
              <w:left w:w="20" w:type="dxa"/>
              <w:right w:w="20" w:type="dxa"/>
            </w:tcMar>
            <w:vAlign w:val="bottom"/>
          </w:tcPr>
          <w:p w14:paraId="20ADF798" w14:textId="77777777" w:rsidR="00B626E7" w:rsidRDefault="00B626E7">
            <w:pPr>
              <w:rPr>
                <w:rFonts w:ascii="宋体"/>
              </w:rPr>
            </w:pPr>
          </w:p>
        </w:tc>
        <w:tc>
          <w:tcPr>
            <w:tcW w:w="0" w:type="auto"/>
            <w:gridSpan w:val="6"/>
            <w:shd w:val="clear" w:color="auto" w:fill="auto"/>
            <w:tcMar>
              <w:top w:w="40" w:type="dxa"/>
              <w:left w:w="20" w:type="dxa"/>
              <w:bottom w:w="40" w:type="dxa"/>
              <w:right w:w="20" w:type="dxa"/>
            </w:tcMar>
            <w:vAlign w:val="bottom"/>
          </w:tcPr>
          <w:p w14:paraId="20ADF799" w14:textId="77777777" w:rsidR="00B626E7" w:rsidRDefault="00175C1D">
            <w:pPr>
              <w:textAlignment w:val="bottom"/>
            </w:pPr>
            <w:r>
              <w:rPr>
                <w:rFonts w:ascii="Arial" w:eastAsia="宋体" w:hAnsi="Arial" w:cs="Arial"/>
                <w:color w:val="333333"/>
                <w:sz w:val="18"/>
                <w:szCs w:val="18"/>
              </w:rPr>
              <w:t>Form 10-Q Cross-Reference Index</w:t>
            </w:r>
          </w:p>
        </w:tc>
        <w:tc>
          <w:tcPr>
            <w:tcW w:w="0" w:type="auto"/>
            <w:gridSpan w:val="3"/>
            <w:shd w:val="clear" w:color="auto" w:fill="auto"/>
          </w:tcPr>
          <w:p w14:paraId="20ADF79A" w14:textId="77777777" w:rsidR="00B626E7" w:rsidRDefault="00B626E7">
            <w:pPr>
              <w:rPr>
                <w:rFonts w:ascii="宋体"/>
                <w:vanish/>
              </w:rPr>
            </w:pPr>
          </w:p>
        </w:tc>
        <w:tc>
          <w:tcPr>
            <w:tcW w:w="0" w:type="auto"/>
            <w:gridSpan w:val="3"/>
            <w:shd w:val="clear" w:color="auto" w:fill="auto"/>
            <w:tcMar>
              <w:top w:w="40" w:type="dxa"/>
              <w:left w:w="20" w:type="dxa"/>
              <w:bottom w:w="40" w:type="dxa"/>
              <w:right w:w="20" w:type="dxa"/>
            </w:tcMar>
            <w:vAlign w:val="bottom"/>
          </w:tcPr>
          <w:p w14:paraId="20ADF79B" w14:textId="77777777" w:rsidR="00B626E7" w:rsidRDefault="00175C1D">
            <w:pPr>
              <w:jc w:val="center"/>
              <w:textAlignment w:val="bottom"/>
            </w:pPr>
            <w:hyperlink r:id="rId27" w:anchor="ib035cc8759904e51927d703ec8414366_253" w:history="1">
              <w:r>
                <w:rPr>
                  <w:rStyle w:val="a5"/>
                  <w:rFonts w:ascii="Arial" w:eastAsia="宋体" w:hAnsi="Arial" w:cs="Arial"/>
                  <w:sz w:val="18"/>
                  <w:szCs w:val="18"/>
                </w:rPr>
                <w:t>46</w:t>
              </w:r>
            </w:hyperlink>
          </w:p>
        </w:tc>
        <w:tc>
          <w:tcPr>
            <w:tcW w:w="0" w:type="auto"/>
            <w:shd w:val="clear" w:color="auto" w:fill="auto"/>
          </w:tcPr>
          <w:p w14:paraId="20ADF79C" w14:textId="77777777" w:rsidR="00B626E7" w:rsidRDefault="00B626E7">
            <w:pPr>
              <w:rPr>
                <w:rFonts w:ascii="宋体"/>
              </w:rPr>
            </w:pPr>
          </w:p>
        </w:tc>
        <w:tc>
          <w:tcPr>
            <w:tcW w:w="0" w:type="auto"/>
            <w:shd w:val="clear" w:color="auto" w:fill="auto"/>
          </w:tcPr>
          <w:p w14:paraId="20ADF79D" w14:textId="77777777" w:rsidR="00B626E7" w:rsidRDefault="00B626E7">
            <w:pPr>
              <w:rPr>
                <w:rFonts w:ascii="宋体"/>
              </w:rPr>
            </w:pPr>
          </w:p>
        </w:tc>
        <w:tc>
          <w:tcPr>
            <w:tcW w:w="0" w:type="auto"/>
            <w:shd w:val="clear" w:color="auto" w:fill="auto"/>
          </w:tcPr>
          <w:p w14:paraId="20ADF79E" w14:textId="77777777" w:rsidR="00B626E7" w:rsidRDefault="00B626E7">
            <w:pPr>
              <w:rPr>
                <w:rFonts w:ascii="宋体"/>
              </w:rPr>
            </w:pPr>
          </w:p>
        </w:tc>
      </w:tr>
    </w:tbl>
    <w:p w14:paraId="20ADF7A0" w14:textId="77777777" w:rsidR="00B626E7" w:rsidRDefault="00B626E7">
      <w:pPr>
        <w:spacing w:after="180"/>
        <w:jc w:val="center"/>
      </w:pPr>
    </w:p>
    <w:p w14:paraId="20ADF7A1" w14:textId="77777777" w:rsidR="00B626E7" w:rsidRDefault="00B626E7">
      <w:pPr>
        <w:spacing w:after="180"/>
        <w:jc w:val="center"/>
      </w:pPr>
    </w:p>
    <w:p w14:paraId="20ADF7A2" w14:textId="77777777" w:rsidR="00B626E7" w:rsidRDefault="00B626E7">
      <w:pPr>
        <w:spacing w:after="180"/>
        <w:jc w:val="center"/>
      </w:pPr>
    </w:p>
    <w:p w14:paraId="20ADF7A3" w14:textId="77777777" w:rsidR="00B626E7" w:rsidRDefault="00B626E7">
      <w:pPr>
        <w:spacing w:after="180"/>
        <w:jc w:val="center"/>
      </w:pPr>
    </w:p>
    <w:p w14:paraId="20ADF7A4" w14:textId="77777777" w:rsidR="00B626E7" w:rsidRDefault="00B626E7">
      <w:pPr>
        <w:spacing w:after="180"/>
      </w:pPr>
    </w:p>
    <w:p w14:paraId="20ADF7A5" w14:textId="77777777" w:rsidR="00B626E7" w:rsidRDefault="00175C1D">
      <w:pPr>
        <w:spacing w:after="180"/>
        <w:ind w:hanging="180"/>
      </w:pPr>
      <w:r>
        <w:rPr>
          <w:rFonts w:ascii="Arial" w:eastAsia="宋体" w:hAnsi="Arial" w:cs="Arial"/>
          <w:i/>
          <w:iCs/>
          <w:color w:val="333333"/>
          <w:sz w:val="10"/>
          <w:szCs w:val="10"/>
        </w:rPr>
        <w:t>1 </w:t>
      </w:r>
      <w:r>
        <w:rPr>
          <w:rFonts w:ascii="Arial" w:eastAsia="宋体" w:hAnsi="Arial" w:cs="Arial"/>
          <w:i/>
          <w:iCs/>
          <w:color w:val="333333"/>
          <w:sz w:val="16"/>
          <w:szCs w:val="16"/>
        </w:rPr>
        <w:t xml:space="preserve">Intel's definition is included in "Key Terms" within the Consolidated </w:t>
      </w:r>
      <w:r>
        <w:rPr>
          <w:rFonts w:ascii="Arial" w:eastAsia="宋体" w:hAnsi="Arial" w:cs="Arial"/>
          <w:i/>
          <w:iCs/>
          <w:color w:val="333333"/>
          <w:sz w:val="16"/>
          <w:szCs w:val="16"/>
        </w:rPr>
        <w:t>Condensed Financial Statements and Supplemental Details.</w:t>
      </w:r>
    </w:p>
    <w:p w14:paraId="20ADF7A6" w14:textId="77777777" w:rsidR="00B626E7" w:rsidRDefault="00B626E7">
      <w:pPr>
        <w:spacing w:after="180"/>
      </w:pPr>
    </w:p>
    <w:p w14:paraId="20ADF7A7" w14:textId="77777777" w:rsidR="00B626E7" w:rsidRDefault="00175C1D">
      <w:r>
        <w:pict w14:anchorId="20AE3C11">
          <v:rect id="_x0000_i1026" style="width:415.3pt;height:1.5pt" o:hralign="center" o:hrstd="t" o:hr="t" fillcolor="#a0a0a0" stroked="f"/>
        </w:pict>
      </w:r>
    </w:p>
    <w:p w14:paraId="20ADF7A8" w14:textId="77777777" w:rsidR="00B626E7" w:rsidRDefault="00175C1D">
      <w:pPr>
        <w:spacing w:after="180"/>
        <w:jc w:val="right"/>
      </w:pPr>
      <w:hyperlink r:id="rId28" w:anchor="ib035cc8759904e51927d703ec8414366_7" w:history="1">
        <w:r>
          <w:rPr>
            <w:rStyle w:val="a5"/>
            <w:rFonts w:ascii="Arial" w:eastAsia="宋体" w:hAnsi="Arial" w:cs="Arial"/>
            <w:b/>
            <w:bCs/>
            <w:sz w:val="16"/>
            <w:szCs w:val="16"/>
          </w:rPr>
          <w:t>Table of Contents</w:t>
        </w:r>
      </w:hyperlink>
    </w:p>
    <w:p w14:paraId="20ADF7A9" w14:textId="77777777" w:rsidR="00B626E7" w:rsidRDefault="00B626E7">
      <w:pPr>
        <w:spacing w:after="180"/>
        <w:jc w:val="right"/>
      </w:pPr>
    </w:p>
    <w:p w14:paraId="20ADF7AA" w14:textId="77777777" w:rsidR="00B626E7" w:rsidRDefault="00175C1D">
      <w:pPr>
        <w:spacing w:after="180"/>
      </w:pPr>
      <w:r>
        <w:rPr>
          <w:rFonts w:ascii="Arial" w:eastAsia="宋体" w:hAnsi="Arial" w:cs="Arial"/>
          <w:b/>
          <w:bCs/>
          <w:color w:val="0071C5"/>
          <w:sz w:val="28"/>
          <w:szCs w:val="28"/>
        </w:rPr>
        <w:t>FORWARD-LOOKING STATEMENTS</w:t>
      </w:r>
    </w:p>
    <w:p w14:paraId="20ADF7AB" w14:textId="77777777" w:rsidR="00B626E7" w:rsidRDefault="00175C1D">
      <w:pPr>
        <w:spacing w:after="180"/>
      </w:pPr>
      <w:r>
        <w:rPr>
          <w:rFonts w:ascii="Arial" w:eastAsia="宋体" w:hAnsi="Arial" w:cs="Arial"/>
          <w:color w:val="333333"/>
          <w:sz w:val="18"/>
          <w:szCs w:val="18"/>
        </w:rPr>
        <w:t>This Form 10-Q contains forward-looking statements that i</w:t>
      </w:r>
      <w:r>
        <w:rPr>
          <w:rFonts w:ascii="Arial" w:eastAsia="宋体" w:hAnsi="Arial" w:cs="Arial"/>
          <w:color w:val="333333"/>
          <w:sz w:val="18"/>
          <w:szCs w:val="18"/>
        </w:rPr>
        <w:t>nvolve a number of risks and uncertainties. Words such as "anticipate," "expect," "intend," "pledge," "committed," "plan," "mission," "opportunities," "future," "upcoming," "believes," "targeted," "estimates," "continue," "likely," "may," "might," "potenti</w:t>
      </w:r>
      <w:r>
        <w:rPr>
          <w:rFonts w:ascii="Arial" w:eastAsia="宋体" w:hAnsi="Arial" w:cs="Arial"/>
          <w:color w:val="333333"/>
          <w:sz w:val="18"/>
          <w:szCs w:val="18"/>
        </w:rPr>
        <w:t xml:space="preserve">ally," "will," "would," "should," "could," and variations of such words and similar expressions are intended to identify such forward-looking statements. In addition, any statements that refer to future responses to and effects of COVID-19; projections of </w:t>
      </w:r>
      <w:r>
        <w:rPr>
          <w:rFonts w:ascii="Arial" w:eastAsia="宋体" w:hAnsi="Arial" w:cs="Arial"/>
          <w:color w:val="333333"/>
          <w:sz w:val="18"/>
          <w:szCs w:val="18"/>
        </w:rPr>
        <w:t xml:space="preserve">our future financial performance and demand; our anticipated growth and trends in our businesses or operations; projected growth and trends in markets relevant to our businesses; business plans; future products and technology and the expected availability </w:t>
      </w:r>
      <w:r>
        <w:rPr>
          <w:rFonts w:ascii="Arial" w:eastAsia="宋体" w:hAnsi="Arial" w:cs="Arial"/>
          <w:color w:val="333333"/>
          <w:sz w:val="18"/>
          <w:szCs w:val="18"/>
        </w:rPr>
        <w:t>and benefits of such products and technology, including our 10nm and 7nm process technologies, products, and product designs; expectations regarding construction projects; expected timing and impact of acquisitions, divestitures, and other significant tran</w:t>
      </w:r>
      <w:r>
        <w:rPr>
          <w:rFonts w:ascii="Arial" w:eastAsia="宋体" w:hAnsi="Arial" w:cs="Arial"/>
          <w:color w:val="333333"/>
          <w:sz w:val="18"/>
          <w:szCs w:val="18"/>
        </w:rPr>
        <w:t>sactions; expected completion of restructuring activities; availability, uses, sufficiency, and cost of capital and capital resources, including expected returns to stockholders such as dividends and share repurchases; accounting estimates and judgments re</w:t>
      </w:r>
      <w:r>
        <w:rPr>
          <w:rFonts w:ascii="Arial" w:eastAsia="宋体" w:hAnsi="Arial" w:cs="Arial"/>
          <w:color w:val="333333"/>
          <w:sz w:val="18"/>
          <w:szCs w:val="18"/>
        </w:rPr>
        <w:t>garding reported matters, events and contingencies and our intentions with respect to such matters, events and contingencies, and the actual results thereof; future production capacity and product supply; the future purchase, use, and availability of produ</w:t>
      </w:r>
      <w:r>
        <w:rPr>
          <w:rFonts w:ascii="Arial" w:eastAsia="宋体" w:hAnsi="Arial" w:cs="Arial"/>
          <w:color w:val="333333"/>
          <w:sz w:val="18"/>
          <w:szCs w:val="18"/>
        </w:rPr>
        <w:t>cts, components and services supplied by third parties, including third-party manufacturing services; tax-related expectations; uncertain events or assumptions; and other characterizations of future events or circumstances are forward-looking statements. S</w:t>
      </w:r>
      <w:r>
        <w:rPr>
          <w:rFonts w:ascii="Arial" w:eastAsia="宋体" w:hAnsi="Arial" w:cs="Arial"/>
          <w:color w:val="333333"/>
          <w:sz w:val="18"/>
          <w:szCs w:val="18"/>
        </w:rPr>
        <w:t>uch statements are based on management's expectations as of the date of this filing and involve many risks and uncertainties that could cause our actual results to differ materially from those expressed or implied in our forward-looking statements. Such ri</w:t>
      </w:r>
      <w:r>
        <w:rPr>
          <w:rFonts w:ascii="Arial" w:eastAsia="宋体" w:hAnsi="Arial" w:cs="Arial"/>
          <w:color w:val="333333"/>
          <w:sz w:val="18"/>
          <w:szCs w:val="18"/>
        </w:rPr>
        <w:t>sks and uncertainties include those described throughout this report, our 2019 Form 10-K, and our Form 10-Q for the quarter ended March 28, 2020, particularly the "Risk Factors" sections of such reports. Given these risks and uncertainties, readers are cau</w:t>
      </w:r>
      <w:r>
        <w:rPr>
          <w:rFonts w:ascii="Arial" w:eastAsia="宋体" w:hAnsi="Arial" w:cs="Arial"/>
          <w:color w:val="333333"/>
          <w:sz w:val="18"/>
          <w:szCs w:val="18"/>
        </w:rPr>
        <w:t>tioned not to place undue reliance on such forward-looking statements. Readers are urged to carefully review and consider the various disclosures made in this Form 10-Q and in other documents we file from time to time with the SEC that disclose risks and u</w:t>
      </w:r>
      <w:r>
        <w:rPr>
          <w:rFonts w:ascii="Arial" w:eastAsia="宋体" w:hAnsi="Arial" w:cs="Arial"/>
          <w:color w:val="333333"/>
          <w:sz w:val="18"/>
          <w:szCs w:val="18"/>
        </w:rPr>
        <w:t>ncertainties that may affect our business. Unless specifically indicated otherwise, the forward-looking statements in this Form 10-Q do not reflect the potential impact of any divestitures, mergers, acquisitions, or other business combinations that have no</w:t>
      </w:r>
      <w:r>
        <w:rPr>
          <w:rFonts w:ascii="Arial" w:eastAsia="宋体" w:hAnsi="Arial" w:cs="Arial"/>
          <w:color w:val="333333"/>
          <w:sz w:val="18"/>
          <w:szCs w:val="18"/>
        </w:rPr>
        <w:t>t been completed as of the date of this filing. In addition, the forward-looking statements in this Form 10-Q are made as of the date of this filing, including expectations based on third-party information and projections that management believes to be rep</w:t>
      </w:r>
      <w:r>
        <w:rPr>
          <w:rFonts w:ascii="Arial" w:eastAsia="宋体" w:hAnsi="Arial" w:cs="Arial"/>
          <w:color w:val="333333"/>
          <w:sz w:val="18"/>
          <w:szCs w:val="18"/>
        </w:rPr>
        <w:t>utable, and Intel does not undertake, and expressly disclaims any duty, to update such statements, whether as a result of new information, new developments, or otherwise, except to the extent that disclosure may be required by law.</w:t>
      </w:r>
    </w:p>
    <w:p w14:paraId="20ADF7AC" w14:textId="77777777" w:rsidR="00B626E7" w:rsidRDefault="00B626E7">
      <w:pPr>
        <w:spacing w:after="180"/>
      </w:pPr>
    </w:p>
    <w:p w14:paraId="20ADF7AD" w14:textId="77777777" w:rsidR="00B626E7" w:rsidRDefault="00B626E7">
      <w:pPr>
        <w:spacing w:after="180"/>
      </w:pPr>
    </w:p>
    <w:p w14:paraId="20ADF7AE" w14:textId="77777777" w:rsidR="00B626E7" w:rsidRDefault="00B626E7">
      <w:pPr>
        <w:spacing w:after="180"/>
      </w:pPr>
    </w:p>
    <w:p w14:paraId="20ADF7AF" w14:textId="77777777" w:rsidR="00B626E7" w:rsidRDefault="00B626E7">
      <w:pPr>
        <w:spacing w:after="180"/>
      </w:pPr>
    </w:p>
    <w:p w14:paraId="20ADF7B0" w14:textId="77777777" w:rsidR="00B626E7" w:rsidRDefault="00B626E7">
      <w:pPr>
        <w:spacing w:after="180"/>
      </w:pPr>
    </w:p>
    <w:p w14:paraId="20ADF7B1" w14:textId="77777777" w:rsidR="00B626E7" w:rsidRDefault="00B626E7">
      <w:pPr>
        <w:spacing w:after="180"/>
      </w:pPr>
    </w:p>
    <w:p w14:paraId="20ADF7B2" w14:textId="77777777" w:rsidR="00B626E7" w:rsidRDefault="00B626E7">
      <w:pPr>
        <w:spacing w:after="180"/>
      </w:pPr>
    </w:p>
    <w:p w14:paraId="20ADF7B3" w14:textId="77777777" w:rsidR="00B626E7" w:rsidRDefault="00B626E7">
      <w:pPr>
        <w:spacing w:after="180"/>
      </w:pPr>
    </w:p>
    <w:p w14:paraId="20ADF7B4" w14:textId="77777777" w:rsidR="00B626E7" w:rsidRDefault="00B626E7">
      <w:pPr>
        <w:spacing w:after="180"/>
      </w:pPr>
    </w:p>
    <w:p w14:paraId="20ADF7B5" w14:textId="77777777" w:rsidR="00B626E7" w:rsidRDefault="00B626E7">
      <w:pPr>
        <w:spacing w:after="180"/>
      </w:pPr>
    </w:p>
    <w:p w14:paraId="20ADF7B6" w14:textId="77777777" w:rsidR="00B626E7" w:rsidRDefault="00B626E7">
      <w:pPr>
        <w:spacing w:after="180"/>
      </w:pPr>
    </w:p>
    <w:p w14:paraId="20ADF7B7" w14:textId="77777777" w:rsidR="00B626E7" w:rsidRDefault="00B626E7">
      <w:pPr>
        <w:spacing w:after="180"/>
      </w:pPr>
    </w:p>
    <w:p w14:paraId="20ADF7B8" w14:textId="77777777" w:rsidR="00B626E7" w:rsidRDefault="00B626E7">
      <w:pPr>
        <w:spacing w:after="180"/>
      </w:pPr>
    </w:p>
    <w:p w14:paraId="20ADF7B9" w14:textId="77777777" w:rsidR="00B626E7" w:rsidRDefault="00B626E7">
      <w:pPr>
        <w:spacing w:after="180"/>
      </w:pPr>
    </w:p>
    <w:p w14:paraId="20ADF7BA" w14:textId="77777777" w:rsidR="00B626E7" w:rsidRDefault="00B626E7">
      <w:pPr>
        <w:spacing w:after="180"/>
      </w:pPr>
    </w:p>
    <w:p w14:paraId="20ADF7BB" w14:textId="77777777" w:rsidR="00B626E7" w:rsidRDefault="00B626E7">
      <w:pPr>
        <w:spacing w:after="180"/>
      </w:pPr>
    </w:p>
    <w:p w14:paraId="20ADF7BC" w14:textId="77777777" w:rsidR="00B626E7" w:rsidRDefault="00B626E7">
      <w:pPr>
        <w:spacing w:after="180"/>
      </w:pPr>
    </w:p>
    <w:p w14:paraId="20ADF7BD" w14:textId="77777777" w:rsidR="00B626E7" w:rsidRDefault="00B626E7">
      <w:pPr>
        <w:spacing w:after="180"/>
      </w:pPr>
    </w:p>
    <w:p w14:paraId="20ADF7BE" w14:textId="77777777" w:rsidR="00B626E7" w:rsidRDefault="00175C1D">
      <w:pPr>
        <w:spacing w:after="180"/>
      </w:pPr>
      <w:r>
        <w:rPr>
          <w:rFonts w:ascii="Arial" w:eastAsia="宋体" w:hAnsi="Arial" w:cs="Arial"/>
          <w:i/>
          <w:iCs/>
          <w:color w:val="333333"/>
          <w:sz w:val="16"/>
          <w:szCs w:val="16"/>
        </w:rPr>
        <w:t>Intel,</w:t>
      </w:r>
      <w:r>
        <w:rPr>
          <w:rFonts w:ascii="Arial" w:eastAsia="宋体" w:hAnsi="Arial" w:cs="Arial"/>
          <w:i/>
          <w:iCs/>
          <w:color w:val="333333"/>
          <w:sz w:val="16"/>
          <w:szCs w:val="16"/>
        </w:rPr>
        <w:t xml:space="preserve"> the Intel logo, 3D XPoint, Intel Atom, Intel Core, Intel Optane, Stratix, and Xeon, are trademarks of Intel Corporation or its subsidiaries in the U.S. and/or other countries. </w:t>
      </w:r>
    </w:p>
    <w:p w14:paraId="20ADF7BF" w14:textId="77777777" w:rsidR="00B626E7" w:rsidRDefault="00175C1D">
      <w:pPr>
        <w:spacing w:after="180"/>
      </w:pPr>
      <w:r>
        <w:rPr>
          <w:rFonts w:ascii="Arial" w:eastAsia="宋体" w:hAnsi="Arial" w:cs="Arial"/>
          <w:i/>
          <w:iCs/>
          <w:color w:val="333333"/>
          <w:sz w:val="16"/>
          <w:szCs w:val="16"/>
        </w:rPr>
        <w:t>* Other names and brands may be claimed as the property of others.</w:t>
      </w:r>
    </w:p>
    <w:tbl>
      <w:tblPr>
        <w:tblW w:w="5000" w:type="pct"/>
        <w:tblCellMar>
          <w:top w:w="15" w:type="dxa"/>
          <w:left w:w="15" w:type="dxa"/>
          <w:bottom w:w="15" w:type="dxa"/>
          <w:right w:w="15" w:type="dxa"/>
        </w:tblCellMar>
        <w:tblLook w:val="04A0" w:firstRow="1" w:lastRow="0" w:firstColumn="1" w:lastColumn="0" w:noHBand="0" w:noVBand="1"/>
      </w:tblPr>
      <w:tblGrid>
        <w:gridCol w:w="84"/>
        <w:gridCol w:w="2408"/>
        <w:gridCol w:w="84"/>
        <w:gridCol w:w="84"/>
        <w:gridCol w:w="2419"/>
        <w:gridCol w:w="83"/>
        <w:gridCol w:w="83"/>
        <w:gridCol w:w="3008"/>
        <w:gridCol w:w="83"/>
      </w:tblGrid>
      <w:tr w:rsidR="00B626E7" w14:paraId="20ADF7C9" w14:textId="77777777">
        <w:tc>
          <w:tcPr>
            <w:tcW w:w="50" w:type="pct"/>
            <w:shd w:val="clear" w:color="auto" w:fill="auto"/>
            <w:vAlign w:val="bottom"/>
          </w:tcPr>
          <w:p w14:paraId="20ADF7C0" w14:textId="77777777" w:rsidR="00B626E7" w:rsidRDefault="00B626E7">
            <w:pPr>
              <w:rPr>
                <w:rFonts w:ascii="宋体"/>
              </w:rPr>
            </w:pPr>
          </w:p>
        </w:tc>
        <w:tc>
          <w:tcPr>
            <w:tcW w:w="1444" w:type="pct"/>
            <w:shd w:val="clear" w:color="auto" w:fill="auto"/>
            <w:vAlign w:val="bottom"/>
          </w:tcPr>
          <w:p w14:paraId="20ADF7C1" w14:textId="77777777" w:rsidR="00B626E7" w:rsidRDefault="00B626E7">
            <w:pPr>
              <w:rPr>
                <w:rFonts w:ascii="宋体"/>
              </w:rPr>
            </w:pPr>
          </w:p>
        </w:tc>
        <w:tc>
          <w:tcPr>
            <w:tcW w:w="50" w:type="pct"/>
            <w:shd w:val="clear" w:color="auto" w:fill="auto"/>
            <w:vAlign w:val="bottom"/>
          </w:tcPr>
          <w:p w14:paraId="20ADF7C2" w14:textId="77777777" w:rsidR="00B626E7" w:rsidRDefault="00B626E7">
            <w:pPr>
              <w:rPr>
                <w:rFonts w:ascii="宋体"/>
              </w:rPr>
            </w:pPr>
          </w:p>
        </w:tc>
        <w:tc>
          <w:tcPr>
            <w:tcW w:w="50" w:type="pct"/>
            <w:shd w:val="clear" w:color="auto" w:fill="auto"/>
            <w:vAlign w:val="bottom"/>
          </w:tcPr>
          <w:p w14:paraId="20ADF7C3" w14:textId="77777777" w:rsidR="00B626E7" w:rsidRDefault="00B626E7">
            <w:pPr>
              <w:rPr>
                <w:rFonts w:ascii="宋体"/>
              </w:rPr>
            </w:pPr>
          </w:p>
        </w:tc>
        <w:tc>
          <w:tcPr>
            <w:tcW w:w="1451" w:type="pct"/>
            <w:shd w:val="clear" w:color="auto" w:fill="auto"/>
            <w:vAlign w:val="bottom"/>
          </w:tcPr>
          <w:p w14:paraId="20ADF7C4" w14:textId="77777777" w:rsidR="00B626E7" w:rsidRDefault="00B626E7">
            <w:pPr>
              <w:rPr>
                <w:rFonts w:ascii="宋体"/>
              </w:rPr>
            </w:pPr>
          </w:p>
        </w:tc>
        <w:tc>
          <w:tcPr>
            <w:tcW w:w="50" w:type="pct"/>
            <w:shd w:val="clear" w:color="auto" w:fill="auto"/>
            <w:vAlign w:val="bottom"/>
          </w:tcPr>
          <w:p w14:paraId="20ADF7C5" w14:textId="77777777" w:rsidR="00B626E7" w:rsidRDefault="00B626E7">
            <w:pPr>
              <w:rPr>
                <w:rFonts w:ascii="宋体"/>
              </w:rPr>
            </w:pPr>
          </w:p>
        </w:tc>
        <w:tc>
          <w:tcPr>
            <w:tcW w:w="50" w:type="pct"/>
            <w:shd w:val="clear" w:color="auto" w:fill="auto"/>
            <w:vAlign w:val="bottom"/>
          </w:tcPr>
          <w:p w14:paraId="20ADF7C6" w14:textId="77777777" w:rsidR="00B626E7" w:rsidRDefault="00B626E7">
            <w:pPr>
              <w:rPr>
                <w:rFonts w:ascii="宋体"/>
              </w:rPr>
            </w:pPr>
          </w:p>
        </w:tc>
        <w:tc>
          <w:tcPr>
            <w:tcW w:w="1804" w:type="pct"/>
            <w:shd w:val="clear" w:color="auto" w:fill="auto"/>
            <w:vAlign w:val="bottom"/>
          </w:tcPr>
          <w:p w14:paraId="20ADF7C7" w14:textId="77777777" w:rsidR="00B626E7" w:rsidRDefault="00B626E7">
            <w:pPr>
              <w:rPr>
                <w:rFonts w:ascii="宋体"/>
              </w:rPr>
            </w:pPr>
          </w:p>
        </w:tc>
        <w:tc>
          <w:tcPr>
            <w:tcW w:w="50" w:type="pct"/>
            <w:shd w:val="clear" w:color="auto" w:fill="auto"/>
            <w:vAlign w:val="bottom"/>
          </w:tcPr>
          <w:p w14:paraId="20ADF7C8" w14:textId="77777777" w:rsidR="00B626E7" w:rsidRDefault="00B626E7">
            <w:pPr>
              <w:rPr>
                <w:rFonts w:ascii="宋体"/>
              </w:rPr>
            </w:pPr>
          </w:p>
        </w:tc>
      </w:tr>
      <w:tr w:rsidR="00B626E7" w14:paraId="20ADF7CD" w14:textId="77777777">
        <w:tc>
          <w:tcPr>
            <w:tcW w:w="0" w:type="auto"/>
            <w:gridSpan w:val="3"/>
            <w:tcBorders>
              <w:top w:val="single" w:sz="8" w:space="0" w:color="0071C5"/>
            </w:tcBorders>
            <w:shd w:val="clear" w:color="auto" w:fill="auto"/>
            <w:tcMar>
              <w:top w:w="40" w:type="dxa"/>
              <w:left w:w="20" w:type="dxa"/>
              <w:bottom w:w="40" w:type="dxa"/>
              <w:right w:w="20" w:type="dxa"/>
            </w:tcMar>
            <w:vAlign w:val="center"/>
          </w:tcPr>
          <w:p w14:paraId="20ADF7CA" w14:textId="77777777" w:rsidR="00B626E7" w:rsidRDefault="00175C1D">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Viewer10_files/intc-20200627_g2.jpg"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12" wp14:editId="20AE3C13">
                  <wp:extent cx="304800" cy="304800"/>
                  <wp:effectExtent l="0" t="0" r="0" b="0"/>
                  <wp:docPr id="57" name="图片 3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7" descr="IMG_25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71C5"/>
            </w:tcBorders>
            <w:shd w:val="clear" w:color="auto" w:fill="auto"/>
            <w:tcMar>
              <w:left w:w="20" w:type="dxa"/>
              <w:right w:w="20" w:type="dxa"/>
            </w:tcMar>
            <w:vAlign w:val="bottom"/>
          </w:tcPr>
          <w:p w14:paraId="20ADF7CB"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DF7CC" w14:textId="77777777" w:rsidR="00B626E7" w:rsidRDefault="00175C1D">
            <w:pPr>
              <w:jc w:val="right"/>
              <w:textAlignment w:val="bottom"/>
            </w:pPr>
            <w:r>
              <w:rPr>
                <w:rFonts w:ascii="Arial" w:eastAsia="宋体" w:hAnsi="Arial" w:cs="Arial"/>
                <w:color w:val="333333"/>
                <w:sz w:val="16"/>
                <w:szCs w:val="16"/>
              </w:rPr>
              <w:t>1</w:t>
            </w:r>
          </w:p>
        </w:tc>
      </w:tr>
    </w:tbl>
    <w:p w14:paraId="20ADF7CE" w14:textId="77777777" w:rsidR="00B626E7" w:rsidRDefault="00175C1D">
      <w:r>
        <w:pict w14:anchorId="20AE3C14">
          <v:rect id="_x0000_i1027" style="width:415.3pt;height:1.5pt" o:hralign="center" o:hrstd="t" o:hr="t" fillcolor="#a0a0a0" stroked="f"/>
        </w:pict>
      </w:r>
    </w:p>
    <w:p w14:paraId="20ADF7CF" w14:textId="77777777" w:rsidR="00B626E7" w:rsidRDefault="00175C1D">
      <w:pPr>
        <w:spacing w:after="180"/>
        <w:jc w:val="right"/>
      </w:pPr>
      <w:hyperlink r:id="rId29" w:anchor="ib035cc8759904e51927d703ec8414366_7" w:history="1">
        <w:r>
          <w:rPr>
            <w:rStyle w:val="a5"/>
            <w:rFonts w:ascii="Arial" w:eastAsia="宋体" w:hAnsi="Arial" w:cs="Arial"/>
            <w:b/>
            <w:bCs/>
            <w:sz w:val="16"/>
            <w:szCs w:val="16"/>
          </w:rPr>
          <w:t>Table of Contents</w:t>
        </w:r>
      </w:hyperlink>
    </w:p>
    <w:p w14:paraId="20ADF7D0" w14:textId="77777777" w:rsidR="00B626E7" w:rsidRDefault="00B626E7">
      <w:pPr>
        <w:spacing w:after="180"/>
        <w:jc w:val="right"/>
      </w:pPr>
    </w:p>
    <w:tbl>
      <w:tblPr>
        <w:tblW w:w="5000" w:type="pct"/>
        <w:jc w:val="center"/>
        <w:tblCellMar>
          <w:top w:w="15" w:type="dxa"/>
          <w:left w:w="15" w:type="dxa"/>
          <w:bottom w:w="15" w:type="dxa"/>
          <w:right w:w="15" w:type="dxa"/>
        </w:tblCellMar>
        <w:tblLook w:val="04A0" w:firstRow="1" w:lastRow="0" w:firstColumn="1" w:lastColumn="0" w:noHBand="0" w:noVBand="1"/>
      </w:tblPr>
      <w:tblGrid>
        <w:gridCol w:w="84"/>
        <w:gridCol w:w="8169"/>
        <w:gridCol w:w="83"/>
      </w:tblGrid>
      <w:tr w:rsidR="00B626E7" w14:paraId="20ADF7D4" w14:textId="77777777">
        <w:trPr>
          <w:jc w:val="center"/>
        </w:trPr>
        <w:tc>
          <w:tcPr>
            <w:tcW w:w="50" w:type="pct"/>
            <w:shd w:val="clear" w:color="auto" w:fill="auto"/>
          </w:tcPr>
          <w:p w14:paraId="20ADF7D1" w14:textId="77777777" w:rsidR="00B626E7" w:rsidRDefault="00B626E7">
            <w:pPr>
              <w:rPr>
                <w:rFonts w:ascii="宋体"/>
              </w:rPr>
            </w:pPr>
          </w:p>
        </w:tc>
        <w:tc>
          <w:tcPr>
            <w:tcW w:w="4900" w:type="pct"/>
            <w:shd w:val="clear" w:color="auto" w:fill="auto"/>
          </w:tcPr>
          <w:p w14:paraId="20ADF7D2" w14:textId="77777777" w:rsidR="00B626E7" w:rsidRDefault="00B626E7">
            <w:pPr>
              <w:rPr>
                <w:rFonts w:ascii="宋体"/>
              </w:rPr>
            </w:pPr>
          </w:p>
        </w:tc>
        <w:tc>
          <w:tcPr>
            <w:tcW w:w="50" w:type="pct"/>
            <w:shd w:val="clear" w:color="auto" w:fill="auto"/>
          </w:tcPr>
          <w:p w14:paraId="20ADF7D3" w14:textId="77777777" w:rsidR="00B626E7" w:rsidRDefault="00B626E7">
            <w:pPr>
              <w:rPr>
                <w:rFonts w:ascii="宋体"/>
              </w:rPr>
            </w:pPr>
          </w:p>
        </w:tc>
      </w:tr>
      <w:tr w:rsidR="00B626E7" w14:paraId="20ADF7D6" w14:textId="77777777">
        <w:trPr>
          <w:jc w:val="center"/>
        </w:trPr>
        <w:tc>
          <w:tcPr>
            <w:tcW w:w="0" w:type="auto"/>
            <w:gridSpan w:val="3"/>
            <w:shd w:val="clear" w:color="auto" w:fill="0071C5"/>
            <w:tcMar>
              <w:top w:w="40" w:type="dxa"/>
              <w:left w:w="20" w:type="dxa"/>
              <w:bottom w:w="40" w:type="dxa"/>
              <w:right w:w="20" w:type="dxa"/>
            </w:tcMar>
            <w:vAlign w:val="bottom"/>
          </w:tcPr>
          <w:p w14:paraId="20ADF7D5" w14:textId="77777777" w:rsidR="00B626E7" w:rsidRDefault="00175C1D">
            <w:pPr>
              <w:textAlignment w:val="bottom"/>
            </w:pPr>
            <w:r>
              <w:rPr>
                <w:rFonts w:ascii="Arial" w:eastAsia="宋体" w:hAnsi="Arial" w:cs="Arial"/>
                <w:b/>
                <w:bCs/>
                <w:color w:val="FFFFFF"/>
                <w:sz w:val="28"/>
                <w:szCs w:val="28"/>
              </w:rPr>
              <w:t>OUR PANDEMIC RESPONSE</w:t>
            </w:r>
          </w:p>
        </w:tc>
      </w:tr>
    </w:tbl>
    <w:p w14:paraId="20ADF7D7" w14:textId="77777777" w:rsidR="00B626E7" w:rsidRDefault="00175C1D">
      <w:pPr>
        <w:spacing w:after="180"/>
      </w:pPr>
      <w:r>
        <w:rPr>
          <w:rFonts w:ascii="Arial" w:eastAsia="宋体" w:hAnsi="Arial" w:cs="Arial"/>
          <w:color w:val="333333"/>
          <w:sz w:val="18"/>
          <w:szCs w:val="18"/>
        </w:rPr>
        <w:t>As we closely monitor the COVID-19 pandemic, our top priority remains protecting the health and safety of our employees. Our Pandemic Leadership Team regularly reviews and adapts our policies based on evolving research and guidance related to the virus. Wh</w:t>
      </w:r>
      <w:r>
        <w:rPr>
          <w:rFonts w:ascii="Arial" w:eastAsia="宋体" w:hAnsi="Arial" w:cs="Arial"/>
          <w:color w:val="333333"/>
          <w:sz w:val="18"/>
          <w:szCs w:val="18"/>
        </w:rPr>
        <w:t>ile essential operations continue in our factories and labs around the world, we have restricted travel and meetings, changed our business processes, published a wealth of information, and adapted to a world where many in our workforce are remote and those</w:t>
      </w:r>
      <w:r>
        <w:rPr>
          <w:rFonts w:ascii="Arial" w:eastAsia="宋体" w:hAnsi="Arial" w:cs="Arial"/>
          <w:color w:val="333333"/>
          <w:sz w:val="18"/>
          <w:szCs w:val="18"/>
        </w:rPr>
        <w:t xml:space="preserve"> coming on-site are following new safety measures. We have a multi-phase plan to return to working on-site, and remain committed to delivering for our customers and supporting our communities. </w:t>
      </w:r>
    </w:p>
    <w:p w14:paraId="20ADF7D8" w14:textId="77777777" w:rsidR="00B626E7" w:rsidRDefault="00175C1D">
      <w:pPr>
        <w:spacing w:after="180"/>
      </w:pPr>
      <w:r>
        <w:rPr>
          <w:rFonts w:ascii="Arial" w:eastAsia="宋体" w:hAnsi="Arial" w:cs="Arial"/>
          <w:color w:val="0071C5"/>
          <w:sz w:val="18"/>
          <w:szCs w:val="18"/>
        </w:rPr>
        <w:t>Return to working on-site, at-work social distancing policies,</w:t>
      </w:r>
      <w:r>
        <w:rPr>
          <w:rFonts w:ascii="Arial" w:eastAsia="宋体" w:hAnsi="Arial" w:cs="Arial"/>
          <w:color w:val="0071C5"/>
          <w:sz w:val="18"/>
          <w:szCs w:val="18"/>
        </w:rPr>
        <w:t xml:space="preserve"> and other safety measures.</w:t>
      </w:r>
      <w:r>
        <w:rPr>
          <w:rFonts w:ascii="Arial" w:eastAsia="宋体" w:hAnsi="Arial" w:cs="Arial"/>
          <w:color w:val="333333"/>
          <w:sz w:val="18"/>
          <w:szCs w:val="18"/>
        </w:rPr>
        <w:t xml:space="preserve"> Since the start of the pandemic, employees who are essential to keeping our business running have continued to work on site in our labs and factories. The additional safety measures and practices we put in place during the first</w:t>
      </w:r>
      <w:r>
        <w:rPr>
          <w:rFonts w:ascii="Arial" w:eastAsia="宋体" w:hAnsi="Arial" w:cs="Arial"/>
          <w:color w:val="333333"/>
          <w:sz w:val="18"/>
          <w:szCs w:val="18"/>
        </w:rPr>
        <w:t xml:space="preserve"> quarter of 2020 to protect these employees continue to be implemented subject to each location’s return on-site processes. </w:t>
      </w:r>
    </w:p>
    <w:p w14:paraId="20ADF7D9" w14:textId="77777777" w:rsidR="00B626E7" w:rsidRDefault="00175C1D">
      <w:pPr>
        <w:spacing w:after="180"/>
      </w:pPr>
      <w:r>
        <w:rPr>
          <w:rFonts w:ascii="Arial" w:eastAsia="宋体" w:hAnsi="Arial" w:cs="Arial"/>
          <w:color w:val="333333"/>
          <w:sz w:val="18"/>
          <w:szCs w:val="18"/>
        </w:rPr>
        <w:t>Our plan for returning the remainder of our workforce to work on-site involves multiple phases that gradually allow additional work</w:t>
      </w:r>
      <w:r>
        <w:rPr>
          <w:rFonts w:ascii="Arial" w:eastAsia="宋体" w:hAnsi="Arial" w:cs="Arial"/>
          <w:color w:val="333333"/>
          <w:sz w:val="18"/>
          <w:szCs w:val="18"/>
        </w:rPr>
        <w:t>ers to return while practicing social distancing and other safety measures. This plan considers the varying needs of each location and site and depends on local government regulations, community case trends, and recommendations from public health organizat</w:t>
      </w:r>
      <w:r>
        <w:rPr>
          <w:rFonts w:ascii="Arial" w:eastAsia="宋体" w:hAnsi="Arial" w:cs="Arial"/>
          <w:color w:val="333333"/>
          <w:sz w:val="18"/>
          <w:szCs w:val="18"/>
        </w:rPr>
        <w:t>ions. In the second quarter of 2020, we implemented a telecommuting reimbursement program to help those employees who are still required to work from home improve their workspaces.</w:t>
      </w:r>
    </w:p>
    <w:p w14:paraId="20ADF7DA" w14:textId="77777777" w:rsidR="00B626E7" w:rsidRDefault="00175C1D">
      <w:pPr>
        <w:spacing w:after="180"/>
      </w:pPr>
      <w:r>
        <w:rPr>
          <w:rFonts w:ascii="Arial" w:eastAsia="宋体" w:hAnsi="Arial" w:cs="Arial"/>
          <w:color w:val="333333"/>
          <w:sz w:val="18"/>
          <w:szCs w:val="18"/>
        </w:rPr>
        <w:t>Maintaining safe facilities is core to how we operate. Based on the recomme</w:t>
      </w:r>
      <w:r>
        <w:rPr>
          <w:rFonts w:ascii="Arial" w:eastAsia="宋体" w:hAnsi="Arial" w:cs="Arial"/>
          <w:color w:val="333333"/>
          <w:sz w:val="18"/>
          <w:szCs w:val="18"/>
        </w:rPr>
        <w:t>ndations from national and international health authorities, and the results of recent scientific studies, we are now mandating the use of facemasks for all employees at all Intel sites during all phases of our return to on-site process, except in the fina</w:t>
      </w:r>
      <w:r>
        <w:rPr>
          <w:rFonts w:ascii="Arial" w:eastAsia="宋体" w:hAnsi="Arial" w:cs="Arial"/>
          <w:color w:val="333333"/>
          <w:sz w:val="18"/>
          <w:szCs w:val="18"/>
        </w:rPr>
        <w:t>l phase when facemasks are recommended rather than mandated.</w:t>
      </w:r>
    </w:p>
    <w:p w14:paraId="20ADF7DB" w14:textId="77777777" w:rsidR="00B626E7" w:rsidRDefault="00175C1D">
      <w:pPr>
        <w:spacing w:after="180"/>
      </w:pPr>
      <w:r>
        <w:rPr>
          <w:rFonts w:ascii="Arial" w:eastAsia="宋体" w:hAnsi="Arial" w:cs="Arial"/>
          <w:color w:val="0071C5"/>
          <w:sz w:val="18"/>
          <w:szCs w:val="18"/>
        </w:rPr>
        <w:t>Operations.</w:t>
      </w:r>
      <w:r>
        <w:rPr>
          <w:rFonts w:ascii="Arial" w:eastAsia="宋体" w:hAnsi="Arial" w:cs="Arial"/>
          <w:color w:val="333333"/>
          <w:sz w:val="18"/>
          <w:szCs w:val="18"/>
        </w:rPr>
        <w:t xml:space="preserve"> With our factories continuing to operate world-wide, we are working with our customers to meet their specific shipment needs. Our world-class safety standards and supply chain operati</w:t>
      </w:r>
      <w:r>
        <w:rPr>
          <w:rFonts w:ascii="Arial" w:eastAsia="宋体" w:hAnsi="Arial" w:cs="Arial"/>
          <w:color w:val="333333"/>
          <w:sz w:val="18"/>
          <w:szCs w:val="18"/>
        </w:rPr>
        <w:t>ons have to date allowed our factories to continue to operate safely and with mostly on-time deliveries. We temporarily paused a few of our construction projects in the first quarter of 2020 due to local government restrictions at a small number of our sit</w:t>
      </w:r>
      <w:r>
        <w:rPr>
          <w:rFonts w:ascii="Arial" w:eastAsia="宋体" w:hAnsi="Arial" w:cs="Arial"/>
          <w:color w:val="333333"/>
          <w:sz w:val="18"/>
          <w:szCs w:val="18"/>
        </w:rPr>
        <w:t>es. Construction resumed during the quarter across all projects. We do not expect the interruptions to impact either our ability to support customers or our process technology roadmap.</w:t>
      </w:r>
    </w:p>
    <w:p w14:paraId="20ADF7DC" w14:textId="77777777" w:rsidR="00B626E7" w:rsidRDefault="00175C1D">
      <w:pPr>
        <w:spacing w:after="180"/>
      </w:pPr>
      <w:r>
        <w:rPr>
          <w:rFonts w:ascii="Arial" w:eastAsia="宋体" w:hAnsi="Arial" w:cs="Arial"/>
          <w:color w:val="0071C5"/>
          <w:sz w:val="18"/>
          <w:szCs w:val="18"/>
        </w:rPr>
        <w:t>Supply chain.</w:t>
      </w:r>
      <w:r>
        <w:rPr>
          <w:rFonts w:ascii="Arial" w:eastAsia="宋体" w:hAnsi="Arial" w:cs="Arial"/>
          <w:color w:val="333333"/>
          <w:sz w:val="18"/>
          <w:szCs w:val="18"/>
        </w:rPr>
        <w:t xml:space="preserve"> Our existing Business Continuity Program, combined with t</w:t>
      </w:r>
      <w:r>
        <w:rPr>
          <w:rFonts w:ascii="Arial" w:eastAsia="宋体" w:hAnsi="Arial" w:cs="Arial"/>
          <w:color w:val="333333"/>
          <w:sz w:val="18"/>
          <w:szCs w:val="18"/>
        </w:rPr>
        <w:t xml:space="preserve">he additional actions taken throughout the pandemic to address our supply chain, continue to support our operations as an essential business. </w:t>
      </w:r>
    </w:p>
    <w:p w14:paraId="20ADF7DD" w14:textId="77777777" w:rsidR="00B626E7" w:rsidRDefault="00175C1D">
      <w:pPr>
        <w:spacing w:after="180"/>
      </w:pPr>
      <w:r>
        <w:rPr>
          <w:rFonts w:ascii="Arial" w:eastAsia="宋体" w:hAnsi="Arial" w:cs="Arial"/>
          <w:color w:val="333333"/>
          <w:sz w:val="18"/>
          <w:szCs w:val="18"/>
        </w:rPr>
        <w:t>In the second quarter of 2020, we introduced a COVID-19 channel relief program to help address the unique busines</w:t>
      </w:r>
      <w:r>
        <w:rPr>
          <w:rFonts w:ascii="Arial" w:eastAsia="宋体" w:hAnsi="Arial" w:cs="Arial"/>
          <w:color w:val="333333"/>
          <w:sz w:val="18"/>
          <w:szCs w:val="18"/>
        </w:rPr>
        <w:t>s challenges our partners are facing. Benefits of this program include customer support and warranty timeline extensions, extending the expiration term for certain programs, financial assistance to our distribution partners, and providing no-cost design re</w:t>
      </w:r>
      <w:r>
        <w:rPr>
          <w:rFonts w:ascii="Arial" w:eastAsia="宋体" w:hAnsi="Arial" w:cs="Arial"/>
          <w:color w:val="333333"/>
          <w:sz w:val="18"/>
          <w:szCs w:val="18"/>
        </w:rPr>
        <w:t>views and additional technical enablement benefits.</w:t>
      </w:r>
    </w:p>
    <w:p w14:paraId="20ADF7DE" w14:textId="77777777" w:rsidR="00B626E7" w:rsidRDefault="00175C1D">
      <w:pPr>
        <w:spacing w:after="180"/>
      </w:pPr>
      <w:r>
        <w:rPr>
          <w:rFonts w:ascii="Arial" w:eastAsia="宋体" w:hAnsi="Arial" w:cs="Arial"/>
          <w:color w:val="0071C5"/>
          <w:sz w:val="18"/>
          <w:szCs w:val="18"/>
        </w:rPr>
        <w:t>Using our technology to help.</w:t>
      </w:r>
      <w:r>
        <w:rPr>
          <w:rFonts w:ascii="Arial" w:eastAsia="宋体" w:hAnsi="Arial" w:cs="Arial"/>
          <w:color w:val="333333"/>
          <w:sz w:val="18"/>
          <w:szCs w:val="18"/>
        </w:rPr>
        <w:t xml:space="preserve"> In April, we committed $50 million towards a Pandemic Response Technology Initiative. Since that announcement, we have worked with over 100 organizations on close to 200 proj</w:t>
      </w:r>
      <w:r>
        <w:rPr>
          <w:rFonts w:ascii="Arial" w:eastAsia="宋体" w:hAnsi="Arial" w:cs="Arial"/>
          <w:color w:val="333333"/>
          <w:sz w:val="18"/>
          <w:szCs w:val="18"/>
        </w:rPr>
        <w:t>ects aimed at helping to cope with and combat this global pandemic. We have put more than $30 million of this pledge to work on projects spanning healthcare, education, industrial, retail, transportation, academia, and more.</w:t>
      </w:r>
    </w:p>
    <w:p w14:paraId="20ADF7DF" w14:textId="77777777" w:rsidR="00B626E7" w:rsidRDefault="00175C1D">
      <w:pPr>
        <w:spacing w:after="180"/>
      </w:pPr>
      <w:r>
        <w:rPr>
          <w:rFonts w:ascii="Arial" w:eastAsia="宋体" w:hAnsi="Arial" w:cs="Arial"/>
          <w:color w:val="333333"/>
          <w:sz w:val="18"/>
          <w:szCs w:val="18"/>
        </w:rPr>
        <w:t xml:space="preserve">We will continue to actively monitor the situation and review our plans based on the requirements and recommendations of the federal, state, and local authorities. </w:t>
      </w:r>
    </w:p>
    <w:tbl>
      <w:tblPr>
        <w:tblW w:w="5000" w:type="pct"/>
        <w:tblCellMar>
          <w:top w:w="15" w:type="dxa"/>
          <w:left w:w="15" w:type="dxa"/>
          <w:bottom w:w="15" w:type="dxa"/>
          <w:right w:w="15" w:type="dxa"/>
        </w:tblCellMar>
        <w:tblLook w:val="04A0" w:firstRow="1" w:lastRow="0" w:firstColumn="1" w:lastColumn="0" w:noHBand="0" w:noVBand="1"/>
      </w:tblPr>
      <w:tblGrid>
        <w:gridCol w:w="84"/>
        <w:gridCol w:w="2220"/>
        <w:gridCol w:w="84"/>
        <w:gridCol w:w="84"/>
        <w:gridCol w:w="2026"/>
        <w:gridCol w:w="83"/>
        <w:gridCol w:w="83"/>
        <w:gridCol w:w="3589"/>
        <w:gridCol w:w="83"/>
      </w:tblGrid>
      <w:tr w:rsidR="00B626E7" w14:paraId="20ADF7E9" w14:textId="77777777">
        <w:tc>
          <w:tcPr>
            <w:tcW w:w="50" w:type="pct"/>
            <w:shd w:val="clear" w:color="auto" w:fill="auto"/>
            <w:vAlign w:val="bottom"/>
          </w:tcPr>
          <w:p w14:paraId="20ADF7E0" w14:textId="77777777" w:rsidR="00B626E7" w:rsidRDefault="00B626E7">
            <w:pPr>
              <w:rPr>
                <w:rFonts w:ascii="宋体"/>
              </w:rPr>
            </w:pPr>
          </w:p>
        </w:tc>
        <w:tc>
          <w:tcPr>
            <w:tcW w:w="1331" w:type="pct"/>
            <w:shd w:val="clear" w:color="auto" w:fill="auto"/>
            <w:vAlign w:val="bottom"/>
          </w:tcPr>
          <w:p w14:paraId="20ADF7E1" w14:textId="77777777" w:rsidR="00B626E7" w:rsidRDefault="00B626E7">
            <w:pPr>
              <w:rPr>
                <w:rFonts w:ascii="宋体"/>
              </w:rPr>
            </w:pPr>
          </w:p>
        </w:tc>
        <w:tc>
          <w:tcPr>
            <w:tcW w:w="50" w:type="pct"/>
            <w:shd w:val="clear" w:color="auto" w:fill="auto"/>
            <w:vAlign w:val="bottom"/>
          </w:tcPr>
          <w:p w14:paraId="20ADF7E2" w14:textId="77777777" w:rsidR="00B626E7" w:rsidRDefault="00B626E7">
            <w:pPr>
              <w:rPr>
                <w:rFonts w:ascii="宋体"/>
              </w:rPr>
            </w:pPr>
          </w:p>
        </w:tc>
        <w:tc>
          <w:tcPr>
            <w:tcW w:w="50" w:type="pct"/>
            <w:shd w:val="clear" w:color="auto" w:fill="auto"/>
            <w:vAlign w:val="bottom"/>
          </w:tcPr>
          <w:p w14:paraId="20ADF7E3" w14:textId="77777777" w:rsidR="00B626E7" w:rsidRDefault="00B626E7">
            <w:pPr>
              <w:rPr>
                <w:rFonts w:ascii="宋体"/>
              </w:rPr>
            </w:pPr>
          </w:p>
        </w:tc>
        <w:tc>
          <w:tcPr>
            <w:tcW w:w="1215" w:type="pct"/>
            <w:shd w:val="clear" w:color="auto" w:fill="auto"/>
            <w:vAlign w:val="bottom"/>
          </w:tcPr>
          <w:p w14:paraId="20ADF7E4" w14:textId="77777777" w:rsidR="00B626E7" w:rsidRDefault="00B626E7">
            <w:pPr>
              <w:rPr>
                <w:rFonts w:ascii="宋体"/>
              </w:rPr>
            </w:pPr>
          </w:p>
        </w:tc>
        <w:tc>
          <w:tcPr>
            <w:tcW w:w="50" w:type="pct"/>
            <w:shd w:val="clear" w:color="auto" w:fill="auto"/>
            <w:vAlign w:val="bottom"/>
          </w:tcPr>
          <w:p w14:paraId="20ADF7E5" w14:textId="77777777" w:rsidR="00B626E7" w:rsidRDefault="00B626E7">
            <w:pPr>
              <w:rPr>
                <w:rFonts w:ascii="宋体"/>
              </w:rPr>
            </w:pPr>
          </w:p>
        </w:tc>
        <w:tc>
          <w:tcPr>
            <w:tcW w:w="50" w:type="pct"/>
            <w:shd w:val="clear" w:color="auto" w:fill="auto"/>
            <w:vAlign w:val="bottom"/>
          </w:tcPr>
          <w:p w14:paraId="20ADF7E6" w14:textId="77777777" w:rsidR="00B626E7" w:rsidRDefault="00B626E7">
            <w:pPr>
              <w:rPr>
                <w:rFonts w:ascii="宋体"/>
              </w:rPr>
            </w:pPr>
          </w:p>
        </w:tc>
        <w:tc>
          <w:tcPr>
            <w:tcW w:w="2153" w:type="pct"/>
            <w:shd w:val="clear" w:color="auto" w:fill="auto"/>
            <w:vAlign w:val="bottom"/>
          </w:tcPr>
          <w:p w14:paraId="20ADF7E7" w14:textId="77777777" w:rsidR="00B626E7" w:rsidRDefault="00B626E7">
            <w:pPr>
              <w:rPr>
                <w:rFonts w:ascii="宋体"/>
              </w:rPr>
            </w:pPr>
          </w:p>
        </w:tc>
        <w:tc>
          <w:tcPr>
            <w:tcW w:w="50" w:type="pct"/>
            <w:shd w:val="clear" w:color="auto" w:fill="auto"/>
            <w:vAlign w:val="bottom"/>
          </w:tcPr>
          <w:p w14:paraId="20ADF7E8" w14:textId="77777777" w:rsidR="00B626E7" w:rsidRDefault="00B626E7">
            <w:pPr>
              <w:rPr>
                <w:rFonts w:ascii="宋体"/>
              </w:rPr>
            </w:pPr>
          </w:p>
        </w:tc>
      </w:tr>
      <w:tr w:rsidR="00B626E7" w14:paraId="20ADF7ED" w14:textId="77777777">
        <w:tc>
          <w:tcPr>
            <w:tcW w:w="0" w:type="auto"/>
            <w:gridSpan w:val="3"/>
            <w:tcBorders>
              <w:top w:val="single" w:sz="8" w:space="0" w:color="0071C5"/>
            </w:tcBorders>
            <w:shd w:val="clear" w:color="auto" w:fill="auto"/>
            <w:tcMar>
              <w:top w:w="40" w:type="dxa"/>
              <w:left w:w="20" w:type="dxa"/>
              <w:bottom w:w="40" w:type="dxa"/>
              <w:right w:w="20" w:type="dxa"/>
            </w:tcMar>
            <w:vAlign w:val="center"/>
          </w:tcPr>
          <w:p w14:paraId="20ADF7EA" w14:textId="77777777" w:rsidR="00B626E7" w:rsidRDefault="00175C1D">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Viewer10_files/intc-20200627_g3.jpg"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15" wp14:editId="20AE3C16">
                  <wp:extent cx="304800" cy="304800"/>
                  <wp:effectExtent l="0" t="0" r="0" b="0"/>
                  <wp:docPr id="58" name="图片 3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9" descr="IMG_2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Arial" w:eastAsia="宋体" w:hAnsi="Arial" w:cs="Arial"/>
                <w:color w:val="333333"/>
                <w:sz w:val="16"/>
                <w:szCs w:val="16"/>
              </w:rPr>
              <w:t>OUR PANDEMIC RESPONSE</w:t>
            </w:r>
          </w:p>
        </w:tc>
        <w:tc>
          <w:tcPr>
            <w:tcW w:w="0" w:type="auto"/>
            <w:gridSpan w:val="3"/>
            <w:tcBorders>
              <w:top w:val="single" w:sz="8" w:space="0" w:color="0071C5"/>
            </w:tcBorders>
            <w:shd w:val="clear" w:color="auto" w:fill="auto"/>
            <w:tcMar>
              <w:left w:w="20" w:type="dxa"/>
              <w:right w:w="20" w:type="dxa"/>
            </w:tcMar>
            <w:vAlign w:val="bottom"/>
          </w:tcPr>
          <w:p w14:paraId="20ADF7EB"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DF7EC" w14:textId="77777777" w:rsidR="00B626E7" w:rsidRDefault="00175C1D">
            <w:pPr>
              <w:jc w:val="right"/>
              <w:textAlignment w:val="bottom"/>
            </w:pPr>
            <w:r>
              <w:rPr>
                <w:rFonts w:ascii="Arial" w:eastAsia="宋体" w:hAnsi="Arial" w:cs="Arial"/>
                <w:color w:val="333333"/>
                <w:sz w:val="16"/>
                <w:szCs w:val="16"/>
              </w:rPr>
              <w:t>2</w:t>
            </w:r>
          </w:p>
        </w:tc>
      </w:tr>
    </w:tbl>
    <w:p w14:paraId="20ADF7EE" w14:textId="77777777" w:rsidR="00B626E7" w:rsidRDefault="00175C1D">
      <w:r>
        <w:pict w14:anchorId="20AE3C17">
          <v:rect id="_x0000_i1028" style="width:415.3pt;height:1.5pt" o:hralign="center" o:hrstd="t" o:hr="t" fillcolor="#a0a0a0" stroked="f"/>
        </w:pict>
      </w:r>
    </w:p>
    <w:p w14:paraId="20ADF7EF" w14:textId="77777777" w:rsidR="00B626E7" w:rsidRDefault="00175C1D">
      <w:pPr>
        <w:spacing w:after="180"/>
        <w:jc w:val="right"/>
      </w:pPr>
      <w:hyperlink r:id="rId30" w:anchor="ib035cc8759904e51927d703ec8414366_7" w:history="1">
        <w:r>
          <w:rPr>
            <w:rStyle w:val="a5"/>
            <w:rFonts w:ascii="Arial" w:eastAsia="宋体" w:hAnsi="Arial" w:cs="Arial"/>
            <w:b/>
            <w:bCs/>
            <w:sz w:val="16"/>
            <w:szCs w:val="16"/>
          </w:rPr>
          <w:t>Table of Contents</w:t>
        </w:r>
      </w:hyperlink>
    </w:p>
    <w:p w14:paraId="20ADF7F0" w14:textId="77777777" w:rsidR="00B626E7" w:rsidRDefault="00B626E7">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84"/>
        <w:gridCol w:w="8169"/>
        <w:gridCol w:w="83"/>
      </w:tblGrid>
      <w:tr w:rsidR="00B626E7" w14:paraId="20ADF7F4" w14:textId="77777777">
        <w:tc>
          <w:tcPr>
            <w:tcW w:w="50" w:type="pct"/>
            <w:shd w:val="clear" w:color="auto" w:fill="auto"/>
          </w:tcPr>
          <w:p w14:paraId="20ADF7F1" w14:textId="77777777" w:rsidR="00B626E7" w:rsidRDefault="00B626E7">
            <w:pPr>
              <w:rPr>
                <w:rFonts w:ascii="宋体"/>
              </w:rPr>
            </w:pPr>
          </w:p>
        </w:tc>
        <w:tc>
          <w:tcPr>
            <w:tcW w:w="4900" w:type="pct"/>
            <w:shd w:val="clear" w:color="auto" w:fill="auto"/>
          </w:tcPr>
          <w:p w14:paraId="20ADF7F2" w14:textId="77777777" w:rsidR="00B626E7" w:rsidRDefault="00B626E7">
            <w:pPr>
              <w:rPr>
                <w:rFonts w:ascii="宋体"/>
              </w:rPr>
            </w:pPr>
          </w:p>
        </w:tc>
        <w:tc>
          <w:tcPr>
            <w:tcW w:w="50" w:type="pct"/>
            <w:shd w:val="clear" w:color="auto" w:fill="auto"/>
          </w:tcPr>
          <w:p w14:paraId="20ADF7F3" w14:textId="77777777" w:rsidR="00B626E7" w:rsidRDefault="00B626E7">
            <w:pPr>
              <w:rPr>
                <w:rFonts w:ascii="宋体"/>
              </w:rPr>
            </w:pPr>
          </w:p>
        </w:tc>
      </w:tr>
      <w:tr w:rsidR="00B626E7" w14:paraId="20ADF7F6" w14:textId="77777777">
        <w:tc>
          <w:tcPr>
            <w:tcW w:w="0" w:type="auto"/>
            <w:gridSpan w:val="3"/>
            <w:shd w:val="clear" w:color="auto" w:fill="0071C5"/>
            <w:tcMar>
              <w:top w:w="40" w:type="dxa"/>
              <w:left w:w="20" w:type="dxa"/>
              <w:bottom w:w="40" w:type="dxa"/>
              <w:right w:w="20" w:type="dxa"/>
            </w:tcMar>
            <w:vAlign w:val="bottom"/>
          </w:tcPr>
          <w:p w14:paraId="20ADF7F5" w14:textId="77777777" w:rsidR="00B626E7" w:rsidRDefault="00175C1D">
            <w:pPr>
              <w:textAlignment w:val="bottom"/>
            </w:pPr>
            <w:r>
              <w:rPr>
                <w:rFonts w:ascii="Arial" w:eastAsia="宋体" w:hAnsi="Arial" w:cs="Arial"/>
                <w:b/>
                <w:bCs/>
                <w:color w:val="FFFFFF"/>
                <w:sz w:val="28"/>
                <w:szCs w:val="28"/>
              </w:rPr>
              <w:t>A QUARTER IN REVIEW</w:t>
            </w:r>
          </w:p>
        </w:tc>
      </w:tr>
    </w:tbl>
    <w:p w14:paraId="20ADF7F7" w14:textId="77777777" w:rsidR="00B626E7" w:rsidRDefault="00175C1D">
      <w:pPr>
        <w:spacing w:before="180" w:after="180"/>
      </w:pPr>
      <w:r>
        <w:rPr>
          <w:rFonts w:ascii="Arial" w:eastAsia="宋体" w:hAnsi="Arial" w:cs="Arial"/>
          <w:color w:val="333333"/>
          <w:sz w:val="18"/>
          <w:szCs w:val="18"/>
        </w:rPr>
        <w:t xml:space="preserve">Total revenue of $19.7 billion was up $3.2 billion year </w:t>
      </w:r>
      <w:r>
        <w:rPr>
          <w:rFonts w:ascii="Arial" w:eastAsia="宋体" w:hAnsi="Arial" w:cs="Arial"/>
          <w:color w:val="333333"/>
          <w:sz w:val="18"/>
          <w:szCs w:val="18"/>
        </w:rPr>
        <w:t>over year as our data-centric businesses and PC-centric business grew 34% and 7%, respectively. Data-centric revenue was up, driven by growth across all DCG business market segments, strong mix of high-performance Intel</w:t>
      </w:r>
      <w:r>
        <w:rPr>
          <w:rFonts w:ascii="Arial" w:eastAsia="宋体" w:hAnsi="Arial" w:cs="Arial"/>
          <w:color w:val="333333"/>
          <w:sz w:val="11"/>
          <w:szCs w:val="11"/>
        </w:rPr>
        <w:t>®</w:t>
      </w:r>
      <w:r>
        <w:rPr>
          <w:rFonts w:ascii="Arial" w:eastAsia="宋体" w:hAnsi="Arial" w:cs="Arial"/>
          <w:color w:val="333333"/>
          <w:sz w:val="18"/>
          <w:szCs w:val="18"/>
        </w:rPr>
        <w:t xml:space="preserve"> Xeon</w:t>
      </w:r>
      <w:r>
        <w:rPr>
          <w:rFonts w:ascii="Arial" w:eastAsia="宋体" w:hAnsi="Arial" w:cs="Arial"/>
          <w:color w:val="333333"/>
          <w:sz w:val="11"/>
          <w:szCs w:val="11"/>
        </w:rPr>
        <w:t>®</w:t>
      </w:r>
      <w:r>
        <w:rPr>
          <w:rFonts w:ascii="Arial" w:eastAsia="宋体" w:hAnsi="Arial" w:cs="Arial"/>
          <w:color w:val="333333"/>
          <w:sz w:val="18"/>
          <w:szCs w:val="18"/>
        </w:rPr>
        <w:t xml:space="preserve"> processors, NSG bit growth, a</w:t>
      </w:r>
      <w:r>
        <w:rPr>
          <w:rFonts w:ascii="Arial" w:eastAsia="宋体" w:hAnsi="Arial" w:cs="Arial"/>
          <w:color w:val="333333"/>
          <w:sz w:val="18"/>
          <w:szCs w:val="18"/>
        </w:rPr>
        <w:t>nd improved NAND pricing. Our PC-centric business was up, driven by strength in notebook platform</w:t>
      </w:r>
      <w:r>
        <w:rPr>
          <w:rFonts w:ascii="Arial" w:eastAsia="宋体" w:hAnsi="Arial" w:cs="Arial"/>
          <w:color w:val="333333"/>
          <w:sz w:val="11"/>
          <w:szCs w:val="11"/>
        </w:rPr>
        <w:t>1</w:t>
      </w:r>
      <w:r>
        <w:rPr>
          <w:rFonts w:ascii="Arial" w:eastAsia="宋体" w:hAnsi="Arial" w:cs="Arial"/>
          <w:color w:val="333333"/>
          <w:sz w:val="18"/>
          <w:szCs w:val="18"/>
        </w:rPr>
        <w:t xml:space="preserve"> demand, strong platform ASP, higher modem and Wi-Fi sales, partially offset by desktop demand. Increased platform unit sales, ASP strength, and NSG growth re</w:t>
      </w:r>
      <w:r>
        <w:rPr>
          <w:rFonts w:ascii="Arial" w:eastAsia="宋体" w:hAnsi="Arial" w:cs="Arial"/>
          <w:color w:val="333333"/>
          <w:sz w:val="18"/>
          <w:szCs w:val="18"/>
        </w:rPr>
        <w:t>sulted in higher gross margins dollars and operating income, partially offset by higher platform unit cost and platform reserves. In the first six months we generated $17.3 billion of cash flow from operations and returned $7.0 billion to stockholders, inc</w:t>
      </w:r>
      <w:r>
        <w:rPr>
          <w:rFonts w:ascii="Arial" w:eastAsia="宋体" w:hAnsi="Arial" w:cs="Arial"/>
          <w:color w:val="333333"/>
          <w:sz w:val="18"/>
          <w:szCs w:val="18"/>
        </w:rPr>
        <w:t>luding $2.8 billion in dividends and $4.2 billion in Q1 2020 buybacks.</w:t>
      </w:r>
    </w:p>
    <w:tbl>
      <w:tblPr>
        <w:tblW w:w="10980" w:type="dxa"/>
        <w:tblCellMar>
          <w:top w:w="15" w:type="dxa"/>
          <w:left w:w="15" w:type="dxa"/>
          <w:bottom w:w="15" w:type="dxa"/>
          <w:right w:w="15" w:type="dxa"/>
        </w:tblCellMar>
        <w:tblLook w:val="04A0" w:firstRow="1" w:lastRow="0" w:firstColumn="1" w:lastColumn="0" w:noHBand="0" w:noVBand="1"/>
      </w:tblPr>
      <w:tblGrid>
        <w:gridCol w:w="36"/>
        <w:gridCol w:w="2593"/>
        <w:gridCol w:w="36"/>
        <w:gridCol w:w="36"/>
        <w:gridCol w:w="36"/>
        <w:gridCol w:w="36"/>
        <w:gridCol w:w="36"/>
        <w:gridCol w:w="2608"/>
        <w:gridCol w:w="36"/>
        <w:gridCol w:w="36"/>
        <w:gridCol w:w="36"/>
        <w:gridCol w:w="36"/>
        <w:gridCol w:w="36"/>
        <w:gridCol w:w="2582"/>
        <w:gridCol w:w="36"/>
        <w:gridCol w:w="36"/>
        <w:gridCol w:w="36"/>
        <w:gridCol w:w="36"/>
        <w:gridCol w:w="36"/>
        <w:gridCol w:w="2585"/>
        <w:gridCol w:w="36"/>
      </w:tblGrid>
      <w:tr w:rsidR="00B626E7" w14:paraId="20ADF80D" w14:textId="77777777">
        <w:tc>
          <w:tcPr>
            <w:tcW w:w="20" w:type="dxa"/>
            <w:shd w:val="clear" w:color="auto" w:fill="auto"/>
          </w:tcPr>
          <w:p w14:paraId="20ADF7F8" w14:textId="77777777" w:rsidR="00B626E7" w:rsidRDefault="00B626E7">
            <w:pPr>
              <w:rPr>
                <w:rFonts w:ascii="宋体"/>
              </w:rPr>
            </w:pPr>
          </w:p>
        </w:tc>
        <w:tc>
          <w:tcPr>
            <w:tcW w:w="2645" w:type="dxa"/>
            <w:shd w:val="clear" w:color="auto" w:fill="auto"/>
          </w:tcPr>
          <w:p w14:paraId="20ADF7F9" w14:textId="77777777" w:rsidR="00B626E7" w:rsidRDefault="00B626E7">
            <w:pPr>
              <w:rPr>
                <w:rFonts w:ascii="宋体"/>
              </w:rPr>
            </w:pPr>
          </w:p>
        </w:tc>
        <w:tc>
          <w:tcPr>
            <w:tcW w:w="20" w:type="dxa"/>
            <w:shd w:val="clear" w:color="auto" w:fill="auto"/>
          </w:tcPr>
          <w:p w14:paraId="20ADF7FA" w14:textId="77777777" w:rsidR="00B626E7" w:rsidRDefault="00B626E7">
            <w:pPr>
              <w:rPr>
                <w:rFonts w:ascii="宋体"/>
              </w:rPr>
            </w:pPr>
          </w:p>
        </w:tc>
        <w:tc>
          <w:tcPr>
            <w:tcW w:w="20" w:type="dxa"/>
            <w:shd w:val="clear" w:color="auto" w:fill="auto"/>
          </w:tcPr>
          <w:p w14:paraId="20ADF7FB" w14:textId="77777777" w:rsidR="00B626E7" w:rsidRDefault="00B626E7">
            <w:pPr>
              <w:rPr>
                <w:rFonts w:ascii="宋体"/>
              </w:rPr>
            </w:pPr>
          </w:p>
        </w:tc>
        <w:tc>
          <w:tcPr>
            <w:tcW w:w="35" w:type="dxa"/>
            <w:shd w:val="clear" w:color="auto" w:fill="auto"/>
          </w:tcPr>
          <w:p w14:paraId="20ADF7FC" w14:textId="77777777" w:rsidR="00B626E7" w:rsidRDefault="00B626E7">
            <w:pPr>
              <w:rPr>
                <w:rFonts w:ascii="宋体"/>
              </w:rPr>
            </w:pPr>
          </w:p>
        </w:tc>
        <w:tc>
          <w:tcPr>
            <w:tcW w:w="20" w:type="dxa"/>
            <w:shd w:val="clear" w:color="auto" w:fill="auto"/>
          </w:tcPr>
          <w:p w14:paraId="20ADF7FD" w14:textId="77777777" w:rsidR="00B626E7" w:rsidRDefault="00B626E7">
            <w:pPr>
              <w:rPr>
                <w:rFonts w:ascii="宋体"/>
              </w:rPr>
            </w:pPr>
          </w:p>
        </w:tc>
        <w:tc>
          <w:tcPr>
            <w:tcW w:w="20" w:type="dxa"/>
            <w:shd w:val="clear" w:color="auto" w:fill="auto"/>
          </w:tcPr>
          <w:p w14:paraId="20ADF7FE" w14:textId="77777777" w:rsidR="00B626E7" w:rsidRDefault="00B626E7">
            <w:pPr>
              <w:rPr>
                <w:rFonts w:ascii="宋体"/>
              </w:rPr>
            </w:pPr>
          </w:p>
        </w:tc>
        <w:tc>
          <w:tcPr>
            <w:tcW w:w="2660" w:type="dxa"/>
            <w:shd w:val="clear" w:color="auto" w:fill="auto"/>
          </w:tcPr>
          <w:p w14:paraId="20ADF7FF" w14:textId="77777777" w:rsidR="00B626E7" w:rsidRDefault="00B626E7">
            <w:pPr>
              <w:rPr>
                <w:rFonts w:ascii="宋体"/>
              </w:rPr>
            </w:pPr>
          </w:p>
        </w:tc>
        <w:tc>
          <w:tcPr>
            <w:tcW w:w="20" w:type="dxa"/>
            <w:shd w:val="clear" w:color="auto" w:fill="auto"/>
          </w:tcPr>
          <w:p w14:paraId="20ADF800" w14:textId="77777777" w:rsidR="00B626E7" w:rsidRDefault="00B626E7">
            <w:pPr>
              <w:rPr>
                <w:rFonts w:ascii="宋体"/>
              </w:rPr>
            </w:pPr>
          </w:p>
        </w:tc>
        <w:tc>
          <w:tcPr>
            <w:tcW w:w="20" w:type="dxa"/>
            <w:shd w:val="clear" w:color="auto" w:fill="auto"/>
          </w:tcPr>
          <w:p w14:paraId="20ADF801" w14:textId="77777777" w:rsidR="00B626E7" w:rsidRDefault="00B626E7">
            <w:pPr>
              <w:rPr>
                <w:rFonts w:ascii="宋体"/>
              </w:rPr>
            </w:pPr>
          </w:p>
        </w:tc>
        <w:tc>
          <w:tcPr>
            <w:tcW w:w="35" w:type="dxa"/>
            <w:shd w:val="clear" w:color="auto" w:fill="auto"/>
          </w:tcPr>
          <w:p w14:paraId="20ADF802" w14:textId="77777777" w:rsidR="00B626E7" w:rsidRDefault="00B626E7">
            <w:pPr>
              <w:rPr>
                <w:rFonts w:ascii="宋体"/>
              </w:rPr>
            </w:pPr>
          </w:p>
        </w:tc>
        <w:tc>
          <w:tcPr>
            <w:tcW w:w="20" w:type="dxa"/>
            <w:shd w:val="clear" w:color="auto" w:fill="auto"/>
          </w:tcPr>
          <w:p w14:paraId="20ADF803" w14:textId="77777777" w:rsidR="00B626E7" w:rsidRDefault="00B626E7">
            <w:pPr>
              <w:rPr>
                <w:rFonts w:ascii="宋体"/>
              </w:rPr>
            </w:pPr>
          </w:p>
        </w:tc>
        <w:tc>
          <w:tcPr>
            <w:tcW w:w="20" w:type="dxa"/>
            <w:shd w:val="clear" w:color="auto" w:fill="auto"/>
          </w:tcPr>
          <w:p w14:paraId="20ADF804" w14:textId="77777777" w:rsidR="00B626E7" w:rsidRDefault="00B626E7">
            <w:pPr>
              <w:rPr>
                <w:rFonts w:ascii="宋体"/>
              </w:rPr>
            </w:pPr>
          </w:p>
        </w:tc>
        <w:tc>
          <w:tcPr>
            <w:tcW w:w="2645" w:type="dxa"/>
            <w:shd w:val="clear" w:color="auto" w:fill="auto"/>
          </w:tcPr>
          <w:p w14:paraId="20ADF805" w14:textId="77777777" w:rsidR="00B626E7" w:rsidRDefault="00B626E7">
            <w:pPr>
              <w:rPr>
                <w:rFonts w:ascii="宋体"/>
              </w:rPr>
            </w:pPr>
          </w:p>
        </w:tc>
        <w:tc>
          <w:tcPr>
            <w:tcW w:w="20" w:type="dxa"/>
            <w:shd w:val="clear" w:color="auto" w:fill="auto"/>
          </w:tcPr>
          <w:p w14:paraId="20ADF806" w14:textId="77777777" w:rsidR="00B626E7" w:rsidRDefault="00B626E7">
            <w:pPr>
              <w:rPr>
                <w:rFonts w:ascii="宋体"/>
              </w:rPr>
            </w:pPr>
          </w:p>
        </w:tc>
        <w:tc>
          <w:tcPr>
            <w:tcW w:w="20" w:type="dxa"/>
            <w:shd w:val="clear" w:color="auto" w:fill="auto"/>
          </w:tcPr>
          <w:p w14:paraId="20ADF807" w14:textId="77777777" w:rsidR="00B626E7" w:rsidRDefault="00B626E7">
            <w:pPr>
              <w:rPr>
                <w:rFonts w:ascii="宋体"/>
              </w:rPr>
            </w:pPr>
          </w:p>
        </w:tc>
        <w:tc>
          <w:tcPr>
            <w:tcW w:w="35" w:type="dxa"/>
            <w:shd w:val="clear" w:color="auto" w:fill="auto"/>
          </w:tcPr>
          <w:p w14:paraId="20ADF808" w14:textId="77777777" w:rsidR="00B626E7" w:rsidRDefault="00B626E7">
            <w:pPr>
              <w:rPr>
                <w:rFonts w:ascii="宋体"/>
              </w:rPr>
            </w:pPr>
          </w:p>
        </w:tc>
        <w:tc>
          <w:tcPr>
            <w:tcW w:w="20" w:type="dxa"/>
            <w:shd w:val="clear" w:color="auto" w:fill="auto"/>
          </w:tcPr>
          <w:p w14:paraId="20ADF809" w14:textId="77777777" w:rsidR="00B626E7" w:rsidRDefault="00B626E7">
            <w:pPr>
              <w:rPr>
                <w:rFonts w:ascii="宋体"/>
              </w:rPr>
            </w:pPr>
          </w:p>
        </w:tc>
        <w:tc>
          <w:tcPr>
            <w:tcW w:w="20" w:type="dxa"/>
            <w:shd w:val="clear" w:color="auto" w:fill="auto"/>
          </w:tcPr>
          <w:p w14:paraId="20ADF80A" w14:textId="77777777" w:rsidR="00B626E7" w:rsidRDefault="00B626E7">
            <w:pPr>
              <w:rPr>
                <w:rFonts w:ascii="宋体"/>
              </w:rPr>
            </w:pPr>
          </w:p>
        </w:tc>
        <w:tc>
          <w:tcPr>
            <w:tcW w:w="2645" w:type="dxa"/>
            <w:shd w:val="clear" w:color="auto" w:fill="auto"/>
          </w:tcPr>
          <w:p w14:paraId="20ADF80B" w14:textId="77777777" w:rsidR="00B626E7" w:rsidRDefault="00B626E7">
            <w:pPr>
              <w:rPr>
                <w:rFonts w:ascii="宋体"/>
              </w:rPr>
            </w:pPr>
          </w:p>
        </w:tc>
        <w:tc>
          <w:tcPr>
            <w:tcW w:w="20" w:type="dxa"/>
            <w:shd w:val="clear" w:color="auto" w:fill="auto"/>
          </w:tcPr>
          <w:p w14:paraId="20ADF80C" w14:textId="77777777" w:rsidR="00B626E7" w:rsidRDefault="00B626E7">
            <w:pPr>
              <w:rPr>
                <w:rFonts w:ascii="宋体"/>
              </w:rPr>
            </w:pPr>
          </w:p>
        </w:tc>
      </w:tr>
      <w:tr w:rsidR="00B626E7" w14:paraId="20ADF815" w14:textId="77777777">
        <w:tc>
          <w:tcPr>
            <w:tcW w:w="0" w:type="auto"/>
            <w:gridSpan w:val="3"/>
            <w:shd w:val="clear" w:color="auto" w:fill="003C71"/>
            <w:tcMar>
              <w:top w:w="40" w:type="dxa"/>
              <w:left w:w="20" w:type="dxa"/>
              <w:bottom w:w="40" w:type="dxa"/>
              <w:right w:w="20" w:type="dxa"/>
            </w:tcMar>
            <w:vAlign w:val="bottom"/>
          </w:tcPr>
          <w:p w14:paraId="20ADF80E" w14:textId="77777777" w:rsidR="00B626E7" w:rsidRDefault="00175C1D">
            <w:pPr>
              <w:textAlignment w:val="bottom"/>
            </w:pPr>
            <w:r>
              <w:rPr>
                <w:rFonts w:ascii="Arial" w:eastAsia="宋体" w:hAnsi="Arial" w:cs="Arial"/>
                <w:b/>
                <w:bCs/>
                <w:color w:val="FFFFFF"/>
                <w:sz w:val="20"/>
                <w:szCs w:val="20"/>
              </w:rPr>
              <w:t>REVENUE</w:t>
            </w:r>
          </w:p>
        </w:tc>
        <w:tc>
          <w:tcPr>
            <w:tcW w:w="0" w:type="auto"/>
            <w:gridSpan w:val="3"/>
            <w:shd w:val="clear" w:color="auto" w:fill="auto"/>
            <w:tcMar>
              <w:left w:w="20" w:type="dxa"/>
              <w:right w:w="20" w:type="dxa"/>
            </w:tcMar>
            <w:vAlign w:val="bottom"/>
          </w:tcPr>
          <w:p w14:paraId="20ADF80F" w14:textId="77777777" w:rsidR="00B626E7" w:rsidRDefault="00B626E7">
            <w:pPr>
              <w:rPr>
                <w:rFonts w:ascii="宋体"/>
              </w:rPr>
            </w:pPr>
          </w:p>
        </w:tc>
        <w:tc>
          <w:tcPr>
            <w:tcW w:w="0" w:type="auto"/>
            <w:gridSpan w:val="3"/>
            <w:shd w:val="clear" w:color="auto" w:fill="0071C5"/>
            <w:tcMar>
              <w:top w:w="40" w:type="dxa"/>
              <w:left w:w="20" w:type="dxa"/>
              <w:bottom w:w="40" w:type="dxa"/>
              <w:right w:w="20" w:type="dxa"/>
            </w:tcMar>
            <w:vAlign w:val="bottom"/>
          </w:tcPr>
          <w:p w14:paraId="20ADF810" w14:textId="77777777" w:rsidR="00B626E7" w:rsidRDefault="00175C1D">
            <w:pPr>
              <w:textAlignment w:val="bottom"/>
            </w:pPr>
            <w:r>
              <w:rPr>
                <w:rFonts w:ascii="Arial" w:eastAsia="宋体" w:hAnsi="Arial" w:cs="Arial"/>
                <w:b/>
                <w:bCs/>
                <w:color w:val="FFFFFF"/>
                <w:sz w:val="20"/>
                <w:szCs w:val="20"/>
              </w:rPr>
              <w:t>OPERATING INCOME</w:t>
            </w:r>
          </w:p>
        </w:tc>
        <w:tc>
          <w:tcPr>
            <w:tcW w:w="0" w:type="auto"/>
            <w:gridSpan w:val="3"/>
            <w:shd w:val="clear" w:color="auto" w:fill="auto"/>
            <w:tcMar>
              <w:left w:w="20" w:type="dxa"/>
              <w:right w:w="20" w:type="dxa"/>
            </w:tcMar>
            <w:vAlign w:val="bottom"/>
          </w:tcPr>
          <w:p w14:paraId="20ADF811" w14:textId="77777777" w:rsidR="00B626E7" w:rsidRDefault="00B626E7">
            <w:pPr>
              <w:rPr>
                <w:rFonts w:ascii="宋体"/>
              </w:rPr>
            </w:pPr>
          </w:p>
        </w:tc>
        <w:tc>
          <w:tcPr>
            <w:tcW w:w="0" w:type="auto"/>
            <w:gridSpan w:val="3"/>
            <w:shd w:val="clear" w:color="auto" w:fill="00AEEF"/>
            <w:tcMar>
              <w:top w:w="40" w:type="dxa"/>
              <w:left w:w="20" w:type="dxa"/>
              <w:bottom w:w="40" w:type="dxa"/>
              <w:right w:w="20" w:type="dxa"/>
            </w:tcMar>
            <w:vAlign w:val="bottom"/>
          </w:tcPr>
          <w:p w14:paraId="20ADF812" w14:textId="77777777" w:rsidR="00B626E7" w:rsidRDefault="00175C1D">
            <w:pPr>
              <w:textAlignment w:val="bottom"/>
            </w:pPr>
            <w:r>
              <w:rPr>
                <w:rFonts w:ascii="Arial" w:eastAsia="宋体" w:hAnsi="Arial" w:cs="Arial"/>
                <w:b/>
                <w:bCs/>
                <w:color w:val="FFFFFF"/>
                <w:sz w:val="20"/>
                <w:szCs w:val="20"/>
              </w:rPr>
              <w:t>DILUTED EPS</w:t>
            </w:r>
          </w:p>
        </w:tc>
        <w:tc>
          <w:tcPr>
            <w:tcW w:w="0" w:type="auto"/>
            <w:gridSpan w:val="3"/>
            <w:shd w:val="clear" w:color="auto" w:fill="auto"/>
            <w:tcMar>
              <w:left w:w="20" w:type="dxa"/>
              <w:right w:w="20" w:type="dxa"/>
            </w:tcMar>
            <w:vAlign w:val="bottom"/>
          </w:tcPr>
          <w:p w14:paraId="20ADF813" w14:textId="77777777" w:rsidR="00B626E7" w:rsidRDefault="00B626E7">
            <w:pPr>
              <w:rPr>
                <w:rFonts w:ascii="宋体"/>
              </w:rPr>
            </w:pPr>
          </w:p>
        </w:tc>
        <w:tc>
          <w:tcPr>
            <w:tcW w:w="0" w:type="auto"/>
            <w:gridSpan w:val="3"/>
            <w:shd w:val="clear" w:color="auto" w:fill="ACACAC"/>
            <w:tcMar>
              <w:top w:w="40" w:type="dxa"/>
              <w:left w:w="20" w:type="dxa"/>
              <w:bottom w:w="40" w:type="dxa"/>
              <w:right w:w="20" w:type="dxa"/>
            </w:tcMar>
            <w:vAlign w:val="bottom"/>
          </w:tcPr>
          <w:p w14:paraId="20ADF814" w14:textId="77777777" w:rsidR="00B626E7" w:rsidRDefault="00175C1D">
            <w:pPr>
              <w:textAlignment w:val="bottom"/>
            </w:pPr>
            <w:r>
              <w:rPr>
                <w:rFonts w:ascii="Arial" w:eastAsia="宋体" w:hAnsi="Arial" w:cs="Arial"/>
                <w:b/>
                <w:bCs/>
                <w:color w:val="FFFFFF"/>
                <w:sz w:val="20"/>
                <w:szCs w:val="20"/>
              </w:rPr>
              <w:t>CASH FLOWS</w:t>
            </w:r>
          </w:p>
        </w:tc>
      </w:tr>
      <w:tr w:rsidR="00B626E7" w14:paraId="20ADF81F" w14:textId="77777777">
        <w:tc>
          <w:tcPr>
            <w:tcW w:w="0" w:type="auto"/>
            <w:gridSpan w:val="3"/>
            <w:shd w:val="clear" w:color="auto" w:fill="auto"/>
            <w:tcMar>
              <w:top w:w="40" w:type="dxa"/>
              <w:left w:w="20" w:type="dxa"/>
              <w:bottom w:w="40" w:type="dxa"/>
              <w:right w:w="20" w:type="dxa"/>
            </w:tcMar>
          </w:tcPr>
          <w:p w14:paraId="20ADF816" w14:textId="77777777" w:rsidR="00B626E7" w:rsidRDefault="00175C1D">
            <w:pPr>
              <w:textAlignment w:val="top"/>
            </w:pPr>
            <w:r>
              <w:rPr>
                <w:rFonts w:ascii="Arial" w:eastAsia="宋体" w:hAnsi="Arial" w:cs="Arial"/>
                <w:color w:val="003D72"/>
                <w:sz w:val="18"/>
                <w:szCs w:val="18"/>
              </w:rPr>
              <w:t>■</w:t>
            </w:r>
            <w:r>
              <w:rPr>
                <w:rFonts w:ascii="Arial" w:eastAsia="宋体" w:hAnsi="Arial" w:cs="Arial"/>
                <w:color w:val="003C71"/>
                <w:sz w:val="18"/>
                <w:szCs w:val="18"/>
              </w:rPr>
              <w:t xml:space="preserve"> </w:t>
            </w:r>
            <w:r>
              <w:rPr>
                <w:rFonts w:ascii="Arial" w:eastAsia="宋体" w:hAnsi="Arial" w:cs="Arial"/>
                <w:color w:val="333333"/>
                <w:sz w:val="16"/>
                <w:szCs w:val="16"/>
              </w:rPr>
              <w:t xml:space="preserve">PC-CENTRIC $B </w:t>
            </w:r>
          </w:p>
          <w:p w14:paraId="20ADF817" w14:textId="77777777" w:rsidR="00B626E7" w:rsidRDefault="00175C1D">
            <w:pPr>
              <w:textAlignment w:val="top"/>
            </w:pPr>
            <w:r>
              <w:rPr>
                <w:rFonts w:ascii="Arial" w:eastAsia="宋体" w:hAnsi="Arial" w:cs="Arial"/>
                <w:color w:val="00AEEF"/>
                <w:sz w:val="18"/>
                <w:szCs w:val="18"/>
              </w:rPr>
              <w:t>■</w:t>
            </w:r>
            <w:r>
              <w:rPr>
                <w:rFonts w:ascii="Arial" w:eastAsia="宋体" w:hAnsi="Arial" w:cs="Arial"/>
                <w:color w:val="003C71"/>
                <w:sz w:val="18"/>
                <w:szCs w:val="18"/>
              </w:rPr>
              <w:t xml:space="preserve"> </w:t>
            </w:r>
            <w:r>
              <w:rPr>
                <w:rFonts w:ascii="Arial" w:eastAsia="宋体" w:hAnsi="Arial" w:cs="Arial"/>
                <w:color w:val="333333"/>
                <w:sz w:val="16"/>
                <w:szCs w:val="16"/>
              </w:rPr>
              <w:t>DATA-CENTRIC $B</w:t>
            </w:r>
          </w:p>
        </w:tc>
        <w:tc>
          <w:tcPr>
            <w:tcW w:w="0" w:type="auto"/>
            <w:gridSpan w:val="3"/>
            <w:shd w:val="clear" w:color="auto" w:fill="auto"/>
            <w:tcMar>
              <w:left w:w="20" w:type="dxa"/>
              <w:right w:w="20" w:type="dxa"/>
            </w:tcMar>
            <w:vAlign w:val="bottom"/>
          </w:tcPr>
          <w:p w14:paraId="20ADF818"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DF819" w14:textId="77777777" w:rsidR="00B626E7" w:rsidRDefault="00175C1D">
            <w:pPr>
              <w:textAlignment w:val="top"/>
            </w:pPr>
            <w:r>
              <w:rPr>
                <w:rFonts w:ascii="Arial" w:eastAsia="宋体" w:hAnsi="Arial" w:cs="Arial"/>
                <w:color w:val="003C71"/>
                <w:sz w:val="18"/>
                <w:szCs w:val="18"/>
              </w:rPr>
              <w:t xml:space="preserve">■ </w:t>
            </w:r>
            <w:r>
              <w:rPr>
                <w:rFonts w:ascii="Arial" w:eastAsia="宋体" w:hAnsi="Arial" w:cs="Arial"/>
                <w:color w:val="333333"/>
                <w:sz w:val="16"/>
                <w:szCs w:val="16"/>
              </w:rPr>
              <w:t>GAAP $B</w:t>
            </w:r>
            <w:r>
              <w:rPr>
                <w:rFonts w:ascii="Arial" w:eastAsia="宋体" w:hAnsi="Arial" w:cs="Arial"/>
                <w:color w:val="333333"/>
                <w:sz w:val="18"/>
                <w:szCs w:val="18"/>
              </w:rPr>
              <w:t xml:space="preserve"> </w:t>
            </w:r>
            <w:r>
              <w:rPr>
                <w:rFonts w:ascii="Arial" w:eastAsia="宋体" w:hAnsi="Arial" w:cs="Arial"/>
                <w:color w:val="00AEEF"/>
                <w:sz w:val="18"/>
                <w:szCs w:val="18"/>
              </w:rPr>
              <w:t>■</w:t>
            </w:r>
            <w:r>
              <w:rPr>
                <w:rFonts w:ascii="Arial" w:eastAsia="宋体" w:hAnsi="Arial" w:cs="Arial"/>
                <w:color w:val="003C71"/>
                <w:sz w:val="18"/>
                <w:szCs w:val="18"/>
              </w:rPr>
              <w:t xml:space="preserve"> </w:t>
            </w:r>
            <w:r>
              <w:rPr>
                <w:rFonts w:ascii="Arial" w:eastAsia="宋体" w:hAnsi="Arial" w:cs="Arial"/>
                <w:color w:val="333333"/>
                <w:sz w:val="16"/>
                <w:szCs w:val="16"/>
              </w:rPr>
              <w:t>NON-GAAP $B</w:t>
            </w:r>
          </w:p>
        </w:tc>
        <w:tc>
          <w:tcPr>
            <w:tcW w:w="0" w:type="auto"/>
            <w:gridSpan w:val="3"/>
            <w:shd w:val="clear" w:color="auto" w:fill="auto"/>
            <w:tcMar>
              <w:left w:w="20" w:type="dxa"/>
              <w:right w:w="20" w:type="dxa"/>
            </w:tcMar>
            <w:vAlign w:val="bottom"/>
          </w:tcPr>
          <w:p w14:paraId="20ADF81A"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DF81B" w14:textId="77777777" w:rsidR="00B626E7" w:rsidRDefault="00175C1D">
            <w:pPr>
              <w:textAlignment w:val="top"/>
            </w:pPr>
            <w:r>
              <w:rPr>
                <w:rFonts w:ascii="Arial" w:eastAsia="宋体" w:hAnsi="Arial" w:cs="Arial"/>
                <w:color w:val="003C71"/>
                <w:sz w:val="18"/>
                <w:szCs w:val="18"/>
              </w:rPr>
              <w:t xml:space="preserve">■ </w:t>
            </w:r>
            <w:r>
              <w:rPr>
                <w:rFonts w:ascii="Arial" w:eastAsia="宋体" w:hAnsi="Arial" w:cs="Arial"/>
                <w:color w:val="333333"/>
                <w:sz w:val="16"/>
                <w:szCs w:val="16"/>
              </w:rPr>
              <w:t>GAAP</w:t>
            </w:r>
            <w:r>
              <w:rPr>
                <w:rFonts w:ascii="Arial" w:eastAsia="宋体" w:hAnsi="Arial" w:cs="Arial"/>
                <w:color w:val="333333"/>
                <w:sz w:val="18"/>
                <w:szCs w:val="18"/>
              </w:rPr>
              <w:t xml:space="preserve"> </w:t>
            </w:r>
            <w:r>
              <w:rPr>
                <w:rFonts w:ascii="Arial" w:eastAsia="宋体" w:hAnsi="Arial" w:cs="Arial"/>
                <w:color w:val="00AEEF"/>
                <w:sz w:val="18"/>
                <w:szCs w:val="18"/>
              </w:rPr>
              <w:t>■</w:t>
            </w:r>
            <w:r>
              <w:rPr>
                <w:rFonts w:ascii="Arial" w:eastAsia="宋体" w:hAnsi="Arial" w:cs="Arial"/>
                <w:color w:val="003C71"/>
                <w:sz w:val="18"/>
                <w:szCs w:val="18"/>
              </w:rPr>
              <w:t xml:space="preserve"> </w:t>
            </w:r>
            <w:r>
              <w:rPr>
                <w:rFonts w:ascii="Arial" w:eastAsia="宋体" w:hAnsi="Arial" w:cs="Arial"/>
                <w:color w:val="333333"/>
                <w:sz w:val="16"/>
                <w:szCs w:val="16"/>
              </w:rPr>
              <w:t>NON-GAAP</w:t>
            </w:r>
          </w:p>
        </w:tc>
        <w:tc>
          <w:tcPr>
            <w:tcW w:w="0" w:type="auto"/>
            <w:gridSpan w:val="3"/>
            <w:shd w:val="clear" w:color="auto" w:fill="auto"/>
            <w:tcMar>
              <w:left w:w="20" w:type="dxa"/>
              <w:right w:w="20" w:type="dxa"/>
            </w:tcMar>
            <w:vAlign w:val="bottom"/>
          </w:tcPr>
          <w:p w14:paraId="20ADF81C"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DF81D" w14:textId="77777777" w:rsidR="00B626E7" w:rsidRDefault="00175C1D">
            <w:pPr>
              <w:textAlignment w:val="top"/>
            </w:pPr>
            <w:r>
              <w:rPr>
                <w:rFonts w:ascii="Arial" w:eastAsia="宋体" w:hAnsi="Arial" w:cs="Arial"/>
                <w:color w:val="003D72"/>
                <w:sz w:val="18"/>
                <w:szCs w:val="18"/>
              </w:rPr>
              <w:t>■</w:t>
            </w:r>
            <w:r>
              <w:rPr>
                <w:rFonts w:ascii="Arial" w:eastAsia="宋体" w:hAnsi="Arial" w:cs="Arial"/>
                <w:color w:val="003C71"/>
                <w:sz w:val="18"/>
                <w:szCs w:val="18"/>
              </w:rPr>
              <w:t xml:space="preserve"> </w:t>
            </w:r>
            <w:r>
              <w:rPr>
                <w:rFonts w:ascii="Arial" w:eastAsia="宋体" w:hAnsi="Arial" w:cs="Arial"/>
                <w:color w:val="333333"/>
                <w:sz w:val="16"/>
                <w:szCs w:val="16"/>
              </w:rPr>
              <w:t>OPERATING CASH FLOW</w:t>
            </w:r>
            <w:r>
              <w:rPr>
                <w:rFonts w:ascii="Arial" w:eastAsia="宋体" w:hAnsi="Arial" w:cs="Arial"/>
                <w:color w:val="003C71"/>
                <w:sz w:val="16"/>
                <w:szCs w:val="16"/>
              </w:rPr>
              <w:t xml:space="preserve"> </w:t>
            </w:r>
            <w:r>
              <w:rPr>
                <w:rFonts w:ascii="Arial" w:eastAsia="宋体" w:hAnsi="Arial" w:cs="Arial"/>
                <w:color w:val="333333"/>
                <w:sz w:val="16"/>
                <w:szCs w:val="16"/>
              </w:rPr>
              <w:t>$B</w:t>
            </w:r>
          </w:p>
          <w:p w14:paraId="20ADF81E" w14:textId="77777777" w:rsidR="00B626E7" w:rsidRDefault="00175C1D">
            <w:pPr>
              <w:textAlignment w:val="top"/>
            </w:pPr>
            <w:r>
              <w:rPr>
                <w:rFonts w:ascii="Arial" w:eastAsia="宋体" w:hAnsi="Arial" w:cs="Arial"/>
                <w:color w:val="00AEEF"/>
                <w:sz w:val="18"/>
                <w:szCs w:val="18"/>
              </w:rPr>
              <w:t>■</w:t>
            </w:r>
            <w:r>
              <w:rPr>
                <w:rFonts w:ascii="Arial" w:eastAsia="宋体" w:hAnsi="Arial" w:cs="Arial"/>
                <w:color w:val="003C71"/>
                <w:sz w:val="18"/>
                <w:szCs w:val="18"/>
              </w:rPr>
              <w:t xml:space="preserve"> </w:t>
            </w:r>
            <w:r>
              <w:rPr>
                <w:rFonts w:ascii="Arial" w:eastAsia="宋体" w:hAnsi="Arial" w:cs="Arial"/>
                <w:color w:val="333333"/>
                <w:sz w:val="16"/>
                <w:szCs w:val="16"/>
              </w:rPr>
              <w:t>FREE CASH FLOW $B</w:t>
            </w:r>
          </w:p>
        </w:tc>
      </w:tr>
    </w:tbl>
    <w:p w14:paraId="20ADF820" w14:textId="77777777" w:rsidR="00B626E7" w:rsidRDefault="00175C1D">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Viewer10_files/intc-20200627_g4.jpg"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18" wp14:editId="20AE3C19">
            <wp:extent cx="304800" cy="304800"/>
            <wp:effectExtent l="0" t="0" r="0" b="0"/>
            <wp:docPr id="30" name="图片 41"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1" descr="IMG_25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Viewer10_files/intc-2020</w:instrText>
      </w:r>
      <w:r>
        <w:rPr>
          <w:rFonts w:ascii="宋体" w:eastAsia="宋体" w:hAnsi="宋体" w:cs="宋体"/>
        </w:rPr>
        <w:instrText xml:space="preserve">0627_g5.jpg"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1A" wp14:editId="20AE3C1B">
            <wp:extent cx="304800" cy="304800"/>
            <wp:effectExtent l="0" t="0" r="0" b="0"/>
            <wp:docPr id="31" name="图片 42"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2" descr="IMG_26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Viewer10_files/intc-20200627_g6.jpg"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1C" wp14:editId="20AE3C1D">
            <wp:extent cx="304800" cy="304800"/>
            <wp:effectExtent l="0" t="0" r="0" b="0"/>
            <wp:docPr id="32" name="图片 43"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3" descr="IMG_26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w:instrText>
      </w:r>
      <w:r>
        <w:rPr>
          <w:rFonts w:ascii="宋体" w:eastAsia="宋体" w:hAnsi="宋体" w:cs="宋体"/>
        </w:rPr>
        <w:instrText xml:space="preserve">Inline XBRL Viewer10_files/intc-20200627_g7.jpg"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1E" wp14:editId="20AE3C1F">
            <wp:extent cx="304800" cy="304800"/>
            <wp:effectExtent l="0" t="0" r="0" b="0"/>
            <wp:docPr id="33" name="图片 44"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4" descr="IMG_26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950" w:type="dxa"/>
        <w:tblCellMar>
          <w:top w:w="15" w:type="dxa"/>
          <w:left w:w="15" w:type="dxa"/>
          <w:bottom w:w="15" w:type="dxa"/>
          <w:right w:w="15" w:type="dxa"/>
        </w:tblCellMar>
        <w:tblLook w:val="04A0" w:firstRow="1" w:lastRow="0" w:firstColumn="1" w:lastColumn="0" w:noHBand="0" w:noVBand="1"/>
      </w:tblPr>
      <w:tblGrid>
        <w:gridCol w:w="39"/>
        <w:gridCol w:w="1213"/>
        <w:gridCol w:w="38"/>
        <w:gridCol w:w="38"/>
        <w:gridCol w:w="38"/>
        <w:gridCol w:w="38"/>
        <w:gridCol w:w="38"/>
        <w:gridCol w:w="144"/>
        <w:gridCol w:w="38"/>
        <w:gridCol w:w="36"/>
        <w:gridCol w:w="36"/>
        <w:gridCol w:w="36"/>
        <w:gridCol w:w="36"/>
        <w:gridCol w:w="941"/>
        <w:gridCol w:w="36"/>
        <w:gridCol w:w="36"/>
        <w:gridCol w:w="36"/>
        <w:gridCol w:w="36"/>
        <w:gridCol w:w="41"/>
        <w:gridCol w:w="1138"/>
        <w:gridCol w:w="41"/>
        <w:gridCol w:w="36"/>
        <w:gridCol w:w="36"/>
        <w:gridCol w:w="36"/>
        <w:gridCol w:w="41"/>
        <w:gridCol w:w="1069"/>
        <w:gridCol w:w="41"/>
        <w:gridCol w:w="36"/>
        <w:gridCol w:w="36"/>
        <w:gridCol w:w="36"/>
        <w:gridCol w:w="38"/>
        <w:gridCol w:w="1008"/>
        <w:gridCol w:w="38"/>
        <w:gridCol w:w="36"/>
        <w:gridCol w:w="36"/>
        <w:gridCol w:w="36"/>
        <w:gridCol w:w="42"/>
        <w:gridCol w:w="1327"/>
        <w:gridCol w:w="42"/>
        <w:gridCol w:w="38"/>
        <w:gridCol w:w="38"/>
        <w:gridCol w:w="38"/>
        <w:gridCol w:w="43"/>
        <w:gridCol w:w="1369"/>
        <w:gridCol w:w="43"/>
        <w:gridCol w:w="36"/>
        <w:gridCol w:w="36"/>
        <w:gridCol w:w="36"/>
        <w:gridCol w:w="132"/>
        <w:gridCol w:w="132"/>
        <w:gridCol w:w="132"/>
        <w:gridCol w:w="36"/>
        <w:gridCol w:w="36"/>
        <w:gridCol w:w="36"/>
        <w:gridCol w:w="87"/>
        <w:gridCol w:w="87"/>
        <w:gridCol w:w="86"/>
        <w:gridCol w:w="86"/>
        <w:gridCol w:w="86"/>
        <w:gridCol w:w="86"/>
        <w:gridCol w:w="86"/>
        <w:gridCol w:w="86"/>
        <w:gridCol w:w="36"/>
      </w:tblGrid>
      <w:tr w:rsidR="00B626E7" w14:paraId="20ADF84E" w14:textId="77777777">
        <w:trPr>
          <w:gridAfter w:val="18"/>
        </w:trPr>
        <w:tc>
          <w:tcPr>
            <w:tcW w:w="20" w:type="dxa"/>
            <w:shd w:val="clear" w:color="auto" w:fill="auto"/>
          </w:tcPr>
          <w:p w14:paraId="20ADF821" w14:textId="77777777" w:rsidR="00B626E7" w:rsidRDefault="00B626E7">
            <w:pPr>
              <w:rPr>
                <w:rFonts w:ascii="宋体"/>
              </w:rPr>
            </w:pPr>
          </w:p>
        </w:tc>
        <w:tc>
          <w:tcPr>
            <w:tcW w:w="1295" w:type="dxa"/>
            <w:shd w:val="clear" w:color="auto" w:fill="auto"/>
          </w:tcPr>
          <w:p w14:paraId="20ADF822" w14:textId="77777777" w:rsidR="00B626E7" w:rsidRDefault="00B626E7">
            <w:pPr>
              <w:rPr>
                <w:rFonts w:ascii="宋体"/>
              </w:rPr>
            </w:pPr>
          </w:p>
        </w:tc>
        <w:tc>
          <w:tcPr>
            <w:tcW w:w="20" w:type="dxa"/>
            <w:shd w:val="clear" w:color="auto" w:fill="auto"/>
          </w:tcPr>
          <w:p w14:paraId="20ADF823" w14:textId="77777777" w:rsidR="00B626E7" w:rsidRDefault="00B626E7">
            <w:pPr>
              <w:rPr>
                <w:rFonts w:ascii="宋体"/>
              </w:rPr>
            </w:pPr>
          </w:p>
        </w:tc>
        <w:tc>
          <w:tcPr>
            <w:tcW w:w="20" w:type="dxa"/>
            <w:shd w:val="clear" w:color="auto" w:fill="auto"/>
          </w:tcPr>
          <w:p w14:paraId="20ADF824" w14:textId="77777777" w:rsidR="00B626E7" w:rsidRDefault="00B626E7">
            <w:pPr>
              <w:rPr>
                <w:rFonts w:ascii="宋体"/>
              </w:rPr>
            </w:pPr>
          </w:p>
        </w:tc>
        <w:tc>
          <w:tcPr>
            <w:tcW w:w="35" w:type="dxa"/>
            <w:shd w:val="clear" w:color="auto" w:fill="auto"/>
          </w:tcPr>
          <w:p w14:paraId="20ADF825" w14:textId="77777777" w:rsidR="00B626E7" w:rsidRDefault="00B626E7">
            <w:pPr>
              <w:rPr>
                <w:rFonts w:ascii="宋体"/>
              </w:rPr>
            </w:pPr>
          </w:p>
        </w:tc>
        <w:tc>
          <w:tcPr>
            <w:tcW w:w="20" w:type="dxa"/>
            <w:shd w:val="clear" w:color="auto" w:fill="auto"/>
          </w:tcPr>
          <w:p w14:paraId="20ADF826" w14:textId="77777777" w:rsidR="00B626E7" w:rsidRDefault="00B626E7">
            <w:pPr>
              <w:rPr>
                <w:rFonts w:ascii="宋体"/>
              </w:rPr>
            </w:pPr>
          </w:p>
        </w:tc>
        <w:tc>
          <w:tcPr>
            <w:tcW w:w="20" w:type="dxa"/>
            <w:shd w:val="clear" w:color="auto" w:fill="auto"/>
          </w:tcPr>
          <w:p w14:paraId="20ADF827" w14:textId="77777777" w:rsidR="00B626E7" w:rsidRDefault="00B626E7">
            <w:pPr>
              <w:rPr>
                <w:rFonts w:ascii="宋体"/>
              </w:rPr>
            </w:pPr>
          </w:p>
        </w:tc>
        <w:tc>
          <w:tcPr>
            <w:tcW w:w="1160" w:type="dxa"/>
            <w:shd w:val="clear" w:color="auto" w:fill="auto"/>
          </w:tcPr>
          <w:p w14:paraId="20ADF828" w14:textId="77777777" w:rsidR="00B626E7" w:rsidRDefault="00B626E7">
            <w:pPr>
              <w:rPr>
                <w:rFonts w:ascii="宋体"/>
              </w:rPr>
            </w:pPr>
          </w:p>
        </w:tc>
        <w:tc>
          <w:tcPr>
            <w:tcW w:w="20" w:type="dxa"/>
            <w:shd w:val="clear" w:color="auto" w:fill="auto"/>
          </w:tcPr>
          <w:p w14:paraId="20ADF829" w14:textId="77777777" w:rsidR="00B626E7" w:rsidRDefault="00B626E7">
            <w:pPr>
              <w:rPr>
                <w:rFonts w:ascii="宋体"/>
              </w:rPr>
            </w:pPr>
          </w:p>
        </w:tc>
        <w:tc>
          <w:tcPr>
            <w:tcW w:w="20" w:type="dxa"/>
            <w:shd w:val="clear" w:color="auto" w:fill="auto"/>
          </w:tcPr>
          <w:p w14:paraId="20ADF82A" w14:textId="77777777" w:rsidR="00B626E7" w:rsidRDefault="00B626E7">
            <w:pPr>
              <w:rPr>
                <w:rFonts w:ascii="宋体"/>
              </w:rPr>
            </w:pPr>
          </w:p>
        </w:tc>
        <w:tc>
          <w:tcPr>
            <w:tcW w:w="35" w:type="dxa"/>
            <w:shd w:val="clear" w:color="auto" w:fill="auto"/>
          </w:tcPr>
          <w:p w14:paraId="20ADF82B" w14:textId="77777777" w:rsidR="00B626E7" w:rsidRDefault="00B626E7">
            <w:pPr>
              <w:rPr>
                <w:rFonts w:ascii="宋体"/>
              </w:rPr>
            </w:pPr>
          </w:p>
        </w:tc>
        <w:tc>
          <w:tcPr>
            <w:tcW w:w="20" w:type="dxa"/>
            <w:shd w:val="clear" w:color="auto" w:fill="auto"/>
          </w:tcPr>
          <w:p w14:paraId="20ADF82C" w14:textId="77777777" w:rsidR="00B626E7" w:rsidRDefault="00B626E7">
            <w:pPr>
              <w:rPr>
                <w:rFonts w:ascii="宋体"/>
              </w:rPr>
            </w:pPr>
          </w:p>
        </w:tc>
        <w:tc>
          <w:tcPr>
            <w:tcW w:w="20" w:type="dxa"/>
            <w:shd w:val="clear" w:color="auto" w:fill="auto"/>
          </w:tcPr>
          <w:p w14:paraId="20ADF82D" w14:textId="77777777" w:rsidR="00B626E7" w:rsidRDefault="00B626E7">
            <w:pPr>
              <w:rPr>
                <w:rFonts w:ascii="宋体"/>
              </w:rPr>
            </w:pPr>
          </w:p>
        </w:tc>
        <w:tc>
          <w:tcPr>
            <w:tcW w:w="1295" w:type="dxa"/>
            <w:shd w:val="clear" w:color="auto" w:fill="auto"/>
          </w:tcPr>
          <w:p w14:paraId="20ADF82E" w14:textId="77777777" w:rsidR="00B626E7" w:rsidRDefault="00B626E7">
            <w:pPr>
              <w:rPr>
                <w:rFonts w:ascii="宋体"/>
              </w:rPr>
            </w:pPr>
          </w:p>
        </w:tc>
        <w:tc>
          <w:tcPr>
            <w:tcW w:w="20" w:type="dxa"/>
            <w:shd w:val="clear" w:color="auto" w:fill="auto"/>
          </w:tcPr>
          <w:p w14:paraId="20ADF82F" w14:textId="77777777" w:rsidR="00B626E7" w:rsidRDefault="00B626E7">
            <w:pPr>
              <w:rPr>
                <w:rFonts w:ascii="宋体"/>
              </w:rPr>
            </w:pPr>
          </w:p>
        </w:tc>
        <w:tc>
          <w:tcPr>
            <w:tcW w:w="20" w:type="dxa"/>
            <w:shd w:val="clear" w:color="auto" w:fill="auto"/>
          </w:tcPr>
          <w:p w14:paraId="20ADF830" w14:textId="77777777" w:rsidR="00B626E7" w:rsidRDefault="00B626E7">
            <w:pPr>
              <w:rPr>
                <w:rFonts w:ascii="宋体"/>
              </w:rPr>
            </w:pPr>
          </w:p>
        </w:tc>
        <w:tc>
          <w:tcPr>
            <w:tcW w:w="35" w:type="dxa"/>
            <w:shd w:val="clear" w:color="auto" w:fill="auto"/>
          </w:tcPr>
          <w:p w14:paraId="20ADF831" w14:textId="77777777" w:rsidR="00B626E7" w:rsidRDefault="00B626E7">
            <w:pPr>
              <w:rPr>
                <w:rFonts w:ascii="宋体"/>
              </w:rPr>
            </w:pPr>
          </w:p>
        </w:tc>
        <w:tc>
          <w:tcPr>
            <w:tcW w:w="20" w:type="dxa"/>
            <w:shd w:val="clear" w:color="auto" w:fill="auto"/>
          </w:tcPr>
          <w:p w14:paraId="20ADF832" w14:textId="77777777" w:rsidR="00B626E7" w:rsidRDefault="00B626E7">
            <w:pPr>
              <w:rPr>
                <w:rFonts w:ascii="宋体"/>
              </w:rPr>
            </w:pPr>
          </w:p>
        </w:tc>
        <w:tc>
          <w:tcPr>
            <w:tcW w:w="20" w:type="dxa"/>
            <w:shd w:val="clear" w:color="auto" w:fill="auto"/>
          </w:tcPr>
          <w:p w14:paraId="20ADF833" w14:textId="77777777" w:rsidR="00B626E7" w:rsidRDefault="00B626E7">
            <w:pPr>
              <w:rPr>
                <w:rFonts w:ascii="宋体"/>
              </w:rPr>
            </w:pPr>
          </w:p>
        </w:tc>
        <w:tc>
          <w:tcPr>
            <w:tcW w:w="1295" w:type="dxa"/>
            <w:shd w:val="clear" w:color="auto" w:fill="auto"/>
          </w:tcPr>
          <w:p w14:paraId="20ADF834" w14:textId="77777777" w:rsidR="00B626E7" w:rsidRDefault="00B626E7">
            <w:pPr>
              <w:rPr>
                <w:rFonts w:ascii="宋体"/>
              </w:rPr>
            </w:pPr>
          </w:p>
        </w:tc>
        <w:tc>
          <w:tcPr>
            <w:tcW w:w="20" w:type="dxa"/>
            <w:shd w:val="clear" w:color="auto" w:fill="auto"/>
          </w:tcPr>
          <w:p w14:paraId="20ADF835" w14:textId="77777777" w:rsidR="00B626E7" w:rsidRDefault="00B626E7">
            <w:pPr>
              <w:rPr>
                <w:rFonts w:ascii="宋体"/>
              </w:rPr>
            </w:pPr>
          </w:p>
        </w:tc>
        <w:tc>
          <w:tcPr>
            <w:tcW w:w="20" w:type="dxa"/>
            <w:shd w:val="clear" w:color="auto" w:fill="auto"/>
          </w:tcPr>
          <w:p w14:paraId="20ADF836" w14:textId="77777777" w:rsidR="00B626E7" w:rsidRDefault="00B626E7">
            <w:pPr>
              <w:rPr>
                <w:rFonts w:ascii="宋体"/>
              </w:rPr>
            </w:pPr>
          </w:p>
        </w:tc>
        <w:tc>
          <w:tcPr>
            <w:tcW w:w="35" w:type="dxa"/>
            <w:shd w:val="clear" w:color="auto" w:fill="auto"/>
          </w:tcPr>
          <w:p w14:paraId="20ADF837" w14:textId="77777777" w:rsidR="00B626E7" w:rsidRDefault="00B626E7">
            <w:pPr>
              <w:rPr>
                <w:rFonts w:ascii="宋体"/>
              </w:rPr>
            </w:pPr>
          </w:p>
        </w:tc>
        <w:tc>
          <w:tcPr>
            <w:tcW w:w="20" w:type="dxa"/>
            <w:shd w:val="clear" w:color="auto" w:fill="auto"/>
          </w:tcPr>
          <w:p w14:paraId="20ADF838" w14:textId="77777777" w:rsidR="00B626E7" w:rsidRDefault="00B626E7">
            <w:pPr>
              <w:rPr>
                <w:rFonts w:ascii="宋体"/>
              </w:rPr>
            </w:pPr>
          </w:p>
        </w:tc>
        <w:tc>
          <w:tcPr>
            <w:tcW w:w="20" w:type="dxa"/>
            <w:shd w:val="clear" w:color="auto" w:fill="auto"/>
          </w:tcPr>
          <w:p w14:paraId="20ADF839" w14:textId="77777777" w:rsidR="00B626E7" w:rsidRDefault="00B626E7">
            <w:pPr>
              <w:rPr>
                <w:rFonts w:ascii="宋体"/>
              </w:rPr>
            </w:pPr>
          </w:p>
        </w:tc>
        <w:tc>
          <w:tcPr>
            <w:tcW w:w="1265" w:type="dxa"/>
            <w:shd w:val="clear" w:color="auto" w:fill="auto"/>
          </w:tcPr>
          <w:p w14:paraId="20ADF83A" w14:textId="77777777" w:rsidR="00B626E7" w:rsidRDefault="00B626E7">
            <w:pPr>
              <w:rPr>
                <w:rFonts w:ascii="宋体"/>
              </w:rPr>
            </w:pPr>
          </w:p>
        </w:tc>
        <w:tc>
          <w:tcPr>
            <w:tcW w:w="20" w:type="dxa"/>
            <w:shd w:val="clear" w:color="auto" w:fill="auto"/>
          </w:tcPr>
          <w:p w14:paraId="20ADF83B" w14:textId="77777777" w:rsidR="00B626E7" w:rsidRDefault="00B626E7">
            <w:pPr>
              <w:rPr>
                <w:rFonts w:ascii="宋体"/>
              </w:rPr>
            </w:pPr>
          </w:p>
        </w:tc>
        <w:tc>
          <w:tcPr>
            <w:tcW w:w="20" w:type="dxa"/>
            <w:shd w:val="clear" w:color="auto" w:fill="auto"/>
          </w:tcPr>
          <w:p w14:paraId="20ADF83C" w14:textId="77777777" w:rsidR="00B626E7" w:rsidRDefault="00B626E7">
            <w:pPr>
              <w:rPr>
                <w:rFonts w:ascii="宋体"/>
              </w:rPr>
            </w:pPr>
          </w:p>
        </w:tc>
        <w:tc>
          <w:tcPr>
            <w:tcW w:w="35" w:type="dxa"/>
            <w:shd w:val="clear" w:color="auto" w:fill="auto"/>
          </w:tcPr>
          <w:p w14:paraId="20ADF83D" w14:textId="77777777" w:rsidR="00B626E7" w:rsidRDefault="00B626E7">
            <w:pPr>
              <w:rPr>
                <w:rFonts w:ascii="宋体"/>
              </w:rPr>
            </w:pPr>
          </w:p>
        </w:tc>
        <w:tc>
          <w:tcPr>
            <w:tcW w:w="20" w:type="dxa"/>
            <w:shd w:val="clear" w:color="auto" w:fill="auto"/>
          </w:tcPr>
          <w:p w14:paraId="20ADF83E" w14:textId="77777777" w:rsidR="00B626E7" w:rsidRDefault="00B626E7">
            <w:pPr>
              <w:rPr>
                <w:rFonts w:ascii="宋体"/>
              </w:rPr>
            </w:pPr>
          </w:p>
        </w:tc>
        <w:tc>
          <w:tcPr>
            <w:tcW w:w="20" w:type="dxa"/>
            <w:shd w:val="clear" w:color="auto" w:fill="auto"/>
          </w:tcPr>
          <w:p w14:paraId="20ADF83F" w14:textId="77777777" w:rsidR="00B626E7" w:rsidRDefault="00B626E7">
            <w:pPr>
              <w:rPr>
                <w:rFonts w:ascii="宋体"/>
              </w:rPr>
            </w:pPr>
          </w:p>
        </w:tc>
        <w:tc>
          <w:tcPr>
            <w:tcW w:w="1265" w:type="dxa"/>
            <w:shd w:val="clear" w:color="auto" w:fill="auto"/>
          </w:tcPr>
          <w:p w14:paraId="20ADF840" w14:textId="77777777" w:rsidR="00B626E7" w:rsidRDefault="00B626E7">
            <w:pPr>
              <w:rPr>
                <w:rFonts w:ascii="宋体"/>
              </w:rPr>
            </w:pPr>
          </w:p>
        </w:tc>
        <w:tc>
          <w:tcPr>
            <w:tcW w:w="20" w:type="dxa"/>
            <w:shd w:val="clear" w:color="auto" w:fill="auto"/>
          </w:tcPr>
          <w:p w14:paraId="20ADF841" w14:textId="77777777" w:rsidR="00B626E7" w:rsidRDefault="00B626E7">
            <w:pPr>
              <w:rPr>
                <w:rFonts w:ascii="宋体"/>
              </w:rPr>
            </w:pPr>
          </w:p>
        </w:tc>
        <w:tc>
          <w:tcPr>
            <w:tcW w:w="20" w:type="dxa"/>
            <w:shd w:val="clear" w:color="auto" w:fill="auto"/>
          </w:tcPr>
          <w:p w14:paraId="20ADF842" w14:textId="77777777" w:rsidR="00B626E7" w:rsidRDefault="00B626E7">
            <w:pPr>
              <w:rPr>
                <w:rFonts w:ascii="宋体"/>
              </w:rPr>
            </w:pPr>
          </w:p>
        </w:tc>
        <w:tc>
          <w:tcPr>
            <w:tcW w:w="35" w:type="dxa"/>
            <w:shd w:val="clear" w:color="auto" w:fill="auto"/>
          </w:tcPr>
          <w:p w14:paraId="20ADF843" w14:textId="77777777" w:rsidR="00B626E7" w:rsidRDefault="00B626E7">
            <w:pPr>
              <w:rPr>
                <w:rFonts w:ascii="宋体"/>
              </w:rPr>
            </w:pPr>
          </w:p>
        </w:tc>
        <w:tc>
          <w:tcPr>
            <w:tcW w:w="20" w:type="dxa"/>
            <w:shd w:val="clear" w:color="auto" w:fill="auto"/>
          </w:tcPr>
          <w:p w14:paraId="20ADF844" w14:textId="77777777" w:rsidR="00B626E7" w:rsidRDefault="00B626E7">
            <w:pPr>
              <w:rPr>
                <w:rFonts w:ascii="宋体"/>
              </w:rPr>
            </w:pPr>
          </w:p>
        </w:tc>
        <w:tc>
          <w:tcPr>
            <w:tcW w:w="20" w:type="dxa"/>
            <w:shd w:val="clear" w:color="auto" w:fill="auto"/>
          </w:tcPr>
          <w:p w14:paraId="20ADF845" w14:textId="77777777" w:rsidR="00B626E7" w:rsidRDefault="00B626E7">
            <w:pPr>
              <w:rPr>
                <w:rFonts w:ascii="宋体"/>
              </w:rPr>
            </w:pPr>
          </w:p>
        </w:tc>
        <w:tc>
          <w:tcPr>
            <w:tcW w:w="1265" w:type="dxa"/>
            <w:shd w:val="clear" w:color="auto" w:fill="auto"/>
          </w:tcPr>
          <w:p w14:paraId="20ADF846" w14:textId="77777777" w:rsidR="00B626E7" w:rsidRDefault="00B626E7">
            <w:pPr>
              <w:rPr>
                <w:rFonts w:ascii="宋体"/>
              </w:rPr>
            </w:pPr>
          </w:p>
        </w:tc>
        <w:tc>
          <w:tcPr>
            <w:tcW w:w="20" w:type="dxa"/>
            <w:shd w:val="clear" w:color="auto" w:fill="auto"/>
          </w:tcPr>
          <w:p w14:paraId="20ADF847" w14:textId="77777777" w:rsidR="00B626E7" w:rsidRDefault="00B626E7">
            <w:pPr>
              <w:rPr>
                <w:rFonts w:ascii="宋体"/>
              </w:rPr>
            </w:pPr>
          </w:p>
        </w:tc>
        <w:tc>
          <w:tcPr>
            <w:tcW w:w="20" w:type="dxa"/>
            <w:shd w:val="clear" w:color="auto" w:fill="auto"/>
          </w:tcPr>
          <w:p w14:paraId="20ADF848" w14:textId="77777777" w:rsidR="00B626E7" w:rsidRDefault="00B626E7">
            <w:pPr>
              <w:rPr>
                <w:rFonts w:ascii="宋体"/>
              </w:rPr>
            </w:pPr>
          </w:p>
        </w:tc>
        <w:tc>
          <w:tcPr>
            <w:tcW w:w="35" w:type="dxa"/>
            <w:shd w:val="clear" w:color="auto" w:fill="auto"/>
          </w:tcPr>
          <w:p w14:paraId="20ADF849" w14:textId="77777777" w:rsidR="00B626E7" w:rsidRDefault="00B626E7">
            <w:pPr>
              <w:rPr>
                <w:rFonts w:ascii="宋体"/>
              </w:rPr>
            </w:pPr>
          </w:p>
        </w:tc>
        <w:tc>
          <w:tcPr>
            <w:tcW w:w="20" w:type="dxa"/>
            <w:shd w:val="clear" w:color="auto" w:fill="auto"/>
          </w:tcPr>
          <w:p w14:paraId="20ADF84A" w14:textId="77777777" w:rsidR="00B626E7" w:rsidRDefault="00B626E7">
            <w:pPr>
              <w:rPr>
                <w:rFonts w:ascii="宋体"/>
              </w:rPr>
            </w:pPr>
          </w:p>
        </w:tc>
        <w:tc>
          <w:tcPr>
            <w:tcW w:w="20" w:type="dxa"/>
            <w:shd w:val="clear" w:color="auto" w:fill="auto"/>
          </w:tcPr>
          <w:p w14:paraId="20ADF84B" w14:textId="77777777" w:rsidR="00B626E7" w:rsidRDefault="00B626E7">
            <w:pPr>
              <w:rPr>
                <w:rFonts w:ascii="宋体"/>
              </w:rPr>
            </w:pPr>
          </w:p>
        </w:tc>
        <w:tc>
          <w:tcPr>
            <w:tcW w:w="1265" w:type="dxa"/>
            <w:shd w:val="clear" w:color="auto" w:fill="auto"/>
          </w:tcPr>
          <w:p w14:paraId="20ADF84C" w14:textId="77777777" w:rsidR="00B626E7" w:rsidRDefault="00B626E7">
            <w:pPr>
              <w:rPr>
                <w:rFonts w:ascii="宋体"/>
              </w:rPr>
            </w:pPr>
          </w:p>
        </w:tc>
        <w:tc>
          <w:tcPr>
            <w:tcW w:w="20" w:type="dxa"/>
            <w:shd w:val="clear" w:color="auto" w:fill="auto"/>
          </w:tcPr>
          <w:p w14:paraId="20ADF84D" w14:textId="77777777" w:rsidR="00B626E7" w:rsidRDefault="00B626E7">
            <w:pPr>
              <w:rPr>
                <w:rFonts w:ascii="宋体"/>
              </w:rPr>
            </w:pPr>
          </w:p>
        </w:tc>
      </w:tr>
      <w:tr w:rsidR="00B626E7" w14:paraId="20ADF85D" w14:textId="77777777">
        <w:trPr>
          <w:trHeight w:val="60"/>
        </w:trPr>
        <w:tc>
          <w:tcPr>
            <w:tcW w:w="0" w:type="auto"/>
            <w:gridSpan w:val="9"/>
            <w:shd w:val="clear" w:color="auto" w:fill="003C71"/>
            <w:tcMar>
              <w:left w:w="20" w:type="dxa"/>
              <w:right w:w="20" w:type="dxa"/>
            </w:tcMar>
            <w:vAlign w:val="bottom"/>
          </w:tcPr>
          <w:p w14:paraId="20ADF84F" w14:textId="77777777" w:rsidR="00B626E7" w:rsidRDefault="00B626E7">
            <w:pPr>
              <w:rPr>
                <w:rFonts w:ascii="宋体"/>
              </w:rPr>
            </w:pPr>
          </w:p>
        </w:tc>
        <w:tc>
          <w:tcPr>
            <w:tcW w:w="0" w:type="auto"/>
            <w:gridSpan w:val="3"/>
            <w:shd w:val="clear" w:color="auto" w:fill="auto"/>
          </w:tcPr>
          <w:p w14:paraId="20ADF850" w14:textId="77777777" w:rsidR="00B626E7" w:rsidRDefault="00B626E7">
            <w:pPr>
              <w:rPr>
                <w:rFonts w:ascii="宋体"/>
                <w:vanish/>
              </w:rPr>
            </w:pPr>
          </w:p>
        </w:tc>
        <w:tc>
          <w:tcPr>
            <w:tcW w:w="0" w:type="auto"/>
            <w:gridSpan w:val="3"/>
            <w:shd w:val="clear" w:color="auto" w:fill="auto"/>
          </w:tcPr>
          <w:p w14:paraId="20ADF851" w14:textId="77777777" w:rsidR="00B626E7" w:rsidRDefault="00B626E7">
            <w:pPr>
              <w:rPr>
                <w:rFonts w:ascii="宋体"/>
                <w:vanish/>
              </w:rPr>
            </w:pPr>
          </w:p>
        </w:tc>
        <w:tc>
          <w:tcPr>
            <w:tcW w:w="0" w:type="auto"/>
            <w:gridSpan w:val="3"/>
            <w:shd w:val="clear" w:color="auto" w:fill="auto"/>
            <w:tcMar>
              <w:left w:w="20" w:type="dxa"/>
              <w:right w:w="20" w:type="dxa"/>
            </w:tcMar>
            <w:vAlign w:val="bottom"/>
          </w:tcPr>
          <w:p w14:paraId="20ADF852" w14:textId="77777777" w:rsidR="00B626E7" w:rsidRDefault="00B626E7">
            <w:pPr>
              <w:rPr>
                <w:rFonts w:ascii="宋体"/>
              </w:rPr>
            </w:pPr>
          </w:p>
        </w:tc>
        <w:tc>
          <w:tcPr>
            <w:tcW w:w="0" w:type="auto"/>
            <w:gridSpan w:val="9"/>
            <w:shd w:val="clear" w:color="auto" w:fill="0071C5"/>
            <w:tcMar>
              <w:left w:w="20" w:type="dxa"/>
              <w:right w:w="20" w:type="dxa"/>
            </w:tcMar>
            <w:vAlign w:val="bottom"/>
          </w:tcPr>
          <w:p w14:paraId="20ADF853" w14:textId="77777777" w:rsidR="00B626E7" w:rsidRDefault="00B626E7">
            <w:pPr>
              <w:rPr>
                <w:rFonts w:ascii="宋体"/>
              </w:rPr>
            </w:pPr>
          </w:p>
        </w:tc>
        <w:tc>
          <w:tcPr>
            <w:tcW w:w="0" w:type="auto"/>
            <w:gridSpan w:val="3"/>
            <w:shd w:val="clear" w:color="auto" w:fill="auto"/>
          </w:tcPr>
          <w:p w14:paraId="20ADF854" w14:textId="77777777" w:rsidR="00B626E7" w:rsidRDefault="00B626E7">
            <w:pPr>
              <w:rPr>
                <w:rFonts w:ascii="宋体"/>
                <w:vanish/>
              </w:rPr>
            </w:pPr>
          </w:p>
        </w:tc>
        <w:tc>
          <w:tcPr>
            <w:tcW w:w="0" w:type="auto"/>
            <w:gridSpan w:val="3"/>
            <w:shd w:val="clear" w:color="auto" w:fill="auto"/>
          </w:tcPr>
          <w:p w14:paraId="20ADF855" w14:textId="77777777" w:rsidR="00B626E7" w:rsidRDefault="00B626E7">
            <w:pPr>
              <w:rPr>
                <w:rFonts w:ascii="宋体"/>
                <w:vanish/>
              </w:rPr>
            </w:pPr>
          </w:p>
        </w:tc>
        <w:tc>
          <w:tcPr>
            <w:tcW w:w="0" w:type="auto"/>
            <w:gridSpan w:val="3"/>
            <w:shd w:val="clear" w:color="auto" w:fill="auto"/>
            <w:tcMar>
              <w:left w:w="20" w:type="dxa"/>
              <w:right w:w="20" w:type="dxa"/>
            </w:tcMar>
            <w:vAlign w:val="bottom"/>
          </w:tcPr>
          <w:p w14:paraId="20ADF856" w14:textId="77777777" w:rsidR="00B626E7" w:rsidRDefault="00B626E7">
            <w:pPr>
              <w:rPr>
                <w:rFonts w:ascii="宋体"/>
              </w:rPr>
            </w:pPr>
          </w:p>
        </w:tc>
        <w:tc>
          <w:tcPr>
            <w:tcW w:w="0" w:type="auto"/>
            <w:gridSpan w:val="9"/>
            <w:shd w:val="clear" w:color="auto" w:fill="00AEEF"/>
            <w:tcMar>
              <w:left w:w="20" w:type="dxa"/>
              <w:right w:w="20" w:type="dxa"/>
            </w:tcMar>
            <w:vAlign w:val="bottom"/>
          </w:tcPr>
          <w:p w14:paraId="20ADF857" w14:textId="77777777" w:rsidR="00B626E7" w:rsidRDefault="00B626E7">
            <w:pPr>
              <w:rPr>
                <w:rFonts w:ascii="宋体"/>
              </w:rPr>
            </w:pPr>
          </w:p>
        </w:tc>
        <w:tc>
          <w:tcPr>
            <w:tcW w:w="0" w:type="auto"/>
            <w:gridSpan w:val="3"/>
            <w:shd w:val="clear" w:color="auto" w:fill="auto"/>
          </w:tcPr>
          <w:p w14:paraId="20ADF858" w14:textId="77777777" w:rsidR="00B626E7" w:rsidRDefault="00B626E7">
            <w:pPr>
              <w:rPr>
                <w:rFonts w:ascii="宋体"/>
                <w:vanish/>
              </w:rPr>
            </w:pPr>
          </w:p>
        </w:tc>
        <w:tc>
          <w:tcPr>
            <w:tcW w:w="0" w:type="auto"/>
            <w:gridSpan w:val="3"/>
            <w:shd w:val="clear" w:color="auto" w:fill="auto"/>
          </w:tcPr>
          <w:p w14:paraId="20ADF859" w14:textId="77777777" w:rsidR="00B626E7" w:rsidRDefault="00B626E7">
            <w:pPr>
              <w:rPr>
                <w:rFonts w:ascii="宋体"/>
                <w:vanish/>
              </w:rPr>
            </w:pPr>
          </w:p>
        </w:tc>
        <w:tc>
          <w:tcPr>
            <w:tcW w:w="0" w:type="auto"/>
            <w:gridSpan w:val="3"/>
            <w:shd w:val="clear" w:color="auto" w:fill="auto"/>
            <w:tcMar>
              <w:left w:w="20" w:type="dxa"/>
              <w:right w:w="20" w:type="dxa"/>
            </w:tcMar>
            <w:vAlign w:val="bottom"/>
          </w:tcPr>
          <w:p w14:paraId="20ADF85A" w14:textId="77777777" w:rsidR="00B626E7" w:rsidRDefault="00B626E7">
            <w:pPr>
              <w:rPr>
                <w:rFonts w:ascii="宋体"/>
              </w:rPr>
            </w:pPr>
          </w:p>
        </w:tc>
        <w:tc>
          <w:tcPr>
            <w:tcW w:w="0" w:type="auto"/>
            <w:gridSpan w:val="8"/>
            <w:shd w:val="clear" w:color="auto" w:fill="ACACAC"/>
            <w:tcMar>
              <w:left w:w="20" w:type="dxa"/>
              <w:right w:w="20" w:type="dxa"/>
            </w:tcMar>
            <w:vAlign w:val="bottom"/>
          </w:tcPr>
          <w:p w14:paraId="20ADF85B" w14:textId="77777777" w:rsidR="00B626E7" w:rsidRDefault="00B626E7">
            <w:pPr>
              <w:rPr>
                <w:rFonts w:ascii="宋体"/>
              </w:rPr>
            </w:pPr>
          </w:p>
        </w:tc>
        <w:tc>
          <w:tcPr>
            <w:tcW w:w="0" w:type="auto"/>
            <w:shd w:val="clear" w:color="auto" w:fill="auto"/>
          </w:tcPr>
          <w:p w14:paraId="20ADF85C" w14:textId="77777777" w:rsidR="00B626E7" w:rsidRDefault="00B626E7">
            <w:pPr>
              <w:rPr>
                <w:rFonts w:ascii="宋体"/>
                <w:vanish/>
              </w:rPr>
            </w:pPr>
          </w:p>
        </w:tc>
      </w:tr>
      <w:tr w:rsidR="00B626E7" w14:paraId="20ADF87F" w14:textId="77777777">
        <w:tc>
          <w:tcPr>
            <w:tcW w:w="0" w:type="auto"/>
            <w:gridSpan w:val="3"/>
            <w:shd w:val="clear" w:color="auto" w:fill="auto"/>
            <w:tcMar>
              <w:top w:w="40" w:type="dxa"/>
              <w:left w:w="20" w:type="dxa"/>
              <w:bottom w:w="40" w:type="dxa"/>
              <w:right w:w="20" w:type="dxa"/>
            </w:tcMar>
          </w:tcPr>
          <w:p w14:paraId="20ADF85E" w14:textId="77777777" w:rsidR="00B626E7" w:rsidRDefault="00175C1D">
            <w:pPr>
              <w:textAlignment w:val="top"/>
            </w:pPr>
            <w:r>
              <w:rPr>
                <w:rFonts w:ascii="Arial" w:eastAsia="宋体" w:hAnsi="Arial" w:cs="Arial"/>
                <w:b/>
                <w:bCs/>
                <w:color w:val="003C71"/>
                <w:sz w:val="36"/>
                <w:szCs w:val="36"/>
              </w:rPr>
              <w:t>$19.7B</w:t>
            </w:r>
          </w:p>
        </w:tc>
        <w:tc>
          <w:tcPr>
            <w:tcW w:w="0" w:type="auto"/>
            <w:gridSpan w:val="3"/>
            <w:shd w:val="clear" w:color="auto" w:fill="auto"/>
            <w:tcMar>
              <w:left w:w="20" w:type="dxa"/>
              <w:right w:w="20" w:type="dxa"/>
            </w:tcMar>
            <w:vAlign w:val="bottom"/>
          </w:tcPr>
          <w:p w14:paraId="20ADF85F"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DF860"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DF861"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DF862" w14:textId="77777777" w:rsidR="00B626E7" w:rsidRDefault="00175C1D">
            <w:pPr>
              <w:textAlignment w:val="top"/>
            </w:pPr>
            <w:r>
              <w:rPr>
                <w:rFonts w:ascii="Arial" w:eastAsia="宋体" w:hAnsi="Arial" w:cs="Arial"/>
                <w:b/>
                <w:bCs/>
                <w:color w:val="003C71"/>
                <w:sz w:val="36"/>
                <w:szCs w:val="36"/>
              </w:rPr>
              <w:t>$5.7B</w:t>
            </w:r>
          </w:p>
        </w:tc>
        <w:tc>
          <w:tcPr>
            <w:tcW w:w="0" w:type="auto"/>
            <w:gridSpan w:val="3"/>
            <w:shd w:val="clear" w:color="auto" w:fill="auto"/>
            <w:tcMar>
              <w:left w:w="20" w:type="dxa"/>
              <w:right w:w="20" w:type="dxa"/>
            </w:tcMar>
            <w:vAlign w:val="bottom"/>
          </w:tcPr>
          <w:p w14:paraId="20ADF863"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DF864" w14:textId="77777777" w:rsidR="00B626E7" w:rsidRDefault="00175C1D">
            <w:pPr>
              <w:textAlignment w:val="top"/>
            </w:pPr>
            <w:r>
              <w:rPr>
                <w:rFonts w:ascii="Arial" w:eastAsia="宋体" w:hAnsi="Arial" w:cs="Arial"/>
                <w:b/>
                <w:bCs/>
                <w:color w:val="0071C5"/>
                <w:sz w:val="36"/>
                <w:szCs w:val="36"/>
              </w:rPr>
              <w:t>$6.1B</w:t>
            </w:r>
          </w:p>
        </w:tc>
        <w:tc>
          <w:tcPr>
            <w:tcW w:w="0" w:type="auto"/>
            <w:gridSpan w:val="3"/>
            <w:shd w:val="clear" w:color="auto" w:fill="auto"/>
            <w:tcMar>
              <w:left w:w="20" w:type="dxa"/>
              <w:right w:w="20" w:type="dxa"/>
            </w:tcMar>
            <w:vAlign w:val="bottom"/>
          </w:tcPr>
          <w:p w14:paraId="20ADF865"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DF866" w14:textId="77777777" w:rsidR="00B626E7" w:rsidRDefault="00175C1D">
            <w:pPr>
              <w:textAlignment w:val="top"/>
            </w:pPr>
            <w:r>
              <w:rPr>
                <w:rFonts w:ascii="Arial" w:eastAsia="宋体" w:hAnsi="Arial" w:cs="Arial"/>
                <w:b/>
                <w:bCs/>
                <w:color w:val="003C71"/>
                <w:sz w:val="36"/>
                <w:szCs w:val="36"/>
              </w:rPr>
              <w:t>$1.19</w:t>
            </w:r>
          </w:p>
        </w:tc>
        <w:tc>
          <w:tcPr>
            <w:tcW w:w="0" w:type="auto"/>
            <w:gridSpan w:val="3"/>
            <w:shd w:val="clear" w:color="auto" w:fill="auto"/>
            <w:tcMar>
              <w:left w:w="20" w:type="dxa"/>
              <w:right w:w="20" w:type="dxa"/>
            </w:tcMar>
            <w:vAlign w:val="bottom"/>
          </w:tcPr>
          <w:p w14:paraId="20ADF867"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DF868" w14:textId="77777777" w:rsidR="00B626E7" w:rsidRDefault="00175C1D">
            <w:pPr>
              <w:textAlignment w:val="top"/>
            </w:pPr>
            <w:r>
              <w:rPr>
                <w:rFonts w:ascii="Arial" w:eastAsia="宋体" w:hAnsi="Arial" w:cs="Arial"/>
                <w:b/>
                <w:bCs/>
                <w:color w:val="0071C5"/>
                <w:sz w:val="36"/>
                <w:szCs w:val="36"/>
              </w:rPr>
              <w:t>$1.23</w:t>
            </w:r>
          </w:p>
        </w:tc>
        <w:tc>
          <w:tcPr>
            <w:tcW w:w="0" w:type="auto"/>
            <w:gridSpan w:val="3"/>
            <w:shd w:val="clear" w:color="auto" w:fill="auto"/>
            <w:tcMar>
              <w:left w:w="20" w:type="dxa"/>
              <w:right w:w="20" w:type="dxa"/>
            </w:tcMar>
            <w:vAlign w:val="bottom"/>
          </w:tcPr>
          <w:p w14:paraId="20ADF869"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DF86A" w14:textId="77777777" w:rsidR="00B626E7" w:rsidRDefault="00175C1D">
            <w:pPr>
              <w:textAlignment w:val="top"/>
            </w:pPr>
            <w:r>
              <w:rPr>
                <w:rFonts w:ascii="Arial" w:eastAsia="宋体" w:hAnsi="Arial" w:cs="Arial"/>
                <w:b/>
                <w:bCs/>
                <w:color w:val="003C71"/>
                <w:sz w:val="36"/>
                <w:szCs w:val="36"/>
              </w:rPr>
              <w:t>$17.3B</w:t>
            </w:r>
          </w:p>
        </w:tc>
        <w:tc>
          <w:tcPr>
            <w:tcW w:w="0" w:type="auto"/>
            <w:gridSpan w:val="3"/>
            <w:shd w:val="clear" w:color="auto" w:fill="auto"/>
            <w:tcMar>
              <w:left w:w="20" w:type="dxa"/>
              <w:right w:w="20" w:type="dxa"/>
            </w:tcMar>
            <w:vAlign w:val="bottom"/>
          </w:tcPr>
          <w:p w14:paraId="20ADF86B"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DF86C" w14:textId="77777777" w:rsidR="00B626E7" w:rsidRDefault="00175C1D">
            <w:pPr>
              <w:textAlignment w:val="top"/>
            </w:pPr>
            <w:r>
              <w:rPr>
                <w:rFonts w:ascii="Arial" w:eastAsia="宋体" w:hAnsi="Arial" w:cs="Arial"/>
                <w:b/>
                <w:bCs/>
                <w:color w:val="0071C5"/>
                <w:sz w:val="36"/>
                <w:szCs w:val="36"/>
              </w:rPr>
              <w:t>$10.6B</w:t>
            </w:r>
          </w:p>
        </w:tc>
        <w:tc>
          <w:tcPr>
            <w:tcW w:w="0" w:type="auto"/>
            <w:shd w:val="clear" w:color="auto" w:fill="auto"/>
          </w:tcPr>
          <w:p w14:paraId="20ADF86D" w14:textId="77777777" w:rsidR="00B626E7" w:rsidRDefault="00B626E7">
            <w:pPr>
              <w:rPr>
                <w:rFonts w:ascii="宋体"/>
              </w:rPr>
            </w:pPr>
          </w:p>
        </w:tc>
        <w:tc>
          <w:tcPr>
            <w:tcW w:w="0" w:type="auto"/>
            <w:shd w:val="clear" w:color="auto" w:fill="auto"/>
          </w:tcPr>
          <w:p w14:paraId="20ADF86E" w14:textId="77777777" w:rsidR="00B626E7" w:rsidRDefault="00B626E7">
            <w:pPr>
              <w:rPr>
                <w:rFonts w:ascii="宋体"/>
              </w:rPr>
            </w:pPr>
          </w:p>
        </w:tc>
        <w:tc>
          <w:tcPr>
            <w:tcW w:w="0" w:type="auto"/>
            <w:shd w:val="clear" w:color="auto" w:fill="auto"/>
          </w:tcPr>
          <w:p w14:paraId="20ADF86F" w14:textId="77777777" w:rsidR="00B626E7" w:rsidRDefault="00B626E7">
            <w:pPr>
              <w:rPr>
                <w:rFonts w:ascii="宋体"/>
              </w:rPr>
            </w:pPr>
          </w:p>
        </w:tc>
        <w:tc>
          <w:tcPr>
            <w:tcW w:w="0" w:type="auto"/>
            <w:shd w:val="clear" w:color="auto" w:fill="auto"/>
          </w:tcPr>
          <w:p w14:paraId="20ADF870" w14:textId="77777777" w:rsidR="00B626E7" w:rsidRDefault="00B626E7">
            <w:pPr>
              <w:rPr>
                <w:rFonts w:ascii="宋体"/>
              </w:rPr>
            </w:pPr>
          </w:p>
        </w:tc>
        <w:tc>
          <w:tcPr>
            <w:tcW w:w="0" w:type="auto"/>
            <w:shd w:val="clear" w:color="auto" w:fill="auto"/>
          </w:tcPr>
          <w:p w14:paraId="20ADF871" w14:textId="77777777" w:rsidR="00B626E7" w:rsidRDefault="00B626E7">
            <w:pPr>
              <w:rPr>
                <w:rFonts w:ascii="宋体"/>
              </w:rPr>
            </w:pPr>
          </w:p>
        </w:tc>
        <w:tc>
          <w:tcPr>
            <w:tcW w:w="0" w:type="auto"/>
            <w:shd w:val="clear" w:color="auto" w:fill="auto"/>
          </w:tcPr>
          <w:p w14:paraId="20ADF872" w14:textId="77777777" w:rsidR="00B626E7" w:rsidRDefault="00B626E7">
            <w:pPr>
              <w:rPr>
                <w:rFonts w:ascii="宋体"/>
              </w:rPr>
            </w:pPr>
          </w:p>
        </w:tc>
        <w:tc>
          <w:tcPr>
            <w:tcW w:w="0" w:type="auto"/>
            <w:shd w:val="clear" w:color="auto" w:fill="auto"/>
          </w:tcPr>
          <w:p w14:paraId="20ADF873" w14:textId="77777777" w:rsidR="00B626E7" w:rsidRDefault="00B626E7">
            <w:pPr>
              <w:rPr>
                <w:rFonts w:ascii="宋体"/>
              </w:rPr>
            </w:pPr>
          </w:p>
        </w:tc>
        <w:tc>
          <w:tcPr>
            <w:tcW w:w="0" w:type="auto"/>
            <w:shd w:val="clear" w:color="auto" w:fill="auto"/>
          </w:tcPr>
          <w:p w14:paraId="20ADF874" w14:textId="77777777" w:rsidR="00B626E7" w:rsidRDefault="00B626E7">
            <w:pPr>
              <w:rPr>
                <w:rFonts w:ascii="宋体"/>
              </w:rPr>
            </w:pPr>
          </w:p>
        </w:tc>
        <w:tc>
          <w:tcPr>
            <w:tcW w:w="0" w:type="auto"/>
            <w:shd w:val="clear" w:color="auto" w:fill="auto"/>
          </w:tcPr>
          <w:p w14:paraId="20ADF875" w14:textId="77777777" w:rsidR="00B626E7" w:rsidRDefault="00B626E7">
            <w:pPr>
              <w:rPr>
                <w:rFonts w:ascii="宋体"/>
              </w:rPr>
            </w:pPr>
          </w:p>
        </w:tc>
        <w:tc>
          <w:tcPr>
            <w:tcW w:w="0" w:type="auto"/>
            <w:shd w:val="clear" w:color="auto" w:fill="auto"/>
          </w:tcPr>
          <w:p w14:paraId="20ADF876" w14:textId="77777777" w:rsidR="00B626E7" w:rsidRDefault="00B626E7">
            <w:pPr>
              <w:rPr>
                <w:rFonts w:ascii="宋体"/>
              </w:rPr>
            </w:pPr>
          </w:p>
        </w:tc>
        <w:tc>
          <w:tcPr>
            <w:tcW w:w="0" w:type="auto"/>
            <w:shd w:val="clear" w:color="auto" w:fill="auto"/>
          </w:tcPr>
          <w:p w14:paraId="20ADF877" w14:textId="77777777" w:rsidR="00B626E7" w:rsidRDefault="00B626E7">
            <w:pPr>
              <w:rPr>
                <w:rFonts w:ascii="宋体"/>
              </w:rPr>
            </w:pPr>
          </w:p>
        </w:tc>
        <w:tc>
          <w:tcPr>
            <w:tcW w:w="0" w:type="auto"/>
            <w:shd w:val="clear" w:color="auto" w:fill="auto"/>
          </w:tcPr>
          <w:p w14:paraId="20ADF878" w14:textId="77777777" w:rsidR="00B626E7" w:rsidRDefault="00B626E7">
            <w:pPr>
              <w:rPr>
                <w:rFonts w:ascii="宋体"/>
              </w:rPr>
            </w:pPr>
          </w:p>
        </w:tc>
        <w:tc>
          <w:tcPr>
            <w:tcW w:w="0" w:type="auto"/>
            <w:shd w:val="clear" w:color="auto" w:fill="auto"/>
          </w:tcPr>
          <w:p w14:paraId="20ADF879" w14:textId="77777777" w:rsidR="00B626E7" w:rsidRDefault="00B626E7">
            <w:pPr>
              <w:rPr>
                <w:rFonts w:ascii="宋体"/>
              </w:rPr>
            </w:pPr>
          </w:p>
        </w:tc>
        <w:tc>
          <w:tcPr>
            <w:tcW w:w="0" w:type="auto"/>
            <w:shd w:val="clear" w:color="auto" w:fill="auto"/>
          </w:tcPr>
          <w:p w14:paraId="20ADF87A" w14:textId="77777777" w:rsidR="00B626E7" w:rsidRDefault="00B626E7">
            <w:pPr>
              <w:rPr>
                <w:rFonts w:ascii="宋体"/>
              </w:rPr>
            </w:pPr>
          </w:p>
        </w:tc>
        <w:tc>
          <w:tcPr>
            <w:tcW w:w="0" w:type="auto"/>
            <w:shd w:val="clear" w:color="auto" w:fill="auto"/>
          </w:tcPr>
          <w:p w14:paraId="20ADF87B" w14:textId="77777777" w:rsidR="00B626E7" w:rsidRDefault="00B626E7">
            <w:pPr>
              <w:rPr>
                <w:rFonts w:ascii="宋体"/>
              </w:rPr>
            </w:pPr>
          </w:p>
        </w:tc>
        <w:tc>
          <w:tcPr>
            <w:tcW w:w="0" w:type="auto"/>
            <w:shd w:val="clear" w:color="auto" w:fill="auto"/>
          </w:tcPr>
          <w:p w14:paraId="20ADF87C" w14:textId="77777777" w:rsidR="00B626E7" w:rsidRDefault="00B626E7">
            <w:pPr>
              <w:rPr>
                <w:rFonts w:ascii="宋体"/>
              </w:rPr>
            </w:pPr>
          </w:p>
        </w:tc>
        <w:tc>
          <w:tcPr>
            <w:tcW w:w="0" w:type="auto"/>
            <w:shd w:val="clear" w:color="auto" w:fill="auto"/>
          </w:tcPr>
          <w:p w14:paraId="20ADF87D" w14:textId="77777777" w:rsidR="00B626E7" w:rsidRDefault="00B626E7">
            <w:pPr>
              <w:rPr>
                <w:rFonts w:ascii="宋体"/>
              </w:rPr>
            </w:pPr>
          </w:p>
        </w:tc>
        <w:tc>
          <w:tcPr>
            <w:tcW w:w="0" w:type="auto"/>
            <w:shd w:val="clear" w:color="auto" w:fill="auto"/>
          </w:tcPr>
          <w:p w14:paraId="20ADF87E" w14:textId="77777777" w:rsidR="00B626E7" w:rsidRDefault="00B626E7">
            <w:pPr>
              <w:rPr>
                <w:rFonts w:ascii="宋体"/>
              </w:rPr>
            </w:pPr>
          </w:p>
        </w:tc>
      </w:tr>
      <w:tr w:rsidR="00B626E7" w14:paraId="20ADF8A1" w14:textId="77777777">
        <w:tc>
          <w:tcPr>
            <w:tcW w:w="0" w:type="auto"/>
            <w:gridSpan w:val="3"/>
            <w:shd w:val="clear" w:color="auto" w:fill="auto"/>
            <w:tcMar>
              <w:top w:w="40" w:type="dxa"/>
              <w:left w:w="20" w:type="dxa"/>
              <w:bottom w:w="40" w:type="dxa"/>
              <w:right w:w="20" w:type="dxa"/>
            </w:tcMar>
            <w:vAlign w:val="bottom"/>
          </w:tcPr>
          <w:p w14:paraId="20ADF880" w14:textId="77777777" w:rsidR="00B626E7" w:rsidRDefault="00175C1D">
            <w:pPr>
              <w:textAlignment w:val="bottom"/>
            </w:pPr>
            <w:r>
              <w:rPr>
                <w:rFonts w:ascii="Arial" w:eastAsia="宋体" w:hAnsi="Arial" w:cs="Arial"/>
                <w:b/>
                <w:bCs/>
                <w:color w:val="003C71"/>
                <w:sz w:val="18"/>
                <w:szCs w:val="18"/>
              </w:rPr>
              <w:t>GAAP</w:t>
            </w:r>
          </w:p>
        </w:tc>
        <w:tc>
          <w:tcPr>
            <w:tcW w:w="0" w:type="auto"/>
            <w:gridSpan w:val="3"/>
            <w:tcBorders>
              <w:bottom w:val="single" w:sz="8" w:space="0" w:color="003C71"/>
            </w:tcBorders>
            <w:shd w:val="clear" w:color="auto" w:fill="auto"/>
            <w:tcMar>
              <w:left w:w="20" w:type="dxa"/>
              <w:right w:w="20" w:type="dxa"/>
            </w:tcMar>
            <w:vAlign w:val="bottom"/>
          </w:tcPr>
          <w:p w14:paraId="20ADF881" w14:textId="77777777" w:rsidR="00B626E7" w:rsidRDefault="00B626E7">
            <w:pPr>
              <w:rPr>
                <w:rFonts w:ascii="宋体"/>
              </w:rPr>
            </w:pPr>
          </w:p>
        </w:tc>
        <w:tc>
          <w:tcPr>
            <w:tcW w:w="0" w:type="auto"/>
            <w:gridSpan w:val="3"/>
            <w:tcBorders>
              <w:bottom w:val="single" w:sz="8" w:space="0" w:color="003C71"/>
            </w:tcBorders>
            <w:shd w:val="clear" w:color="auto" w:fill="auto"/>
            <w:tcMar>
              <w:left w:w="20" w:type="dxa"/>
              <w:right w:w="20" w:type="dxa"/>
            </w:tcMar>
            <w:vAlign w:val="bottom"/>
          </w:tcPr>
          <w:p w14:paraId="20ADF882"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DF883"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bottom"/>
          </w:tcPr>
          <w:p w14:paraId="20ADF884" w14:textId="77777777" w:rsidR="00B626E7" w:rsidRDefault="00175C1D">
            <w:pPr>
              <w:textAlignment w:val="bottom"/>
            </w:pPr>
            <w:r>
              <w:rPr>
                <w:rFonts w:ascii="Arial" w:eastAsia="宋体" w:hAnsi="Arial" w:cs="Arial"/>
                <w:b/>
                <w:bCs/>
                <w:color w:val="003C71"/>
                <w:sz w:val="18"/>
                <w:szCs w:val="18"/>
              </w:rPr>
              <w:t>GAAP</w:t>
            </w:r>
          </w:p>
        </w:tc>
        <w:tc>
          <w:tcPr>
            <w:tcW w:w="0" w:type="auto"/>
            <w:gridSpan w:val="3"/>
            <w:shd w:val="clear" w:color="auto" w:fill="auto"/>
            <w:tcMar>
              <w:left w:w="20" w:type="dxa"/>
              <w:right w:w="20" w:type="dxa"/>
            </w:tcMar>
            <w:vAlign w:val="bottom"/>
          </w:tcPr>
          <w:p w14:paraId="20ADF885"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bottom"/>
          </w:tcPr>
          <w:p w14:paraId="20ADF886" w14:textId="77777777" w:rsidR="00B626E7" w:rsidRDefault="00175C1D">
            <w:pPr>
              <w:textAlignment w:val="bottom"/>
            </w:pPr>
            <w:r>
              <w:rPr>
                <w:rFonts w:ascii="Arial" w:eastAsia="宋体" w:hAnsi="Arial" w:cs="Arial"/>
                <w:b/>
                <w:bCs/>
                <w:color w:val="0071C5"/>
                <w:sz w:val="18"/>
                <w:szCs w:val="18"/>
              </w:rPr>
              <w:t>non-GAAP</w:t>
            </w:r>
            <w:r>
              <w:rPr>
                <w:rFonts w:ascii="Arial" w:eastAsia="宋体" w:hAnsi="Arial" w:cs="Arial"/>
                <w:b/>
                <w:bCs/>
                <w:color w:val="0071C5"/>
                <w:sz w:val="11"/>
                <w:szCs w:val="11"/>
              </w:rPr>
              <w:t>2</w:t>
            </w:r>
          </w:p>
        </w:tc>
        <w:tc>
          <w:tcPr>
            <w:tcW w:w="0" w:type="auto"/>
            <w:gridSpan w:val="3"/>
            <w:shd w:val="clear" w:color="auto" w:fill="auto"/>
            <w:tcMar>
              <w:left w:w="20" w:type="dxa"/>
              <w:right w:w="20" w:type="dxa"/>
            </w:tcMar>
            <w:vAlign w:val="bottom"/>
          </w:tcPr>
          <w:p w14:paraId="20ADF887"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bottom"/>
          </w:tcPr>
          <w:p w14:paraId="20ADF888" w14:textId="77777777" w:rsidR="00B626E7" w:rsidRDefault="00175C1D">
            <w:pPr>
              <w:textAlignment w:val="bottom"/>
            </w:pPr>
            <w:r>
              <w:rPr>
                <w:rFonts w:ascii="Arial" w:eastAsia="宋体" w:hAnsi="Arial" w:cs="Arial"/>
                <w:b/>
                <w:bCs/>
                <w:color w:val="003C71"/>
                <w:sz w:val="18"/>
                <w:szCs w:val="18"/>
              </w:rPr>
              <w:t>GAAP</w:t>
            </w:r>
          </w:p>
        </w:tc>
        <w:tc>
          <w:tcPr>
            <w:tcW w:w="0" w:type="auto"/>
            <w:gridSpan w:val="3"/>
            <w:shd w:val="clear" w:color="auto" w:fill="auto"/>
            <w:tcMar>
              <w:left w:w="20" w:type="dxa"/>
              <w:right w:w="20" w:type="dxa"/>
            </w:tcMar>
            <w:vAlign w:val="bottom"/>
          </w:tcPr>
          <w:p w14:paraId="20ADF889"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bottom"/>
          </w:tcPr>
          <w:p w14:paraId="20ADF88A" w14:textId="77777777" w:rsidR="00B626E7" w:rsidRDefault="00175C1D">
            <w:pPr>
              <w:textAlignment w:val="bottom"/>
            </w:pPr>
            <w:r>
              <w:rPr>
                <w:rFonts w:ascii="Arial" w:eastAsia="宋体" w:hAnsi="Arial" w:cs="Arial"/>
                <w:b/>
                <w:bCs/>
                <w:color w:val="0071C5"/>
                <w:sz w:val="18"/>
                <w:szCs w:val="18"/>
              </w:rPr>
              <w:t>non-GAAP</w:t>
            </w:r>
            <w:r>
              <w:rPr>
                <w:rFonts w:ascii="Arial" w:eastAsia="宋体" w:hAnsi="Arial" w:cs="Arial"/>
                <w:b/>
                <w:bCs/>
                <w:color w:val="0071C5"/>
                <w:sz w:val="11"/>
                <w:szCs w:val="11"/>
              </w:rPr>
              <w:t>2</w:t>
            </w:r>
          </w:p>
        </w:tc>
        <w:tc>
          <w:tcPr>
            <w:tcW w:w="0" w:type="auto"/>
            <w:gridSpan w:val="3"/>
            <w:shd w:val="clear" w:color="auto" w:fill="auto"/>
            <w:tcMar>
              <w:left w:w="20" w:type="dxa"/>
              <w:right w:w="20" w:type="dxa"/>
            </w:tcMar>
            <w:vAlign w:val="bottom"/>
          </w:tcPr>
          <w:p w14:paraId="20ADF88B"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bottom"/>
          </w:tcPr>
          <w:p w14:paraId="20ADF88C" w14:textId="77777777" w:rsidR="00B626E7" w:rsidRDefault="00175C1D">
            <w:pPr>
              <w:textAlignment w:val="bottom"/>
            </w:pPr>
            <w:r>
              <w:rPr>
                <w:rFonts w:ascii="Arial" w:eastAsia="宋体" w:hAnsi="Arial" w:cs="Arial"/>
                <w:b/>
                <w:bCs/>
                <w:color w:val="003C71"/>
                <w:sz w:val="18"/>
                <w:szCs w:val="18"/>
              </w:rPr>
              <w:t>GAAP</w:t>
            </w:r>
          </w:p>
        </w:tc>
        <w:tc>
          <w:tcPr>
            <w:tcW w:w="0" w:type="auto"/>
            <w:gridSpan w:val="3"/>
            <w:shd w:val="clear" w:color="auto" w:fill="auto"/>
            <w:tcMar>
              <w:left w:w="20" w:type="dxa"/>
              <w:right w:w="20" w:type="dxa"/>
            </w:tcMar>
            <w:vAlign w:val="bottom"/>
          </w:tcPr>
          <w:p w14:paraId="20ADF88D"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bottom"/>
          </w:tcPr>
          <w:p w14:paraId="20ADF88E" w14:textId="77777777" w:rsidR="00B626E7" w:rsidRDefault="00175C1D">
            <w:pPr>
              <w:textAlignment w:val="bottom"/>
            </w:pPr>
            <w:r>
              <w:rPr>
                <w:rFonts w:ascii="Arial" w:eastAsia="宋体" w:hAnsi="Arial" w:cs="Arial"/>
                <w:b/>
                <w:bCs/>
                <w:color w:val="0071C5"/>
                <w:sz w:val="18"/>
                <w:szCs w:val="18"/>
              </w:rPr>
              <w:t>non-GAAP</w:t>
            </w:r>
            <w:r>
              <w:rPr>
                <w:rFonts w:ascii="Arial" w:eastAsia="宋体" w:hAnsi="Arial" w:cs="Arial"/>
                <w:b/>
                <w:bCs/>
                <w:color w:val="0071C5"/>
                <w:sz w:val="11"/>
                <w:szCs w:val="11"/>
              </w:rPr>
              <w:t>2</w:t>
            </w:r>
          </w:p>
        </w:tc>
        <w:tc>
          <w:tcPr>
            <w:tcW w:w="0" w:type="auto"/>
            <w:shd w:val="clear" w:color="auto" w:fill="auto"/>
          </w:tcPr>
          <w:p w14:paraId="20ADF88F" w14:textId="77777777" w:rsidR="00B626E7" w:rsidRDefault="00B626E7">
            <w:pPr>
              <w:rPr>
                <w:rFonts w:ascii="宋体"/>
              </w:rPr>
            </w:pPr>
          </w:p>
        </w:tc>
        <w:tc>
          <w:tcPr>
            <w:tcW w:w="0" w:type="auto"/>
            <w:shd w:val="clear" w:color="auto" w:fill="auto"/>
          </w:tcPr>
          <w:p w14:paraId="20ADF890" w14:textId="77777777" w:rsidR="00B626E7" w:rsidRDefault="00B626E7">
            <w:pPr>
              <w:rPr>
                <w:rFonts w:ascii="宋体"/>
              </w:rPr>
            </w:pPr>
          </w:p>
        </w:tc>
        <w:tc>
          <w:tcPr>
            <w:tcW w:w="0" w:type="auto"/>
            <w:shd w:val="clear" w:color="auto" w:fill="auto"/>
          </w:tcPr>
          <w:p w14:paraId="20ADF891" w14:textId="77777777" w:rsidR="00B626E7" w:rsidRDefault="00B626E7">
            <w:pPr>
              <w:rPr>
                <w:rFonts w:ascii="宋体"/>
              </w:rPr>
            </w:pPr>
          </w:p>
        </w:tc>
        <w:tc>
          <w:tcPr>
            <w:tcW w:w="0" w:type="auto"/>
            <w:shd w:val="clear" w:color="auto" w:fill="auto"/>
          </w:tcPr>
          <w:p w14:paraId="20ADF892" w14:textId="77777777" w:rsidR="00B626E7" w:rsidRDefault="00B626E7">
            <w:pPr>
              <w:rPr>
                <w:rFonts w:ascii="宋体"/>
              </w:rPr>
            </w:pPr>
          </w:p>
        </w:tc>
        <w:tc>
          <w:tcPr>
            <w:tcW w:w="0" w:type="auto"/>
            <w:shd w:val="clear" w:color="auto" w:fill="auto"/>
          </w:tcPr>
          <w:p w14:paraId="20ADF893" w14:textId="77777777" w:rsidR="00B626E7" w:rsidRDefault="00B626E7">
            <w:pPr>
              <w:rPr>
                <w:rFonts w:ascii="宋体"/>
              </w:rPr>
            </w:pPr>
          </w:p>
        </w:tc>
        <w:tc>
          <w:tcPr>
            <w:tcW w:w="0" w:type="auto"/>
            <w:shd w:val="clear" w:color="auto" w:fill="auto"/>
          </w:tcPr>
          <w:p w14:paraId="20ADF894" w14:textId="77777777" w:rsidR="00B626E7" w:rsidRDefault="00B626E7">
            <w:pPr>
              <w:rPr>
                <w:rFonts w:ascii="宋体"/>
              </w:rPr>
            </w:pPr>
          </w:p>
        </w:tc>
        <w:tc>
          <w:tcPr>
            <w:tcW w:w="0" w:type="auto"/>
            <w:shd w:val="clear" w:color="auto" w:fill="auto"/>
          </w:tcPr>
          <w:p w14:paraId="20ADF895" w14:textId="77777777" w:rsidR="00B626E7" w:rsidRDefault="00B626E7">
            <w:pPr>
              <w:rPr>
                <w:rFonts w:ascii="宋体"/>
              </w:rPr>
            </w:pPr>
          </w:p>
        </w:tc>
        <w:tc>
          <w:tcPr>
            <w:tcW w:w="0" w:type="auto"/>
            <w:shd w:val="clear" w:color="auto" w:fill="auto"/>
          </w:tcPr>
          <w:p w14:paraId="20ADF896" w14:textId="77777777" w:rsidR="00B626E7" w:rsidRDefault="00B626E7">
            <w:pPr>
              <w:rPr>
                <w:rFonts w:ascii="宋体"/>
              </w:rPr>
            </w:pPr>
          </w:p>
        </w:tc>
        <w:tc>
          <w:tcPr>
            <w:tcW w:w="0" w:type="auto"/>
            <w:shd w:val="clear" w:color="auto" w:fill="auto"/>
          </w:tcPr>
          <w:p w14:paraId="20ADF897" w14:textId="77777777" w:rsidR="00B626E7" w:rsidRDefault="00B626E7">
            <w:pPr>
              <w:rPr>
                <w:rFonts w:ascii="宋体"/>
              </w:rPr>
            </w:pPr>
          </w:p>
        </w:tc>
        <w:tc>
          <w:tcPr>
            <w:tcW w:w="0" w:type="auto"/>
            <w:shd w:val="clear" w:color="auto" w:fill="auto"/>
          </w:tcPr>
          <w:p w14:paraId="20ADF898" w14:textId="77777777" w:rsidR="00B626E7" w:rsidRDefault="00B626E7">
            <w:pPr>
              <w:rPr>
                <w:rFonts w:ascii="宋体"/>
              </w:rPr>
            </w:pPr>
          </w:p>
        </w:tc>
        <w:tc>
          <w:tcPr>
            <w:tcW w:w="0" w:type="auto"/>
            <w:shd w:val="clear" w:color="auto" w:fill="auto"/>
          </w:tcPr>
          <w:p w14:paraId="20ADF899" w14:textId="77777777" w:rsidR="00B626E7" w:rsidRDefault="00B626E7">
            <w:pPr>
              <w:rPr>
                <w:rFonts w:ascii="宋体"/>
              </w:rPr>
            </w:pPr>
          </w:p>
        </w:tc>
        <w:tc>
          <w:tcPr>
            <w:tcW w:w="0" w:type="auto"/>
            <w:shd w:val="clear" w:color="auto" w:fill="auto"/>
          </w:tcPr>
          <w:p w14:paraId="20ADF89A" w14:textId="77777777" w:rsidR="00B626E7" w:rsidRDefault="00B626E7">
            <w:pPr>
              <w:rPr>
                <w:rFonts w:ascii="宋体"/>
              </w:rPr>
            </w:pPr>
          </w:p>
        </w:tc>
        <w:tc>
          <w:tcPr>
            <w:tcW w:w="0" w:type="auto"/>
            <w:shd w:val="clear" w:color="auto" w:fill="auto"/>
          </w:tcPr>
          <w:p w14:paraId="20ADF89B" w14:textId="77777777" w:rsidR="00B626E7" w:rsidRDefault="00B626E7">
            <w:pPr>
              <w:rPr>
                <w:rFonts w:ascii="宋体"/>
              </w:rPr>
            </w:pPr>
          </w:p>
        </w:tc>
        <w:tc>
          <w:tcPr>
            <w:tcW w:w="0" w:type="auto"/>
            <w:shd w:val="clear" w:color="auto" w:fill="auto"/>
          </w:tcPr>
          <w:p w14:paraId="20ADF89C" w14:textId="77777777" w:rsidR="00B626E7" w:rsidRDefault="00B626E7">
            <w:pPr>
              <w:rPr>
                <w:rFonts w:ascii="宋体"/>
              </w:rPr>
            </w:pPr>
          </w:p>
        </w:tc>
        <w:tc>
          <w:tcPr>
            <w:tcW w:w="0" w:type="auto"/>
            <w:shd w:val="clear" w:color="auto" w:fill="auto"/>
          </w:tcPr>
          <w:p w14:paraId="20ADF89D" w14:textId="77777777" w:rsidR="00B626E7" w:rsidRDefault="00B626E7">
            <w:pPr>
              <w:rPr>
                <w:rFonts w:ascii="宋体"/>
              </w:rPr>
            </w:pPr>
          </w:p>
        </w:tc>
        <w:tc>
          <w:tcPr>
            <w:tcW w:w="0" w:type="auto"/>
            <w:shd w:val="clear" w:color="auto" w:fill="auto"/>
          </w:tcPr>
          <w:p w14:paraId="20ADF89E" w14:textId="77777777" w:rsidR="00B626E7" w:rsidRDefault="00B626E7">
            <w:pPr>
              <w:rPr>
                <w:rFonts w:ascii="宋体"/>
              </w:rPr>
            </w:pPr>
          </w:p>
        </w:tc>
        <w:tc>
          <w:tcPr>
            <w:tcW w:w="0" w:type="auto"/>
            <w:shd w:val="clear" w:color="auto" w:fill="auto"/>
          </w:tcPr>
          <w:p w14:paraId="20ADF89F" w14:textId="77777777" w:rsidR="00B626E7" w:rsidRDefault="00B626E7">
            <w:pPr>
              <w:rPr>
                <w:rFonts w:ascii="宋体"/>
              </w:rPr>
            </w:pPr>
          </w:p>
        </w:tc>
        <w:tc>
          <w:tcPr>
            <w:tcW w:w="0" w:type="auto"/>
            <w:shd w:val="clear" w:color="auto" w:fill="auto"/>
          </w:tcPr>
          <w:p w14:paraId="20ADF8A0" w14:textId="77777777" w:rsidR="00B626E7" w:rsidRDefault="00B626E7">
            <w:pPr>
              <w:rPr>
                <w:rFonts w:ascii="宋体"/>
              </w:rPr>
            </w:pPr>
          </w:p>
        </w:tc>
      </w:tr>
      <w:tr w:rsidR="00B626E7" w14:paraId="20ADF8BD" w14:textId="77777777">
        <w:tc>
          <w:tcPr>
            <w:tcW w:w="0" w:type="auto"/>
            <w:gridSpan w:val="9"/>
            <w:tcBorders>
              <w:top w:val="single" w:sz="8" w:space="0" w:color="003C71"/>
            </w:tcBorders>
            <w:shd w:val="clear" w:color="auto" w:fill="auto"/>
            <w:tcMar>
              <w:top w:w="40" w:type="dxa"/>
              <w:left w:w="20" w:type="dxa"/>
              <w:bottom w:w="40" w:type="dxa"/>
              <w:right w:w="20" w:type="dxa"/>
            </w:tcMar>
          </w:tcPr>
          <w:p w14:paraId="20ADF8A2" w14:textId="77777777" w:rsidR="00B626E7" w:rsidRDefault="00175C1D">
            <w:pPr>
              <w:textAlignment w:val="top"/>
            </w:pPr>
            <w:r>
              <w:rPr>
                <w:rFonts w:ascii="Arial" w:eastAsia="宋体" w:hAnsi="Arial" w:cs="Arial"/>
                <w:color w:val="333333"/>
                <w:sz w:val="16"/>
                <w:szCs w:val="16"/>
              </w:rPr>
              <w:t>Revenue up $3.2B or 20% from Q2 2019</w:t>
            </w:r>
          </w:p>
        </w:tc>
        <w:tc>
          <w:tcPr>
            <w:tcW w:w="0" w:type="auto"/>
            <w:gridSpan w:val="3"/>
            <w:shd w:val="clear" w:color="auto" w:fill="auto"/>
          </w:tcPr>
          <w:p w14:paraId="20ADF8A3" w14:textId="77777777" w:rsidR="00B626E7" w:rsidRDefault="00B626E7">
            <w:pPr>
              <w:rPr>
                <w:rFonts w:ascii="宋体"/>
                <w:vanish/>
              </w:rPr>
            </w:pPr>
          </w:p>
        </w:tc>
        <w:tc>
          <w:tcPr>
            <w:tcW w:w="0" w:type="auto"/>
            <w:gridSpan w:val="3"/>
            <w:shd w:val="clear" w:color="auto" w:fill="auto"/>
          </w:tcPr>
          <w:p w14:paraId="20ADF8A4" w14:textId="77777777" w:rsidR="00B626E7" w:rsidRDefault="00B626E7">
            <w:pPr>
              <w:rPr>
                <w:rFonts w:ascii="宋体"/>
                <w:vanish/>
              </w:rPr>
            </w:pPr>
          </w:p>
        </w:tc>
        <w:tc>
          <w:tcPr>
            <w:tcW w:w="0" w:type="auto"/>
            <w:gridSpan w:val="3"/>
            <w:shd w:val="clear" w:color="auto" w:fill="auto"/>
            <w:tcMar>
              <w:left w:w="20" w:type="dxa"/>
              <w:right w:w="20" w:type="dxa"/>
            </w:tcMar>
            <w:vAlign w:val="bottom"/>
          </w:tcPr>
          <w:p w14:paraId="20ADF8A5"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tcPr>
          <w:p w14:paraId="20ADF8A6" w14:textId="77777777" w:rsidR="00B626E7" w:rsidRDefault="00175C1D">
            <w:pPr>
              <w:textAlignment w:val="top"/>
            </w:pPr>
            <w:r>
              <w:rPr>
                <w:rFonts w:ascii="Arial" w:eastAsia="宋体" w:hAnsi="Arial" w:cs="Arial"/>
                <w:color w:val="333333"/>
                <w:sz w:val="16"/>
                <w:szCs w:val="16"/>
              </w:rPr>
              <w:t>Operating income up $1.1B or 23% from Q2 2019; Q2 2020 operating margin at 29%</w:t>
            </w:r>
          </w:p>
        </w:tc>
        <w:tc>
          <w:tcPr>
            <w:tcW w:w="0" w:type="auto"/>
            <w:gridSpan w:val="3"/>
            <w:shd w:val="clear" w:color="auto" w:fill="auto"/>
            <w:tcMar>
              <w:left w:w="20" w:type="dxa"/>
              <w:right w:w="20" w:type="dxa"/>
            </w:tcMar>
            <w:vAlign w:val="bottom"/>
          </w:tcPr>
          <w:p w14:paraId="20ADF8A7"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tcPr>
          <w:p w14:paraId="20ADF8A8" w14:textId="77777777" w:rsidR="00B626E7" w:rsidRDefault="00175C1D">
            <w:pPr>
              <w:textAlignment w:val="top"/>
            </w:pPr>
            <w:r>
              <w:rPr>
                <w:rFonts w:ascii="Arial" w:eastAsia="宋体" w:hAnsi="Arial" w:cs="Arial"/>
                <w:color w:val="333333"/>
                <w:sz w:val="16"/>
                <w:szCs w:val="16"/>
              </w:rPr>
              <w:t>Operating inc</w:t>
            </w:r>
            <w:r>
              <w:rPr>
                <w:rFonts w:ascii="Arial" w:eastAsia="宋体" w:hAnsi="Arial" w:cs="Arial"/>
                <w:color w:val="333333"/>
                <w:sz w:val="16"/>
                <w:szCs w:val="16"/>
              </w:rPr>
              <w:t>ome up $0.9B or 18% from Q2 2019; Q2 2020 operating margin at 31%</w:t>
            </w:r>
          </w:p>
        </w:tc>
        <w:tc>
          <w:tcPr>
            <w:tcW w:w="0" w:type="auto"/>
            <w:gridSpan w:val="3"/>
            <w:shd w:val="clear" w:color="auto" w:fill="auto"/>
            <w:tcMar>
              <w:left w:w="20" w:type="dxa"/>
              <w:right w:w="20" w:type="dxa"/>
            </w:tcMar>
            <w:vAlign w:val="bottom"/>
          </w:tcPr>
          <w:p w14:paraId="20ADF8A9" w14:textId="77777777" w:rsidR="00B626E7" w:rsidRDefault="00B626E7">
            <w:pPr>
              <w:rPr>
                <w:rFonts w:ascii="宋体"/>
              </w:rPr>
            </w:pPr>
          </w:p>
        </w:tc>
        <w:tc>
          <w:tcPr>
            <w:tcW w:w="0" w:type="auto"/>
            <w:gridSpan w:val="3"/>
            <w:tcBorders>
              <w:top w:val="single" w:sz="8" w:space="0" w:color="00AEEF"/>
            </w:tcBorders>
            <w:shd w:val="clear" w:color="auto" w:fill="auto"/>
            <w:tcMar>
              <w:top w:w="40" w:type="dxa"/>
              <w:left w:w="20" w:type="dxa"/>
              <w:bottom w:w="40" w:type="dxa"/>
              <w:right w:w="20" w:type="dxa"/>
            </w:tcMar>
          </w:tcPr>
          <w:p w14:paraId="20ADF8AA" w14:textId="77777777" w:rsidR="00B626E7" w:rsidRDefault="00175C1D">
            <w:pPr>
              <w:textAlignment w:val="top"/>
            </w:pPr>
            <w:r>
              <w:rPr>
                <w:rFonts w:ascii="Arial" w:eastAsia="宋体" w:hAnsi="Arial" w:cs="Arial"/>
                <w:color w:val="333333"/>
                <w:sz w:val="16"/>
                <w:szCs w:val="16"/>
              </w:rPr>
              <w:t>Diluted EPS up $0.27 or 29% from Q2 2019</w:t>
            </w:r>
          </w:p>
        </w:tc>
        <w:tc>
          <w:tcPr>
            <w:tcW w:w="0" w:type="auto"/>
            <w:gridSpan w:val="3"/>
            <w:shd w:val="clear" w:color="auto" w:fill="auto"/>
            <w:tcMar>
              <w:left w:w="20" w:type="dxa"/>
              <w:right w:w="20" w:type="dxa"/>
            </w:tcMar>
            <w:vAlign w:val="bottom"/>
          </w:tcPr>
          <w:p w14:paraId="20ADF8AB" w14:textId="77777777" w:rsidR="00B626E7" w:rsidRDefault="00B626E7">
            <w:pPr>
              <w:rPr>
                <w:rFonts w:ascii="宋体"/>
              </w:rPr>
            </w:pPr>
          </w:p>
        </w:tc>
        <w:tc>
          <w:tcPr>
            <w:tcW w:w="0" w:type="auto"/>
            <w:gridSpan w:val="3"/>
            <w:tcBorders>
              <w:top w:val="single" w:sz="8" w:space="0" w:color="00AEEF"/>
            </w:tcBorders>
            <w:shd w:val="clear" w:color="auto" w:fill="auto"/>
            <w:tcMar>
              <w:top w:w="40" w:type="dxa"/>
              <w:left w:w="20" w:type="dxa"/>
              <w:bottom w:w="40" w:type="dxa"/>
              <w:right w:w="20" w:type="dxa"/>
            </w:tcMar>
          </w:tcPr>
          <w:p w14:paraId="20ADF8AC" w14:textId="77777777" w:rsidR="00B626E7" w:rsidRDefault="00175C1D">
            <w:pPr>
              <w:textAlignment w:val="top"/>
            </w:pPr>
            <w:r>
              <w:rPr>
                <w:rFonts w:ascii="Arial" w:eastAsia="宋体" w:hAnsi="Arial" w:cs="Arial"/>
                <w:color w:val="333333"/>
                <w:sz w:val="16"/>
                <w:szCs w:val="16"/>
              </w:rPr>
              <w:t>Diluted EPS up $0.17 or 16% from Q2 2019</w:t>
            </w:r>
          </w:p>
        </w:tc>
        <w:tc>
          <w:tcPr>
            <w:tcW w:w="0" w:type="auto"/>
            <w:gridSpan w:val="3"/>
            <w:shd w:val="clear" w:color="auto" w:fill="auto"/>
            <w:tcMar>
              <w:left w:w="20" w:type="dxa"/>
              <w:right w:w="20" w:type="dxa"/>
            </w:tcMar>
            <w:vAlign w:val="bottom"/>
          </w:tcPr>
          <w:p w14:paraId="20ADF8AD" w14:textId="77777777" w:rsidR="00B626E7" w:rsidRDefault="00B626E7">
            <w:pPr>
              <w:rPr>
                <w:rFonts w:ascii="宋体"/>
              </w:rPr>
            </w:pPr>
          </w:p>
        </w:tc>
        <w:tc>
          <w:tcPr>
            <w:tcW w:w="0" w:type="auto"/>
            <w:gridSpan w:val="3"/>
            <w:tcBorders>
              <w:top w:val="single" w:sz="8" w:space="0" w:color="C1C1C1"/>
            </w:tcBorders>
            <w:shd w:val="clear" w:color="auto" w:fill="auto"/>
            <w:tcMar>
              <w:top w:w="40" w:type="dxa"/>
              <w:left w:w="20" w:type="dxa"/>
              <w:bottom w:w="40" w:type="dxa"/>
              <w:right w:w="20" w:type="dxa"/>
            </w:tcMar>
          </w:tcPr>
          <w:p w14:paraId="20ADF8AE" w14:textId="77777777" w:rsidR="00B626E7" w:rsidRDefault="00175C1D">
            <w:pPr>
              <w:textAlignment w:val="top"/>
            </w:pPr>
            <w:r>
              <w:rPr>
                <w:rFonts w:ascii="Arial" w:eastAsia="宋体" w:hAnsi="Arial" w:cs="Arial"/>
                <w:color w:val="333333"/>
                <w:sz w:val="16"/>
                <w:szCs w:val="16"/>
              </w:rPr>
              <w:t>Operating cash flow up $4.8B or 38% from Q2 2019</w:t>
            </w:r>
          </w:p>
        </w:tc>
        <w:tc>
          <w:tcPr>
            <w:tcW w:w="0" w:type="auto"/>
            <w:gridSpan w:val="3"/>
            <w:shd w:val="clear" w:color="auto" w:fill="auto"/>
            <w:tcMar>
              <w:left w:w="20" w:type="dxa"/>
              <w:right w:w="20" w:type="dxa"/>
            </w:tcMar>
            <w:vAlign w:val="bottom"/>
          </w:tcPr>
          <w:p w14:paraId="20ADF8AF" w14:textId="77777777" w:rsidR="00B626E7" w:rsidRDefault="00B626E7">
            <w:pPr>
              <w:rPr>
                <w:rFonts w:ascii="宋体"/>
              </w:rPr>
            </w:pPr>
          </w:p>
        </w:tc>
        <w:tc>
          <w:tcPr>
            <w:tcW w:w="0" w:type="auto"/>
            <w:gridSpan w:val="3"/>
            <w:tcBorders>
              <w:top w:val="single" w:sz="8" w:space="0" w:color="C1C1C1"/>
            </w:tcBorders>
            <w:shd w:val="clear" w:color="auto" w:fill="auto"/>
            <w:tcMar>
              <w:top w:w="40" w:type="dxa"/>
              <w:left w:w="20" w:type="dxa"/>
              <w:bottom w:w="40" w:type="dxa"/>
              <w:right w:w="20" w:type="dxa"/>
            </w:tcMar>
          </w:tcPr>
          <w:p w14:paraId="20ADF8B0" w14:textId="77777777" w:rsidR="00B626E7" w:rsidRDefault="00175C1D">
            <w:pPr>
              <w:textAlignment w:val="top"/>
            </w:pPr>
            <w:r>
              <w:rPr>
                <w:rFonts w:ascii="Arial" w:eastAsia="宋体" w:hAnsi="Arial" w:cs="Arial"/>
                <w:color w:val="333333"/>
                <w:sz w:val="16"/>
                <w:szCs w:val="16"/>
              </w:rPr>
              <w:t>Free cash flow up $5B or 88% from Q2 2019</w:t>
            </w:r>
          </w:p>
        </w:tc>
        <w:tc>
          <w:tcPr>
            <w:tcW w:w="0" w:type="auto"/>
            <w:shd w:val="clear" w:color="auto" w:fill="auto"/>
          </w:tcPr>
          <w:p w14:paraId="20ADF8B1" w14:textId="77777777" w:rsidR="00B626E7" w:rsidRDefault="00B626E7">
            <w:pPr>
              <w:rPr>
                <w:rFonts w:ascii="宋体"/>
              </w:rPr>
            </w:pPr>
          </w:p>
        </w:tc>
        <w:tc>
          <w:tcPr>
            <w:tcW w:w="0" w:type="auto"/>
            <w:shd w:val="clear" w:color="auto" w:fill="auto"/>
          </w:tcPr>
          <w:p w14:paraId="20ADF8B2" w14:textId="77777777" w:rsidR="00B626E7" w:rsidRDefault="00B626E7">
            <w:pPr>
              <w:rPr>
                <w:rFonts w:ascii="宋体"/>
              </w:rPr>
            </w:pPr>
          </w:p>
        </w:tc>
        <w:tc>
          <w:tcPr>
            <w:tcW w:w="0" w:type="auto"/>
            <w:shd w:val="clear" w:color="auto" w:fill="auto"/>
          </w:tcPr>
          <w:p w14:paraId="20ADF8B3" w14:textId="77777777" w:rsidR="00B626E7" w:rsidRDefault="00B626E7">
            <w:pPr>
              <w:rPr>
                <w:rFonts w:ascii="宋体"/>
              </w:rPr>
            </w:pPr>
          </w:p>
        </w:tc>
        <w:tc>
          <w:tcPr>
            <w:tcW w:w="0" w:type="auto"/>
            <w:shd w:val="clear" w:color="auto" w:fill="auto"/>
          </w:tcPr>
          <w:p w14:paraId="20ADF8B4" w14:textId="77777777" w:rsidR="00B626E7" w:rsidRDefault="00B626E7">
            <w:pPr>
              <w:rPr>
                <w:rFonts w:ascii="宋体"/>
              </w:rPr>
            </w:pPr>
          </w:p>
        </w:tc>
        <w:tc>
          <w:tcPr>
            <w:tcW w:w="0" w:type="auto"/>
            <w:shd w:val="clear" w:color="auto" w:fill="auto"/>
          </w:tcPr>
          <w:p w14:paraId="20ADF8B5" w14:textId="77777777" w:rsidR="00B626E7" w:rsidRDefault="00B626E7">
            <w:pPr>
              <w:rPr>
                <w:rFonts w:ascii="宋体"/>
              </w:rPr>
            </w:pPr>
          </w:p>
        </w:tc>
        <w:tc>
          <w:tcPr>
            <w:tcW w:w="0" w:type="auto"/>
            <w:shd w:val="clear" w:color="auto" w:fill="auto"/>
          </w:tcPr>
          <w:p w14:paraId="20ADF8B6" w14:textId="77777777" w:rsidR="00B626E7" w:rsidRDefault="00B626E7">
            <w:pPr>
              <w:rPr>
                <w:rFonts w:ascii="宋体"/>
              </w:rPr>
            </w:pPr>
          </w:p>
        </w:tc>
        <w:tc>
          <w:tcPr>
            <w:tcW w:w="0" w:type="auto"/>
            <w:shd w:val="clear" w:color="auto" w:fill="auto"/>
          </w:tcPr>
          <w:p w14:paraId="20ADF8B7" w14:textId="77777777" w:rsidR="00B626E7" w:rsidRDefault="00B626E7">
            <w:pPr>
              <w:rPr>
                <w:rFonts w:ascii="宋体"/>
              </w:rPr>
            </w:pPr>
          </w:p>
        </w:tc>
        <w:tc>
          <w:tcPr>
            <w:tcW w:w="0" w:type="auto"/>
            <w:shd w:val="clear" w:color="auto" w:fill="auto"/>
          </w:tcPr>
          <w:p w14:paraId="20ADF8B8" w14:textId="77777777" w:rsidR="00B626E7" w:rsidRDefault="00B626E7">
            <w:pPr>
              <w:rPr>
                <w:rFonts w:ascii="宋体"/>
              </w:rPr>
            </w:pPr>
          </w:p>
        </w:tc>
        <w:tc>
          <w:tcPr>
            <w:tcW w:w="0" w:type="auto"/>
            <w:shd w:val="clear" w:color="auto" w:fill="auto"/>
          </w:tcPr>
          <w:p w14:paraId="20ADF8B9" w14:textId="77777777" w:rsidR="00B626E7" w:rsidRDefault="00B626E7">
            <w:pPr>
              <w:rPr>
                <w:rFonts w:ascii="宋体"/>
              </w:rPr>
            </w:pPr>
          </w:p>
        </w:tc>
        <w:tc>
          <w:tcPr>
            <w:tcW w:w="0" w:type="auto"/>
            <w:shd w:val="clear" w:color="auto" w:fill="auto"/>
          </w:tcPr>
          <w:p w14:paraId="20ADF8BA" w14:textId="77777777" w:rsidR="00B626E7" w:rsidRDefault="00B626E7">
            <w:pPr>
              <w:rPr>
                <w:rFonts w:ascii="宋体"/>
              </w:rPr>
            </w:pPr>
          </w:p>
        </w:tc>
        <w:tc>
          <w:tcPr>
            <w:tcW w:w="0" w:type="auto"/>
            <w:shd w:val="clear" w:color="auto" w:fill="auto"/>
          </w:tcPr>
          <w:p w14:paraId="20ADF8BB" w14:textId="77777777" w:rsidR="00B626E7" w:rsidRDefault="00B626E7">
            <w:pPr>
              <w:rPr>
                <w:rFonts w:ascii="宋体"/>
              </w:rPr>
            </w:pPr>
          </w:p>
        </w:tc>
        <w:tc>
          <w:tcPr>
            <w:tcW w:w="0" w:type="auto"/>
            <w:shd w:val="clear" w:color="auto" w:fill="auto"/>
          </w:tcPr>
          <w:p w14:paraId="20ADF8BC" w14:textId="77777777" w:rsidR="00B626E7" w:rsidRDefault="00B626E7">
            <w:pPr>
              <w:rPr>
                <w:rFonts w:ascii="宋体"/>
              </w:rPr>
            </w:pPr>
          </w:p>
        </w:tc>
      </w:tr>
      <w:tr w:rsidR="00B626E7" w14:paraId="20ADF8D9" w14:textId="77777777">
        <w:trPr>
          <w:trHeight w:val="60"/>
        </w:trPr>
        <w:tc>
          <w:tcPr>
            <w:tcW w:w="0" w:type="auto"/>
            <w:gridSpan w:val="9"/>
            <w:shd w:val="clear" w:color="auto" w:fill="auto"/>
            <w:tcMar>
              <w:left w:w="20" w:type="dxa"/>
              <w:right w:w="20" w:type="dxa"/>
            </w:tcMar>
            <w:vAlign w:val="bottom"/>
          </w:tcPr>
          <w:p w14:paraId="20ADF8BE" w14:textId="77777777" w:rsidR="00B626E7" w:rsidRDefault="00B626E7">
            <w:pPr>
              <w:rPr>
                <w:rFonts w:ascii="宋体"/>
              </w:rPr>
            </w:pPr>
          </w:p>
        </w:tc>
        <w:tc>
          <w:tcPr>
            <w:tcW w:w="0" w:type="auto"/>
            <w:gridSpan w:val="3"/>
            <w:shd w:val="clear" w:color="auto" w:fill="auto"/>
          </w:tcPr>
          <w:p w14:paraId="20ADF8BF" w14:textId="77777777" w:rsidR="00B626E7" w:rsidRDefault="00B626E7">
            <w:pPr>
              <w:rPr>
                <w:rFonts w:ascii="宋体"/>
                <w:vanish/>
              </w:rPr>
            </w:pPr>
          </w:p>
        </w:tc>
        <w:tc>
          <w:tcPr>
            <w:tcW w:w="0" w:type="auto"/>
            <w:gridSpan w:val="3"/>
            <w:shd w:val="clear" w:color="auto" w:fill="auto"/>
          </w:tcPr>
          <w:p w14:paraId="20ADF8C0" w14:textId="77777777" w:rsidR="00B626E7" w:rsidRDefault="00B626E7">
            <w:pPr>
              <w:rPr>
                <w:rFonts w:ascii="宋体"/>
                <w:vanish/>
              </w:rPr>
            </w:pPr>
          </w:p>
        </w:tc>
        <w:tc>
          <w:tcPr>
            <w:tcW w:w="0" w:type="auto"/>
            <w:gridSpan w:val="3"/>
            <w:shd w:val="clear" w:color="auto" w:fill="auto"/>
            <w:tcMar>
              <w:left w:w="20" w:type="dxa"/>
              <w:right w:w="20" w:type="dxa"/>
            </w:tcMar>
            <w:vAlign w:val="bottom"/>
          </w:tcPr>
          <w:p w14:paraId="20ADF8C1"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DF8C2"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DF8C3"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DF8C4"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DF8C5"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DF8C6"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DF8C7"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DF8C8"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DF8C9"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DF8CA"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DF8CB"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DF8CC" w14:textId="77777777" w:rsidR="00B626E7" w:rsidRDefault="00B626E7">
            <w:pPr>
              <w:rPr>
                <w:rFonts w:ascii="宋体"/>
              </w:rPr>
            </w:pPr>
          </w:p>
        </w:tc>
        <w:tc>
          <w:tcPr>
            <w:tcW w:w="0" w:type="auto"/>
            <w:shd w:val="clear" w:color="auto" w:fill="auto"/>
          </w:tcPr>
          <w:p w14:paraId="20ADF8CD" w14:textId="77777777" w:rsidR="00B626E7" w:rsidRDefault="00B626E7">
            <w:pPr>
              <w:rPr>
                <w:rFonts w:ascii="宋体"/>
              </w:rPr>
            </w:pPr>
          </w:p>
        </w:tc>
        <w:tc>
          <w:tcPr>
            <w:tcW w:w="0" w:type="auto"/>
            <w:shd w:val="clear" w:color="auto" w:fill="auto"/>
          </w:tcPr>
          <w:p w14:paraId="20ADF8CE" w14:textId="77777777" w:rsidR="00B626E7" w:rsidRDefault="00B626E7">
            <w:pPr>
              <w:rPr>
                <w:rFonts w:ascii="宋体"/>
              </w:rPr>
            </w:pPr>
          </w:p>
        </w:tc>
        <w:tc>
          <w:tcPr>
            <w:tcW w:w="0" w:type="auto"/>
            <w:shd w:val="clear" w:color="auto" w:fill="auto"/>
          </w:tcPr>
          <w:p w14:paraId="20ADF8CF" w14:textId="77777777" w:rsidR="00B626E7" w:rsidRDefault="00B626E7">
            <w:pPr>
              <w:rPr>
                <w:rFonts w:ascii="宋体"/>
              </w:rPr>
            </w:pPr>
          </w:p>
        </w:tc>
        <w:tc>
          <w:tcPr>
            <w:tcW w:w="0" w:type="auto"/>
            <w:shd w:val="clear" w:color="auto" w:fill="auto"/>
          </w:tcPr>
          <w:p w14:paraId="20ADF8D0" w14:textId="77777777" w:rsidR="00B626E7" w:rsidRDefault="00B626E7">
            <w:pPr>
              <w:rPr>
                <w:rFonts w:ascii="宋体"/>
              </w:rPr>
            </w:pPr>
          </w:p>
        </w:tc>
        <w:tc>
          <w:tcPr>
            <w:tcW w:w="0" w:type="auto"/>
            <w:shd w:val="clear" w:color="auto" w:fill="auto"/>
          </w:tcPr>
          <w:p w14:paraId="20ADF8D1" w14:textId="77777777" w:rsidR="00B626E7" w:rsidRDefault="00B626E7">
            <w:pPr>
              <w:rPr>
                <w:rFonts w:ascii="宋体"/>
              </w:rPr>
            </w:pPr>
          </w:p>
        </w:tc>
        <w:tc>
          <w:tcPr>
            <w:tcW w:w="0" w:type="auto"/>
            <w:shd w:val="clear" w:color="auto" w:fill="auto"/>
          </w:tcPr>
          <w:p w14:paraId="20ADF8D2" w14:textId="77777777" w:rsidR="00B626E7" w:rsidRDefault="00B626E7">
            <w:pPr>
              <w:rPr>
                <w:rFonts w:ascii="宋体"/>
              </w:rPr>
            </w:pPr>
          </w:p>
        </w:tc>
        <w:tc>
          <w:tcPr>
            <w:tcW w:w="0" w:type="auto"/>
            <w:shd w:val="clear" w:color="auto" w:fill="auto"/>
          </w:tcPr>
          <w:p w14:paraId="20ADF8D3" w14:textId="77777777" w:rsidR="00B626E7" w:rsidRDefault="00B626E7">
            <w:pPr>
              <w:rPr>
                <w:rFonts w:ascii="宋体"/>
              </w:rPr>
            </w:pPr>
          </w:p>
        </w:tc>
        <w:tc>
          <w:tcPr>
            <w:tcW w:w="0" w:type="auto"/>
            <w:shd w:val="clear" w:color="auto" w:fill="auto"/>
          </w:tcPr>
          <w:p w14:paraId="20ADF8D4" w14:textId="77777777" w:rsidR="00B626E7" w:rsidRDefault="00B626E7">
            <w:pPr>
              <w:rPr>
                <w:rFonts w:ascii="宋体"/>
              </w:rPr>
            </w:pPr>
          </w:p>
        </w:tc>
        <w:tc>
          <w:tcPr>
            <w:tcW w:w="0" w:type="auto"/>
            <w:shd w:val="clear" w:color="auto" w:fill="auto"/>
          </w:tcPr>
          <w:p w14:paraId="20ADF8D5" w14:textId="77777777" w:rsidR="00B626E7" w:rsidRDefault="00B626E7">
            <w:pPr>
              <w:rPr>
                <w:rFonts w:ascii="宋体"/>
              </w:rPr>
            </w:pPr>
          </w:p>
        </w:tc>
        <w:tc>
          <w:tcPr>
            <w:tcW w:w="0" w:type="auto"/>
            <w:shd w:val="clear" w:color="auto" w:fill="auto"/>
          </w:tcPr>
          <w:p w14:paraId="20ADF8D6" w14:textId="77777777" w:rsidR="00B626E7" w:rsidRDefault="00B626E7">
            <w:pPr>
              <w:rPr>
                <w:rFonts w:ascii="宋体"/>
              </w:rPr>
            </w:pPr>
          </w:p>
        </w:tc>
        <w:tc>
          <w:tcPr>
            <w:tcW w:w="0" w:type="auto"/>
            <w:shd w:val="clear" w:color="auto" w:fill="auto"/>
          </w:tcPr>
          <w:p w14:paraId="20ADF8D7" w14:textId="77777777" w:rsidR="00B626E7" w:rsidRDefault="00B626E7">
            <w:pPr>
              <w:rPr>
                <w:rFonts w:ascii="宋体"/>
              </w:rPr>
            </w:pPr>
          </w:p>
        </w:tc>
        <w:tc>
          <w:tcPr>
            <w:tcW w:w="0" w:type="auto"/>
            <w:shd w:val="clear" w:color="auto" w:fill="auto"/>
          </w:tcPr>
          <w:p w14:paraId="20ADF8D8" w14:textId="77777777" w:rsidR="00B626E7" w:rsidRDefault="00B626E7">
            <w:pPr>
              <w:rPr>
                <w:rFonts w:ascii="宋体"/>
              </w:rPr>
            </w:pPr>
          </w:p>
        </w:tc>
      </w:tr>
      <w:tr w:rsidR="00B626E7" w14:paraId="20ADF8E8" w14:textId="77777777">
        <w:tc>
          <w:tcPr>
            <w:tcW w:w="0" w:type="auto"/>
            <w:gridSpan w:val="9"/>
            <w:shd w:val="clear" w:color="auto" w:fill="auto"/>
            <w:tcMar>
              <w:top w:w="40" w:type="dxa"/>
              <w:left w:w="20" w:type="dxa"/>
              <w:bottom w:w="40" w:type="dxa"/>
              <w:right w:w="20" w:type="dxa"/>
            </w:tcMar>
          </w:tcPr>
          <w:p w14:paraId="20ADF8DA" w14:textId="77777777" w:rsidR="00B626E7" w:rsidRDefault="00175C1D">
            <w:pPr>
              <w:textAlignment w:val="top"/>
            </w:pPr>
            <w:r>
              <w:rPr>
                <w:rFonts w:ascii="Arial" w:eastAsia="宋体" w:hAnsi="Arial" w:cs="Arial"/>
                <w:color w:val="333333"/>
                <w:sz w:val="16"/>
                <w:szCs w:val="16"/>
              </w:rPr>
              <w:t>Gr</w:t>
            </w:r>
            <w:r>
              <w:rPr>
                <w:rFonts w:ascii="Arial" w:eastAsia="宋体" w:hAnsi="Arial" w:cs="Arial"/>
                <w:color w:val="333333"/>
                <w:sz w:val="16"/>
                <w:szCs w:val="16"/>
              </w:rPr>
              <w:t xml:space="preserve">owth in data-centric businesses primarily driven by DCG and NSG and growth in the PC-centric business </w:t>
            </w:r>
          </w:p>
        </w:tc>
        <w:tc>
          <w:tcPr>
            <w:tcW w:w="0" w:type="auto"/>
            <w:gridSpan w:val="3"/>
            <w:shd w:val="clear" w:color="auto" w:fill="auto"/>
          </w:tcPr>
          <w:p w14:paraId="20ADF8DB" w14:textId="77777777" w:rsidR="00B626E7" w:rsidRDefault="00B626E7">
            <w:pPr>
              <w:rPr>
                <w:rFonts w:ascii="宋体"/>
                <w:vanish/>
              </w:rPr>
            </w:pPr>
          </w:p>
        </w:tc>
        <w:tc>
          <w:tcPr>
            <w:tcW w:w="0" w:type="auto"/>
            <w:gridSpan w:val="3"/>
            <w:shd w:val="clear" w:color="auto" w:fill="auto"/>
          </w:tcPr>
          <w:p w14:paraId="20ADF8DC" w14:textId="77777777" w:rsidR="00B626E7" w:rsidRDefault="00B626E7">
            <w:pPr>
              <w:rPr>
                <w:rFonts w:ascii="宋体"/>
                <w:vanish/>
              </w:rPr>
            </w:pPr>
          </w:p>
        </w:tc>
        <w:tc>
          <w:tcPr>
            <w:tcW w:w="0" w:type="auto"/>
            <w:gridSpan w:val="3"/>
            <w:shd w:val="clear" w:color="auto" w:fill="auto"/>
            <w:tcMar>
              <w:left w:w="20" w:type="dxa"/>
              <w:right w:w="20" w:type="dxa"/>
            </w:tcMar>
            <w:vAlign w:val="bottom"/>
          </w:tcPr>
          <w:p w14:paraId="20ADF8DD" w14:textId="77777777" w:rsidR="00B626E7" w:rsidRDefault="00B626E7">
            <w:pPr>
              <w:rPr>
                <w:rFonts w:ascii="宋体"/>
              </w:rPr>
            </w:pPr>
          </w:p>
        </w:tc>
        <w:tc>
          <w:tcPr>
            <w:tcW w:w="0" w:type="auto"/>
            <w:gridSpan w:val="9"/>
            <w:shd w:val="clear" w:color="auto" w:fill="auto"/>
            <w:tcMar>
              <w:top w:w="40" w:type="dxa"/>
              <w:left w:w="20" w:type="dxa"/>
              <w:bottom w:w="40" w:type="dxa"/>
              <w:right w:w="20" w:type="dxa"/>
            </w:tcMar>
          </w:tcPr>
          <w:p w14:paraId="20ADF8DE" w14:textId="77777777" w:rsidR="00B626E7" w:rsidRDefault="00175C1D">
            <w:pPr>
              <w:textAlignment w:val="top"/>
            </w:pPr>
            <w:r>
              <w:rPr>
                <w:rFonts w:ascii="Arial" w:eastAsia="宋体" w:hAnsi="Arial" w:cs="Arial"/>
                <w:color w:val="333333"/>
                <w:sz w:val="16"/>
                <w:szCs w:val="16"/>
              </w:rPr>
              <w:t>Higher gross margin dollars from increase in platform unit sales and platform ASP strength, NAND market recovery and bit growth, partially offset by i</w:t>
            </w:r>
            <w:r>
              <w:rPr>
                <w:rFonts w:ascii="Arial" w:eastAsia="宋体" w:hAnsi="Arial" w:cs="Arial"/>
                <w:color w:val="333333"/>
                <w:sz w:val="16"/>
                <w:szCs w:val="16"/>
              </w:rPr>
              <w:t>ncrease in platform unit cost and higher platform reserves</w:t>
            </w:r>
          </w:p>
        </w:tc>
        <w:tc>
          <w:tcPr>
            <w:tcW w:w="0" w:type="auto"/>
            <w:gridSpan w:val="3"/>
            <w:shd w:val="clear" w:color="auto" w:fill="auto"/>
          </w:tcPr>
          <w:p w14:paraId="20ADF8DF" w14:textId="77777777" w:rsidR="00B626E7" w:rsidRDefault="00B626E7">
            <w:pPr>
              <w:rPr>
                <w:rFonts w:ascii="宋体"/>
                <w:vanish/>
              </w:rPr>
            </w:pPr>
          </w:p>
        </w:tc>
        <w:tc>
          <w:tcPr>
            <w:tcW w:w="0" w:type="auto"/>
            <w:gridSpan w:val="3"/>
            <w:shd w:val="clear" w:color="auto" w:fill="auto"/>
          </w:tcPr>
          <w:p w14:paraId="20ADF8E0" w14:textId="77777777" w:rsidR="00B626E7" w:rsidRDefault="00B626E7">
            <w:pPr>
              <w:rPr>
                <w:rFonts w:ascii="宋体"/>
                <w:vanish/>
              </w:rPr>
            </w:pPr>
          </w:p>
        </w:tc>
        <w:tc>
          <w:tcPr>
            <w:tcW w:w="0" w:type="auto"/>
            <w:gridSpan w:val="3"/>
            <w:shd w:val="clear" w:color="auto" w:fill="auto"/>
            <w:tcMar>
              <w:left w:w="20" w:type="dxa"/>
              <w:right w:w="20" w:type="dxa"/>
            </w:tcMar>
            <w:vAlign w:val="bottom"/>
          </w:tcPr>
          <w:p w14:paraId="20ADF8E1" w14:textId="77777777" w:rsidR="00B626E7" w:rsidRDefault="00B626E7">
            <w:pPr>
              <w:rPr>
                <w:rFonts w:ascii="宋体"/>
              </w:rPr>
            </w:pPr>
          </w:p>
        </w:tc>
        <w:tc>
          <w:tcPr>
            <w:tcW w:w="0" w:type="auto"/>
            <w:gridSpan w:val="9"/>
            <w:shd w:val="clear" w:color="auto" w:fill="auto"/>
            <w:tcMar>
              <w:top w:w="40" w:type="dxa"/>
              <w:left w:w="20" w:type="dxa"/>
              <w:bottom w:w="40" w:type="dxa"/>
              <w:right w:w="20" w:type="dxa"/>
            </w:tcMar>
          </w:tcPr>
          <w:p w14:paraId="20ADF8E2" w14:textId="77777777" w:rsidR="00B626E7" w:rsidRDefault="00175C1D">
            <w:pPr>
              <w:spacing w:after="180"/>
              <w:textAlignment w:val="top"/>
            </w:pPr>
            <w:r>
              <w:rPr>
                <w:rFonts w:ascii="Arial" w:eastAsia="宋体" w:hAnsi="Arial" w:cs="Arial"/>
                <w:color w:val="333333"/>
                <w:sz w:val="16"/>
                <w:szCs w:val="16"/>
              </w:rPr>
              <w:t>Higher platform volume, platform ASP strength, NAND market recovery and bit growth, adjacency</w:t>
            </w:r>
            <w:r>
              <w:rPr>
                <w:rFonts w:ascii="Arial" w:eastAsia="宋体" w:hAnsi="Arial" w:cs="Arial"/>
                <w:color w:val="333333"/>
                <w:sz w:val="10"/>
                <w:szCs w:val="10"/>
              </w:rPr>
              <w:t>1</w:t>
            </w:r>
            <w:r>
              <w:rPr>
                <w:rFonts w:ascii="Arial" w:eastAsia="宋体" w:hAnsi="Arial" w:cs="Arial"/>
                <w:color w:val="333333"/>
                <w:sz w:val="16"/>
                <w:szCs w:val="16"/>
              </w:rPr>
              <w:t xml:space="preserve"> strength, lower period charges, and lower shares outstanding, partially offset by higher platform unit cost, and higher platform reserves</w:t>
            </w:r>
          </w:p>
        </w:tc>
        <w:tc>
          <w:tcPr>
            <w:tcW w:w="0" w:type="auto"/>
            <w:gridSpan w:val="3"/>
            <w:shd w:val="clear" w:color="auto" w:fill="auto"/>
          </w:tcPr>
          <w:p w14:paraId="20ADF8E3" w14:textId="77777777" w:rsidR="00B626E7" w:rsidRDefault="00B626E7">
            <w:pPr>
              <w:rPr>
                <w:rFonts w:ascii="宋体"/>
                <w:vanish/>
              </w:rPr>
            </w:pPr>
          </w:p>
        </w:tc>
        <w:tc>
          <w:tcPr>
            <w:tcW w:w="0" w:type="auto"/>
            <w:gridSpan w:val="3"/>
            <w:shd w:val="clear" w:color="auto" w:fill="auto"/>
          </w:tcPr>
          <w:p w14:paraId="20ADF8E4" w14:textId="77777777" w:rsidR="00B626E7" w:rsidRDefault="00B626E7">
            <w:pPr>
              <w:rPr>
                <w:rFonts w:ascii="宋体"/>
                <w:vanish/>
              </w:rPr>
            </w:pPr>
          </w:p>
        </w:tc>
        <w:tc>
          <w:tcPr>
            <w:tcW w:w="0" w:type="auto"/>
            <w:gridSpan w:val="3"/>
            <w:shd w:val="clear" w:color="auto" w:fill="auto"/>
            <w:tcMar>
              <w:left w:w="20" w:type="dxa"/>
              <w:right w:w="20" w:type="dxa"/>
            </w:tcMar>
            <w:vAlign w:val="bottom"/>
          </w:tcPr>
          <w:p w14:paraId="20ADF8E5" w14:textId="77777777" w:rsidR="00B626E7" w:rsidRDefault="00B626E7">
            <w:pPr>
              <w:rPr>
                <w:rFonts w:ascii="宋体"/>
              </w:rPr>
            </w:pPr>
          </w:p>
        </w:tc>
        <w:tc>
          <w:tcPr>
            <w:tcW w:w="0" w:type="auto"/>
            <w:gridSpan w:val="8"/>
            <w:shd w:val="clear" w:color="auto" w:fill="auto"/>
            <w:tcMar>
              <w:top w:w="40" w:type="dxa"/>
              <w:left w:w="20" w:type="dxa"/>
              <w:bottom w:w="40" w:type="dxa"/>
              <w:right w:w="20" w:type="dxa"/>
            </w:tcMar>
          </w:tcPr>
          <w:p w14:paraId="20ADF8E6" w14:textId="77777777" w:rsidR="00B626E7" w:rsidRDefault="00175C1D">
            <w:pPr>
              <w:textAlignment w:val="top"/>
            </w:pPr>
            <w:r>
              <w:rPr>
                <w:rFonts w:ascii="Arial" w:eastAsia="宋体" w:hAnsi="Arial" w:cs="Arial"/>
                <w:color w:val="333333"/>
                <w:sz w:val="16"/>
                <w:szCs w:val="16"/>
              </w:rPr>
              <w:t>Higher net income and working capital changes driven by inventory and income taxes, offset by other assets and lia</w:t>
            </w:r>
            <w:r>
              <w:rPr>
                <w:rFonts w:ascii="Arial" w:eastAsia="宋体" w:hAnsi="Arial" w:cs="Arial"/>
                <w:color w:val="333333"/>
                <w:sz w:val="16"/>
                <w:szCs w:val="16"/>
              </w:rPr>
              <w:t>bilities</w:t>
            </w:r>
          </w:p>
        </w:tc>
        <w:tc>
          <w:tcPr>
            <w:tcW w:w="0" w:type="auto"/>
            <w:shd w:val="clear" w:color="auto" w:fill="auto"/>
          </w:tcPr>
          <w:p w14:paraId="20ADF8E7" w14:textId="77777777" w:rsidR="00B626E7" w:rsidRDefault="00B626E7">
            <w:pPr>
              <w:rPr>
                <w:rFonts w:ascii="宋体"/>
                <w:vanish/>
              </w:rPr>
            </w:pPr>
          </w:p>
        </w:tc>
      </w:tr>
    </w:tbl>
    <w:p w14:paraId="20ADF8E9" w14:textId="77777777" w:rsidR="00B626E7" w:rsidRDefault="00B626E7">
      <w:pPr>
        <w:spacing w:after="180"/>
      </w:pPr>
    </w:p>
    <w:p w14:paraId="20ADF8EA" w14:textId="77777777" w:rsidR="00B626E7" w:rsidRDefault="00B626E7">
      <w:pPr>
        <w:spacing w:after="180"/>
      </w:pPr>
    </w:p>
    <w:p w14:paraId="20ADF8EB" w14:textId="77777777" w:rsidR="00B626E7" w:rsidRDefault="00B626E7">
      <w:pPr>
        <w:spacing w:after="180"/>
      </w:pPr>
    </w:p>
    <w:p w14:paraId="20ADF8EC" w14:textId="77777777" w:rsidR="00B626E7" w:rsidRDefault="00B626E7">
      <w:pPr>
        <w:spacing w:after="180"/>
      </w:pPr>
    </w:p>
    <w:p w14:paraId="20ADF8ED" w14:textId="77777777" w:rsidR="00B626E7" w:rsidRDefault="00B626E7">
      <w:pPr>
        <w:spacing w:after="180"/>
      </w:pPr>
    </w:p>
    <w:p w14:paraId="20ADF8EE" w14:textId="77777777" w:rsidR="00B626E7" w:rsidRDefault="00B626E7">
      <w:pPr>
        <w:spacing w:after="180"/>
      </w:pPr>
    </w:p>
    <w:p w14:paraId="20ADF8EF" w14:textId="77777777" w:rsidR="00B626E7" w:rsidRDefault="00B626E7">
      <w:pPr>
        <w:spacing w:after="180"/>
      </w:pPr>
    </w:p>
    <w:p w14:paraId="20ADF8F0" w14:textId="77777777" w:rsidR="00B626E7" w:rsidRDefault="00B626E7">
      <w:pPr>
        <w:spacing w:after="180"/>
      </w:pPr>
    </w:p>
    <w:p w14:paraId="20ADF8F1" w14:textId="77777777" w:rsidR="00B626E7" w:rsidRDefault="00B626E7">
      <w:pPr>
        <w:spacing w:after="180"/>
      </w:pPr>
    </w:p>
    <w:p w14:paraId="20ADF8F2" w14:textId="77777777" w:rsidR="00B626E7" w:rsidRDefault="00B626E7">
      <w:pPr>
        <w:spacing w:after="180"/>
      </w:pPr>
    </w:p>
    <w:p w14:paraId="20ADF8F3" w14:textId="77777777" w:rsidR="00B626E7" w:rsidRDefault="00B626E7">
      <w:pPr>
        <w:spacing w:after="180"/>
      </w:pPr>
    </w:p>
    <w:p w14:paraId="20ADF8F4" w14:textId="77777777" w:rsidR="00B626E7" w:rsidRDefault="00175C1D">
      <w:pPr>
        <w:ind w:hanging="180"/>
      </w:pPr>
      <w:r>
        <w:rPr>
          <w:rFonts w:ascii="Arial" w:eastAsia="宋体" w:hAnsi="Arial" w:cs="Arial"/>
          <w:i/>
          <w:iCs/>
          <w:color w:val="333333"/>
          <w:sz w:val="10"/>
          <w:szCs w:val="10"/>
        </w:rPr>
        <w:t xml:space="preserve">1 </w:t>
      </w:r>
      <w:r>
        <w:rPr>
          <w:rFonts w:ascii="Arial" w:eastAsia="宋体" w:hAnsi="Arial" w:cs="Arial"/>
          <w:i/>
          <w:iCs/>
          <w:color w:val="333333"/>
          <w:sz w:val="16"/>
          <w:szCs w:val="16"/>
        </w:rPr>
        <w:t xml:space="preserve">See "Key Terms" within Consolidated Condensed Financial Statements and Supplemental Details. </w:t>
      </w:r>
    </w:p>
    <w:p w14:paraId="20ADF8F5" w14:textId="77777777" w:rsidR="00B626E7" w:rsidRDefault="00175C1D">
      <w:pPr>
        <w:ind w:hanging="180"/>
      </w:pPr>
      <w:r>
        <w:rPr>
          <w:rFonts w:ascii="Arial" w:eastAsia="宋体" w:hAnsi="Arial" w:cs="Arial"/>
          <w:i/>
          <w:iCs/>
          <w:color w:val="333333"/>
          <w:sz w:val="10"/>
          <w:szCs w:val="10"/>
        </w:rPr>
        <w:t xml:space="preserve">2 </w:t>
      </w:r>
      <w:r>
        <w:rPr>
          <w:rFonts w:ascii="Arial" w:eastAsia="宋体" w:hAnsi="Arial" w:cs="Arial"/>
          <w:i/>
          <w:iCs/>
          <w:color w:val="333333"/>
          <w:sz w:val="16"/>
          <w:szCs w:val="16"/>
        </w:rPr>
        <w:t>See "Non-GAAP Financial Measures" within MD&amp;A.</w:t>
      </w:r>
    </w:p>
    <w:p w14:paraId="20ADF8F6" w14:textId="77777777" w:rsidR="00B626E7" w:rsidRDefault="00B626E7">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4"/>
        <w:gridCol w:w="2422"/>
        <w:gridCol w:w="83"/>
        <w:gridCol w:w="83"/>
        <w:gridCol w:w="2194"/>
        <w:gridCol w:w="83"/>
        <w:gridCol w:w="83"/>
        <w:gridCol w:w="3221"/>
        <w:gridCol w:w="83"/>
      </w:tblGrid>
      <w:tr w:rsidR="00B626E7" w14:paraId="20ADF900" w14:textId="77777777">
        <w:tc>
          <w:tcPr>
            <w:tcW w:w="50" w:type="pct"/>
            <w:shd w:val="clear" w:color="auto" w:fill="auto"/>
            <w:vAlign w:val="bottom"/>
          </w:tcPr>
          <w:p w14:paraId="20ADF8F7" w14:textId="77777777" w:rsidR="00B626E7" w:rsidRDefault="00B626E7">
            <w:pPr>
              <w:rPr>
                <w:rFonts w:ascii="宋体"/>
              </w:rPr>
            </w:pPr>
          </w:p>
        </w:tc>
        <w:tc>
          <w:tcPr>
            <w:tcW w:w="1452" w:type="pct"/>
            <w:shd w:val="clear" w:color="auto" w:fill="auto"/>
            <w:vAlign w:val="bottom"/>
          </w:tcPr>
          <w:p w14:paraId="20ADF8F8" w14:textId="77777777" w:rsidR="00B626E7" w:rsidRDefault="00B626E7">
            <w:pPr>
              <w:rPr>
                <w:rFonts w:ascii="宋体"/>
              </w:rPr>
            </w:pPr>
          </w:p>
        </w:tc>
        <w:tc>
          <w:tcPr>
            <w:tcW w:w="50" w:type="pct"/>
            <w:shd w:val="clear" w:color="auto" w:fill="auto"/>
            <w:vAlign w:val="bottom"/>
          </w:tcPr>
          <w:p w14:paraId="20ADF8F9" w14:textId="77777777" w:rsidR="00B626E7" w:rsidRDefault="00B626E7">
            <w:pPr>
              <w:rPr>
                <w:rFonts w:ascii="宋体"/>
              </w:rPr>
            </w:pPr>
          </w:p>
        </w:tc>
        <w:tc>
          <w:tcPr>
            <w:tcW w:w="50" w:type="pct"/>
            <w:shd w:val="clear" w:color="auto" w:fill="auto"/>
            <w:vAlign w:val="bottom"/>
          </w:tcPr>
          <w:p w14:paraId="20ADF8FA" w14:textId="77777777" w:rsidR="00B626E7" w:rsidRDefault="00B626E7">
            <w:pPr>
              <w:rPr>
                <w:rFonts w:ascii="宋体"/>
              </w:rPr>
            </w:pPr>
          </w:p>
        </w:tc>
        <w:tc>
          <w:tcPr>
            <w:tcW w:w="1315" w:type="pct"/>
            <w:shd w:val="clear" w:color="auto" w:fill="auto"/>
            <w:vAlign w:val="bottom"/>
          </w:tcPr>
          <w:p w14:paraId="20ADF8FB" w14:textId="77777777" w:rsidR="00B626E7" w:rsidRDefault="00B626E7">
            <w:pPr>
              <w:rPr>
                <w:rFonts w:ascii="宋体"/>
              </w:rPr>
            </w:pPr>
          </w:p>
        </w:tc>
        <w:tc>
          <w:tcPr>
            <w:tcW w:w="50" w:type="pct"/>
            <w:shd w:val="clear" w:color="auto" w:fill="auto"/>
            <w:vAlign w:val="bottom"/>
          </w:tcPr>
          <w:p w14:paraId="20ADF8FC" w14:textId="77777777" w:rsidR="00B626E7" w:rsidRDefault="00B626E7">
            <w:pPr>
              <w:rPr>
                <w:rFonts w:ascii="宋体"/>
              </w:rPr>
            </w:pPr>
          </w:p>
        </w:tc>
        <w:tc>
          <w:tcPr>
            <w:tcW w:w="50" w:type="pct"/>
            <w:shd w:val="clear" w:color="auto" w:fill="auto"/>
            <w:vAlign w:val="bottom"/>
          </w:tcPr>
          <w:p w14:paraId="20ADF8FD" w14:textId="77777777" w:rsidR="00B626E7" w:rsidRDefault="00B626E7">
            <w:pPr>
              <w:rPr>
                <w:rFonts w:ascii="宋体"/>
              </w:rPr>
            </w:pPr>
          </w:p>
        </w:tc>
        <w:tc>
          <w:tcPr>
            <w:tcW w:w="1931" w:type="pct"/>
            <w:shd w:val="clear" w:color="auto" w:fill="auto"/>
            <w:vAlign w:val="bottom"/>
          </w:tcPr>
          <w:p w14:paraId="20ADF8FE" w14:textId="77777777" w:rsidR="00B626E7" w:rsidRDefault="00B626E7">
            <w:pPr>
              <w:rPr>
                <w:rFonts w:ascii="宋体"/>
              </w:rPr>
            </w:pPr>
          </w:p>
        </w:tc>
        <w:tc>
          <w:tcPr>
            <w:tcW w:w="50" w:type="pct"/>
            <w:shd w:val="clear" w:color="auto" w:fill="auto"/>
            <w:vAlign w:val="bottom"/>
          </w:tcPr>
          <w:p w14:paraId="20ADF8FF" w14:textId="77777777" w:rsidR="00B626E7" w:rsidRDefault="00B626E7">
            <w:pPr>
              <w:rPr>
                <w:rFonts w:ascii="宋体"/>
              </w:rPr>
            </w:pPr>
          </w:p>
        </w:tc>
      </w:tr>
      <w:tr w:rsidR="00B626E7" w14:paraId="20ADF904" w14:textId="77777777">
        <w:tc>
          <w:tcPr>
            <w:tcW w:w="0" w:type="auto"/>
            <w:gridSpan w:val="3"/>
            <w:tcBorders>
              <w:top w:val="single" w:sz="8" w:space="0" w:color="0071C5"/>
            </w:tcBorders>
            <w:shd w:val="clear" w:color="auto" w:fill="auto"/>
            <w:tcMar>
              <w:top w:w="40" w:type="dxa"/>
              <w:left w:w="20" w:type="dxa"/>
              <w:bottom w:w="40" w:type="dxa"/>
              <w:right w:w="20" w:type="dxa"/>
            </w:tcMar>
            <w:vAlign w:val="center"/>
          </w:tcPr>
          <w:p w14:paraId="20ADF901" w14:textId="77777777" w:rsidR="00B626E7" w:rsidRDefault="00175C1D">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Viewer10_files/intc-20200627_g8.jpg"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20" wp14:editId="20AE3C21">
                  <wp:extent cx="304800" cy="304800"/>
                  <wp:effectExtent l="0" t="0" r="0" b="0"/>
                  <wp:docPr id="55" name="图片 45"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5" descr="IMG_26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Arial" w:eastAsia="宋体" w:hAnsi="Arial" w:cs="Arial"/>
                <w:color w:val="333333"/>
                <w:sz w:val="16"/>
                <w:szCs w:val="16"/>
              </w:rPr>
              <w:t>A QUARTER IN REVIEW</w:t>
            </w:r>
          </w:p>
        </w:tc>
        <w:tc>
          <w:tcPr>
            <w:tcW w:w="0" w:type="auto"/>
            <w:gridSpan w:val="3"/>
            <w:tcBorders>
              <w:top w:val="single" w:sz="8" w:space="0" w:color="0071C5"/>
            </w:tcBorders>
            <w:shd w:val="clear" w:color="auto" w:fill="auto"/>
            <w:tcMar>
              <w:left w:w="20" w:type="dxa"/>
              <w:right w:w="20" w:type="dxa"/>
            </w:tcMar>
            <w:vAlign w:val="bottom"/>
          </w:tcPr>
          <w:p w14:paraId="20ADF902"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DF903" w14:textId="77777777" w:rsidR="00B626E7" w:rsidRDefault="00175C1D">
            <w:pPr>
              <w:jc w:val="right"/>
              <w:textAlignment w:val="bottom"/>
            </w:pPr>
            <w:r>
              <w:rPr>
                <w:rFonts w:ascii="Arial" w:eastAsia="宋体" w:hAnsi="Arial" w:cs="Arial"/>
                <w:color w:val="333333"/>
                <w:sz w:val="16"/>
                <w:szCs w:val="16"/>
              </w:rPr>
              <w:t>3</w:t>
            </w:r>
          </w:p>
        </w:tc>
      </w:tr>
    </w:tbl>
    <w:p w14:paraId="20ADF905" w14:textId="77777777" w:rsidR="00B626E7" w:rsidRDefault="00175C1D">
      <w:r>
        <w:pict w14:anchorId="20AE3C22">
          <v:rect id="_x0000_i1029" style="width:415.3pt;height:1.5pt" o:hralign="center" o:hrstd="t" o:hr="t" fillcolor="#a0a0a0" stroked="f"/>
        </w:pict>
      </w:r>
    </w:p>
    <w:p w14:paraId="20ADF906" w14:textId="77777777" w:rsidR="00B626E7" w:rsidRDefault="00175C1D">
      <w:pPr>
        <w:spacing w:after="180"/>
        <w:jc w:val="right"/>
      </w:pPr>
      <w:hyperlink r:id="rId31" w:anchor="ib035cc8759904e51927d703ec8414366_7" w:history="1">
        <w:r>
          <w:rPr>
            <w:rStyle w:val="a5"/>
            <w:rFonts w:ascii="Arial" w:eastAsia="宋体" w:hAnsi="Arial" w:cs="Arial"/>
            <w:b/>
            <w:bCs/>
            <w:sz w:val="16"/>
            <w:szCs w:val="16"/>
          </w:rPr>
          <w:t>Table of Contents</w:t>
        </w:r>
      </w:hyperlink>
    </w:p>
    <w:p w14:paraId="20ADF907" w14:textId="77777777" w:rsidR="00B626E7" w:rsidRDefault="00B626E7">
      <w:pPr>
        <w:spacing w:after="180"/>
        <w:jc w:val="right"/>
      </w:pPr>
    </w:p>
    <w:p w14:paraId="20ADF908" w14:textId="77777777" w:rsidR="00B626E7" w:rsidRDefault="00175C1D">
      <w:pPr>
        <w:spacing w:after="120"/>
      </w:pPr>
      <w:r>
        <w:rPr>
          <w:rFonts w:ascii="Arial" w:eastAsia="宋体" w:hAnsi="Arial" w:cs="Arial"/>
          <w:b/>
          <w:bCs/>
          <w:color w:val="0071C5"/>
        </w:rPr>
        <w:t xml:space="preserve">BUSINESS SUMMARY </w:t>
      </w:r>
    </w:p>
    <w:p w14:paraId="20ADF909" w14:textId="77777777" w:rsidR="00B626E7" w:rsidRDefault="00175C1D">
      <w:pPr>
        <w:spacing w:after="120"/>
        <w:ind w:hanging="360"/>
      </w:pPr>
      <w:r>
        <w:rPr>
          <w:rFonts w:ascii="Arial" w:eastAsia="宋体" w:hAnsi="Arial" w:cs="Arial"/>
          <w:color w:val="0071C5"/>
          <w:sz w:val="20"/>
          <w:szCs w:val="20"/>
        </w:rPr>
        <w:t>•</w:t>
      </w:r>
      <w:r>
        <w:rPr>
          <w:rFonts w:ascii="Arial" w:eastAsia="宋体" w:hAnsi="Arial" w:cs="Arial"/>
          <w:color w:val="333333"/>
          <w:sz w:val="18"/>
          <w:szCs w:val="18"/>
        </w:rPr>
        <w:t xml:space="preserve">We experienced growth in most of our data-centric </w:t>
      </w:r>
      <w:r>
        <w:rPr>
          <w:rFonts w:ascii="Arial" w:eastAsia="宋体" w:hAnsi="Arial" w:cs="Arial"/>
          <w:color w:val="333333"/>
          <w:sz w:val="18"/>
          <w:szCs w:val="18"/>
        </w:rPr>
        <w:t>businesses, driven by strong demand across all DCG segments, and strength in 5G adjacencies and NAND. We introduced the 3rd Gen Intel</w:t>
      </w:r>
      <w:r>
        <w:rPr>
          <w:rFonts w:ascii="Arial" w:eastAsia="宋体" w:hAnsi="Arial" w:cs="Arial"/>
          <w:color w:val="333333"/>
          <w:sz w:val="11"/>
          <w:szCs w:val="11"/>
        </w:rPr>
        <w:t>®</w:t>
      </w:r>
      <w:r>
        <w:rPr>
          <w:rFonts w:ascii="Arial" w:eastAsia="宋体" w:hAnsi="Arial" w:cs="Arial"/>
          <w:color w:val="333333"/>
          <w:sz w:val="18"/>
          <w:szCs w:val="18"/>
        </w:rPr>
        <w:t xml:space="preserve"> Xeon</w:t>
      </w:r>
      <w:r>
        <w:rPr>
          <w:rFonts w:ascii="Arial" w:eastAsia="宋体" w:hAnsi="Arial" w:cs="Arial"/>
          <w:color w:val="333333"/>
          <w:sz w:val="11"/>
          <w:szCs w:val="11"/>
        </w:rPr>
        <w:t>®</w:t>
      </w:r>
      <w:r>
        <w:rPr>
          <w:rFonts w:ascii="Arial" w:eastAsia="宋体" w:hAnsi="Arial" w:cs="Arial"/>
          <w:color w:val="333333"/>
          <w:sz w:val="18"/>
          <w:szCs w:val="18"/>
        </w:rPr>
        <w:t xml:space="preserve"> Scalable processors and additions to our hardware and software AI portfolio. </w:t>
      </w:r>
    </w:p>
    <w:p w14:paraId="20ADF90A" w14:textId="77777777" w:rsidR="00B626E7" w:rsidRDefault="00175C1D">
      <w:pPr>
        <w:spacing w:after="120"/>
        <w:ind w:hanging="360"/>
      </w:pPr>
      <w:r>
        <w:rPr>
          <w:rFonts w:ascii="Arial" w:eastAsia="宋体" w:hAnsi="Arial" w:cs="Arial"/>
          <w:color w:val="0071C5"/>
          <w:sz w:val="20"/>
          <w:szCs w:val="20"/>
        </w:rPr>
        <w:t>•</w:t>
      </w:r>
      <w:r>
        <w:rPr>
          <w:rFonts w:ascii="Arial" w:eastAsia="宋体" w:hAnsi="Arial" w:cs="Arial"/>
          <w:color w:val="333333"/>
          <w:sz w:val="18"/>
          <w:szCs w:val="18"/>
        </w:rPr>
        <w:t>Growth in our PC-centric business wa</w:t>
      </w:r>
      <w:r>
        <w:rPr>
          <w:rFonts w:ascii="Arial" w:eastAsia="宋体" w:hAnsi="Arial" w:cs="Arial"/>
          <w:color w:val="333333"/>
          <w:sz w:val="18"/>
          <w:szCs w:val="18"/>
        </w:rPr>
        <w:t>s driven by strength in notebook demand, strong platform ASP, and continued strength in modem, partially offset by desktop demand. We announced the new 10th Gen Intel</w:t>
      </w:r>
      <w:r>
        <w:rPr>
          <w:rFonts w:ascii="Arial" w:eastAsia="宋体" w:hAnsi="Arial" w:cs="Arial"/>
          <w:color w:val="333333"/>
          <w:sz w:val="11"/>
          <w:szCs w:val="11"/>
        </w:rPr>
        <w:t>®</w:t>
      </w:r>
      <w:r>
        <w:rPr>
          <w:rFonts w:ascii="Arial" w:eastAsia="宋体" w:hAnsi="Arial" w:cs="Arial"/>
          <w:color w:val="333333"/>
          <w:sz w:val="18"/>
          <w:szCs w:val="18"/>
        </w:rPr>
        <w:t xml:space="preserve"> Core</w:t>
      </w:r>
      <w:r>
        <w:rPr>
          <w:rFonts w:ascii="Arial" w:eastAsia="宋体" w:hAnsi="Arial" w:cs="Arial"/>
          <w:color w:val="333333"/>
          <w:sz w:val="11"/>
          <w:szCs w:val="11"/>
        </w:rPr>
        <w:t>™</w:t>
      </w:r>
      <w:r>
        <w:rPr>
          <w:rFonts w:ascii="Arial" w:eastAsia="宋体" w:hAnsi="Arial" w:cs="Arial"/>
          <w:color w:val="333333"/>
          <w:sz w:val="18"/>
          <w:szCs w:val="18"/>
        </w:rPr>
        <w:t xml:space="preserve"> vPro</w:t>
      </w:r>
      <w:r>
        <w:rPr>
          <w:rFonts w:ascii="Arial" w:eastAsia="宋体" w:hAnsi="Arial" w:cs="Arial"/>
          <w:color w:val="333333"/>
          <w:sz w:val="11"/>
          <w:szCs w:val="11"/>
        </w:rPr>
        <w:t>®</w:t>
      </w:r>
      <w:r>
        <w:rPr>
          <w:rFonts w:ascii="Arial" w:eastAsia="宋体" w:hAnsi="Arial" w:cs="Arial"/>
          <w:color w:val="333333"/>
          <w:sz w:val="18"/>
          <w:szCs w:val="18"/>
        </w:rPr>
        <w:t xml:space="preserve"> processors for enterprise needs to deliver increased productivity improvemen</w:t>
      </w:r>
      <w:r>
        <w:rPr>
          <w:rFonts w:ascii="Arial" w:eastAsia="宋体" w:hAnsi="Arial" w:cs="Arial"/>
          <w:color w:val="333333"/>
          <w:sz w:val="18"/>
          <w:szCs w:val="18"/>
        </w:rPr>
        <w:t>ts, connectivity, security features, and remote manageability. We also launched the Intel</w:t>
      </w:r>
      <w:r>
        <w:rPr>
          <w:rFonts w:ascii="Arial" w:eastAsia="宋体" w:hAnsi="Arial" w:cs="Arial"/>
          <w:color w:val="333333"/>
          <w:sz w:val="11"/>
          <w:szCs w:val="11"/>
        </w:rPr>
        <w:t>®</w:t>
      </w:r>
      <w:r>
        <w:rPr>
          <w:rFonts w:ascii="Arial" w:eastAsia="宋体" w:hAnsi="Arial" w:cs="Arial"/>
          <w:color w:val="333333"/>
          <w:sz w:val="18"/>
          <w:szCs w:val="18"/>
        </w:rPr>
        <w:t xml:space="preserve"> Core</w:t>
      </w:r>
      <w:r>
        <w:rPr>
          <w:rFonts w:ascii="Arial" w:eastAsia="宋体" w:hAnsi="Arial" w:cs="Arial"/>
          <w:color w:val="333333"/>
          <w:sz w:val="11"/>
          <w:szCs w:val="11"/>
        </w:rPr>
        <w:t>™</w:t>
      </w:r>
      <w:r>
        <w:rPr>
          <w:rFonts w:ascii="Arial" w:eastAsia="宋体" w:hAnsi="Arial" w:cs="Arial"/>
          <w:color w:val="333333"/>
          <w:sz w:val="18"/>
          <w:szCs w:val="18"/>
        </w:rPr>
        <w:t xml:space="preserve"> processors with Intel</w:t>
      </w:r>
      <w:r>
        <w:rPr>
          <w:rFonts w:ascii="Arial" w:eastAsia="宋体" w:hAnsi="Arial" w:cs="Arial"/>
          <w:color w:val="333333"/>
          <w:sz w:val="11"/>
          <w:szCs w:val="11"/>
        </w:rPr>
        <w:t>®</w:t>
      </w:r>
      <w:r>
        <w:rPr>
          <w:rFonts w:ascii="Arial" w:eastAsia="宋体" w:hAnsi="Arial" w:cs="Arial"/>
          <w:color w:val="333333"/>
          <w:sz w:val="18"/>
          <w:szCs w:val="18"/>
        </w:rPr>
        <w:t xml:space="preserve"> Hybrid Technology, leveraging Intel's Foveros 3D packaging technology.</w:t>
      </w:r>
    </w:p>
    <w:p w14:paraId="20ADF90B" w14:textId="77777777" w:rsidR="00B626E7" w:rsidRDefault="00175C1D">
      <w:pPr>
        <w:spacing w:after="120"/>
        <w:ind w:hanging="360"/>
      </w:pPr>
      <w:r>
        <w:rPr>
          <w:rFonts w:ascii="Arial" w:eastAsia="宋体" w:hAnsi="Arial" w:cs="Arial"/>
          <w:b/>
          <w:bCs/>
          <w:color w:val="0071C5"/>
          <w:sz w:val="18"/>
          <w:szCs w:val="18"/>
        </w:rPr>
        <w:t>•</w:t>
      </w:r>
      <w:r>
        <w:rPr>
          <w:rFonts w:ascii="Arial" w:eastAsia="宋体" w:hAnsi="Arial" w:cs="Arial"/>
          <w:color w:val="333333"/>
          <w:sz w:val="18"/>
          <w:szCs w:val="18"/>
        </w:rPr>
        <w:t>We acquired Moovit for $915 million to accelerate Mobileye's Maa</w:t>
      </w:r>
      <w:r>
        <w:rPr>
          <w:rFonts w:ascii="Arial" w:eastAsia="宋体" w:hAnsi="Arial" w:cs="Arial"/>
          <w:color w:val="333333"/>
          <w:sz w:val="18"/>
          <w:szCs w:val="18"/>
        </w:rPr>
        <w:t>S offering. Moovit is known for its urban mobility application and brings Mobileye closer to achieving our plan to become a complete mobility provider, including robotaxi services.</w:t>
      </w:r>
    </w:p>
    <w:p w14:paraId="20ADF90C" w14:textId="77777777" w:rsidR="00B626E7" w:rsidRDefault="00175C1D">
      <w:pPr>
        <w:spacing w:after="120"/>
        <w:ind w:hanging="360"/>
      </w:pPr>
      <w:r>
        <w:rPr>
          <w:rFonts w:ascii="Arial" w:eastAsia="宋体" w:hAnsi="Arial" w:cs="Arial"/>
          <w:color w:val="0071C5"/>
          <w:sz w:val="20"/>
          <w:szCs w:val="20"/>
        </w:rPr>
        <w:t>•</w:t>
      </w:r>
      <w:r>
        <w:rPr>
          <w:rFonts w:ascii="Arial" w:eastAsia="宋体" w:hAnsi="Arial" w:cs="Arial"/>
          <w:color w:val="333333"/>
          <w:sz w:val="18"/>
          <w:szCs w:val="18"/>
        </w:rPr>
        <w:t>We continue to accelerate our transition to 10nm-based products. We now ex</w:t>
      </w:r>
      <w:r>
        <w:rPr>
          <w:rFonts w:ascii="Arial" w:eastAsia="宋体" w:hAnsi="Arial" w:cs="Arial"/>
          <w:color w:val="333333"/>
          <w:sz w:val="18"/>
          <w:szCs w:val="18"/>
        </w:rPr>
        <w:t>pect to increase our 10nm-based product shipments for the year by more than 20 percent versus our January expectations. We expect production shipments of our next-generation 10nm client CPU product "Tiger Lake" in Q3 and are targeting initial production sh</w:t>
      </w:r>
      <w:r>
        <w:rPr>
          <w:rFonts w:ascii="Arial" w:eastAsia="宋体" w:hAnsi="Arial" w:cs="Arial"/>
          <w:color w:val="333333"/>
          <w:sz w:val="18"/>
          <w:szCs w:val="18"/>
        </w:rPr>
        <w:t>ipments of our first 10nm-based Xeon Scalable product, “Ice Lake,” for the end of the year. Our 10nm-based products are positioned for 2021, led by our third-generation client product “Alder Lake” and our second-generation server product “Sapphire Rapids.”</w:t>
      </w:r>
      <w:r>
        <w:rPr>
          <w:rFonts w:ascii="Arial" w:eastAsia="宋体" w:hAnsi="Arial" w:cs="Arial"/>
          <w:color w:val="333333"/>
          <w:sz w:val="18"/>
          <w:szCs w:val="18"/>
        </w:rPr>
        <w:t xml:space="preserve"> Both products are expected to start initial production shipments in the second half of 2021.</w:t>
      </w:r>
    </w:p>
    <w:p w14:paraId="20ADF90D" w14:textId="77777777" w:rsidR="00B626E7" w:rsidRDefault="00175C1D">
      <w:pPr>
        <w:spacing w:after="120"/>
        <w:ind w:hanging="360"/>
      </w:pPr>
      <w:r>
        <w:rPr>
          <w:rFonts w:ascii="Arial" w:eastAsia="宋体" w:hAnsi="Arial" w:cs="Arial"/>
          <w:color w:val="0071C5"/>
          <w:sz w:val="20"/>
          <w:szCs w:val="20"/>
        </w:rPr>
        <w:t>•</w:t>
      </w:r>
      <w:r>
        <w:rPr>
          <w:rFonts w:ascii="Arial" w:eastAsia="宋体" w:hAnsi="Arial" w:cs="Arial"/>
          <w:color w:val="333333"/>
          <w:sz w:val="18"/>
          <w:szCs w:val="18"/>
        </w:rPr>
        <w:t>We now expect an approximate six-month delay in our 7nm-based CPU product timing relative to prior expectations. The primary driver is the yield of our 7nm manuf</w:t>
      </w:r>
      <w:r>
        <w:rPr>
          <w:rFonts w:ascii="Arial" w:eastAsia="宋体" w:hAnsi="Arial" w:cs="Arial"/>
          <w:color w:val="333333"/>
          <w:sz w:val="18"/>
          <w:szCs w:val="18"/>
        </w:rPr>
        <w:t>acturing process, which based on recent data, is now trending approximately twelve months behind our internal target. We will continue to invest in our future process technology roadmap, but we will be pragmatic and objective in seeking to deploy the proce</w:t>
      </w:r>
      <w:r>
        <w:rPr>
          <w:rFonts w:ascii="Arial" w:eastAsia="宋体" w:hAnsi="Arial" w:cs="Arial"/>
          <w:color w:val="333333"/>
          <w:sz w:val="18"/>
          <w:szCs w:val="18"/>
        </w:rPr>
        <w:t xml:space="preserve">ss technology that delivers the most predictability and performance for our customers, whether that be our process, external foundry process or a combination of both. Our advanced packaging technologies combined with our disaggregated architecture give us </w:t>
      </w:r>
      <w:r>
        <w:rPr>
          <w:rFonts w:ascii="Arial" w:eastAsia="宋体" w:hAnsi="Arial" w:cs="Arial"/>
          <w:color w:val="333333"/>
          <w:sz w:val="18"/>
          <w:szCs w:val="18"/>
        </w:rPr>
        <w:t>the flexibility to use the process technology that best serves our customers. As an example, we now expect that our data center discrete GPU design, “Ponte Vecchio", which was described in our 2019 Form 10-K, will be released in late 2021 or early 2022 uti</w:t>
      </w:r>
      <w:r>
        <w:rPr>
          <w:rFonts w:ascii="Arial" w:eastAsia="宋体" w:hAnsi="Arial" w:cs="Arial"/>
          <w:color w:val="333333"/>
          <w:sz w:val="18"/>
          <w:szCs w:val="18"/>
        </w:rPr>
        <w:t>lizing external and internal process technologies combined with our advanced packaging technologies.</w:t>
      </w:r>
    </w:p>
    <w:p w14:paraId="20ADF90E" w14:textId="77777777" w:rsidR="00B626E7" w:rsidRDefault="00175C1D">
      <w:pPr>
        <w:spacing w:after="120"/>
        <w:ind w:hanging="360"/>
      </w:pPr>
      <w:r>
        <w:rPr>
          <w:rFonts w:ascii="Arial" w:eastAsia="宋体" w:hAnsi="Arial" w:cs="Arial"/>
          <w:color w:val="0071C5"/>
          <w:sz w:val="20"/>
          <w:szCs w:val="20"/>
        </w:rPr>
        <w:t>•</w:t>
      </w:r>
      <w:r>
        <w:rPr>
          <w:rFonts w:ascii="Arial" w:eastAsia="宋体" w:hAnsi="Arial" w:cs="Arial"/>
          <w:color w:val="333333"/>
          <w:sz w:val="18"/>
          <w:szCs w:val="18"/>
        </w:rPr>
        <w:t>We now expect to see initial production shipments of our first Intel-based 7nm product, a client CPU, in late 2022 or early 2023. We are also focused on m</w:t>
      </w:r>
      <w:r>
        <w:rPr>
          <w:rFonts w:ascii="Arial" w:eastAsia="宋体" w:hAnsi="Arial" w:cs="Arial"/>
          <w:color w:val="333333"/>
          <w:sz w:val="18"/>
          <w:szCs w:val="18"/>
        </w:rPr>
        <w:t>aintaining an annual cadence of significant product improvements independent of our process roadmap, including for holiday 2022. In addition, we expect to see initial production shipments of our first Intel-based 7nm data center CPU design in the first hal</w:t>
      </w:r>
      <w:r>
        <w:rPr>
          <w:rFonts w:ascii="Arial" w:eastAsia="宋体" w:hAnsi="Arial" w:cs="Arial"/>
          <w:color w:val="333333"/>
          <w:sz w:val="18"/>
          <w:szCs w:val="18"/>
        </w:rPr>
        <w:t xml:space="preserve">f of 2023. </w:t>
      </w:r>
    </w:p>
    <w:p w14:paraId="20ADF90F" w14:textId="77777777" w:rsidR="00B626E7" w:rsidRDefault="00B626E7"/>
    <w:p w14:paraId="20ADF910" w14:textId="77777777" w:rsidR="00B626E7" w:rsidRDefault="00B626E7"/>
    <w:tbl>
      <w:tblPr>
        <w:tblW w:w="5000" w:type="pct"/>
        <w:tblCellMar>
          <w:top w:w="15" w:type="dxa"/>
          <w:left w:w="15" w:type="dxa"/>
          <w:bottom w:w="15" w:type="dxa"/>
          <w:right w:w="15" w:type="dxa"/>
        </w:tblCellMar>
        <w:tblLook w:val="04A0" w:firstRow="1" w:lastRow="0" w:firstColumn="1" w:lastColumn="0" w:noHBand="0" w:noVBand="1"/>
      </w:tblPr>
      <w:tblGrid>
        <w:gridCol w:w="84"/>
        <w:gridCol w:w="2422"/>
        <w:gridCol w:w="83"/>
        <w:gridCol w:w="83"/>
        <w:gridCol w:w="2194"/>
        <w:gridCol w:w="83"/>
        <w:gridCol w:w="83"/>
        <w:gridCol w:w="3221"/>
        <w:gridCol w:w="83"/>
      </w:tblGrid>
      <w:tr w:rsidR="00B626E7" w14:paraId="20ADF91A" w14:textId="77777777">
        <w:tc>
          <w:tcPr>
            <w:tcW w:w="50" w:type="pct"/>
            <w:shd w:val="clear" w:color="auto" w:fill="auto"/>
            <w:vAlign w:val="bottom"/>
          </w:tcPr>
          <w:p w14:paraId="20ADF911" w14:textId="77777777" w:rsidR="00B626E7" w:rsidRDefault="00B626E7">
            <w:pPr>
              <w:rPr>
                <w:rFonts w:ascii="宋体"/>
              </w:rPr>
            </w:pPr>
          </w:p>
        </w:tc>
        <w:tc>
          <w:tcPr>
            <w:tcW w:w="1452" w:type="pct"/>
            <w:shd w:val="clear" w:color="auto" w:fill="auto"/>
            <w:vAlign w:val="bottom"/>
          </w:tcPr>
          <w:p w14:paraId="20ADF912" w14:textId="77777777" w:rsidR="00B626E7" w:rsidRDefault="00B626E7">
            <w:pPr>
              <w:rPr>
                <w:rFonts w:ascii="宋体"/>
              </w:rPr>
            </w:pPr>
          </w:p>
        </w:tc>
        <w:tc>
          <w:tcPr>
            <w:tcW w:w="50" w:type="pct"/>
            <w:shd w:val="clear" w:color="auto" w:fill="auto"/>
            <w:vAlign w:val="bottom"/>
          </w:tcPr>
          <w:p w14:paraId="20ADF913" w14:textId="77777777" w:rsidR="00B626E7" w:rsidRDefault="00B626E7">
            <w:pPr>
              <w:rPr>
                <w:rFonts w:ascii="宋体"/>
              </w:rPr>
            </w:pPr>
          </w:p>
        </w:tc>
        <w:tc>
          <w:tcPr>
            <w:tcW w:w="50" w:type="pct"/>
            <w:shd w:val="clear" w:color="auto" w:fill="auto"/>
            <w:vAlign w:val="bottom"/>
          </w:tcPr>
          <w:p w14:paraId="20ADF914" w14:textId="77777777" w:rsidR="00B626E7" w:rsidRDefault="00B626E7">
            <w:pPr>
              <w:rPr>
                <w:rFonts w:ascii="宋体"/>
              </w:rPr>
            </w:pPr>
          </w:p>
        </w:tc>
        <w:tc>
          <w:tcPr>
            <w:tcW w:w="1315" w:type="pct"/>
            <w:shd w:val="clear" w:color="auto" w:fill="auto"/>
            <w:vAlign w:val="bottom"/>
          </w:tcPr>
          <w:p w14:paraId="20ADF915" w14:textId="77777777" w:rsidR="00B626E7" w:rsidRDefault="00B626E7">
            <w:pPr>
              <w:rPr>
                <w:rFonts w:ascii="宋体"/>
              </w:rPr>
            </w:pPr>
          </w:p>
        </w:tc>
        <w:tc>
          <w:tcPr>
            <w:tcW w:w="50" w:type="pct"/>
            <w:shd w:val="clear" w:color="auto" w:fill="auto"/>
            <w:vAlign w:val="bottom"/>
          </w:tcPr>
          <w:p w14:paraId="20ADF916" w14:textId="77777777" w:rsidR="00B626E7" w:rsidRDefault="00B626E7">
            <w:pPr>
              <w:rPr>
                <w:rFonts w:ascii="宋体"/>
              </w:rPr>
            </w:pPr>
          </w:p>
        </w:tc>
        <w:tc>
          <w:tcPr>
            <w:tcW w:w="50" w:type="pct"/>
            <w:shd w:val="clear" w:color="auto" w:fill="auto"/>
            <w:vAlign w:val="bottom"/>
          </w:tcPr>
          <w:p w14:paraId="20ADF917" w14:textId="77777777" w:rsidR="00B626E7" w:rsidRDefault="00B626E7">
            <w:pPr>
              <w:rPr>
                <w:rFonts w:ascii="宋体"/>
              </w:rPr>
            </w:pPr>
          </w:p>
        </w:tc>
        <w:tc>
          <w:tcPr>
            <w:tcW w:w="1931" w:type="pct"/>
            <w:shd w:val="clear" w:color="auto" w:fill="auto"/>
            <w:vAlign w:val="bottom"/>
          </w:tcPr>
          <w:p w14:paraId="20ADF918" w14:textId="77777777" w:rsidR="00B626E7" w:rsidRDefault="00B626E7">
            <w:pPr>
              <w:rPr>
                <w:rFonts w:ascii="宋体"/>
              </w:rPr>
            </w:pPr>
          </w:p>
        </w:tc>
        <w:tc>
          <w:tcPr>
            <w:tcW w:w="50" w:type="pct"/>
            <w:shd w:val="clear" w:color="auto" w:fill="auto"/>
            <w:vAlign w:val="bottom"/>
          </w:tcPr>
          <w:p w14:paraId="20ADF919" w14:textId="77777777" w:rsidR="00B626E7" w:rsidRDefault="00B626E7">
            <w:pPr>
              <w:rPr>
                <w:rFonts w:ascii="宋体"/>
              </w:rPr>
            </w:pPr>
          </w:p>
        </w:tc>
      </w:tr>
      <w:tr w:rsidR="00B626E7" w14:paraId="20ADF91E" w14:textId="77777777">
        <w:tc>
          <w:tcPr>
            <w:tcW w:w="0" w:type="auto"/>
            <w:gridSpan w:val="3"/>
            <w:tcBorders>
              <w:top w:val="single" w:sz="8" w:space="0" w:color="0071C5"/>
            </w:tcBorders>
            <w:shd w:val="clear" w:color="auto" w:fill="auto"/>
            <w:tcMar>
              <w:top w:w="40" w:type="dxa"/>
              <w:left w:w="20" w:type="dxa"/>
              <w:bottom w:w="40" w:type="dxa"/>
              <w:right w:w="20" w:type="dxa"/>
            </w:tcMar>
            <w:vAlign w:val="center"/>
          </w:tcPr>
          <w:p w14:paraId="20ADF91B" w14:textId="77777777" w:rsidR="00B626E7" w:rsidRDefault="00175C1D">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Viewer10_files/intc-20200627_g8.jpg"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23" wp14:editId="20AE3C24">
                  <wp:extent cx="304800" cy="304800"/>
                  <wp:effectExtent l="0" t="0" r="0" b="0"/>
                  <wp:docPr id="36" name="图片 47"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7" descr="IMG_26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Arial" w:eastAsia="宋体" w:hAnsi="Arial" w:cs="Arial"/>
                <w:color w:val="333333"/>
                <w:sz w:val="16"/>
                <w:szCs w:val="16"/>
              </w:rPr>
              <w:t>A QUARTER IN REVIEW</w:t>
            </w:r>
          </w:p>
        </w:tc>
        <w:tc>
          <w:tcPr>
            <w:tcW w:w="0" w:type="auto"/>
            <w:gridSpan w:val="3"/>
            <w:tcBorders>
              <w:top w:val="single" w:sz="8" w:space="0" w:color="0071C5"/>
            </w:tcBorders>
            <w:shd w:val="clear" w:color="auto" w:fill="auto"/>
            <w:tcMar>
              <w:left w:w="20" w:type="dxa"/>
              <w:right w:w="20" w:type="dxa"/>
            </w:tcMar>
            <w:vAlign w:val="bottom"/>
          </w:tcPr>
          <w:p w14:paraId="20ADF91C"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DF91D" w14:textId="77777777" w:rsidR="00B626E7" w:rsidRDefault="00175C1D">
            <w:pPr>
              <w:jc w:val="right"/>
              <w:textAlignment w:val="bottom"/>
            </w:pPr>
            <w:r>
              <w:rPr>
                <w:rFonts w:ascii="Arial" w:eastAsia="宋体" w:hAnsi="Arial" w:cs="Arial"/>
                <w:color w:val="333333"/>
                <w:sz w:val="16"/>
                <w:szCs w:val="16"/>
              </w:rPr>
              <w:t>4</w:t>
            </w:r>
          </w:p>
        </w:tc>
      </w:tr>
    </w:tbl>
    <w:p w14:paraId="20ADF91F" w14:textId="77777777" w:rsidR="00B626E7" w:rsidRDefault="00175C1D">
      <w:r>
        <w:pict w14:anchorId="20AE3C25">
          <v:rect id="_x0000_i1030" style="width:415.3pt;height:1.5pt" o:hralign="center" o:hrstd="t" o:hr="t" fillcolor="#a0a0a0" stroked="f"/>
        </w:pict>
      </w:r>
    </w:p>
    <w:p w14:paraId="20ADF920" w14:textId="77777777" w:rsidR="00B626E7" w:rsidRDefault="00175C1D">
      <w:pPr>
        <w:spacing w:after="180"/>
        <w:jc w:val="right"/>
      </w:pPr>
      <w:hyperlink r:id="rId32" w:anchor="ib035cc8759904e51927d703ec8414366_7" w:history="1">
        <w:r>
          <w:rPr>
            <w:rStyle w:val="a5"/>
            <w:rFonts w:ascii="Arial" w:eastAsia="宋体" w:hAnsi="Arial" w:cs="Arial"/>
            <w:b/>
            <w:bCs/>
            <w:sz w:val="16"/>
            <w:szCs w:val="16"/>
          </w:rPr>
          <w:t>Table of Contents</w:t>
        </w:r>
      </w:hyperlink>
    </w:p>
    <w:p w14:paraId="20ADF921" w14:textId="77777777" w:rsidR="00B626E7" w:rsidRDefault="00B626E7">
      <w:pPr>
        <w:spacing w:after="180"/>
        <w:jc w:val="right"/>
      </w:pPr>
    </w:p>
    <w:tbl>
      <w:tblPr>
        <w:tblW w:w="5000" w:type="pct"/>
        <w:jc w:val="center"/>
        <w:tblCellMar>
          <w:top w:w="15" w:type="dxa"/>
          <w:left w:w="15" w:type="dxa"/>
          <w:bottom w:w="15" w:type="dxa"/>
          <w:right w:w="15" w:type="dxa"/>
        </w:tblCellMar>
        <w:tblLook w:val="04A0" w:firstRow="1" w:lastRow="0" w:firstColumn="1" w:lastColumn="0" w:noHBand="0" w:noVBand="1"/>
      </w:tblPr>
      <w:tblGrid>
        <w:gridCol w:w="84"/>
        <w:gridCol w:w="8169"/>
        <w:gridCol w:w="83"/>
      </w:tblGrid>
      <w:tr w:rsidR="00B626E7" w14:paraId="20ADF925" w14:textId="77777777">
        <w:trPr>
          <w:jc w:val="center"/>
        </w:trPr>
        <w:tc>
          <w:tcPr>
            <w:tcW w:w="50" w:type="pct"/>
            <w:shd w:val="clear" w:color="auto" w:fill="auto"/>
          </w:tcPr>
          <w:p w14:paraId="20ADF922" w14:textId="77777777" w:rsidR="00B626E7" w:rsidRDefault="00B626E7">
            <w:pPr>
              <w:rPr>
                <w:rFonts w:ascii="宋体"/>
              </w:rPr>
            </w:pPr>
          </w:p>
        </w:tc>
        <w:tc>
          <w:tcPr>
            <w:tcW w:w="4900" w:type="pct"/>
            <w:shd w:val="clear" w:color="auto" w:fill="auto"/>
          </w:tcPr>
          <w:p w14:paraId="20ADF923" w14:textId="77777777" w:rsidR="00B626E7" w:rsidRDefault="00B626E7">
            <w:pPr>
              <w:rPr>
                <w:rFonts w:ascii="宋体"/>
              </w:rPr>
            </w:pPr>
          </w:p>
        </w:tc>
        <w:tc>
          <w:tcPr>
            <w:tcW w:w="50" w:type="pct"/>
            <w:shd w:val="clear" w:color="auto" w:fill="auto"/>
          </w:tcPr>
          <w:p w14:paraId="20ADF924" w14:textId="77777777" w:rsidR="00B626E7" w:rsidRDefault="00B626E7">
            <w:pPr>
              <w:rPr>
                <w:rFonts w:ascii="宋体"/>
              </w:rPr>
            </w:pPr>
          </w:p>
        </w:tc>
      </w:tr>
      <w:tr w:rsidR="00B626E7" w14:paraId="20ADF927" w14:textId="77777777">
        <w:trPr>
          <w:jc w:val="center"/>
        </w:trPr>
        <w:tc>
          <w:tcPr>
            <w:tcW w:w="0" w:type="auto"/>
            <w:gridSpan w:val="3"/>
            <w:shd w:val="clear" w:color="auto" w:fill="0071C5"/>
            <w:tcMar>
              <w:top w:w="40" w:type="dxa"/>
              <w:left w:w="20" w:type="dxa"/>
              <w:bottom w:w="40" w:type="dxa"/>
              <w:right w:w="20" w:type="dxa"/>
            </w:tcMar>
            <w:vAlign w:val="bottom"/>
          </w:tcPr>
          <w:p w14:paraId="20ADF926" w14:textId="77777777" w:rsidR="00B626E7" w:rsidRDefault="00175C1D">
            <w:pPr>
              <w:textAlignment w:val="bottom"/>
            </w:pPr>
            <w:r>
              <w:rPr>
                <w:rFonts w:ascii="Arial" w:eastAsia="宋体" w:hAnsi="Arial" w:cs="Arial"/>
                <w:b/>
                <w:bCs/>
                <w:color w:val="FFFFFF"/>
                <w:sz w:val="28"/>
                <w:szCs w:val="28"/>
              </w:rPr>
              <w:t xml:space="preserve">CONSOLIDATED CONDENSED STATEMENTS OF INCOME </w:t>
            </w:r>
          </w:p>
        </w:tc>
      </w:tr>
    </w:tbl>
    <w:p w14:paraId="20ADF928" w14:textId="77777777" w:rsidR="00B626E7" w:rsidRDefault="00B626E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3723"/>
        <w:gridCol w:w="39"/>
        <w:gridCol w:w="36"/>
        <w:gridCol w:w="36"/>
        <w:gridCol w:w="36"/>
        <w:gridCol w:w="136"/>
        <w:gridCol w:w="691"/>
        <w:gridCol w:w="86"/>
        <w:gridCol w:w="36"/>
        <w:gridCol w:w="36"/>
        <w:gridCol w:w="36"/>
        <w:gridCol w:w="136"/>
        <w:gridCol w:w="696"/>
        <w:gridCol w:w="86"/>
        <w:gridCol w:w="36"/>
        <w:gridCol w:w="36"/>
        <w:gridCol w:w="36"/>
        <w:gridCol w:w="136"/>
        <w:gridCol w:w="697"/>
        <w:gridCol w:w="86"/>
        <w:gridCol w:w="36"/>
        <w:gridCol w:w="36"/>
        <w:gridCol w:w="36"/>
        <w:gridCol w:w="136"/>
        <w:gridCol w:w="698"/>
        <w:gridCol w:w="86"/>
        <w:gridCol w:w="36"/>
        <w:gridCol w:w="36"/>
        <w:gridCol w:w="36"/>
        <w:gridCol w:w="36"/>
        <w:gridCol w:w="36"/>
        <w:gridCol w:w="36"/>
        <w:gridCol w:w="36"/>
        <w:gridCol w:w="36"/>
        <w:gridCol w:w="36"/>
        <w:gridCol w:w="36"/>
        <w:gridCol w:w="36"/>
        <w:gridCol w:w="36"/>
      </w:tblGrid>
      <w:tr w:rsidR="00B626E7" w14:paraId="20ADF944" w14:textId="77777777">
        <w:trPr>
          <w:gridAfter w:val="12"/>
        </w:trPr>
        <w:tc>
          <w:tcPr>
            <w:tcW w:w="50" w:type="pct"/>
            <w:shd w:val="clear" w:color="auto" w:fill="auto"/>
          </w:tcPr>
          <w:p w14:paraId="20ADF929" w14:textId="77777777" w:rsidR="00B626E7" w:rsidRDefault="00B626E7">
            <w:pPr>
              <w:rPr>
                <w:rFonts w:ascii="宋体"/>
              </w:rPr>
            </w:pPr>
          </w:p>
        </w:tc>
        <w:tc>
          <w:tcPr>
            <w:tcW w:w="2386" w:type="pct"/>
            <w:shd w:val="clear" w:color="auto" w:fill="auto"/>
          </w:tcPr>
          <w:p w14:paraId="20ADF92A" w14:textId="77777777" w:rsidR="00B626E7" w:rsidRDefault="00B626E7">
            <w:pPr>
              <w:rPr>
                <w:rFonts w:ascii="宋体"/>
              </w:rPr>
            </w:pPr>
          </w:p>
        </w:tc>
        <w:tc>
          <w:tcPr>
            <w:tcW w:w="50" w:type="pct"/>
            <w:shd w:val="clear" w:color="auto" w:fill="auto"/>
          </w:tcPr>
          <w:p w14:paraId="20ADF92B" w14:textId="77777777" w:rsidR="00B626E7" w:rsidRDefault="00B626E7">
            <w:pPr>
              <w:rPr>
                <w:rFonts w:ascii="宋体"/>
              </w:rPr>
            </w:pPr>
          </w:p>
        </w:tc>
        <w:tc>
          <w:tcPr>
            <w:tcW w:w="5" w:type="pct"/>
            <w:shd w:val="clear" w:color="auto" w:fill="auto"/>
          </w:tcPr>
          <w:p w14:paraId="20ADF92C" w14:textId="77777777" w:rsidR="00B626E7" w:rsidRDefault="00B626E7">
            <w:pPr>
              <w:rPr>
                <w:rFonts w:ascii="宋体"/>
              </w:rPr>
            </w:pPr>
          </w:p>
        </w:tc>
        <w:tc>
          <w:tcPr>
            <w:tcW w:w="24" w:type="pct"/>
            <w:shd w:val="clear" w:color="auto" w:fill="auto"/>
          </w:tcPr>
          <w:p w14:paraId="20ADF92D" w14:textId="77777777" w:rsidR="00B626E7" w:rsidRDefault="00B626E7">
            <w:pPr>
              <w:rPr>
                <w:rFonts w:ascii="宋体"/>
              </w:rPr>
            </w:pPr>
          </w:p>
        </w:tc>
        <w:tc>
          <w:tcPr>
            <w:tcW w:w="5" w:type="pct"/>
            <w:shd w:val="clear" w:color="auto" w:fill="auto"/>
          </w:tcPr>
          <w:p w14:paraId="20ADF92E" w14:textId="77777777" w:rsidR="00B626E7" w:rsidRDefault="00B626E7">
            <w:pPr>
              <w:rPr>
                <w:rFonts w:ascii="宋体"/>
              </w:rPr>
            </w:pPr>
          </w:p>
        </w:tc>
        <w:tc>
          <w:tcPr>
            <w:tcW w:w="50" w:type="pct"/>
            <w:shd w:val="clear" w:color="auto" w:fill="auto"/>
          </w:tcPr>
          <w:p w14:paraId="20ADF92F" w14:textId="77777777" w:rsidR="00B626E7" w:rsidRDefault="00B626E7">
            <w:pPr>
              <w:rPr>
                <w:rFonts w:ascii="宋体"/>
              </w:rPr>
            </w:pPr>
          </w:p>
        </w:tc>
        <w:tc>
          <w:tcPr>
            <w:tcW w:w="494" w:type="pct"/>
            <w:shd w:val="clear" w:color="auto" w:fill="auto"/>
          </w:tcPr>
          <w:p w14:paraId="20ADF930" w14:textId="77777777" w:rsidR="00B626E7" w:rsidRDefault="00B626E7">
            <w:pPr>
              <w:rPr>
                <w:rFonts w:ascii="宋体"/>
              </w:rPr>
            </w:pPr>
          </w:p>
        </w:tc>
        <w:tc>
          <w:tcPr>
            <w:tcW w:w="50" w:type="pct"/>
            <w:shd w:val="clear" w:color="auto" w:fill="auto"/>
          </w:tcPr>
          <w:p w14:paraId="20ADF931" w14:textId="77777777" w:rsidR="00B626E7" w:rsidRDefault="00B626E7">
            <w:pPr>
              <w:rPr>
                <w:rFonts w:ascii="宋体"/>
              </w:rPr>
            </w:pPr>
          </w:p>
        </w:tc>
        <w:tc>
          <w:tcPr>
            <w:tcW w:w="5" w:type="pct"/>
            <w:shd w:val="clear" w:color="auto" w:fill="auto"/>
          </w:tcPr>
          <w:p w14:paraId="20ADF932" w14:textId="77777777" w:rsidR="00B626E7" w:rsidRDefault="00B626E7">
            <w:pPr>
              <w:rPr>
                <w:rFonts w:ascii="宋体"/>
              </w:rPr>
            </w:pPr>
          </w:p>
        </w:tc>
        <w:tc>
          <w:tcPr>
            <w:tcW w:w="24" w:type="pct"/>
            <w:shd w:val="clear" w:color="auto" w:fill="auto"/>
          </w:tcPr>
          <w:p w14:paraId="20ADF933" w14:textId="77777777" w:rsidR="00B626E7" w:rsidRDefault="00B626E7">
            <w:pPr>
              <w:rPr>
                <w:rFonts w:ascii="宋体"/>
              </w:rPr>
            </w:pPr>
          </w:p>
        </w:tc>
        <w:tc>
          <w:tcPr>
            <w:tcW w:w="5" w:type="pct"/>
            <w:shd w:val="clear" w:color="auto" w:fill="auto"/>
          </w:tcPr>
          <w:p w14:paraId="20ADF934" w14:textId="77777777" w:rsidR="00B626E7" w:rsidRDefault="00B626E7">
            <w:pPr>
              <w:rPr>
                <w:rFonts w:ascii="宋体"/>
              </w:rPr>
            </w:pPr>
          </w:p>
        </w:tc>
        <w:tc>
          <w:tcPr>
            <w:tcW w:w="50" w:type="pct"/>
            <w:shd w:val="clear" w:color="auto" w:fill="auto"/>
          </w:tcPr>
          <w:p w14:paraId="20ADF935" w14:textId="77777777" w:rsidR="00B626E7" w:rsidRDefault="00B626E7">
            <w:pPr>
              <w:rPr>
                <w:rFonts w:ascii="宋体"/>
              </w:rPr>
            </w:pPr>
          </w:p>
        </w:tc>
        <w:tc>
          <w:tcPr>
            <w:tcW w:w="494" w:type="pct"/>
            <w:shd w:val="clear" w:color="auto" w:fill="auto"/>
          </w:tcPr>
          <w:p w14:paraId="20ADF936" w14:textId="77777777" w:rsidR="00B626E7" w:rsidRDefault="00B626E7">
            <w:pPr>
              <w:rPr>
                <w:rFonts w:ascii="宋体"/>
              </w:rPr>
            </w:pPr>
          </w:p>
        </w:tc>
        <w:tc>
          <w:tcPr>
            <w:tcW w:w="50" w:type="pct"/>
            <w:shd w:val="clear" w:color="auto" w:fill="auto"/>
          </w:tcPr>
          <w:p w14:paraId="20ADF937" w14:textId="77777777" w:rsidR="00B626E7" w:rsidRDefault="00B626E7">
            <w:pPr>
              <w:rPr>
                <w:rFonts w:ascii="宋体"/>
              </w:rPr>
            </w:pPr>
          </w:p>
        </w:tc>
        <w:tc>
          <w:tcPr>
            <w:tcW w:w="5" w:type="pct"/>
            <w:shd w:val="clear" w:color="auto" w:fill="auto"/>
          </w:tcPr>
          <w:p w14:paraId="20ADF938" w14:textId="77777777" w:rsidR="00B626E7" w:rsidRDefault="00B626E7">
            <w:pPr>
              <w:rPr>
                <w:rFonts w:ascii="宋体"/>
              </w:rPr>
            </w:pPr>
          </w:p>
        </w:tc>
        <w:tc>
          <w:tcPr>
            <w:tcW w:w="24" w:type="pct"/>
            <w:shd w:val="clear" w:color="auto" w:fill="auto"/>
          </w:tcPr>
          <w:p w14:paraId="20ADF939" w14:textId="77777777" w:rsidR="00B626E7" w:rsidRDefault="00B626E7">
            <w:pPr>
              <w:rPr>
                <w:rFonts w:ascii="宋体"/>
              </w:rPr>
            </w:pPr>
          </w:p>
        </w:tc>
        <w:tc>
          <w:tcPr>
            <w:tcW w:w="5" w:type="pct"/>
            <w:shd w:val="clear" w:color="auto" w:fill="auto"/>
          </w:tcPr>
          <w:p w14:paraId="20ADF93A" w14:textId="77777777" w:rsidR="00B626E7" w:rsidRDefault="00B626E7">
            <w:pPr>
              <w:rPr>
                <w:rFonts w:ascii="宋体"/>
              </w:rPr>
            </w:pPr>
          </w:p>
        </w:tc>
        <w:tc>
          <w:tcPr>
            <w:tcW w:w="50" w:type="pct"/>
            <w:shd w:val="clear" w:color="auto" w:fill="auto"/>
          </w:tcPr>
          <w:p w14:paraId="20ADF93B" w14:textId="77777777" w:rsidR="00B626E7" w:rsidRDefault="00B626E7">
            <w:pPr>
              <w:rPr>
                <w:rFonts w:ascii="宋体"/>
              </w:rPr>
            </w:pPr>
          </w:p>
        </w:tc>
        <w:tc>
          <w:tcPr>
            <w:tcW w:w="494" w:type="pct"/>
            <w:shd w:val="clear" w:color="auto" w:fill="auto"/>
          </w:tcPr>
          <w:p w14:paraId="20ADF93C" w14:textId="77777777" w:rsidR="00B626E7" w:rsidRDefault="00B626E7">
            <w:pPr>
              <w:rPr>
                <w:rFonts w:ascii="宋体"/>
              </w:rPr>
            </w:pPr>
          </w:p>
        </w:tc>
        <w:tc>
          <w:tcPr>
            <w:tcW w:w="50" w:type="pct"/>
            <w:shd w:val="clear" w:color="auto" w:fill="auto"/>
          </w:tcPr>
          <w:p w14:paraId="20ADF93D" w14:textId="77777777" w:rsidR="00B626E7" w:rsidRDefault="00B626E7">
            <w:pPr>
              <w:rPr>
                <w:rFonts w:ascii="宋体"/>
              </w:rPr>
            </w:pPr>
          </w:p>
        </w:tc>
        <w:tc>
          <w:tcPr>
            <w:tcW w:w="5" w:type="pct"/>
            <w:shd w:val="clear" w:color="auto" w:fill="auto"/>
          </w:tcPr>
          <w:p w14:paraId="20ADF93E" w14:textId="77777777" w:rsidR="00B626E7" w:rsidRDefault="00B626E7">
            <w:pPr>
              <w:rPr>
                <w:rFonts w:ascii="宋体"/>
              </w:rPr>
            </w:pPr>
          </w:p>
        </w:tc>
        <w:tc>
          <w:tcPr>
            <w:tcW w:w="24" w:type="pct"/>
            <w:shd w:val="clear" w:color="auto" w:fill="auto"/>
          </w:tcPr>
          <w:p w14:paraId="20ADF93F" w14:textId="77777777" w:rsidR="00B626E7" w:rsidRDefault="00B626E7">
            <w:pPr>
              <w:rPr>
                <w:rFonts w:ascii="宋体"/>
              </w:rPr>
            </w:pPr>
          </w:p>
        </w:tc>
        <w:tc>
          <w:tcPr>
            <w:tcW w:w="5" w:type="pct"/>
            <w:shd w:val="clear" w:color="auto" w:fill="auto"/>
          </w:tcPr>
          <w:p w14:paraId="20ADF940" w14:textId="77777777" w:rsidR="00B626E7" w:rsidRDefault="00B626E7">
            <w:pPr>
              <w:rPr>
                <w:rFonts w:ascii="宋体"/>
              </w:rPr>
            </w:pPr>
          </w:p>
        </w:tc>
        <w:tc>
          <w:tcPr>
            <w:tcW w:w="50" w:type="pct"/>
            <w:shd w:val="clear" w:color="auto" w:fill="auto"/>
          </w:tcPr>
          <w:p w14:paraId="20ADF941" w14:textId="77777777" w:rsidR="00B626E7" w:rsidRDefault="00B626E7">
            <w:pPr>
              <w:rPr>
                <w:rFonts w:ascii="宋体"/>
              </w:rPr>
            </w:pPr>
          </w:p>
        </w:tc>
        <w:tc>
          <w:tcPr>
            <w:tcW w:w="494" w:type="pct"/>
            <w:shd w:val="clear" w:color="auto" w:fill="auto"/>
          </w:tcPr>
          <w:p w14:paraId="20ADF942" w14:textId="77777777" w:rsidR="00B626E7" w:rsidRDefault="00B626E7">
            <w:pPr>
              <w:rPr>
                <w:rFonts w:ascii="宋体"/>
              </w:rPr>
            </w:pPr>
          </w:p>
        </w:tc>
        <w:tc>
          <w:tcPr>
            <w:tcW w:w="50" w:type="pct"/>
            <w:shd w:val="clear" w:color="auto" w:fill="auto"/>
          </w:tcPr>
          <w:p w14:paraId="20ADF943" w14:textId="77777777" w:rsidR="00B626E7" w:rsidRDefault="00B626E7">
            <w:pPr>
              <w:rPr>
                <w:rFonts w:ascii="宋体"/>
              </w:rPr>
            </w:pPr>
          </w:p>
        </w:tc>
      </w:tr>
      <w:tr w:rsidR="00B626E7" w14:paraId="20ADF94E" w14:textId="77777777">
        <w:tc>
          <w:tcPr>
            <w:tcW w:w="0" w:type="auto"/>
            <w:gridSpan w:val="3"/>
            <w:shd w:val="clear" w:color="auto" w:fill="auto"/>
            <w:tcMar>
              <w:top w:w="40" w:type="dxa"/>
              <w:left w:w="20" w:type="dxa"/>
              <w:bottom w:w="40" w:type="dxa"/>
              <w:right w:w="20" w:type="dxa"/>
            </w:tcMar>
            <w:vAlign w:val="bottom"/>
          </w:tcPr>
          <w:p w14:paraId="20ADF945" w14:textId="77777777" w:rsidR="00B626E7" w:rsidRDefault="00175C1D">
            <w:pPr>
              <w:ind w:hanging="180"/>
              <w:textAlignment w:val="bottom"/>
            </w:pPr>
            <w:r>
              <w:rPr>
                <w:rFonts w:ascii="Arial" w:eastAsia="宋体" w:hAnsi="Arial" w:cs="Arial"/>
                <w:color w:val="333333"/>
                <w:sz w:val="16"/>
                <w:szCs w:val="16"/>
              </w:rPr>
              <w:t> </w:t>
            </w:r>
          </w:p>
        </w:tc>
        <w:tc>
          <w:tcPr>
            <w:tcW w:w="0" w:type="auto"/>
            <w:gridSpan w:val="3"/>
            <w:shd w:val="clear" w:color="auto" w:fill="auto"/>
            <w:tcMar>
              <w:left w:w="20" w:type="dxa"/>
              <w:right w:w="20" w:type="dxa"/>
            </w:tcMar>
            <w:vAlign w:val="bottom"/>
          </w:tcPr>
          <w:p w14:paraId="20ADF946" w14:textId="77777777" w:rsidR="00B626E7" w:rsidRDefault="00B626E7">
            <w:pPr>
              <w:rPr>
                <w:rFonts w:ascii="宋体"/>
              </w:rPr>
            </w:pPr>
          </w:p>
        </w:tc>
        <w:tc>
          <w:tcPr>
            <w:tcW w:w="0" w:type="auto"/>
            <w:gridSpan w:val="9"/>
            <w:shd w:val="clear" w:color="auto" w:fill="auto"/>
            <w:tcMar>
              <w:top w:w="40" w:type="dxa"/>
              <w:left w:w="20" w:type="dxa"/>
              <w:bottom w:w="40" w:type="dxa"/>
              <w:right w:w="20" w:type="dxa"/>
            </w:tcMar>
            <w:vAlign w:val="center"/>
          </w:tcPr>
          <w:p w14:paraId="20ADF947" w14:textId="77777777" w:rsidR="00B626E7" w:rsidRDefault="00175C1D">
            <w:pPr>
              <w:jc w:val="center"/>
              <w:textAlignment w:val="center"/>
            </w:pPr>
            <w:r>
              <w:rPr>
                <w:rFonts w:ascii="Arial" w:eastAsia="宋体" w:hAnsi="Arial" w:cs="Arial"/>
                <w:b/>
                <w:bCs/>
                <w:color w:val="333333"/>
                <w:sz w:val="18"/>
                <w:szCs w:val="18"/>
              </w:rPr>
              <w:t>Three Months Ended</w:t>
            </w:r>
          </w:p>
        </w:tc>
        <w:tc>
          <w:tcPr>
            <w:tcW w:w="0" w:type="auto"/>
            <w:gridSpan w:val="3"/>
            <w:shd w:val="clear" w:color="auto" w:fill="auto"/>
          </w:tcPr>
          <w:p w14:paraId="20ADF948" w14:textId="77777777" w:rsidR="00B626E7" w:rsidRDefault="00B626E7">
            <w:pPr>
              <w:rPr>
                <w:rFonts w:ascii="宋体"/>
                <w:vanish/>
              </w:rPr>
            </w:pPr>
          </w:p>
        </w:tc>
        <w:tc>
          <w:tcPr>
            <w:tcW w:w="0" w:type="auto"/>
            <w:gridSpan w:val="3"/>
            <w:shd w:val="clear" w:color="auto" w:fill="auto"/>
          </w:tcPr>
          <w:p w14:paraId="20ADF949" w14:textId="77777777" w:rsidR="00B626E7" w:rsidRDefault="00B626E7">
            <w:pPr>
              <w:rPr>
                <w:rFonts w:ascii="宋体"/>
                <w:vanish/>
              </w:rPr>
            </w:pPr>
          </w:p>
        </w:tc>
        <w:tc>
          <w:tcPr>
            <w:tcW w:w="0" w:type="auto"/>
            <w:gridSpan w:val="3"/>
            <w:shd w:val="clear" w:color="auto" w:fill="auto"/>
            <w:tcMar>
              <w:left w:w="20" w:type="dxa"/>
              <w:right w:w="20" w:type="dxa"/>
            </w:tcMar>
            <w:vAlign w:val="bottom"/>
          </w:tcPr>
          <w:p w14:paraId="20ADF94A" w14:textId="77777777" w:rsidR="00B626E7" w:rsidRDefault="00B626E7">
            <w:pPr>
              <w:rPr>
                <w:rFonts w:ascii="宋体"/>
              </w:rPr>
            </w:pPr>
          </w:p>
        </w:tc>
        <w:tc>
          <w:tcPr>
            <w:tcW w:w="0" w:type="auto"/>
            <w:gridSpan w:val="9"/>
            <w:shd w:val="clear" w:color="auto" w:fill="auto"/>
            <w:tcMar>
              <w:top w:w="40" w:type="dxa"/>
              <w:left w:w="20" w:type="dxa"/>
              <w:bottom w:w="40" w:type="dxa"/>
              <w:right w:w="20" w:type="dxa"/>
            </w:tcMar>
            <w:vAlign w:val="center"/>
          </w:tcPr>
          <w:p w14:paraId="20ADF94B" w14:textId="77777777" w:rsidR="00B626E7" w:rsidRDefault="00175C1D">
            <w:pPr>
              <w:jc w:val="center"/>
              <w:textAlignment w:val="center"/>
            </w:pPr>
            <w:r>
              <w:rPr>
                <w:rFonts w:ascii="Arial" w:eastAsia="宋体" w:hAnsi="Arial" w:cs="Arial"/>
                <w:b/>
                <w:bCs/>
                <w:color w:val="333333"/>
                <w:sz w:val="18"/>
                <w:szCs w:val="18"/>
              </w:rPr>
              <w:t>Six Months Ended</w:t>
            </w:r>
          </w:p>
        </w:tc>
        <w:tc>
          <w:tcPr>
            <w:tcW w:w="0" w:type="auto"/>
            <w:gridSpan w:val="3"/>
            <w:shd w:val="clear" w:color="auto" w:fill="auto"/>
          </w:tcPr>
          <w:p w14:paraId="20ADF94C" w14:textId="77777777" w:rsidR="00B626E7" w:rsidRDefault="00B626E7">
            <w:pPr>
              <w:rPr>
                <w:rFonts w:ascii="宋体"/>
                <w:vanish/>
              </w:rPr>
            </w:pPr>
          </w:p>
        </w:tc>
        <w:tc>
          <w:tcPr>
            <w:tcW w:w="0" w:type="auto"/>
            <w:gridSpan w:val="3"/>
            <w:shd w:val="clear" w:color="auto" w:fill="auto"/>
          </w:tcPr>
          <w:p w14:paraId="20ADF94D" w14:textId="77777777" w:rsidR="00B626E7" w:rsidRDefault="00B626E7">
            <w:pPr>
              <w:rPr>
                <w:rFonts w:ascii="宋体"/>
                <w:vanish/>
              </w:rPr>
            </w:pPr>
          </w:p>
        </w:tc>
      </w:tr>
      <w:tr w:rsidR="00B626E7" w14:paraId="20ADF964" w14:textId="77777777">
        <w:tc>
          <w:tcPr>
            <w:tcW w:w="0" w:type="auto"/>
            <w:gridSpan w:val="3"/>
            <w:shd w:val="clear" w:color="auto" w:fill="auto"/>
            <w:tcMar>
              <w:top w:w="40" w:type="dxa"/>
              <w:left w:w="20" w:type="dxa"/>
              <w:bottom w:w="40" w:type="dxa"/>
              <w:right w:w="20" w:type="dxa"/>
            </w:tcMar>
            <w:vAlign w:val="bottom"/>
          </w:tcPr>
          <w:p w14:paraId="20ADF94F" w14:textId="77777777" w:rsidR="00B626E7" w:rsidRDefault="00175C1D">
            <w:pPr>
              <w:ind w:hanging="180"/>
              <w:textAlignment w:val="bottom"/>
            </w:pPr>
            <w:r>
              <w:rPr>
                <w:rFonts w:ascii="Arial" w:eastAsia="宋体" w:hAnsi="Arial" w:cs="Arial"/>
                <w:b/>
                <w:bCs/>
                <w:color w:val="333333"/>
                <w:sz w:val="18"/>
                <w:szCs w:val="18"/>
              </w:rPr>
              <w:t>(In Millions, Except Per Share Amounts; Unaudited)</w:t>
            </w:r>
          </w:p>
        </w:tc>
        <w:tc>
          <w:tcPr>
            <w:tcW w:w="0" w:type="auto"/>
            <w:gridSpan w:val="3"/>
            <w:shd w:val="clear" w:color="auto" w:fill="auto"/>
            <w:tcMar>
              <w:left w:w="20" w:type="dxa"/>
              <w:right w:w="20" w:type="dxa"/>
            </w:tcMar>
            <w:vAlign w:val="bottom"/>
          </w:tcPr>
          <w:p w14:paraId="20ADF950"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DF951" w14:textId="77777777" w:rsidR="00B626E7" w:rsidRDefault="00175C1D">
            <w:pPr>
              <w:jc w:val="center"/>
              <w:textAlignment w:val="bottom"/>
            </w:pPr>
            <w:r>
              <w:rPr>
                <w:rFonts w:ascii="Arial" w:eastAsia="宋体" w:hAnsi="Arial" w:cs="Arial"/>
                <w:b/>
                <w:bCs/>
                <w:color w:val="333333"/>
                <w:sz w:val="18"/>
                <w:szCs w:val="18"/>
              </w:rPr>
              <w:t>Jun 27, 2020</w:t>
            </w:r>
          </w:p>
        </w:tc>
        <w:tc>
          <w:tcPr>
            <w:tcW w:w="0" w:type="auto"/>
            <w:gridSpan w:val="3"/>
            <w:tcBorders>
              <w:top w:val="single" w:sz="8" w:space="0" w:color="0071C5"/>
            </w:tcBorders>
            <w:shd w:val="clear" w:color="auto" w:fill="auto"/>
            <w:tcMar>
              <w:left w:w="20" w:type="dxa"/>
              <w:right w:w="20" w:type="dxa"/>
            </w:tcMar>
            <w:vAlign w:val="bottom"/>
          </w:tcPr>
          <w:p w14:paraId="20ADF952"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DF953" w14:textId="77777777" w:rsidR="00B626E7" w:rsidRDefault="00175C1D">
            <w:pPr>
              <w:jc w:val="center"/>
              <w:textAlignment w:val="bottom"/>
            </w:pPr>
            <w:r>
              <w:rPr>
                <w:rFonts w:ascii="Arial" w:eastAsia="宋体" w:hAnsi="Arial" w:cs="Arial"/>
                <w:b/>
                <w:bCs/>
                <w:color w:val="333333"/>
                <w:sz w:val="18"/>
                <w:szCs w:val="18"/>
              </w:rPr>
              <w:t>Jun 29, 2019</w:t>
            </w:r>
          </w:p>
        </w:tc>
        <w:tc>
          <w:tcPr>
            <w:tcW w:w="0" w:type="auto"/>
            <w:gridSpan w:val="3"/>
            <w:shd w:val="clear" w:color="auto" w:fill="auto"/>
            <w:tcMar>
              <w:left w:w="20" w:type="dxa"/>
              <w:right w:w="20" w:type="dxa"/>
            </w:tcMar>
            <w:vAlign w:val="bottom"/>
          </w:tcPr>
          <w:p w14:paraId="20ADF954"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DF955" w14:textId="77777777" w:rsidR="00B626E7" w:rsidRDefault="00175C1D">
            <w:pPr>
              <w:jc w:val="center"/>
              <w:textAlignment w:val="bottom"/>
            </w:pPr>
            <w:r>
              <w:rPr>
                <w:rFonts w:ascii="Arial" w:eastAsia="宋体" w:hAnsi="Arial" w:cs="Arial"/>
                <w:b/>
                <w:bCs/>
                <w:color w:val="333333"/>
                <w:sz w:val="18"/>
                <w:szCs w:val="18"/>
              </w:rPr>
              <w:t>Jun 27, 2020</w:t>
            </w:r>
          </w:p>
        </w:tc>
        <w:tc>
          <w:tcPr>
            <w:tcW w:w="0" w:type="auto"/>
            <w:gridSpan w:val="3"/>
            <w:tcBorders>
              <w:top w:val="single" w:sz="8" w:space="0" w:color="0071C5"/>
            </w:tcBorders>
            <w:shd w:val="clear" w:color="auto" w:fill="auto"/>
            <w:tcMar>
              <w:left w:w="20" w:type="dxa"/>
              <w:right w:w="20" w:type="dxa"/>
            </w:tcMar>
            <w:vAlign w:val="bottom"/>
          </w:tcPr>
          <w:p w14:paraId="20ADF956"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DF957" w14:textId="77777777" w:rsidR="00B626E7" w:rsidRDefault="00175C1D">
            <w:pPr>
              <w:jc w:val="center"/>
              <w:textAlignment w:val="bottom"/>
            </w:pPr>
            <w:r>
              <w:rPr>
                <w:rFonts w:ascii="Arial" w:eastAsia="宋体" w:hAnsi="Arial" w:cs="Arial"/>
                <w:b/>
                <w:bCs/>
                <w:color w:val="333333"/>
                <w:sz w:val="18"/>
                <w:szCs w:val="18"/>
              </w:rPr>
              <w:t>Jun 29, 2019</w:t>
            </w:r>
          </w:p>
        </w:tc>
        <w:tc>
          <w:tcPr>
            <w:tcW w:w="0" w:type="auto"/>
            <w:shd w:val="clear" w:color="auto" w:fill="auto"/>
          </w:tcPr>
          <w:p w14:paraId="20ADF958" w14:textId="77777777" w:rsidR="00B626E7" w:rsidRDefault="00B626E7">
            <w:pPr>
              <w:rPr>
                <w:rFonts w:ascii="宋体"/>
              </w:rPr>
            </w:pPr>
          </w:p>
        </w:tc>
        <w:tc>
          <w:tcPr>
            <w:tcW w:w="0" w:type="auto"/>
            <w:shd w:val="clear" w:color="auto" w:fill="auto"/>
          </w:tcPr>
          <w:p w14:paraId="20ADF959" w14:textId="77777777" w:rsidR="00B626E7" w:rsidRDefault="00B626E7">
            <w:pPr>
              <w:rPr>
                <w:rFonts w:ascii="宋体"/>
              </w:rPr>
            </w:pPr>
          </w:p>
        </w:tc>
        <w:tc>
          <w:tcPr>
            <w:tcW w:w="0" w:type="auto"/>
            <w:shd w:val="clear" w:color="auto" w:fill="auto"/>
          </w:tcPr>
          <w:p w14:paraId="20ADF95A" w14:textId="77777777" w:rsidR="00B626E7" w:rsidRDefault="00B626E7">
            <w:pPr>
              <w:rPr>
                <w:rFonts w:ascii="宋体"/>
              </w:rPr>
            </w:pPr>
          </w:p>
        </w:tc>
        <w:tc>
          <w:tcPr>
            <w:tcW w:w="0" w:type="auto"/>
            <w:shd w:val="clear" w:color="auto" w:fill="auto"/>
          </w:tcPr>
          <w:p w14:paraId="20ADF95B" w14:textId="77777777" w:rsidR="00B626E7" w:rsidRDefault="00B626E7">
            <w:pPr>
              <w:rPr>
                <w:rFonts w:ascii="宋体"/>
              </w:rPr>
            </w:pPr>
          </w:p>
        </w:tc>
        <w:tc>
          <w:tcPr>
            <w:tcW w:w="0" w:type="auto"/>
            <w:shd w:val="clear" w:color="auto" w:fill="auto"/>
          </w:tcPr>
          <w:p w14:paraId="20ADF95C" w14:textId="77777777" w:rsidR="00B626E7" w:rsidRDefault="00B626E7">
            <w:pPr>
              <w:rPr>
                <w:rFonts w:ascii="宋体"/>
              </w:rPr>
            </w:pPr>
          </w:p>
        </w:tc>
        <w:tc>
          <w:tcPr>
            <w:tcW w:w="0" w:type="auto"/>
            <w:shd w:val="clear" w:color="auto" w:fill="auto"/>
          </w:tcPr>
          <w:p w14:paraId="20ADF95D" w14:textId="77777777" w:rsidR="00B626E7" w:rsidRDefault="00B626E7">
            <w:pPr>
              <w:rPr>
                <w:rFonts w:ascii="宋体"/>
              </w:rPr>
            </w:pPr>
          </w:p>
        </w:tc>
        <w:tc>
          <w:tcPr>
            <w:tcW w:w="0" w:type="auto"/>
            <w:shd w:val="clear" w:color="auto" w:fill="auto"/>
          </w:tcPr>
          <w:p w14:paraId="20ADF95E" w14:textId="77777777" w:rsidR="00B626E7" w:rsidRDefault="00B626E7">
            <w:pPr>
              <w:rPr>
                <w:rFonts w:ascii="宋体"/>
              </w:rPr>
            </w:pPr>
          </w:p>
        </w:tc>
        <w:tc>
          <w:tcPr>
            <w:tcW w:w="0" w:type="auto"/>
            <w:shd w:val="clear" w:color="auto" w:fill="auto"/>
          </w:tcPr>
          <w:p w14:paraId="20ADF95F" w14:textId="77777777" w:rsidR="00B626E7" w:rsidRDefault="00B626E7">
            <w:pPr>
              <w:rPr>
                <w:rFonts w:ascii="宋体"/>
              </w:rPr>
            </w:pPr>
          </w:p>
        </w:tc>
        <w:tc>
          <w:tcPr>
            <w:tcW w:w="0" w:type="auto"/>
            <w:shd w:val="clear" w:color="auto" w:fill="auto"/>
          </w:tcPr>
          <w:p w14:paraId="20ADF960" w14:textId="77777777" w:rsidR="00B626E7" w:rsidRDefault="00B626E7">
            <w:pPr>
              <w:rPr>
                <w:rFonts w:ascii="宋体"/>
              </w:rPr>
            </w:pPr>
          </w:p>
        </w:tc>
        <w:tc>
          <w:tcPr>
            <w:tcW w:w="0" w:type="auto"/>
            <w:shd w:val="clear" w:color="auto" w:fill="auto"/>
          </w:tcPr>
          <w:p w14:paraId="20ADF961" w14:textId="77777777" w:rsidR="00B626E7" w:rsidRDefault="00B626E7">
            <w:pPr>
              <w:rPr>
                <w:rFonts w:ascii="宋体"/>
              </w:rPr>
            </w:pPr>
          </w:p>
        </w:tc>
        <w:tc>
          <w:tcPr>
            <w:tcW w:w="0" w:type="auto"/>
            <w:shd w:val="clear" w:color="auto" w:fill="auto"/>
          </w:tcPr>
          <w:p w14:paraId="20ADF962" w14:textId="77777777" w:rsidR="00B626E7" w:rsidRDefault="00B626E7">
            <w:pPr>
              <w:rPr>
                <w:rFonts w:ascii="宋体"/>
              </w:rPr>
            </w:pPr>
          </w:p>
        </w:tc>
        <w:tc>
          <w:tcPr>
            <w:tcW w:w="0" w:type="auto"/>
            <w:shd w:val="clear" w:color="auto" w:fill="auto"/>
          </w:tcPr>
          <w:p w14:paraId="20ADF963" w14:textId="77777777" w:rsidR="00B626E7" w:rsidRDefault="00B626E7">
            <w:pPr>
              <w:rPr>
                <w:rFonts w:ascii="宋体"/>
              </w:rPr>
            </w:pPr>
          </w:p>
        </w:tc>
      </w:tr>
      <w:tr w:rsidR="00B626E7" w14:paraId="20ADF982" w14:textId="77777777">
        <w:tc>
          <w:tcPr>
            <w:tcW w:w="0" w:type="auto"/>
            <w:gridSpan w:val="3"/>
            <w:tcBorders>
              <w:top w:val="single" w:sz="8" w:space="0" w:color="0071C5"/>
            </w:tcBorders>
            <w:shd w:val="clear" w:color="auto" w:fill="auto"/>
            <w:tcMar>
              <w:top w:w="40" w:type="dxa"/>
              <w:left w:w="20" w:type="dxa"/>
              <w:bottom w:w="40" w:type="dxa"/>
              <w:right w:w="20" w:type="dxa"/>
            </w:tcMar>
          </w:tcPr>
          <w:p w14:paraId="20ADF965" w14:textId="77777777" w:rsidR="00B626E7" w:rsidRDefault="00175C1D">
            <w:pPr>
              <w:ind w:hanging="180"/>
              <w:textAlignment w:val="top"/>
            </w:pPr>
            <w:r>
              <w:rPr>
                <w:rFonts w:ascii="Arial" w:eastAsia="宋体" w:hAnsi="Arial" w:cs="Arial"/>
                <w:b/>
                <w:bCs/>
                <w:color w:val="333333"/>
                <w:sz w:val="18"/>
                <w:szCs w:val="18"/>
              </w:rPr>
              <w:t>Net revenue</w:t>
            </w:r>
          </w:p>
        </w:tc>
        <w:tc>
          <w:tcPr>
            <w:tcW w:w="0" w:type="auto"/>
            <w:gridSpan w:val="3"/>
            <w:shd w:val="clear" w:color="auto" w:fill="auto"/>
            <w:tcMar>
              <w:left w:w="20" w:type="dxa"/>
              <w:right w:w="20" w:type="dxa"/>
            </w:tcMar>
            <w:vAlign w:val="bottom"/>
          </w:tcPr>
          <w:p w14:paraId="20ADF966"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DF967" w14:textId="77777777" w:rsidR="00B626E7" w:rsidRDefault="00175C1D">
            <w:pPr>
              <w:textAlignment w:val="bottom"/>
            </w:pPr>
            <w:r>
              <w:rPr>
                <w:rFonts w:ascii="Arial" w:eastAsia="宋体" w:hAnsi="Arial" w:cs="Arial"/>
                <w:b/>
                <w:bCs/>
                <w:color w:val="0071C5"/>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DF968" w14:textId="77777777" w:rsidR="00B626E7" w:rsidRDefault="00175C1D">
            <w:pPr>
              <w:jc w:val="right"/>
              <w:textAlignment w:val="bottom"/>
            </w:pPr>
            <w:r>
              <w:rPr>
                <w:rFonts w:ascii="Arial" w:eastAsia="宋体" w:hAnsi="Arial" w:cs="Arial"/>
                <w:b/>
                <w:bCs/>
                <w:color w:val="0071C5"/>
                <w:sz w:val="18"/>
                <w:szCs w:val="18"/>
              </w:rPr>
              <w:t>19,728 </w:t>
            </w:r>
          </w:p>
        </w:tc>
        <w:tc>
          <w:tcPr>
            <w:tcW w:w="0" w:type="auto"/>
            <w:tcBorders>
              <w:top w:val="single" w:sz="8" w:space="0" w:color="0071C5"/>
            </w:tcBorders>
            <w:shd w:val="clear" w:color="auto" w:fill="auto"/>
            <w:tcMar>
              <w:top w:w="40" w:type="dxa"/>
              <w:bottom w:w="40" w:type="dxa"/>
              <w:right w:w="20" w:type="dxa"/>
            </w:tcMar>
            <w:vAlign w:val="bottom"/>
          </w:tcPr>
          <w:p w14:paraId="20ADF969"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DF96A"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DF96B"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DF96C" w14:textId="77777777" w:rsidR="00B626E7" w:rsidRDefault="00175C1D">
            <w:pPr>
              <w:jc w:val="right"/>
              <w:textAlignment w:val="bottom"/>
            </w:pPr>
            <w:r>
              <w:rPr>
                <w:rFonts w:ascii="Arial" w:eastAsia="宋体" w:hAnsi="Arial" w:cs="Arial"/>
                <w:b/>
                <w:bCs/>
                <w:color w:val="333333"/>
                <w:sz w:val="18"/>
                <w:szCs w:val="18"/>
              </w:rPr>
              <w:t>16,505 </w:t>
            </w:r>
          </w:p>
        </w:tc>
        <w:tc>
          <w:tcPr>
            <w:tcW w:w="0" w:type="auto"/>
            <w:tcBorders>
              <w:top w:val="single" w:sz="8" w:space="0" w:color="0071C5"/>
            </w:tcBorders>
            <w:shd w:val="clear" w:color="auto" w:fill="auto"/>
            <w:tcMar>
              <w:top w:w="40" w:type="dxa"/>
              <w:bottom w:w="40" w:type="dxa"/>
              <w:right w:w="20" w:type="dxa"/>
            </w:tcMar>
            <w:vAlign w:val="bottom"/>
          </w:tcPr>
          <w:p w14:paraId="20ADF96D"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DF96E"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DF96F" w14:textId="77777777" w:rsidR="00B626E7" w:rsidRDefault="00175C1D">
            <w:pPr>
              <w:textAlignment w:val="bottom"/>
            </w:pPr>
            <w:r>
              <w:rPr>
                <w:rFonts w:ascii="Arial" w:eastAsia="宋体" w:hAnsi="Arial" w:cs="Arial"/>
                <w:b/>
                <w:bCs/>
                <w:color w:val="0071C5"/>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DF970" w14:textId="77777777" w:rsidR="00B626E7" w:rsidRDefault="00175C1D">
            <w:pPr>
              <w:jc w:val="right"/>
              <w:textAlignment w:val="bottom"/>
            </w:pPr>
            <w:r>
              <w:rPr>
                <w:rFonts w:ascii="Arial" w:eastAsia="宋体" w:hAnsi="Arial" w:cs="Arial"/>
                <w:b/>
                <w:bCs/>
                <w:color w:val="0071C5"/>
                <w:sz w:val="18"/>
                <w:szCs w:val="18"/>
              </w:rPr>
              <w:t>39,556 </w:t>
            </w:r>
          </w:p>
        </w:tc>
        <w:tc>
          <w:tcPr>
            <w:tcW w:w="0" w:type="auto"/>
            <w:tcBorders>
              <w:top w:val="single" w:sz="8" w:space="0" w:color="0071C5"/>
            </w:tcBorders>
            <w:shd w:val="clear" w:color="auto" w:fill="auto"/>
            <w:tcMar>
              <w:top w:w="40" w:type="dxa"/>
              <w:bottom w:w="40" w:type="dxa"/>
              <w:right w:w="20" w:type="dxa"/>
            </w:tcMar>
            <w:vAlign w:val="bottom"/>
          </w:tcPr>
          <w:p w14:paraId="20ADF971"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DF972"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DF973"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DF974" w14:textId="77777777" w:rsidR="00B626E7" w:rsidRDefault="00175C1D">
            <w:pPr>
              <w:jc w:val="right"/>
              <w:textAlignment w:val="bottom"/>
            </w:pPr>
            <w:r>
              <w:rPr>
                <w:rFonts w:ascii="Arial" w:eastAsia="宋体" w:hAnsi="Arial" w:cs="Arial"/>
                <w:b/>
                <w:bCs/>
                <w:color w:val="333333"/>
                <w:sz w:val="18"/>
                <w:szCs w:val="18"/>
              </w:rPr>
              <w:t>32,566 </w:t>
            </w:r>
          </w:p>
        </w:tc>
        <w:tc>
          <w:tcPr>
            <w:tcW w:w="0" w:type="auto"/>
            <w:tcBorders>
              <w:top w:val="single" w:sz="8" w:space="0" w:color="0071C5"/>
            </w:tcBorders>
            <w:shd w:val="clear" w:color="auto" w:fill="auto"/>
            <w:tcMar>
              <w:top w:w="40" w:type="dxa"/>
              <w:bottom w:w="40" w:type="dxa"/>
              <w:right w:w="20" w:type="dxa"/>
            </w:tcMar>
            <w:vAlign w:val="bottom"/>
          </w:tcPr>
          <w:p w14:paraId="20ADF975"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DF976" w14:textId="77777777" w:rsidR="00B626E7" w:rsidRDefault="00B626E7">
            <w:pPr>
              <w:rPr>
                <w:rFonts w:ascii="宋体"/>
              </w:rPr>
            </w:pPr>
          </w:p>
        </w:tc>
        <w:tc>
          <w:tcPr>
            <w:tcW w:w="0" w:type="auto"/>
            <w:shd w:val="clear" w:color="auto" w:fill="auto"/>
          </w:tcPr>
          <w:p w14:paraId="20ADF977" w14:textId="77777777" w:rsidR="00B626E7" w:rsidRDefault="00B626E7">
            <w:pPr>
              <w:rPr>
                <w:rFonts w:ascii="宋体"/>
              </w:rPr>
            </w:pPr>
          </w:p>
        </w:tc>
        <w:tc>
          <w:tcPr>
            <w:tcW w:w="0" w:type="auto"/>
            <w:shd w:val="clear" w:color="auto" w:fill="auto"/>
          </w:tcPr>
          <w:p w14:paraId="20ADF978" w14:textId="77777777" w:rsidR="00B626E7" w:rsidRDefault="00B626E7">
            <w:pPr>
              <w:rPr>
                <w:rFonts w:ascii="宋体"/>
              </w:rPr>
            </w:pPr>
          </w:p>
        </w:tc>
        <w:tc>
          <w:tcPr>
            <w:tcW w:w="0" w:type="auto"/>
            <w:shd w:val="clear" w:color="auto" w:fill="auto"/>
          </w:tcPr>
          <w:p w14:paraId="20ADF979" w14:textId="77777777" w:rsidR="00B626E7" w:rsidRDefault="00B626E7">
            <w:pPr>
              <w:rPr>
                <w:rFonts w:ascii="宋体"/>
              </w:rPr>
            </w:pPr>
          </w:p>
        </w:tc>
        <w:tc>
          <w:tcPr>
            <w:tcW w:w="0" w:type="auto"/>
            <w:shd w:val="clear" w:color="auto" w:fill="auto"/>
          </w:tcPr>
          <w:p w14:paraId="20ADF97A" w14:textId="77777777" w:rsidR="00B626E7" w:rsidRDefault="00B626E7">
            <w:pPr>
              <w:rPr>
                <w:rFonts w:ascii="宋体"/>
              </w:rPr>
            </w:pPr>
          </w:p>
        </w:tc>
        <w:tc>
          <w:tcPr>
            <w:tcW w:w="0" w:type="auto"/>
            <w:shd w:val="clear" w:color="auto" w:fill="auto"/>
          </w:tcPr>
          <w:p w14:paraId="20ADF97B" w14:textId="77777777" w:rsidR="00B626E7" w:rsidRDefault="00B626E7">
            <w:pPr>
              <w:rPr>
                <w:rFonts w:ascii="宋体"/>
              </w:rPr>
            </w:pPr>
          </w:p>
        </w:tc>
        <w:tc>
          <w:tcPr>
            <w:tcW w:w="0" w:type="auto"/>
            <w:shd w:val="clear" w:color="auto" w:fill="auto"/>
          </w:tcPr>
          <w:p w14:paraId="20ADF97C" w14:textId="77777777" w:rsidR="00B626E7" w:rsidRDefault="00B626E7">
            <w:pPr>
              <w:rPr>
                <w:rFonts w:ascii="宋体"/>
              </w:rPr>
            </w:pPr>
          </w:p>
        </w:tc>
        <w:tc>
          <w:tcPr>
            <w:tcW w:w="0" w:type="auto"/>
            <w:shd w:val="clear" w:color="auto" w:fill="auto"/>
          </w:tcPr>
          <w:p w14:paraId="20ADF97D" w14:textId="77777777" w:rsidR="00B626E7" w:rsidRDefault="00B626E7">
            <w:pPr>
              <w:rPr>
                <w:rFonts w:ascii="宋体"/>
              </w:rPr>
            </w:pPr>
          </w:p>
        </w:tc>
        <w:tc>
          <w:tcPr>
            <w:tcW w:w="0" w:type="auto"/>
            <w:shd w:val="clear" w:color="auto" w:fill="auto"/>
          </w:tcPr>
          <w:p w14:paraId="20ADF97E" w14:textId="77777777" w:rsidR="00B626E7" w:rsidRDefault="00B626E7">
            <w:pPr>
              <w:rPr>
                <w:rFonts w:ascii="宋体"/>
              </w:rPr>
            </w:pPr>
          </w:p>
        </w:tc>
        <w:tc>
          <w:tcPr>
            <w:tcW w:w="0" w:type="auto"/>
            <w:shd w:val="clear" w:color="auto" w:fill="auto"/>
          </w:tcPr>
          <w:p w14:paraId="20ADF97F" w14:textId="77777777" w:rsidR="00B626E7" w:rsidRDefault="00B626E7">
            <w:pPr>
              <w:rPr>
                <w:rFonts w:ascii="宋体"/>
              </w:rPr>
            </w:pPr>
          </w:p>
        </w:tc>
        <w:tc>
          <w:tcPr>
            <w:tcW w:w="0" w:type="auto"/>
            <w:shd w:val="clear" w:color="auto" w:fill="auto"/>
          </w:tcPr>
          <w:p w14:paraId="20ADF980" w14:textId="77777777" w:rsidR="00B626E7" w:rsidRDefault="00B626E7">
            <w:pPr>
              <w:rPr>
                <w:rFonts w:ascii="宋体"/>
              </w:rPr>
            </w:pPr>
          </w:p>
        </w:tc>
        <w:tc>
          <w:tcPr>
            <w:tcW w:w="0" w:type="auto"/>
            <w:shd w:val="clear" w:color="auto" w:fill="auto"/>
          </w:tcPr>
          <w:p w14:paraId="20ADF981" w14:textId="77777777" w:rsidR="00B626E7" w:rsidRDefault="00B626E7">
            <w:pPr>
              <w:rPr>
                <w:rFonts w:ascii="宋体"/>
              </w:rPr>
            </w:pPr>
          </w:p>
        </w:tc>
      </w:tr>
      <w:tr w:rsidR="00B626E7" w14:paraId="20ADF99C" w14:textId="77777777">
        <w:tc>
          <w:tcPr>
            <w:tcW w:w="0" w:type="auto"/>
            <w:gridSpan w:val="3"/>
            <w:shd w:val="clear" w:color="auto" w:fill="auto"/>
            <w:tcMar>
              <w:top w:w="40" w:type="dxa"/>
              <w:left w:w="20" w:type="dxa"/>
              <w:bottom w:w="40" w:type="dxa"/>
              <w:right w:w="20" w:type="dxa"/>
            </w:tcMar>
          </w:tcPr>
          <w:p w14:paraId="20ADF983" w14:textId="77777777" w:rsidR="00B626E7" w:rsidRDefault="00175C1D">
            <w:pPr>
              <w:ind w:hanging="180"/>
              <w:textAlignment w:val="top"/>
            </w:pPr>
            <w:r>
              <w:rPr>
                <w:rFonts w:ascii="Arial" w:eastAsia="宋体" w:hAnsi="Arial" w:cs="Arial"/>
                <w:color w:val="333333"/>
                <w:sz w:val="18"/>
                <w:szCs w:val="18"/>
              </w:rPr>
              <w:t>Cost of sales</w:t>
            </w:r>
          </w:p>
        </w:tc>
        <w:tc>
          <w:tcPr>
            <w:tcW w:w="0" w:type="auto"/>
            <w:gridSpan w:val="3"/>
            <w:shd w:val="clear" w:color="auto" w:fill="auto"/>
            <w:tcMar>
              <w:left w:w="20" w:type="dxa"/>
              <w:right w:w="20" w:type="dxa"/>
            </w:tcMar>
            <w:vAlign w:val="bottom"/>
          </w:tcPr>
          <w:p w14:paraId="20ADF984"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985" w14:textId="77777777" w:rsidR="00B626E7" w:rsidRDefault="00175C1D">
            <w:pPr>
              <w:jc w:val="right"/>
              <w:textAlignment w:val="bottom"/>
            </w:pPr>
            <w:r>
              <w:rPr>
                <w:rFonts w:ascii="Arial" w:eastAsia="宋体" w:hAnsi="Arial" w:cs="Arial"/>
                <w:color w:val="0071C5"/>
                <w:sz w:val="18"/>
                <w:szCs w:val="18"/>
              </w:rPr>
              <w:t>9,221 </w:t>
            </w:r>
          </w:p>
        </w:tc>
        <w:tc>
          <w:tcPr>
            <w:tcW w:w="0" w:type="auto"/>
            <w:shd w:val="clear" w:color="auto" w:fill="auto"/>
            <w:tcMar>
              <w:top w:w="40" w:type="dxa"/>
              <w:bottom w:w="40" w:type="dxa"/>
              <w:right w:w="20" w:type="dxa"/>
            </w:tcMar>
            <w:vAlign w:val="bottom"/>
          </w:tcPr>
          <w:p w14:paraId="20ADF986"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DF987"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988" w14:textId="77777777" w:rsidR="00B626E7" w:rsidRDefault="00175C1D">
            <w:pPr>
              <w:jc w:val="right"/>
              <w:textAlignment w:val="bottom"/>
            </w:pPr>
            <w:r>
              <w:rPr>
                <w:rFonts w:ascii="Arial" w:eastAsia="宋体" w:hAnsi="Arial" w:cs="Arial"/>
                <w:color w:val="333333"/>
                <w:sz w:val="18"/>
                <w:szCs w:val="18"/>
              </w:rPr>
              <w:t>6,627 </w:t>
            </w:r>
          </w:p>
        </w:tc>
        <w:tc>
          <w:tcPr>
            <w:tcW w:w="0" w:type="auto"/>
            <w:shd w:val="clear" w:color="auto" w:fill="auto"/>
            <w:tcMar>
              <w:top w:w="40" w:type="dxa"/>
              <w:bottom w:w="40" w:type="dxa"/>
              <w:right w:w="20" w:type="dxa"/>
            </w:tcMar>
            <w:vAlign w:val="bottom"/>
          </w:tcPr>
          <w:p w14:paraId="20ADF989"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DF98A"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98B" w14:textId="77777777" w:rsidR="00B626E7" w:rsidRDefault="00175C1D">
            <w:pPr>
              <w:jc w:val="right"/>
              <w:textAlignment w:val="bottom"/>
            </w:pPr>
            <w:r>
              <w:rPr>
                <w:rFonts w:ascii="Arial" w:eastAsia="宋体" w:hAnsi="Arial" w:cs="Arial"/>
                <w:color w:val="0071C5"/>
                <w:sz w:val="18"/>
                <w:szCs w:val="18"/>
              </w:rPr>
              <w:t>17,033 </w:t>
            </w:r>
          </w:p>
        </w:tc>
        <w:tc>
          <w:tcPr>
            <w:tcW w:w="0" w:type="auto"/>
            <w:shd w:val="clear" w:color="auto" w:fill="auto"/>
            <w:tcMar>
              <w:top w:w="40" w:type="dxa"/>
              <w:bottom w:w="40" w:type="dxa"/>
              <w:right w:w="20" w:type="dxa"/>
            </w:tcMar>
            <w:vAlign w:val="bottom"/>
          </w:tcPr>
          <w:p w14:paraId="20ADF98C"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DF98D"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98E" w14:textId="77777777" w:rsidR="00B626E7" w:rsidRDefault="00175C1D">
            <w:pPr>
              <w:jc w:val="right"/>
              <w:textAlignment w:val="bottom"/>
            </w:pPr>
            <w:r>
              <w:rPr>
                <w:rFonts w:ascii="Arial" w:eastAsia="宋体" w:hAnsi="Arial" w:cs="Arial"/>
                <w:color w:val="333333"/>
                <w:sz w:val="18"/>
                <w:szCs w:val="18"/>
              </w:rPr>
              <w:t>13,599 </w:t>
            </w:r>
          </w:p>
        </w:tc>
        <w:tc>
          <w:tcPr>
            <w:tcW w:w="0" w:type="auto"/>
            <w:shd w:val="clear" w:color="auto" w:fill="auto"/>
            <w:tcMar>
              <w:top w:w="40" w:type="dxa"/>
              <w:bottom w:w="40" w:type="dxa"/>
              <w:right w:w="20" w:type="dxa"/>
            </w:tcMar>
            <w:vAlign w:val="bottom"/>
          </w:tcPr>
          <w:p w14:paraId="20ADF98F"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DF990" w14:textId="77777777" w:rsidR="00B626E7" w:rsidRDefault="00B626E7">
            <w:pPr>
              <w:rPr>
                <w:rFonts w:ascii="宋体"/>
              </w:rPr>
            </w:pPr>
          </w:p>
        </w:tc>
        <w:tc>
          <w:tcPr>
            <w:tcW w:w="0" w:type="auto"/>
            <w:shd w:val="clear" w:color="auto" w:fill="auto"/>
          </w:tcPr>
          <w:p w14:paraId="20ADF991" w14:textId="77777777" w:rsidR="00B626E7" w:rsidRDefault="00B626E7">
            <w:pPr>
              <w:rPr>
                <w:rFonts w:ascii="宋体"/>
              </w:rPr>
            </w:pPr>
          </w:p>
        </w:tc>
        <w:tc>
          <w:tcPr>
            <w:tcW w:w="0" w:type="auto"/>
            <w:shd w:val="clear" w:color="auto" w:fill="auto"/>
          </w:tcPr>
          <w:p w14:paraId="20ADF992" w14:textId="77777777" w:rsidR="00B626E7" w:rsidRDefault="00B626E7">
            <w:pPr>
              <w:rPr>
                <w:rFonts w:ascii="宋体"/>
              </w:rPr>
            </w:pPr>
          </w:p>
        </w:tc>
        <w:tc>
          <w:tcPr>
            <w:tcW w:w="0" w:type="auto"/>
            <w:shd w:val="clear" w:color="auto" w:fill="auto"/>
          </w:tcPr>
          <w:p w14:paraId="20ADF993" w14:textId="77777777" w:rsidR="00B626E7" w:rsidRDefault="00B626E7">
            <w:pPr>
              <w:rPr>
                <w:rFonts w:ascii="宋体"/>
              </w:rPr>
            </w:pPr>
          </w:p>
        </w:tc>
        <w:tc>
          <w:tcPr>
            <w:tcW w:w="0" w:type="auto"/>
            <w:shd w:val="clear" w:color="auto" w:fill="auto"/>
          </w:tcPr>
          <w:p w14:paraId="20ADF994" w14:textId="77777777" w:rsidR="00B626E7" w:rsidRDefault="00B626E7">
            <w:pPr>
              <w:rPr>
                <w:rFonts w:ascii="宋体"/>
              </w:rPr>
            </w:pPr>
          </w:p>
        </w:tc>
        <w:tc>
          <w:tcPr>
            <w:tcW w:w="0" w:type="auto"/>
            <w:shd w:val="clear" w:color="auto" w:fill="auto"/>
          </w:tcPr>
          <w:p w14:paraId="20ADF995" w14:textId="77777777" w:rsidR="00B626E7" w:rsidRDefault="00B626E7">
            <w:pPr>
              <w:rPr>
                <w:rFonts w:ascii="宋体"/>
              </w:rPr>
            </w:pPr>
          </w:p>
        </w:tc>
        <w:tc>
          <w:tcPr>
            <w:tcW w:w="0" w:type="auto"/>
            <w:shd w:val="clear" w:color="auto" w:fill="auto"/>
          </w:tcPr>
          <w:p w14:paraId="20ADF996" w14:textId="77777777" w:rsidR="00B626E7" w:rsidRDefault="00B626E7">
            <w:pPr>
              <w:rPr>
                <w:rFonts w:ascii="宋体"/>
              </w:rPr>
            </w:pPr>
          </w:p>
        </w:tc>
        <w:tc>
          <w:tcPr>
            <w:tcW w:w="0" w:type="auto"/>
            <w:shd w:val="clear" w:color="auto" w:fill="auto"/>
          </w:tcPr>
          <w:p w14:paraId="20ADF997" w14:textId="77777777" w:rsidR="00B626E7" w:rsidRDefault="00B626E7">
            <w:pPr>
              <w:rPr>
                <w:rFonts w:ascii="宋体"/>
              </w:rPr>
            </w:pPr>
          </w:p>
        </w:tc>
        <w:tc>
          <w:tcPr>
            <w:tcW w:w="0" w:type="auto"/>
            <w:shd w:val="clear" w:color="auto" w:fill="auto"/>
          </w:tcPr>
          <w:p w14:paraId="20ADF998" w14:textId="77777777" w:rsidR="00B626E7" w:rsidRDefault="00B626E7">
            <w:pPr>
              <w:rPr>
                <w:rFonts w:ascii="宋体"/>
              </w:rPr>
            </w:pPr>
          </w:p>
        </w:tc>
        <w:tc>
          <w:tcPr>
            <w:tcW w:w="0" w:type="auto"/>
            <w:shd w:val="clear" w:color="auto" w:fill="auto"/>
          </w:tcPr>
          <w:p w14:paraId="20ADF999" w14:textId="77777777" w:rsidR="00B626E7" w:rsidRDefault="00B626E7">
            <w:pPr>
              <w:rPr>
                <w:rFonts w:ascii="宋体"/>
              </w:rPr>
            </w:pPr>
          </w:p>
        </w:tc>
        <w:tc>
          <w:tcPr>
            <w:tcW w:w="0" w:type="auto"/>
            <w:shd w:val="clear" w:color="auto" w:fill="auto"/>
          </w:tcPr>
          <w:p w14:paraId="20ADF99A" w14:textId="77777777" w:rsidR="00B626E7" w:rsidRDefault="00B626E7">
            <w:pPr>
              <w:rPr>
                <w:rFonts w:ascii="宋体"/>
              </w:rPr>
            </w:pPr>
          </w:p>
        </w:tc>
        <w:tc>
          <w:tcPr>
            <w:tcW w:w="0" w:type="auto"/>
            <w:shd w:val="clear" w:color="auto" w:fill="auto"/>
          </w:tcPr>
          <w:p w14:paraId="20ADF99B" w14:textId="77777777" w:rsidR="00B626E7" w:rsidRDefault="00B626E7">
            <w:pPr>
              <w:rPr>
                <w:rFonts w:ascii="宋体"/>
              </w:rPr>
            </w:pPr>
          </w:p>
        </w:tc>
      </w:tr>
      <w:tr w:rsidR="00B626E7" w14:paraId="20ADF9B6" w14:textId="77777777">
        <w:tc>
          <w:tcPr>
            <w:tcW w:w="0" w:type="auto"/>
            <w:gridSpan w:val="3"/>
            <w:shd w:val="clear" w:color="auto" w:fill="auto"/>
            <w:tcMar>
              <w:top w:w="40" w:type="dxa"/>
              <w:left w:w="20" w:type="dxa"/>
              <w:bottom w:w="40" w:type="dxa"/>
              <w:right w:w="20" w:type="dxa"/>
            </w:tcMar>
          </w:tcPr>
          <w:p w14:paraId="20ADF99D" w14:textId="77777777" w:rsidR="00B626E7" w:rsidRDefault="00175C1D">
            <w:pPr>
              <w:ind w:hanging="180"/>
              <w:textAlignment w:val="top"/>
            </w:pPr>
            <w:r>
              <w:rPr>
                <w:rFonts w:ascii="Arial" w:eastAsia="宋体" w:hAnsi="Arial" w:cs="Arial"/>
                <w:b/>
                <w:bCs/>
                <w:color w:val="333333"/>
                <w:sz w:val="18"/>
                <w:szCs w:val="18"/>
              </w:rPr>
              <w:t>Gross margin</w:t>
            </w:r>
          </w:p>
        </w:tc>
        <w:tc>
          <w:tcPr>
            <w:tcW w:w="0" w:type="auto"/>
            <w:gridSpan w:val="3"/>
            <w:shd w:val="clear" w:color="auto" w:fill="auto"/>
            <w:tcMar>
              <w:left w:w="20" w:type="dxa"/>
              <w:right w:w="20" w:type="dxa"/>
            </w:tcMar>
            <w:vAlign w:val="bottom"/>
          </w:tcPr>
          <w:p w14:paraId="20ADF99E"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DF99F" w14:textId="77777777" w:rsidR="00B626E7" w:rsidRDefault="00175C1D">
            <w:pPr>
              <w:jc w:val="right"/>
              <w:textAlignment w:val="bottom"/>
            </w:pPr>
            <w:r>
              <w:rPr>
                <w:rFonts w:ascii="Arial" w:eastAsia="宋体" w:hAnsi="Arial" w:cs="Arial"/>
                <w:b/>
                <w:bCs/>
                <w:color w:val="0071C5"/>
                <w:sz w:val="18"/>
                <w:szCs w:val="18"/>
              </w:rPr>
              <w:t>10,507 </w:t>
            </w:r>
          </w:p>
        </w:tc>
        <w:tc>
          <w:tcPr>
            <w:tcW w:w="0" w:type="auto"/>
            <w:tcBorders>
              <w:top w:val="single" w:sz="8" w:space="0" w:color="333333"/>
            </w:tcBorders>
            <w:shd w:val="clear" w:color="auto" w:fill="auto"/>
            <w:tcMar>
              <w:top w:w="40" w:type="dxa"/>
              <w:bottom w:w="40" w:type="dxa"/>
              <w:right w:w="20" w:type="dxa"/>
            </w:tcMar>
            <w:vAlign w:val="bottom"/>
          </w:tcPr>
          <w:p w14:paraId="20ADF9A0"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DF9A1"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DF9A2" w14:textId="77777777" w:rsidR="00B626E7" w:rsidRDefault="00175C1D">
            <w:pPr>
              <w:jc w:val="right"/>
              <w:textAlignment w:val="bottom"/>
            </w:pPr>
            <w:r>
              <w:rPr>
                <w:rFonts w:ascii="Arial" w:eastAsia="宋体" w:hAnsi="Arial" w:cs="Arial"/>
                <w:b/>
                <w:bCs/>
                <w:color w:val="333333"/>
                <w:sz w:val="18"/>
                <w:szCs w:val="18"/>
              </w:rPr>
              <w:t>9,878 </w:t>
            </w:r>
          </w:p>
        </w:tc>
        <w:tc>
          <w:tcPr>
            <w:tcW w:w="0" w:type="auto"/>
            <w:tcBorders>
              <w:top w:val="single" w:sz="8" w:space="0" w:color="333333"/>
            </w:tcBorders>
            <w:shd w:val="clear" w:color="auto" w:fill="auto"/>
            <w:tcMar>
              <w:top w:w="40" w:type="dxa"/>
              <w:bottom w:w="40" w:type="dxa"/>
              <w:right w:w="20" w:type="dxa"/>
            </w:tcMar>
            <w:vAlign w:val="bottom"/>
          </w:tcPr>
          <w:p w14:paraId="20ADF9A3"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DF9A4"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DF9A5" w14:textId="77777777" w:rsidR="00B626E7" w:rsidRDefault="00175C1D">
            <w:pPr>
              <w:jc w:val="right"/>
              <w:textAlignment w:val="bottom"/>
            </w:pPr>
            <w:r>
              <w:rPr>
                <w:rFonts w:ascii="Arial" w:eastAsia="宋体" w:hAnsi="Arial" w:cs="Arial"/>
                <w:b/>
                <w:bCs/>
                <w:color w:val="0071C5"/>
                <w:sz w:val="18"/>
                <w:szCs w:val="18"/>
              </w:rPr>
              <w:t>22,523 </w:t>
            </w:r>
          </w:p>
        </w:tc>
        <w:tc>
          <w:tcPr>
            <w:tcW w:w="0" w:type="auto"/>
            <w:tcBorders>
              <w:top w:val="single" w:sz="8" w:space="0" w:color="333333"/>
            </w:tcBorders>
            <w:shd w:val="clear" w:color="auto" w:fill="auto"/>
            <w:tcMar>
              <w:top w:w="40" w:type="dxa"/>
              <w:bottom w:w="40" w:type="dxa"/>
              <w:right w:w="20" w:type="dxa"/>
            </w:tcMar>
            <w:vAlign w:val="bottom"/>
          </w:tcPr>
          <w:p w14:paraId="20ADF9A6"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DF9A7"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DF9A8" w14:textId="77777777" w:rsidR="00B626E7" w:rsidRDefault="00175C1D">
            <w:pPr>
              <w:jc w:val="right"/>
              <w:textAlignment w:val="bottom"/>
            </w:pPr>
            <w:r>
              <w:rPr>
                <w:rFonts w:ascii="Arial" w:eastAsia="宋体" w:hAnsi="Arial" w:cs="Arial"/>
                <w:b/>
                <w:bCs/>
                <w:color w:val="333333"/>
                <w:sz w:val="18"/>
                <w:szCs w:val="18"/>
              </w:rPr>
              <w:t>18,967 </w:t>
            </w:r>
          </w:p>
        </w:tc>
        <w:tc>
          <w:tcPr>
            <w:tcW w:w="0" w:type="auto"/>
            <w:tcBorders>
              <w:top w:val="single" w:sz="8" w:space="0" w:color="333333"/>
            </w:tcBorders>
            <w:shd w:val="clear" w:color="auto" w:fill="auto"/>
            <w:tcMar>
              <w:top w:w="40" w:type="dxa"/>
              <w:bottom w:w="40" w:type="dxa"/>
              <w:right w:w="20" w:type="dxa"/>
            </w:tcMar>
            <w:vAlign w:val="bottom"/>
          </w:tcPr>
          <w:p w14:paraId="20ADF9A9"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DF9AA" w14:textId="77777777" w:rsidR="00B626E7" w:rsidRDefault="00B626E7">
            <w:pPr>
              <w:rPr>
                <w:rFonts w:ascii="宋体"/>
              </w:rPr>
            </w:pPr>
          </w:p>
        </w:tc>
        <w:tc>
          <w:tcPr>
            <w:tcW w:w="0" w:type="auto"/>
            <w:shd w:val="clear" w:color="auto" w:fill="auto"/>
          </w:tcPr>
          <w:p w14:paraId="20ADF9AB" w14:textId="77777777" w:rsidR="00B626E7" w:rsidRDefault="00B626E7">
            <w:pPr>
              <w:rPr>
                <w:rFonts w:ascii="宋体"/>
              </w:rPr>
            </w:pPr>
          </w:p>
        </w:tc>
        <w:tc>
          <w:tcPr>
            <w:tcW w:w="0" w:type="auto"/>
            <w:shd w:val="clear" w:color="auto" w:fill="auto"/>
          </w:tcPr>
          <w:p w14:paraId="20ADF9AC" w14:textId="77777777" w:rsidR="00B626E7" w:rsidRDefault="00B626E7">
            <w:pPr>
              <w:rPr>
                <w:rFonts w:ascii="宋体"/>
              </w:rPr>
            </w:pPr>
          </w:p>
        </w:tc>
        <w:tc>
          <w:tcPr>
            <w:tcW w:w="0" w:type="auto"/>
            <w:shd w:val="clear" w:color="auto" w:fill="auto"/>
          </w:tcPr>
          <w:p w14:paraId="20ADF9AD" w14:textId="77777777" w:rsidR="00B626E7" w:rsidRDefault="00B626E7">
            <w:pPr>
              <w:rPr>
                <w:rFonts w:ascii="宋体"/>
              </w:rPr>
            </w:pPr>
          </w:p>
        </w:tc>
        <w:tc>
          <w:tcPr>
            <w:tcW w:w="0" w:type="auto"/>
            <w:shd w:val="clear" w:color="auto" w:fill="auto"/>
          </w:tcPr>
          <w:p w14:paraId="20ADF9AE" w14:textId="77777777" w:rsidR="00B626E7" w:rsidRDefault="00B626E7">
            <w:pPr>
              <w:rPr>
                <w:rFonts w:ascii="宋体"/>
              </w:rPr>
            </w:pPr>
          </w:p>
        </w:tc>
        <w:tc>
          <w:tcPr>
            <w:tcW w:w="0" w:type="auto"/>
            <w:shd w:val="clear" w:color="auto" w:fill="auto"/>
          </w:tcPr>
          <w:p w14:paraId="20ADF9AF" w14:textId="77777777" w:rsidR="00B626E7" w:rsidRDefault="00B626E7">
            <w:pPr>
              <w:rPr>
                <w:rFonts w:ascii="宋体"/>
              </w:rPr>
            </w:pPr>
          </w:p>
        </w:tc>
        <w:tc>
          <w:tcPr>
            <w:tcW w:w="0" w:type="auto"/>
            <w:shd w:val="clear" w:color="auto" w:fill="auto"/>
          </w:tcPr>
          <w:p w14:paraId="20ADF9B0" w14:textId="77777777" w:rsidR="00B626E7" w:rsidRDefault="00B626E7">
            <w:pPr>
              <w:rPr>
                <w:rFonts w:ascii="宋体"/>
              </w:rPr>
            </w:pPr>
          </w:p>
        </w:tc>
        <w:tc>
          <w:tcPr>
            <w:tcW w:w="0" w:type="auto"/>
            <w:shd w:val="clear" w:color="auto" w:fill="auto"/>
          </w:tcPr>
          <w:p w14:paraId="20ADF9B1" w14:textId="77777777" w:rsidR="00B626E7" w:rsidRDefault="00B626E7">
            <w:pPr>
              <w:rPr>
                <w:rFonts w:ascii="宋体"/>
              </w:rPr>
            </w:pPr>
          </w:p>
        </w:tc>
        <w:tc>
          <w:tcPr>
            <w:tcW w:w="0" w:type="auto"/>
            <w:shd w:val="clear" w:color="auto" w:fill="auto"/>
          </w:tcPr>
          <w:p w14:paraId="20ADF9B2" w14:textId="77777777" w:rsidR="00B626E7" w:rsidRDefault="00B626E7">
            <w:pPr>
              <w:rPr>
                <w:rFonts w:ascii="宋体"/>
              </w:rPr>
            </w:pPr>
          </w:p>
        </w:tc>
        <w:tc>
          <w:tcPr>
            <w:tcW w:w="0" w:type="auto"/>
            <w:shd w:val="clear" w:color="auto" w:fill="auto"/>
          </w:tcPr>
          <w:p w14:paraId="20ADF9B3" w14:textId="77777777" w:rsidR="00B626E7" w:rsidRDefault="00B626E7">
            <w:pPr>
              <w:rPr>
                <w:rFonts w:ascii="宋体"/>
              </w:rPr>
            </w:pPr>
          </w:p>
        </w:tc>
        <w:tc>
          <w:tcPr>
            <w:tcW w:w="0" w:type="auto"/>
            <w:shd w:val="clear" w:color="auto" w:fill="auto"/>
          </w:tcPr>
          <w:p w14:paraId="20ADF9B4" w14:textId="77777777" w:rsidR="00B626E7" w:rsidRDefault="00B626E7">
            <w:pPr>
              <w:rPr>
                <w:rFonts w:ascii="宋体"/>
              </w:rPr>
            </w:pPr>
          </w:p>
        </w:tc>
        <w:tc>
          <w:tcPr>
            <w:tcW w:w="0" w:type="auto"/>
            <w:shd w:val="clear" w:color="auto" w:fill="auto"/>
          </w:tcPr>
          <w:p w14:paraId="20ADF9B5" w14:textId="77777777" w:rsidR="00B626E7" w:rsidRDefault="00B626E7">
            <w:pPr>
              <w:rPr>
                <w:rFonts w:ascii="宋体"/>
              </w:rPr>
            </w:pPr>
          </w:p>
        </w:tc>
      </w:tr>
      <w:tr w:rsidR="00B626E7" w14:paraId="20ADF9D0" w14:textId="77777777">
        <w:tc>
          <w:tcPr>
            <w:tcW w:w="0" w:type="auto"/>
            <w:gridSpan w:val="3"/>
            <w:shd w:val="clear" w:color="auto" w:fill="auto"/>
            <w:tcMar>
              <w:top w:w="40" w:type="dxa"/>
              <w:left w:w="20" w:type="dxa"/>
              <w:bottom w:w="40" w:type="dxa"/>
              <w:right w:w="20" w:type="dxa"/>
            </w:tcMar>
          </w:tcPr>
          <w:p w14:paraId="20ADF9B7" w14:textId="77777777" w:rsidR="00B626E7" w:rsidRDefault="00175C1D">
            <w:pPr>
              <w:ind w:hanging="180"/>
              <w:textAlignment w:val="top"/>
            </w:pPr>
            <w:r>
              <w:rPr>
                <w:rFonts w:ascii="Arial" w:eastAsia="宋体" w:hAnsi="Arial" w:cs="Arial"/>
                <w:color w:val="333333"/>
                <w:sz w:val="18"/>
                <w:szCs w:val="18"/>
              </w:rPr>
              <w:t>Research and development</w:t>
            </w:r>
          </w:p>
        </w:tc>
        <w:tc>
          <w:tcPr>
            <w:tcW w:w="0" w:type="auto"/>
            <w:gridSpan w:val="3"/>
            <w:shd w:val="clear" w:color="auto" w:fill="auto"/>
            <w:tcMar>
              <w:left w:w="20" w:type="dxa"/>
              <w:right w:w="20" w:type="dxa"/>
            </w:tcMar>
            <w:vAlign w:val="bottom"/>
          </w:tcPr>
          <w:p w14:paraId="20ADF9B8"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DF9B9" w14:textId="77777777" w:rsidR="00B626E7" w:rsidRDefault="00175C1D">
            <w:pPr>
              <w:jc w:val="right"/>
              <w:textAlignment w:val="bottom"/>
            </w:pPr>
            <w:r>
              <w:rPr>
                <w:rFonts w:ascii="Arial" w:eastAsia="宋体" w:hAnsi="Arial" w:cs="Arial"/>
                <w:color w:val="0071C5"/>
                <w:sz w:val="18"/>
                <w:szCs w:val="18"/>
              </w:rPr>
              <w:t>3,354 </w:t>
            </w:r>
          </w:p>
        </w:tc>
        <w:tc>
          <w:tcPr>
            <w:tcW w:w="0" w:type="auto"/>
            <w:tcBorders>
              <w:top w:val="single" w:sz="8" w:space="0" w:color="333333"/>
            </w:tcBorders>
            <w:shd w:val="clear" w:color="auto" w:fill="auto"/>
            <w:tcMar>
              <w:top w:w="40" w:type="dxa"/>
              <w:bottom w:w="40" w:type="dxa"/>
              <w:right w:w="20" w:type="dxa"/>
            </w:tcMar>
            <w:vAlign w:val="bottom"/>
          </w:tcPr>
          <w:p w14:paraId="20ADF9BA"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DF9BB"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DF9BC" w14:textId="77777777" w:rsidR="00B626E7" w:rsidRDefault="00175C1D">
            <w:pPr>
              <w:jc w:val="right"/>
              <w:textAlignment w:val="bottom"/>
            </w:pPr>
            <w:r>
              <w:rPr>
                <w:rFonts w:ascii="Arial" w:eastAsia="宋体" w:hAnsi="Arial" w:cs="Arial"/>
                <w:color w:val="333333"/>
                <w:sz w:val="18"/>
                <w:szCs w:val="18"/>
              </w:rPr>
              <w:t>3,438 </w:t>
            </w:r>
          </w:p>
        </w:tc>
        <w:tc>
          <w:tcPr>
            <w:tcW w:w="0" w:type="auto"/>
            <w:tcBorders>
              <w:top w:val="single" w:sz="8" w:space="0" w:color="333333"/>
            </w:tcBorders>
            <w:shd w:val="clear" w:color="auto" w:fill="auto"/>
            <w:tcMar>
              <w:top w:w="40" w:type="dxa"/>
              <w:bottom w:w="40" w:type="dxa"/>
              <w:right w:w="20" w:type="dxa"/>
            </w:tcMar>
            <w:vAlign w:val="bottom"/>
          </w:tcPr>
          <w:p w14:paraId="20ADF9BD"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DF9BE"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DF9BF" w14:textId="77777777" w:rsidR="00B626E7" w:rsidRDefault="00175C1D">
            <w:pPr>
              <w:jc w:val="right"/>
              <w:textAlignment w:val="bottom"/>
            </w:pPr>
            <w:r>
              <w:rPr>
                <w:rFonts w:ascii="Arial" w:eastAsia="宋体" w:hAnsi="Arial" w:cs="Arial"/>
                <w:color w:val="0071C5"/>
                <w:sz w:val="18"/>
                <w:szCs w:val="18"/>
              </w:rPr>
              <w:t>6,629 </w:t>
            </w:r>
          </w:p>
        </w:tc>
        <w:tc>
          <w:tcPr>
            <w:tcW w:w="0" w:type="auto"/>
            <w:tcBorders>
              <w:top w:val="single" w:sz="8" w:space="0" w:color="333333"/>
            </w:tcBorders>
            <w:shd w:val="clear" w:color="auto" w:fill="auto"/>
            <w:tcMar>
              <w:top w:w="40" w:type="dxa"/>
              <w:bottom w:w="40" w:type="dxa"/>
              <w:right w:w="20" w:type="dxa"/>
            </w:tcMar>
            <w:vAlign w:val="bottom"/>
          </w:tcPr>
          <w:p w14:paraId="20ADF9C0"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DF9C1"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DF9C2" w14:textId="77777777" w:rsidR="00B626E7" w:rsidRDefault="00175C1D">
            <w:pPr>
              <w:jc w:val="right"/>
              <w:textAlignment w:val="bottom"/>
            </w:pPr>
            <w:r>
              <w:rPr>
                <w:rFonts w:ascii="Arial" w:eastAsia="宋体" w:hAnsi="Arial" w:cs="Arial"/>
                <w:color w:val="333333"/>
                <w:sz w:val="18"/>
                <w:szCs w:val="18"/>
              </w:rPr>
              <w:t>6,770 </w:t>
            </w:r>
          </w:p>
        </w:tc>
        <w:tc>
          <w:tcPr>
            <w:tcW w:w="0" w:type="auto"/>
            <w:tcBorders>
              <w:top w:val="single" w:sz="8" w:space="0" w:color="333333"/>
            </w:tcBorders>
            <w:shd w:val="clear" w:color="auto" w:fill="auto"/>
            <w:tcMar>
              <w:top w:w="40" w:type="dxa"/>
              <w:bottom w:w="40" w:type="dxa"/>
              <w:right w:w="20" w:type="dxa"/>
            </w:tcMar>
            <w:vAlign w:val="bottom"/>
          </w:tcPr>
          <w:p w14:paraId="20ADF9C3"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DF9C4" w14:textId="77777777" w:rsidR="00B626E7" w:rsidRDefault="00B626E7">
            <w:pPr>
              <w:rPr>
                <w:rFonts w:ascii="宋体"/>
              </w:rPr>
            </w:pPr>
          </w:p>
        </w:tc>
        <w:tc>
          <w:tcPr>
            <w:tcW w:w="0" w:type="auto"/>
            <w:shd w:val="clear" w:color="auto" w:fill="auto"/>
          </w:tcPr>
          <w:p w14:paraId="20ADF9C5" w14:textId="77777777" w:rsidR="00B626E7" w:rsidRDefault="00B626E7">
            <w:pPr>
              <w:rPr>
                <w:rFonts w:ascii="宋体"/>
              </w:rPr>
            </w:pPr>
          </w:p>
        </w:tc>
        <w:tc>
          <w:tcPr>
            <w:tcW w:w="0" w:type="auto"/>
            <w:shd w:val="clear" w:color="auto" w:fill="auto"/>
          </w:tcPr>
          <w:p w14:paraId="20ADF9C6" w14:textId="77777777" w:rsidR="00B626E7" w:rsidRDefault="00B626E7">
            <w:pPr>
              <w:rPr>
                <w:rFonts w:ascii="宋体"/>
              </w:rPr>
            </w:pPr>
          </w:p>
        </w:tc>
        <w:tc>
          <w:tcPr>
            <w:tcW w:w="0" w:type="auto"/>
            <w:shd w:val="clear" w:color="auto" w:fill="auto"/>
          </w:tcPr>
          <w:p w14:paraId="20ADF9C7" w14:textId="77777777" w:rsidR="00B626E7" w:rsidRDefault="00B626E7">
            <w:pPr>
              <w:rPr>
                <w:rFonts w:ascii="宋体"/>
              </w:rPr>
            </w:pPr>
          </w:p>
        </w:tc>
        <w:tc>
          <w:tcPr>
            <w:tcW w:w="0" w:type="auto"/>
            <w:shd w:val="clear" w:color="auto" w:fill="auto"/>
          </w:tcPr>
          <w:p w14:paraId="20ADF9C8" w14:textId="77777777" w:rsidR="00B626E7" w:rsidRDefault="00B626E7">
            <w:pPr>
              <w:rPr>
                <w:rFonts w:ascii="宋体"/>
              </w:rPr>
            </w:pPr>
          </w:p>
        </w:tc>
        <w:tc>
          <w:tcPr>
            <w:tcW w:w="0" w:type="auto"/>
            <w:shd w:val="clear" w:color="auto" w:fill="auto"/>
          </w:tcPr>
          <w:p w14:paraId="20ADF9C9" w14:textId="77777777" w:rsidR="00B626E7" w:rsidRDefault="00B626E7">
            <w:pPr>
              <w:rPr>
                <w:rFonts w:ascii="宋体"/>
              </w:rPr>
            </w:pPr>
          </w:p>
        </w:tc>
        <w:tc>
          <w:tcPr>
            <w:tcW w:w="0" w:type="auto"/>
            <w:shd w:val="clear" w:color="auto" w:fill="auto"/>
          </w:tcPr>
          <w:p w14:paraId="20ADF9CA" w14:textId="77777777" w:rsidR="00B626E7" w:rsidRDefault="00B626E7">
            <w:pPr>
              <w:rPr>
                <w:rFonts w:ascii="宋体"/>
              </w:rPr>
            </w:pPr>
          </w:p>
        </w:tc>
        <w:tc>
          <w:tcPr>
            <w:tcW w:w="0" w:type="auto"/>
            <w:shd w:val="clear" w:color="auto" w:fill="auto"/>
          </w:tcPr>
          <w:p w14:paraId="20ADF9CB" w14:textId="77777777" w:rsidR="00B626E7" w:rsidRDefault="00B626E7">
            <w:pPr>
              <w:rPr>
                <w:rFonts w:ascii="宋体"/>
              </w:rPr>
            </w:pPr>
          </w:p>
        </w:tc>
        <w:tc>
          <w:tcPr>
            <w:tcW w:w="0" w:type="auto"/>
            <w:shd w:val="clear" w:color="auto" w:fill="auto"/>
          </w:tcPr>
          <w:p w14:paraId="20ADF9CC" w14:textId="77777777" w:rsidR="00B626E7" w:rsidRDefault="00B626E7">
            <w:pPr>
              <w:rPr>
                <w:rFonts w:ascii="宋体"/>
              </w:rPr>
            </w:pPr>
          </w:p>
        </w:tc>
        <w:tc>
          <w:tcPr>
            <w:tcW w:w="0" w:type="auto"/>
            <w:shd w:val="clear" w:color="auto" w:fill="auto"/>
          </w:tcPr>
          <w:p w14:paraId="20ADF9CD" w14:textId="77777777" w:rsidR="00B626E7" w:rsidRDefault="00B626E7">
            <w:pPr>
              <w:rPr>
                <w:rFonts w:ascii="宋体"/>
              </w:rPr>
            </w:pPr>
          </w:p>
        </w:tc>
        <w:tc>
          <w:tcPr>
            <w:tcW w:w="0" w:type="auto"/>
            <w:shd w:val="clear" w:color="auto" w:fill="auto"/>
          </w:tcPr>
          <w:p w14:paraId="20ADF9CE" w14:textId="77777777" w:rsidR="00B626E7" w:rsidRDefault="00B626E7">
            <w:pPr>
              <w:rPr>
                <w:rFonts w:ascii="宋体"/>
              </w:rPr>
            </w:pPr>
          </w:p>
        </w:tc>
        <w:tc>
          <w:tcPr>
            <w:tcW w:w="0" w:type="auto"/>
            <w:shd w:val="clear" w:color="auto" w:fill="auto"/>
          </w:tcPr>
          <w:p w14:paraId="20ADF9CF" w14:textId="77777777" w:rsidR="00B626E7" w:rsidRDefault="00B626E7">
            <w:pPr>
              <w:rPr>
                <w:rFonts w:ascii="宋体"/>
              </w:rPr>
            </w:pPr>
          </w:p>
        </w:tc>
      </w:tr>
      <w:tr w:rsidR="00B626E7" w14:paraId="20ADF9EA" w14:textId="77777777">
        <w:tc>
          <w:tcPr>
            <w:tcW w:w="0" w:type="auto"/>
            <w:gridSpan w:val="3"/>
            <w:shd w:val="clear" w:color="auto" w:fill="auto"/>
            <w:tcMar>
              <w:top w:w="40" w:type="dxa"/>
              <w:left w:w="20" w:type="dxa"/>
              <w:bottom w:w="40" w:type="dxa"/>
              <w:right w:w="20" w:type="dxa"/>
            </w:tcMar>
          </w:tcPr>
          <w:p w14:paraId="20ADF9D1" w14:textId="77777777" w:rsidR="00B626E7" w:rsidRDefault="00175C1D">
            <w:pPr>
              <w:ind w:hanging="180"/>
              <w:textAlignment w:val="top"/>
            </w:pPr>
            <w:r>
              <w:rPr>
                <w:rFonts w:ascii="Arial" w:eastAsia="宋体" w:hAnsi="Arial" w:cs="Arial"/>
                <w:color w:val="333333"/>
                <w:sz w:val="18"/>
                <w:szCs w:val="18"/>
              </w:rPr>
              <w:t>Marketing, general and administrative</w:t>
            </w:r>
          </w:p>
        </w:tc>
        <w:tc>
          <w:tcPr>
            <w:tcW w:w="0" w:type="auto"/>
            <w:gridSpan w:val="3"/>
            <w:shd w:val="clear" w:color="auto" w:fill="auto"/>
            <w:tcMar>
              <w:left w:w="20" w:type="dxa"/>
              <w:right w:w="20" w:type="dxa"/>
            </w:tcMar>
            <w:vAlign w:val="bottom"/>
          </w:tcPr>
          <w:p w14:paraId="20ADF9D2"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9D3" w14:textId="77777777" w:rsidR="00B626E7" w:rsidRDefault="00175C1D">
            <w:pPr>
              <w:jc w:val="right"/>
              <w:textAlignment w:val="bottom"/>
            </w:pPr>
            <w:r>
              <w:rPr>
                <w:rFonts w:ascii="Arial" w:eastAsia="宋体" w:hAnsi="Arial" w:cs="Arial"/>
                <w:color w:val="0071C5"/>
                <w:sz w:val="18"/>
                <w:szCs w:val="18"/>
              </w:rPr>
              <w:t>1,447 </w:t>
            </w:r>
          </w:p>
        </w:tc>
        <w:tc>
          <w:tcPr>
            <w:tcW w:w="0" w:type="auto"/>
            <w:shd w:val="clear" w:color="auto" w:fill="auto"/>
            <w:tcMar>
              <w:top w:w="40" w:type="dxa"/>
              <w:bottom w:w="40" w:type="dxa"/>
              <w:right w:w="20" w:type="dxa"/>
            </w:tcMar>
            <w:vAlign w:val="bottom"/>
          </w:tcPr>
          <w:p w14:paraId="20ADF9D4"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DF9D5"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9D6" w14:textId="77777777" w:rsidR="00B626E7" w:rsidRDefault="00175C1D">
            <w:pPr>
              <w:jc w:val="right"/>
              <w:textAlignment w:val="bottom"/>
            </w:pPr>
            <w:r>
              <w:rPr>
                <w:rFonts w:ascii="Arial" w:eastAsia="宋体" w:hAnsi="Arial" w:cs="Arial"/>
                <w:color w:val="333333"/>
                <w:sz w:val="18"/>
                <w:szCs w:val="18"/>
              </w:rPr>
              <w:t>1,639 </w:t>
            </w:r>
          </w:p>
        </w:tc>
        <w:tc>
          <w:tcPr>
            <w:tcW w:w="0" w:type="auto"/>
            <w:shd w:val="clear" w:color="auto" w:fill="auto"/>
            <w:tcMar>
              <w:top w:w="40" w:type="dxa"/>
              <w:bottom w:w="40" w:type="dxa"/>
              <w:right w:w="20" w:type="dxa"/>
            </w:tcMar>
            <w:vAlign w:val="bottom"/>
          </w:tcPr>
          <w:p w14:paraId="20ADF9D7"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DF9D8"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9D9" w14:textId="77777777" w:rsidR="00B626E7" w:rsidRDefault="00175C1D">
            <w:pPr>
              <w:jc w:val="right"/>
              <w:textAlignment w:val="bottom"/>
            </w:pPr>
            <w:r>
              <w:rPr>
                <w:rFonts w:ascii="Arial" w:eastAsia="宋体" w:hAnsi="Arial" w:cs="Arial"/>
                <w:color w:val="0071C5"/>
                <w:sz w:val="18"/>
                <w:szCs w:val="18"/>
              </w:rPr>
              <w:t>2,988 </w:t>
            </w:r>
          </w:p>
        </w:tc>
        <w:tc>
          <w:tcPr>
            <w:tcW w:w="0" w:type="auto"/>
            <w:shd w:val="clear" w:color="auto" w:fill="auto"/>
            <w:tcMar>
              <w:top w:w="40" w:type="dxa"/>
              <w:bottom w:w="40" w:type="dxa"/>
              <w:right w:w="20" w:type="dxa"/>
            </w:tcMar>
            <w:vAlign w:val="bottom"/>
          </w:tcPr>
          <w:p w14:paraId="20ADF9DA"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DF9DB"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9DC" w14:textId="77777777" w:rsidR="00B626E7" w:rsidRDefault="00175C1D">
            <w:pPr>
              <w:jc w:val="right"/>
              <w:textAlignment w:val="bottom"/>
            </w:pPr>
            <w:r>
              <w:rPr>
                <w:rFonts w:ascii="Arial" w:eastAsia="宋体" w:hAnsi="Arial" w:cs="Arial"/>
                <w:color w:val="333333"/>
                <w:sz w:val="18"/>
                <w:szCs w:val="18"/>
              </w:rPr>
              <w:t>3,222 </w:t>
            </w:r>
          </w:p>
        </w:tc>
        <w:tc>
          <w:tcPr>
            <w:tcW w:w="0" w:type="auto"/>
            <w:shd w:val="clear" w:color="auto" w:fill="auto"/>
            <w:tcMar>
              <w:top w:w="40" w:type="dxa"/>
              <w:bottom w:w="40" w:type="dxa"/>
              <w:right w:w="20" w:type="dxa"/>
            </w:tcMar>
            <w:vAlign w:val="bottom"/>
          </w:tcPr>
          <w:p w14:paraId="20ADF9DD"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DF9DE" w14:textId="77777777" w:rsidR="00B626E7" w:rsidRDefault="00B626E7">
            <w:pPr>
              <w:rPr>
                <w:rFonts w:ascii="宋体"/>
              </w:rPr>
            </w:pPr>
          </w:p>
        </w:tc>
        <w:tc>
          <w:tcPr>
            <w:tcW w:w="0" w:type="auto"/>
            <w:shd w:val="clear" w:color="auto" w:fill="auto"/>
          </w:tcPr>
          <w:p w14:paraId="20ADF9DF" w14:textId="77777777" w:rsidR="00B626E7" w:rsidRDefault="00B626E7">
            <w:pPr>
              <w:rPr>
                <w:rFonts w:ascii="宋体"/>
              </w:rPr>
            </w:pPr>
          </w:p>
        </w:tc>
        <w:tc>
          <w:tcPr>
            <w:tcW w:w="0" w:type="auto"/>
            <w:shd w:val="clear" w:color="auto" w:fill="auto"/>
          </w:tcPr>
          <w:p w14:paraId="20ADF9E0" w14:textId="77777777" w:rsidR="00B626E7" w:rsidRDefault="00B626E7">
            <w:pPr>
              <w:rPr>
                <w:rFonts w:ascii="宋体"/>
              </w:rPr>
            </w:pPr>
          </w:p>
        </w:tc>
        <w:tc>
          <w:tcPr>
            <w:tcW w:w="0" w:type="auto"/>
            <w:shd w:val="clear" w:color="auto" w:fill="auto"/>
          </w:tcPr>
          <w:p w14:paraId="20ADF9E1" w14:textId="77777777" w:rsidR="00B626E7" w:rsidRDefault="00B626E7">
            <w:pPr>
              <w:rPr>
                <w:rFonts w:ascii="宋体"/>
              </w:rPr>
            </w:pPr>
          </w:p>
        </w:tc>
        <w:tc>
          <w:tcPr>
            <w:tcW w:w="0" w:type="auto"/>
            <w:shd w:val="clear" w:color="auto" w:fill="auto"/>
          </w:tcPr>
          <w:p w14:paraId="20ADF9E2" w14:textId="77777777" w:rsidR="00B626E7" w:rsidRDefault="00B626E7">
            <w:pPr>
              <w:rPr>
                <w:rFonts w:ascii="宋体"/>
              </w:rPr>
            </w:pPr>
          </w:p>
        </w:tc>
        <w:tc>
          <w:tcPr>
            <w:tcW w:w="0" w:type="auto"/>
            <w:shd w:val="clear" w:color="auto" w:fill="auto"/>
          </w:tcPr>
          <w:p w14:paraId="20ADF9E3" w14:textId="77777777" w:rsidR="00B626E7" w:rsidRDefault="00B626E7">
            <w:pPr>
              <w:rPr>
                <w:rFonts w:ascii="宋体"/>
              </w:rPr>
            </w:pPr>
          </w:p>
        </w:tc>
        <w:tc>
          <w:tcPr>
            <w:tcW w:w="0" w:type="auto"/>
            <w:shd w:val="clear" w:color="auto" w:fill="auto"/>
          </w:tcPr>
          <w:p w14:paraId="20ADF9E4" w14:textId="77777777" w:rsidR="00B626E7" w:rsidRDefault="00B626E7">
            <w:pPr>
              <w:rPr>
                <w:rFonts w:ascii="宋体"/>
              </w:rPr>
            </w:pPr>
          </w:p>
        </w:tc>
        <w:tc>
          <w:tcPr>
            <w:tcW w:w="0" w:type="auto"/>
            <w:shd w:val="clear" w:color="auto" w:fill="auto"/>
          </w:tcPr>
          <w:p w14:paraId="20ADF9E5" w14:textId="77777777" w:rsidR="00B626E7" w:rsidRDefault="00B626E7">
            <w:pPr>
              <w:rPr>
                <w:rFonts w:ascii="宋体"/>
              </w:rPr>
            </w:pPr>
          </w:p>
        </w:tc>
        <w:tc>
          <w:tcPr>
            <w:tcW w:w="0" w:type="auto"/>
            <w:shd w:val="clear" w:color="auto" w:fill="auto"/>
          </w:tcPr>
          <w:p w14:paraId="20ADF9E6" w14:textId="77777777" w:rsidR="00B626E7" w:rsidRDefault="00B626E7">
            <w:pPr>
              <w:rPr>
                <w:rFonts w:ascii="宋体"/>
              </w:rPr>
            </w:pPr>
          </w:p>
        </w:tc>
        <w:tc>
          <w:tcPr>
            <w:tcW w:w="0" w:type="auto"/>
            <w:shd w:val="clear" w:color="auto" w:fill="auto"/>
          </w:tcPr>
          <w:p w14:paraId="20ADF9E7" w14:textId="77777777" w:rsidR="00B626E7" w:rsidRDefault="00B626E7">
            <w:pPr>
              <w:rPr>
                <w:rFonts w:ascii="宋体"/>
              </w:rPr>
            </w:pPr>
          </w:p>
        </w:tc>
        <w:tc>
          <w:tcPr>
            <w:tcW w:w="0" w:type="auto"/>
            <w:shd w:val="clear" w:color="auto" w:fill="auto"/>
          </w:tcPr>
          <w:p w14:paraId="20ADF9E8" w14:textId="77777777" w:rsidR="00B626E7" w:rsidRDefault="00B626E7">
            <w:pPr>
              <w:rPr>
                <w:rFonts w:ascii="宋体"/>
              </w:rPr>
            </w:pPr>
          </w:p>
        </w:tc>
        <w:tc>
          <w:tcPr>
            <w:tcW w:w="0" w:type="auto"/>
            <w:shd w:val="clear" w:color="auto" w:fill="auto"/>
          </w:tcPr>
          <w:p w14:paraId="20ADF9E9" w14:textId="77777777" w:rsidR="00B626E7" w:rsidRDefault="00B626E7">
            <w:pPr>
              <w:rPr>
                <w:rFonts w:ascii="宋体"/>
              </w:rPr>
            </w:pPr>
          </w:p>
        </w:tc>
      </w:tr>
      <w:tr w:rsidR="00B626E7" w14:paraId="20ADFA04" w14:textId="77777777">
        <w:tc>
          <w:tcPr>
            <w:tcW w:w="0" w:type="auto"/>
            <w:gridSpan w:val="3"/>
            <w:shd w:val="clear" w:color="auto" w:fill="auto"/>
            <w:tcMar>
              <w:top w:w="40" w:type="dxa"/>
              <w:left w:w="20" w:type="dxa"/>
              <w:bottom w:w="40" w:type="dxa"/>
              <w:right w:w="20" w:type="dxa"/>
            </w:tcMar>
          </w:tcPr>
          <w:p w14:paraId="20ADF9EB" w14:textId="77777777" w:rsidR="00B626E7" w:rsidRDefault="00175C1D">
            <w:pPr>
              <w:ind w:hanging="180"/>
              <w:textAlignment w:val="top"/>
            </w:pPr>
            <w:r>
              <w:rPr>
                <w:rFonts w:ascii="Arial" w:eastAsia="宋体" w:hAnsi="Arial" w:cs="Arial"/>
                <w:color w:val="333333"/>
                <w:sz w:val="18"/>
                <w:szCs w:val="18"/>
              </w:rPr>
              <w:t>Restructuring and other charges</w:t>
            </w:r>
          </w:p>
        </w:tc>
        <w:tc>
          <w:tcPr>
            <w:tcW w:w="0" w:type="auto"/>
            <w:gridSpan w:val="3"/>
            <w:shd w:val="clear" w:color="auto" w:fill="auto"/>
            <w:tcMar>
              <w:left w:w="20" w:type="dxa"/>
              <w:right w:w="20" w:type="dxa"/>
            </w:tcMar>
            <w:vAlign w:val="bottom"/>
          </w:tcPr>
          <w:p w14:paraId="20ADF9EC"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9ED" w14:textId="77777777" w:rsidR="00B626E7" w:rsidRDefault="00175C1D">
            <w:pPr>
              <w:jc w:val="right"/>
              <w:textAlignment w:val="bottom"/>
            </w:pPr>
            <w:r>
              <w:rPr>
                <w:rFonts w:ascii="Arial" w:eastAsia="宋体" w:hAnsi="Arial" w:cs="Arial"/>
                <w:color w:val="0071C5"/>
                <w:sz w:val="18"/>
                <w:szCs w:val="18"/>
              </w:rPr>
              <w:t>9 </w:t>
            </w:r>
          </w:p>
        </w:tc>
        <w:tc>
          <w:tcPr>
            <w:tcW w:w="0" w:type="auto"/>
            <w:shd w:val="clear" w:color="auto" w:fill="auto"/>
            <w:tcMar>
              <w:top w:w="40" w:type="dxa"/>
              <w:bottom w:w="40" w:type="dxa"/>
              <w:right w:w="20" w:type="dxa"/>
            </w:tcMar>
            <w:vAlign w:val="bottom"/>
          </w:tcPr>
          <w:p w14:paraId="20ADF9EE"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DF9EF"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9F0" w14:textId="77777777" w:rsidR="00B626E7" w:rsidRDefault="00175C1D">
            <w:pPr>
              <w:jc w:val="right"/>
              <w:textAlignment w:val="bottom"/>
            </w:pPr>
            <w:r>
              <w:rPr>
                <w:rFonts w:ascii="Arial" w:eastAsia="宋体" w:hAnsi="Arial" w:cs="Arial"/>
                <w:color w:val="333333"/>
                <w:sz w:val="18"/>
                <w:szCs w:val="18"/>
              </w:rPr>
              <w:t>184 </w:t>
            </w:r>
          </w:p>
        </w:tc>
        <w:tc>
          <w:tcPr>
            <w:tcW w:w="0" w:type="auto"/>
            <w:shd w:val="clear" w:color="auto" w:fill="auto"/>
            <w:tcMar>
              <w:top w:w="40" w:type="dxa"/>
              <w:bottom w:w="40" w:type="dxa"/>
              <w:right w:w="20" w:type="dxa"/>
            </w:tcMar>
            <w:vAlign w:val="bottom"/>
          </w:tcPr>
          <w:p w14:paraId="20ADF9F1"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DF9F2"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9F3" w14:textId="77777777" w:rsidR="00B626E7" w:rsidRDefault="00175C1D">
            <w:pPr>
              <w:jc w:val="right"/>
              <w:textAlignment w:val="bottom"/>
            </w:pPr>
            <w:r>
              <w:rPr>
                <w:rFonts w:ascii="Arial" w:eastAsia="宋体" w:hAnsi="Arial" w:cs="Arial"/>
                <w:color w:val="0071C5"/>
                <w:sz w:val="18"/>
                <w:szCs w:val="18"/>
              </w:rPr>
              <w:t>171 </w:t>
            </w:r>
          </w:p>
        </w:tc>
        <w:tc>
          <w:tcPr>
            <w:tcW w:w="0" w:type="auto"/>
            <w:shd w:val="clear" w:color="auto" w:fill="auto"/>
            <w:tcMar>
              <w:top w:w="40" w:type="dxa"/>
              <w:bottom w:w="40" w:type="dxa"/>
              <w:right w:w="20" w:type="dxa"/>
            </w:tcMar>
            <w:vAlign w:val="bottom"/>
          </w:tcPr>
          <w:p w14:paraId="20ADF9F4"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DF9F5"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9F6" w14:textId="77777777" w:rsidR="00B626E7" w:rsidRDefault="00175C1D">
            <w:pPr>
              <w:jc w:val="right"/>
              <w:textAlignment w:val="bottom"/>
            </w:pPr>
            <w:r>
              <w:rPr>
                <w:rFonts w:ascii="Arial" w:eastAsia="宋体" w:hAnsi="Arial" w:cs="Arial"/>
                <w:color w:val="333333"/>
                <w:sz w:val="18"/>
                <w:szCs w:val="18"/>
              </w:rPr>
              <w:t>184 </w:t>
            </w:r>
          </w:p>
        </w:tc>
        <w:tc>
          <w:tcPr>
            <w:tcW w:w="0" w:type="auto"/>
            <w:shd w:val="clear" w:color="auto" w:fill="auto"/>
            <w:tcMar>
              <w:top w:w="40" w:type="dxa"/>
              <w:bottom w:w="40" w:type="dxa"/>
              <w:right w:w="20" w:type="dxa"/>
            </w:tcMar>
            <w:vAlign w:val="bottom"/>
          </w:tcPr>
          <w:p w14:paraId="20ADF9F7"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DF9F8" w14:textId="77777777" w:rsidR="00B626E7" w:rsidRDefault="00B626E7">
            <w:pPr>
              <w:rPr>
                <w:rFonts w:ascii="宋体"/>
              </w:rPr>
            </w:pPr>
          </w:p>
        </w:tc>
        <w:tc>
          <w:tcPr>
            <w:tcW w:w="0" w:type="auto"/>
            <w:shd w:val="clear" w:color="auto" w:fill="auto"/>
          </w:tcPr>
          <w:p w14:paraId="20ADF9F9" w14:textId="77777777" w:rsidR="00B626E7" w:rsidRDefault="00B626E7">
            <w:pPr>
              <w:rPr>
                <w:rFonts w:ascii="宋体"/>
              </w:rPr>
            </w:pPr>
          </w:p>
        </w:tc>
        <w:tc>
          <w:tcPr>
            <w:tcW w:w="0" w:type="auto"/>
            <w:shd w:val="clear" w:color="auto" w:fill="auto"/>
          </w:tcPr>
          <w:p w14:paraId="20ADF9FA" w14:textId="77777777" w:rsidR="00B626E7" w:rsidRDefault="00B626E7">
            <w:pPr>
              <w:rPr>
                <w:rFonts w:ascii="宋体"/>
              </w:rPr>
            </w:pPr>
          </w:p>
        </w:tc>
        <w:tc>
          <w:tcPr>
            <w:tcW w:w="0" w:type="auto"/>
            <w:shd w:val="clear" w:color="auto" w:fill="auto"/>
          </w:tcPr>
          <w:p w14:paraId="20ADF9FB" w14:textId="77777777" w:rsidR="00B626E7" w:rsidRDefault="00B626E7">
            <w:pPr>
              <w:rPr>
                <w:rFonts w:ascii="宋体"/>
              </w:rPr>
            </w:pPr>
          </w:p>
        </w:tc>
        <w:tc>
          <w:tcPr>
            <w:tcW w:w="0" w:type="auto"/>
            <w:shd w:val="clear" w:color="auto" w:fill="auto"/>
          </w:tcPr>
          <w:p w14:paraId="20ADF9FC" w14:textId="77777777" w:rsidR="00B626E7" w:rsidRDefault="00B626E7">
            <w:pPr>
              <w:rPr>
                <w:rFonts w:ascii="宋体"/>
              </w:rPr>
            </w:pPr>
          </w:p>
        </w:tc>
        <w:tc>
          <w:tcPr>
            <w:tcW w:w="0" w:type="auto"/>
            <w:shd w:val="clear" w:color="auto" w:fill="auto"/>
          </w:tcPr>
          <w:p w14:paraId="20ADF9FD" w14:textId="77777777" w:rsidR="00B626E7" w:rsidRDefault="00B626E7">
            <w:pPr>
              <w:rPr>
                <w:rFonts w:ascii="宋体"/>
              </w:rPr>
            </w:pPr>
          </w:p>
        </w:tc>
        <w:tc>
          <w:tcPr>
            <w:tcW w:w="0" w:type="auto"/>
            <w:shd w:val="clear" w:color="auto" w:fill="auto"/>
          </w:tcPr>
          <w:p w14:paraId="20ADF9FE" w14:textId="77777777" w:rsidR="00B626E7" w:rsidRDefault="00B626E7">
            <w:pPr>
              <w:rPr>
                <w:rFonts w:ascii="宋体"/>
              </w:rPr>
            </w:pPr>
          </w:p>
        </w:tc>
        <w:tc>
          <w:tcPr>
            <w:tcW w:w="0" w:type="auto"/>
            <w:shd w:val="clear" w:color="auto" w:fill="auto"/>
          </w:tcPr>
          <w:p w14:paraId="20ADF9FF" w14:textId="77777777" w:rsidR="00B626E7" w:rsidRDefault="00B626E7">
            <w:pPr>
              <w:rPr>
                <w:rFonts w:ascii="宋体"/>
              </w:rPr>
            </w:pPr>
          </w:p>
        </w:tc>
        <w:tc>
          <w:tcPr>
            <w:tcW w:w="0" w:type="auto"/>
            <w:shd w:val="clear" w:color="auto" w:fill="auto"/>
          </w:tcPr>
          <w:p w14:paraId="20ADFA00" w14:textId="77777777" w:rsidR="00B626E7" w:rsidRDefault="00B626E7">
            <w:pPr>
              <w:rPr>
                <w:rFonts w:ascii="宋体"/>
              </w:rPr>
            </w:pPr>
          </w:p>
        </w:tc>
        <w:tc>
          <w:tcPr>
            <w:tcW w:w="0" w:type="auto"/>
            <w:shd w:val="clear" w:color="auto" w:fill="auto"/>
          </w:tcPr>
          <w:p w14:paraId="20ADFA01" w14:textId="77777777" w:rsidR="00B626E7" w:rsidRDefault="00B626E7">
            <w:pPr>
              <w:rPr>
                <w:rFonts w:ascii="宋体"/>
              </w:rPr>
            </w:pPr>
          </w:p>
        </w:tc>
        <w:tc>
          <w:tcPr>
            <w:tcW w:w="0" w:type="auto"/>
            <w:shd w:val="clear" w:color="auto" w:fill="auto"/>
          </w:tcPr>
          <w:p w14:paraId="20ADFA02" w14:textId="77777777" w:rsidR="00B626E7" w:rsidRDefault="00B626E7">
            <w:pPr>
              <w:rPr>
                <w:rFonts w:ascii="宋体"/>
              </w:rPr>
            </w:pPr>
          </w:p>
        </w:tc>
        <w:tc>
          <w:tcPr>
            <w:tcW w:w="0" w:type="auto"/>
            <w:shd w:val="clear" w:color="auto" w:fill="auto"/>
          </w:tcPr>
          <w:p w14:paraId="20ADFA03" w14:textId="77777777" w:rsidR="00B626E7" w:rsidRDefault="00B626E7">
            <w:pPr>
              <w:rPr>
                <w:rFonts w:ascii="宋体"/>
              </w:rPr>
            </w:pPr>
          </w:p>
        </w:tc>
      </w:tr>
      <w:tr w:rsidR="00B626E7" w14:paraId="20ADFA1E" w14:textId="77777777">
        <w:tc>
          <w:tcPr>
            <w:tcW w:w="0" w:type="auto"/>
            <w:gridSpan w:val="3"/>
            <w:shd w:val="clear" w:color="auto" w:fill="auto"/>
            <w:tcMar>
              <w:top w:w="40" w:type="dxa"/>
              <w:left w:w="20" w:type="dxa"/>
              <w:bottom w:w="40" w:type="dxa"/>
              <w:right w:w="20" w:type="dxa"/>
            </w:tcMar>
          </w:tcPr>
          <w:p w14:paraId="20ADFA05" w14:textId="77777777" w:rsidR="00B626E7" w:rsidRDefault="00175C1D">
            <w:pPr>
              <w:ind w:hanging="180"/>
              <w:textAlignment w:val="top"/>
            </w:pPr>
            <w:r>
              <w:rPr>
                <w:rFonts w:ascii="Arial" w:eastAsia="宋体" w:hAnsi="Arial" w:cs="Arial"/>
                <w:b/>
                <w:bCs/>
                <w:color w:val="333333"/>
                <w:sz w:val="18"/>
                <w:szCs w:val="18"/>
              </w:rPr>
              <w:t>Operating expenses</w:t>
            </w:r>
          </w:p>
        </w:tc>
        <w:tc>
          <w:tcPr>
            <w:tcW w:w="0" w:type="auto"/>
            <w:gridSpan w:val="3"/>
            <w:shd w:val="clear" w:color="auto" w:fill="auto"/>
            <w:tcMar>
              <w:left w:w="20" w:type="dxa"/>
              <w:right w:w="20" w:type="dxa"/>
            </w:tcMar>
            <w:vAlign w:val="bottom"/>
          </w:tcPr>
          <w:p w14:paraId="20ADFA06"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DFA07" w14:textId="77777777" w:rsidR="00B626E7" w:rsidRDefault="00175C1D">
            <w:pPr>
              <w:jc w:val="right"/>
              <w:textAlignment w:val="bottom"/>
            </w:pPr>
            <w:r>
              <w:rPr>
                <w:rFonts w:ascii="Arial" w:eastAsia="宋体" w:hAnsi="Arial" w:cs="Arial"/>
                <w:b/>
                <w:bCs/>
                <w:color w:val="0071C5"/>
                <w:sz w:val="18"/>
                <w:szCs w:val="18"/>
              </w:rPr>
              <w:t>4,810 </w:t>
            </w:r>
          </w:p>
        </w:tc>
        <w:tc>
          <w:tcPr>
            <w:tcW w:w="0" w:type="auto"/>
            <w:tcBorders>
              <w:top w:val="single" w:sz="8" w:space="0" w:color="333333"/>
            </w:tcBorders>
            <w:shd w:val="clear" w:color="auto" w:fill="auto"/>
            <w:tcMar>
              <w:top w:w="40" w:type="dxa"/>
              <w:bottom w:w="40" w:type="dxa"/>
              <w:right w:w="20" w:type="dxa"/>
            </w:tcMar>
            <w:vAlign w:val="bottom"/>
          </w:tcPr>
          <w:p w14:paraId="20ADFA08"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DFA09"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DFA0A" w14:textId="77777777" w:rsidR="00B626E7" w:rsidRDefault="00175C1D">
            <w:pPr>
              <w:jc w:val="right"/>
              <w:textAlignment w:val="bottom"/>
            </w:pPr>
            <w:r>
              <w:rPr>
                <w:rFonts w:ascii="Arial" w:eastAsia="宋体" w:hAnsi="Arial" w:cs="Arial"/>
                <w:b/>
                <w:bCs/>
                <w:color w:val="333333"/>
                <w:sz w:val="18"/>
                <w:szCs w:val="18"/>
              </w:rPr>
              <w:t>5,261 </w:t>
            </w:r>
          </w:p>
        </w:tc>
        <w:tc>
          <w:tcPr>
            <w:tcW w:w="0" w:type="auto"/>
            <w:tcBorders>
              <w:top w:val="single" w:sz="8" w:space="0" w:color="333333"/>
            </w:tcBorders>
            <w:shd w:val="clear" w:color="auto" w:fill="auto"/>
            <w:tcMar>
              <w:top w:w="40" w:type="dxa"/>
              <w:bottom w:w="40" w:type="dxa"/>
              <w:right w:w="20" w:type="dxa"/>
            </w:tcMar>
            <w:vAlign w:val="bottom"/>
          </w:tcPr>
          <w:p w14:paraId="20ADFA0B"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DFA0C"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DFA0D" w14:textId="77777777" w:rsidR="00B626E7" w:rsidRDefault="00175C1D">
            <w:pPr>
              <w:jc w:val="right"/>
              <w:textAlignment w:val="bottom"/>
            </w:pPr>
            <w:r>
              <w:rPr>
                <w:rFonts w:ascii="Arial" w:eastAsia="宋体" w:hAnsi="Arial" w:cs="Arial"/>
                <w:b/>
                <w:bCs/>
                <w:color w:val="0071C5"/>
                <w:sz w:val="18"/>
                <w:szCs w:val="18"/>
              </w:rPr>
              <w:t>9,788 </w:t>
            </w:r>
          </w:p>
        </w:tc>
        <w:tc>
          <w:tcPr>
            <w:tcW w:w="0" w:type="auto"/>
            <w:tcBorders>
              <w:top w:val="single" w:sz="8" w:space="0" w:color="333333"/>
            </w:tcBorders>
            <w:shd w:val="clear" w:color="auto" w:fill="auto"/>
            <w:tcMar>
              <w:top w:w="40" w:type="dxa"/>
              <w:bottom w:w="40" w:type="dxa"/>
              <w:right w:w="20" w:type="dxa"/>
            </w:tcMar>
            <w:vAlign w:val="bottom"/>
          </w:tcPr>
          <w:p w14:paraId="20ADFA0E"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DFA0F"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DFA10" w14:textId="77777777" w:rsidR="00B626E7" w:rsidRDefault="00175C1D">
            <w:pPr>
              <w:jc w:val="right"/>
              <w:textAlignment w:val="bottom"/>
            </w:pPr>
            <w:r>
              <w:rPr>
                <w:rFonts w:ascii="Arial" w:eastAsia="宋体" w:hAnsi="Arial" w:cs="Arial"/>
                <w:b/>
                <w:bCs/>
                <w:color w:val="333333"/>
                <w:sz w:val="18"/>
                <w:szCs w:val="18"/>
              </w:rPr>
              <w:t>10,176 </w:t>
            </w:r>
          </w:p>
        </w:tc>
        <w:tc>
          <w:tcPr>
            <w:tcW w:w="0" w:type="auto"/>
            <w:tcBorders>
              <w:top w:val="single" w:sz="8" w:space="0" w:color="333333"/>
            </w:tcBorders>
            <w:shd w:val="clear" w:color="auto" w:fill="auto"/>
            <w:tcMar>
              <w:top w:w="40" w:type="dxa"/>
              <w:bottom w:w="40" w:type="dxa"/>
              <w:right w:w="20" w:type="dxa"/>
            </w:tcMar>
            <w:vAlign w:val="bottom"/>
          </w:tcPr>
          <w:p w14:paraId="20ADFA11"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DFA12" w14:textId="77777777" w:rsidR="00B626E7" w:rsidRDefault="00B626E7">
            <w:pPr>
              <w:rPr>
                <w:rFonts w:ascii="宋体"/>
              </w:rPr>
            </w:pPr>
          </w:p>
        </w:tc>
        <w:tc>
          <w:tcPr>
            <w:tcW w:w="0" w:type="auto"/>
            <w:shd w:val="clear" w:color="auto" w:fill="auto"/>
          </w:tcPr>
          <w:p w14:paraId="20ADFA13" w14:textId="77777777" w:rsidR="00B626E7" w:rsidRDefault="00B626E7">
            <w:pPr>
              <w:rPr>
                <w:rFonts w:ascii="宋体"/>
              </w:rPr>
            </w:pPr>
          </w:p>
        </w:tc>
        <w:tc>
          <w:tcPr>
            <w:tcW w:w="0" w:type="auto"/>
            <w:shd w:val="clear" w:color="auto" w:fill="auto"/>
          </w:tcPr>
          <w:p w14:paraId="20ADFA14" w14:textId="77777777" w:rsidR="00B626E7" w:rsidRDefault="00B626E7">
            <w:pPr>
              <w:rPr>
                <w:rFonts w:ascii="宋体"/>
              </w:rPr>
            </w:pPr>
          </w:p>
        </w:tc>
        <w:tc>
          <w:tcPr>
            <w:tcW w:w="0" w:type="auto"/>
            <w:shd w:val="clear" w:color="auto" w:fill="auto"/>
          </w:tcPr>
          <w:p w14:paraId="20ADFA15" w14:textId="77777777" w:rsidR="00B626E7" w:rsidRDefault="00B626E7">
            <w:pPr>
              <w:rPr>
                <w:rFonts w:ascii="宋体"/>
              </w:rPr>
            </w:pPr>
          </w:p>
        </w:tc>
        <w:tc>
          <w:tcPr>
            <w:tcW w:w="0" w:type="auto"/>
            <w:shd w:val="clear" w:color="auto" w:fill="auto"/>
          </w:tcPr>
          <w:p w14:paraId="20ADFA16" w14:textId="77777777" w:rsidR="00B626E7" w:rsidRDefault="00B626E7">
            <w:pPr>
              <w:rPr>
                <w:rFonts w:ascii="宋体"/>
              </w:rPr>
            </w:pPr>
          </w:p>
        </w:tc>
        <w:tc>
          <w:tcPr>
            <w:tcW w:w="0" w:type="auto"/>
            <w:shd w:val="clear" w:color="auto" w:fill="auto"/>
          </w:tcPr>
          <w:p w14:paraId="20ADFA17" w14:textId="77777777" w:rsidR="00B626E7" w:rsidRDefault="00B626E7">
            <w:pPr>
              <w:rPr>
                <w:rFonts w:ascii="宋体"/>
              </w:rPr>
            </w:pPr>
          </w:p>
        </w:tc>
        <w:tc>
          <w:tcPr>
            <w:tcW w:w="0" w:type="auto"/>
            <w:shd w:val="clear" w:color="auto" w:fill="auto"/>
          </w:tcPr>
          <w:p w14:paraId="20ADFA18" w14:textId="77777777" w:rsidR="00B626E7" w:rsidRDefault="00B626E7">
            <w:pPr>
              <w:rPr>
                <w:rFonts w:ascii="宋体"/>
              </w:rPr>
            </w:pPr>
          </w:p>
        </w:tc>
        <w:tc>
          <w:tcPr>
            <w:tcW w:w="0" w:type="auto"/>
            <w:shd w:val="clear" w:color="auto" w:fill="auto"/>
          </w:tcPr>
          <w:p w14:paraId="20ADFA19" w14:textId="77777777" w:rsidR="00B626E7" w:rsidRDefault="00B626E7">
            <w:pPr>
              <w:rPr>
                <w:rFonts w:ascii="宋体"/>
              </w:rPr>
            </w:pPr>
          </w:p>
        </w:tc>
        <w:tc>
          <w:tcPr>
            <w:tcW w:w="0" w:type="auto"/>
            <w:shd w:val="clear" w:color="auto" w:fill="auto"/>
          </w:tcPr>
          <w:p w14:paraId="20ADFA1A" w14:textId="77777777" w:rsidR="00B626E7" w:rsidRDefault="00B626E7">
            <w:pPr>
              <w:rPr>
                <w:rFonts w:ascii="宋体"/>
              </w:rPr>
            </w:pPr>
          </w:p>
        </w:tc>
        <w:tc>
          <w:tcPr>
            <w:tcW w:w="0" w:type="auto"/>
            <w:shd w:val="clear" w:color="auto" w:fill="auto"/>
          </w:tcPr>
          <w:p w14:paraId="20ADFA1B" w14:textId="77777777" w:rsidR="00B626E7" w:rsidRDefault="00B626E7">
            <w:pPr>
              <w:rPr>
                <w:rFonts w:ascii="宋体"/>
              </w:rPr>
            </w:pPr>
          </w:p>
        </w:tc>
        <w:tc>
          <w:tcPr>
            <w:tcW w:w="0" w:type="auto"/>
            <w:shd w:val="clear" w:color="auto" w:fill="auto"/>
          </w:tcPr>
          <w:p w14:paraId="20ADFA1C" w14:textId="77777777" w:rsidR="00B626E7" w:rsidRDefault="00B626E7">
            <w:pPr>
              <w:rPr>
                <w:rFonts w:ascii="宋体"/>
              </w:rPr>
            </w:pPr>
          </w:p>
        </w:tc>
        <w:tc>
          <w:tcPr>
            <w:tcW w:w="0" w:type="auto"/>
            <w:shd w:val="clear" w:color="auto" w:fill="auto"/>
          </w:tcPr>
          <w:p w14:paraId="20ADFA1D" w14:textId="77777777" w:rsidR="00B626E7" w:rsidRDefault="00B626E7">
            <w:pPr>
              <w:rPr>
                <w:rFonts w:ascii="宋体"/>
              </w:rPr>
            </w:pPr>
          </w:p>
        </w:tc>
      </w:tr>
      <w:tr w:rsidR="00B626E7" w14:paraId="20ADFA38" w14:textId="77777777">
        <w:tc>
          <w:tcPr>
            <w:tcW w:w="0" w:type="auto"/>
            <w:gridSpan w:val="3"/>
            <w:shd w:val="clear" w:color="auto" w:fill="auto"/>
            <w:tcMar>
              <w:top w:w="40" w:type="dxa"/>
              <w:left w:w="20" w:type="dxa"/>
              <w:bottom w:w="40" w:type="dxa"/>
              <w:right w:w="20" w:type="dxa"/>
            </w:tcMar>
          </w:tcPr>
          <w:p w14:paraId="20ADFA1F" w14:textId="77777777" w:rsidR="00B626E7" w:rsidRDefault="00175C1D">
            <w:pPr>
              <w:ind w:hanging="180"/>
              <w:textAlignment w:val="top"/>
            </w:pPr>
            <w:r>
              <w:rPr>
                <w:rFonts w:ascii="Arial" w:eastAsia="宋体" w:hAnsi="Arial" w:cs="Arial"/>
                <w:b/>
                <w:bCs/>
                <w:color w:val="333333"/>
                <w:sz w:val="18"/>
                <w:szCs w:val="18"/>
              </w:rPr>
              <w:t>Operating income</w:t>
            </w:r>
          </w:p>
        </w:tc>
        <w:tc>
          <w:tcPr>
            <w:tcW w:w="0" w:type="auto"/>
            <w:gridSpan w:val="3"/>
            <w:shd w:val="clear" w:color="auto" w:fill="auto"/>
            <w:tcMar>
              <w:left w:w="20" w:type="dxa"/>
              <w:right w:w="20" w:type="dxa"/>
            </w:tcMar>
            <w:vAlign w:val="bottom"/>
          </w:tcPr>
          <w:p w14:paraId="20ADFA20"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DFA21" w14:textId="77777777" w:rsidR="00B626E7" w:rsidRDefault="00175C1D">
            <w:pPr>
              <w:jc w:val="right"/>
              <w:textAlignment w:val="bottom"/>
            </w:pPr>
            <w:r>
              <w:rPr>
                <w:rFonts w:ascii="Arial" w:eastAsia="宋体" w:hAnsi="Arial" w:cs="Arial"/>
                <w:b/>
                <w:bCs/>
                <w:color w:val="0071C5"/>
                <w:sz w:val="18"/>
                <w:szCs w:val="18"/>
              </w:rPr>
              <w:t>5,697 </w:t>
            </w:r>
          </w:p>
        </w:tc>
        <w:tc>
          <w:tcPr>
            <w:tcW w:w="0" w:type="auto"/>
            <w:tcBorders>
              <w:top w:val="single" w:sz="8" w:space="0" w:color="333333"/>
            </w:tcBorders>
            <w:shd w:val="clear" w:color="auto" w:fill="auto"/>
            <w:tcMar>
              <w:top w:w="40" w:type="dxa"/>
              <w:bottom w:w="40" w:type="dxa"/>
              <w:right w:w="20" w:type="dxa"/>
            </w:tcMar>
            <w:vAlign w:val="bottom"/>
          </w:tcPr>
          <w:p w14:paraId="20ADFA22"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DFA23"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DFA24" w14:textId="77777777" w:rsidR="00B626E7" w:rsidRDefault="00175C1D">
            <w:pPr>
              <w:jc w:val="right"/>
              <w:textAlignment w:val="bottom"/>
            </w:pPr>
            <w:r>
              <w:rPr>
                <w:rFonts w:ascii="Arial" w:eastAsia="宋体" w:hAnsi="Arial" w:cs="Arial"/>
                <w:b/>
                <w:bCs/>
                <w:color w:val="333333"/>
                <w:sz w:val="18"/>
                <w:szCs w:val="18"/>
              </w:rPr>
              <w:t>4,617 </w:t>
            </w:r>
          </w:p>
        </w:tc>
        <w:tc>
          <w:tcPr>
            <w:tcW w:w="0" w:type="auto"/>
            <w:tcBorders>
              <w:top w:val="single" w:sz="8" w:space="0" w:color="333333"/>
            </w:tcBorders>
            <w:shd w:val="clear" w:color="auto" w:fill="auto"/>
            <w:tcMar>
              <w:top w:w="40" w:type="dxa"/>
              <w:bottom w:w="40" w:type="dxa"/>
              <w:right w:w="20" w:type="dxa"/>
            </w:tcMar>
            <w:vAlign w:val="bottom"/>
          </w:tcPr>
          <w:p w14:paraId="20ADFA25"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DFA26"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DFA27" w14:textId="77777777" w:rsidR="00B626E7" w:rsidRDefault="00175C1D">
            <w:pPr>
              <w:jc w:val="right"/>
              <w:textAlignment w:val="bottom"/>
            </w:pPr>
            <w:r>
              <w:rPr>
                <w:rFonts w:ascii="Arial" w:eastAsia="宋体" w:hAnsi="Arial" w:cs="Arial"/>
                <w:b/>
                <w:bCs/>
                <w:color w:val="0071C5"/>
                <w:sz w:val="18"/>
                <w:szCs w:val="18"/>
              </w:rPr>
              <w:t>12,735 </w:t>
            </w:r>
          </w:p>
        </w:tc>
        <w:tc>
          <w:tcPr>
            <w:tcW w:w="0" w:type="auto"/>
            <w:tcBorders>
              <w:top w:val="single" w:sz="8" w:space="0" w:color="333333"/>
            </w:tcBorders>
            <w:shd w:val="clear" w:color="auto" w:fill="auto"/>
            <w:tcMar>
              <w:top w:w="40" w:type="dxa"/>
              <w:bottom w:w="40" w:type="dxa"/>
              <w:right w:w="20" w:type="dxa"/>
            </w:tcMar>
            <w:vAlign w:val="bottom"/>
          </w:tcPr>
          <w:p w14:paraId="20ADFA28"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DFA29"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DFA2A" w14:textId="77777777" w:rsidR="00B626E7" w:rsidRDefault="00175C1D">
            <w:pPr>
              <w:jc w:val="right"/>
              <w:textAlignment w:val="bottom"/>
            </w:pPr>
            <w:r>
              <w:rPr>
                <w:rFonts w:ascii="Arial" w:eastAsia="宋体" w:hAnsi="Arial" w:cs="Arial"/>
                <w:b/>
                <w:bCs/>
                <w:color w:val="333333"/>
                <w:sz w:val="18"/>
                <w:szCs w:val="18"/>
              </w:rPr>
              <w:t>8,791 </w:t>
            </w:r>
          </w:p>
        </w:tc>
        <w:tc>
          <w:tcPr>
            <w:tcW w:w="0" w:type="auto"/>
            <w:tcBorders>
              <w:top w:val="single" w:sz="8" w:space="0" w:color="333333"/>
            </w:tcBorders>
            <w:shd w:val="clear" w:color="auto" w:fill="auto"/>
            <w:tcMar>
              <w:top w:w="40" w:type="dxa"/>
              <w:bottom w:w="40" w:type="dxa"/>
              <w:right w:w="20" w:type="dxa"/>
            </w:tcMar>
            <w:vAlign w:val="bottom"/>
          </w:tcPr>
          <w:p w14:paraId="20ADFA2B"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DFA2C" w14:textId="77777777" w:rsidR="00B626E7" w:rsidRDefault="00B626E7">
            <w:pPr>
              <w:rPr>
                <w:rFonts w:ascii="宋体"/>
              </w:rPr>
            </w:pPr>
          </w:p>
        </w:tc>
        <w:tc>
          <w:tcPr>
            <w:tcW w:w="0" w:type="auto"/>
            <w:shd w:val="clear" w:color="auto" w:fill="auto"/>
          </w:tcPr>
          <w:p w14:paraId="20ADFA2D" w14:textId="77777777" w:rsidR="00B626E7" w:rsidRDefault="00B626E7">
            <w:pPr>
              <w:rPr>
                <w:rFonts w:ascii="宋体"/>
              </w:rPr>
            </w:pPr>
          </w:p>
        </w:tc>
        <w:tc>
          <w:tcPr>
            <w:tcW w:w="0" w:type="auto"/>
            <w:shd w:val="clear" w:color="auto" w:fill="auto"/>
          </w:tcPr>
          <w:p w14:paraId="20ADFA2E" w14:textId="77777777" w:rsidR="00B626E7" w:rsidRDefault="00B626E7">
            <w:pPr>
              <w:rPr>
                <w:rFonts w:ascii="宋体"/>
              </w:rPr>
            </w:pPr>
          </w:p>
        </w:tc>
        <w:tc>
          <w:tcPr>
            <w:tcW w:w="0" w:type="auto"/>
            <w:shd w:val="clear" w:color="auto" w:fill="auto"/>
          </w:tcPr>
          <w:p w14:paraId="20ADFA2F" w14:textId="77777777" w:rsidR="00B626E7" w:rsidRDefault="00B626E7">
            <w:pPr>
              <w:rPr>
                <w:rFonts w:ascii="宋体"/>
              </w:rPr>
            </w:pPr>
          </w:p>
        </w:tc>
        <w:tc>
          <w:tcPr>
            <w:tcW w:w="0" w:type="auto"/>
            <w:shd w:val="clear" w:color="auto" w:fill="auto"/>
          </w:tcPr>
          <w:p w14:paraId="20ADFA30" w14:textId="77777777" w:rsidR="00B626E7" w:rsidRDefault="00B626E7">
            <w:pPr>
              <w:rPr>
                <w:rFonts w:ascii="宋体"/>
              </w:rPr>
            </w:pPr>
          </w:p>
        </w:tc>
        <w:tc>
          <w:tcPr>
            <w:tcW w:w="0" w:type="auto"/>
            <w:shd w:val="clear" w:color="auto" w:fill="auto"/>
          </w:tcPr>
          <w:p w14:paraId="20ADFA31" w14:textId="77777777" w:rsidR="00B626E7" w:rsidRDefault="00B626E7">
            <w:pPr>
              <w:rPr>
                <w:rFonts w:ascii="宋体"/>
              </w:rPr>
            </w:pPr>
          </w:p>
        </w:tc>
        <w:tc>
          <w:tcPr>
            <w:tcW w:w="0" w:type="auto"/>
            <w:shd w:val="clear" w:color="auto" w:fill="auto"/>
          </w:tcPr>
          <w:p w14:paraId="20ADFA32" w14:textId="77777777" w:rsidR="00B626E7" w:rsidRDefault="00B626E7">
            <w:pPr>
              <w:rPr>
                <w:rFonts w:ascii="宋体"/>
              </w:rPr>
            </w:pPr>
          </w:p>
        </w:tc>
        <w:tc>
          <w:tcPr>
            <w:tcW w:w="0" w:type="auto"/>
            <w:shd w:val="clear" w:color="auto" w:fill="auto"/>
          </w:tcPr>
          <w:p w14:paraId="20ADFA33" w14:textId="77777777" w:rsidR="00B626E7" w:rsidRDefault="00B626E7">
            <w:pPr>
              <w:rPr>
                <w:rFonts w:ascii="宋体"/>
              </w:rPr>
            </w:pPr>
          </w:p>
        </w:tc>
        <w:tc>
          <w:tcPr>
            <w:tcW w:w="0" w:type="auto"/>
            <w:shd w:val="clear" w:color="auto" w:fill="auto"/>
          </w:tcPr>
          <w:p w14:paraId="20ADFA34" w14:textId="77777777" w:rsidR="00B626E7" w:rsidRDefault="00B626E7">
            <w:pPr>
              <w:rPr>
                <w:rFonts w:ascii="宋体"/>
              </w:rPr>
            </w:pPr>
          </w:p>
        </w:tc>
        <w:tc>
          <w:tcPr>
            <w:tcW w:w="0" w:type="auto"/>
            <w:shd w:val="clear" w:color="auto" w:fill="auto"/>
          </w:tcPr>
          <w:p w14:paraId="20ADFA35" w14:textId="77777777" w:rsidR="00B626E7" w:rsidRDefault="00B626E7">
            <w:pPr>
              <w:rPr>
                <w:rFonts w:ascii="宋体"/>
              </w:rPr>
            </w:pPr>
          </w:p>
        </w:tc>
        <w:tc>
          <w:tcPr>
            <w:tcW w:w="0" w:type="auto"/>
            <w:shd w:val="clear" w:color="auto" w:fill="auto"/>
          </w:tcPr>
          <w:p w14:paraId="20ADFA36" w14:textId="77777777" w:rsidR="00B626E7" w:rsidRDefault="00B626E7">
            <w:pPr>
              <w:rPr>
                <w:rFonts w:ascii="宋体"/>
              </w:rPr>
            </w:pPr>
          </w:p>
        </w:tc>
        <w:tc>
          <w:tcPr>
            <w:tcW w:w="0" w:type="auto"/>
            <w:shd w:val="clear" w:color="auto" w:fill="auto"/>
          </w:tcPr>
          <w:p w14:paraId="20ADFA37" w14:textId="77777777" w:rsidR="00B626E7" w:rsidRDefault="00B626E7">
            <w:pPr>
              <w:rPr>
                <w:rFonts w:ascii="宋体"/>
              </w:rPr>
            </w:pPr>
          </w:p>
        </w:tc>
      </w:tr>
      <w:tr w:rsidR="00B626E7" w14:paraId="20ADFA52" w14:textId="77777777">
        <w:tc>
          <w:tcPr>
            <w:tcW w:w="0" w:type="auto"/>
            <w:gridSpan w:val="3"/>
            <w:shd w:val="clear" w:color="auto" w:fill="auto"/>
            <w:tcMar>
              <w:top w:w="40" w:type="dxa"/>
              <w:left w:w="20" w:type="dxa"/>
              <w:bottom w:w="40" w:type="dxa"/>
              <w:right w:w="20" w:type="dxa"/>
            </w:tcMar>
          </w:tcPr>
          <w:p w14:paraId="20ADFA39" w14:textId="77777777" w:rsidR="00B626E7" w:rsidRDefault="00175C1D">
            <w:pPr>
              <w:ind w:hanging="180"/>
              <w:textAlignment w:val="top"/>
            </w:pPr>
            <w:r>
              <w:rPr>
                <w:rFonts w:ascii="Arial" w:eastAsia="宋体" w:hAnsi="Arial" w:cs="Arial"/>
                <w:color w:val="333333"/>
                <w:sz w:val="18"/>
                <w:szCs w:val="18"/>
              </w:rPr>
              <w:t>Gains (losses) on equity investments, net</w:t>
            </w:r>
          </w:p>
        </w:tc>
        <w:tc>
          <w:tcPr>
            <w:tcW w:w="0" w:type="auto"/>
            <w:gridSpan w:val="3"/>
            <w:shd w:val="clear" w:color="auto" w:fill="auto"/>
            <w:tcMar>
              <w:left w:w="20" w:type="dxa"/>
              <w:right w:w="20" w:type="dxa"/>
            </w:tcMar>
            <w:vAlign w:val="bottom"/>
          </w:tcPr>
          <w:p w14:paraId="20ADFA3A"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A3B" w14:textId="77777777" w:rsidR="00B626E7" w:rsidRDefault="00175C1D">
            <w:pPr>
              <w:jc w:val="right"/>
              <w:textAlignment w:val="bottom"/>
            </w:pPr>
            <w:r>
              <w:rPr>
                <w:rFonts w:ascii="Arial" w:eastAsia="宋体" w:hAnsi="Arial" w:cs="Arial"/>
                <w:color w:val="0071C5"/>
                <w:sz w:val="18"/>
                <w:szCs w:val="18"/>
              </w:rPr>
              <w:t>267 </w:t>
            </w:r>
          </w:p>
        </w:tc>
        <w:tc>
          <w:tcPr>
            <w:tcW w:w="0" w:type="auto"/>
            <w:shd w:val="clear" w:color="auto" w:fill="auto"/>
            <w:tcMar>
              <w:top w:w="40" w:type="dxa"/>
              <w:bottom w:w="40" w:type="dxa"/>
              <w:right w:w="20" w:type="dxa"/>
            </w:tcMar>
            <w:vAlign w:val="bottom"/>
          </w:tcPr>
          <w:p w14:paraId="20ADFA3C"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DFA3D"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A3E" w14:textId="77777777" w:rsidR="00B626E7" w:rsidRDefault="00175C1D">
            <w:pPr>
              <w:jc w:val="right"/>
              <w:textAlignment w:val="bottom"/>
            </w:pPr>
            <w:r>
              <w:rPr>
                <w:rFonts w:ascii="Arial" w:eastAsia="宋体" w:hAnsi="Arial" w:cs="Arial"/>
                <w:color w:val="333333"/>
                <w:sz w:val="18"/>
                <w:szCs w:val="18"/>
              </w:rPr>
              <w:t>170 </w:t>
            </w:r>
          </w:p>
        </w:tc>
        <w:tc>
          <w:tcPr>
            <w:tcW w:w="0" w:type="auto"/>
            <w:shd w:val="clear" w:color="auto" w:fill="auto"/>
            <w:tcMar>
              <w:top w:w="40" w:type="dxa"/>
              <w:bottom w:w="40" w:type="dxa"/>
              <w:right w:w="20" w:type="dxa"/>
            </w:tcMar>
            <w:vAlign w:val="bottom"/>
          </w:tcPr>
          <w:p w14:paraId="20ADFA3F"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DFA40"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A41" w14:textId="77777777" w:rsidR="00B626E7" w:rsidRDefault="00175C1D">
            <w:pPr>
              <w:jc w:val="right"/>
              <w:textAlignment w:val="bottom"/>
            </w:pPr>
            <w:r>
              <w:rPr>
                <w:rFonts w:ascii="Arial" w:eastAsia="宋体" w:hAnsi="Arial" w:cs="Arial"/>
                <w:color w:val="0071C5"/>
                <w:sz w:val="18"/>
                <w:szCs w:val="18"/>
              </w:rPr>
              <w:t>156 </w:t>
            </w:r>
          </w:p>
        </w:tc>
        <w:tc>
          <w:tcPr>
            <w:tcW w:w="0" w:type="auto"/>
            <w:shd w:val="clear" w:color="auto" w:fill="auto"/>
            <w:tcMar>
              <w:top w:w="40" w:type="dxa"/>
              <w:bottom w:w="40" w:type="dxa"/>
              <w:right w:w="20" w:type="dxa"/>
            </w:tcMar>
            <w:vAlign w:val="bottom"/>
          </w:tcPr>
          <w:p w14:paraId="20ADFA42"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DFA43"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A44" w14:textId="77777777" w:rsidR="00B626E7" w:rsidRDefault="00175C1D">
            <w:pPr>
              <w:jc w:val="right"/>
              <w:textAlignment w:val="bottom"/>
            </w:pPr>
            <w:r>
              <w:rPr>
                <w:rFonts w:ascii="Arial" w:eastAsia="宋体" w:hAnsi="Arial" w:cs="Arial"/>
                <w:color w:val="333333"/>
                <w:sz w:val="18"/>
                <w:szCs w:val="18"/>
              </w:rPr>
              <w:t>604 </w:t>
            </w:r>
          </w:p>
        </w:tc>
        <w:tc>
          <w:tcPr>
            <w:tcW w:w="0" w:type="auto"/>
            <w:shd w:val="clear" w:color="auto" w:fill="auto"/>
            <w:tcMar>
              <w:top w:w="40" w:type="dxa"/>
              <w:bottom w:w="40" w:type="dxa"/>
              <w:right w:w="20" w:type="dxa"/>
            </w:tcMar>
            <w:vAlign w:val="bottom"/>
          </w:tcPr>
          <w:p w14:paraId="20ADFA45"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DFA46" w14:textId="77777777" w:rsidR="00B626E7" w:rsidRDefault="00B626E7">
            <w:pPr>
              <w:rPr>
                <w:rFonts w:ascii="宋体"/>
              </w:rPr>
            </w:pPr>
          </w:p>
        </w:tc>
        <w:tc>
          <w:tcPr>
            <w:tcW w:w="0" w:type="auto"/>
            <w:shd w:val="clear" w:color="auto" w:fill="auto"/>
          </w:tcPr>
          <w:p w14:paraId="20ADFA47" w14:textId="77777777" w:rsidR="00B626E7" w:rsidRDefault="00B626E7">
            <w:pPr>
              <w:rPr>
                <w:rFonts w:ascii="宋体"/>
              </w:rPr>
            </w:pPr>
          </w:p>
        </w:tc>
        <w:tc>
          <w:tcPr>
            <w:tcW w:w="0" w:type="auto"/>
            <w:shd w:val="clear" w:color="auto" w:fill="auto"/>
          </w:tcPr>
          <w:p w14:paraId="20ADFA48" w14:textId="77777777" w:rsidR="00B626E7" w:rsidRDefault="00B626E7">
            <w:pPr>
              <w:rPr>
                <w:rFonts w:ascii="宋体"/>
              </w:rPr>
            </w:pPr>
          </w:p>
        </w:tc>
        <w:tc>
          <w:tcPr>
            <w:tcW w:w="0" w:type="auto"/>
            <w:shd w:val="clear" w:color="auto" w:fill="auto"/>
          </w:tcPr>
          <w:p w14:paraId="20ADFA49" w14:textId="77777777" w:rsidR="00B626E7" w:rsidRDefault="00B626E7">
            <w:pPr>
              <w:rPr>
                <w:rFonts w:ascii="宋体"/>
              </w:rPr>
            </w:pPr>
          </w:p>
        </w:tc>
        <w:tc>
          <w:tcPr>
            <w:tcW w:w="0" w:type="auto"/>
            <w:shd w:val="clear" w:color="auto" w:fill="auto"/>
          </w:tcPr>
          <w:p w14:paraId="20ADFA4A" w14:textId="77777777" w:rsidR="00B626E7" w:rsidRDefault="00B626E7">
            <w:pPr>
              <w:rPr>
                <w:rFonts w:ascii="宋体"/>
              </w:rPr>
            </w:pPr>
          </w:p>
        </w:tc>
        <w:tc>
          <w:tcPr>
            <w:tcW w:w="0" w:type="auto"/>
            <w:shd w:val="clear" w:color="auto" w:fill="auto"/>
          </w:tcPr>
          <w:p w14:paraId="20ADFA4B" w14:textId="77777777" w:rsidR="00B626E7" w:rsidRDefault="00B626E7">
            <w:pPr>
              <w:rPr>
                <w:rFonts w:ascii="宋体"/>
              </w:rPr>
            </w:pPr>
          </w:p>
        </w:tc>
        <w:tc>
          <w:tcPr>
            <w:tcW w:w="0" w:type="auto"/>
            <w:shd w:val="clear" w:color="auto" w:fill="auto"/>
          </w:tcPr>
          <w:p w14:paraId="20ADFA4C" w14:textId="77777777" w:rsidR="00B626E7" w:rsidRDefault="00B626E7">
            <w:pPr>
              <w:rPr>
                <w:rFonts w:ascii="宋体"/>
              </w:rPr>
            </w:pPr>
          </w:p>
        </w:tc>
        <w:tc>
          <w:tcPr>
            <w:tcW w:w="0" w:type="auto"/>
            <w:shd w:val="clear" w:color="auto" w:fill="auto"/>
          </w:tcPr>
          <w:p w14:paraId="20ADFA4D" w14:textId="77777777" w:rsidR="00B626E7" w:rsidRDefault="00B626E7">
            <w:pPr>
              <w:rPr>
                <w:rFonts w:ascii="宋体"/>
              </w:rPr>
            </w:pPr>
          </w:p>
        </w:tc>
        <w:tc>
          <w:tcPr>
            <w:tcW w:w="0" w:type="auto"/>
            <w:shd w:val="clear" w:color="auto" w:fill="auto"/>
          </w:tcPr>
          <w:p w14:paraId="20ADFA4E" w14:textId="77777777" w:rsidR="00B626E7" w:rsidRDefault="00B626E7">
            <w:pPr>
              <w:rPr>
                <w:rFonts w:ascii="宋体"/>
              </w:rPr>
            </w:pPr>
          </w:p>
        </w:tc>
        <w:tc>
          <w:tcPr>
            <w:tcW w:w="0" w:type="auto"/>
            <w:shd w:val="clear" w:color="auto" w:fill="auto"/>
          </w:tcPr>
          <w:p w14:paraId="20ADFA4F" w14:textId="77777777" w:rsidR="00B626E7" w:rsidRDefault="00B626E7">
            <w:pPr>
              <w:rPr>
                <w:rFonts w:ascii="宋体"/>
              </w:rPr>
            </w:pPr>
          </w:p>
        </w:tc>
        <w:tc>
          <w:tcPr>
            <w:tcW w:w="0" w:type="auto"/>
            <w:shd w:val="clear" w:color="auto" w:fill="auto"/>
          </w:tcPr>
          <w:p w14:paraId="20ADFA50" w14:textId="77777777" w:rsidR="00B626E7" w:rsidRDefault="00B626E7">
            <w:pPr>
              <w:rPr>
                <w:rFonts w:ascii="宋体"/>
              </w:rPr>
            </w:pPr>
          </w:p>
        </w:tc>
        <w:tc>
          <w:tcPr>
            <w:tcW w:w="0" w:type="auto"/>
            <w:shd w:val="clear" w:color="auto" w:fill="auto"/>
          </w:tcPr>
          <w:p w14:paraId="20ADFA51" w14:textId="77777777" w:rsidR="00B626E7" w:rsidRDefault="00B626E7">
            <w:pPr>
              <w:rPr>
                <w:rFonts w:ascii="宋体"/>
              </w:rPr>
            </w:pPr>
          </w:p>
        </w:tc>
      </w:tr>
      <w:tr w:rsidR="00B626E7" w14:paraId="20ADFA6C" w14:textId="77777777">
        <w:tc>
          <w:tcPr>
            <w:tcW w:w="0" w:type="auto"/>
            <w:gridSpan w:val="3"/>
            <w:shd w:val="clear" w:color="auto" w:fill="auto"/>
            <w:tcMar>
              <w:top w:w="40" w:type="dxa"/>
              <w:left w:w="20" w:type="dxa"/>
              <w:bottom w:w="40" w:type="dxa"/>
              <w:right w:w="20" w:type="dxa"/>
            </w:tcMar>
          </w:tcPr>
          <w:p w14:paraId="20ADFA53" w14:textId="77777777" w:rsidR="00B626E7" w:rsidRDefault="00175C1D">
            <w:pPr>
              <w:ind w:hanging="180"/>
              <w:textAlignment w:val="top"/>
            </w:pPr>
            <w:r>
              <w:rPr>
                <w:rFonts w:ascii="Arial" w:eastAsia="宋体" w:hAnsi="Arial" w:cs="Arial"/>
                <w:color w:val="333333"/>
                <w:sz w:val="18"/>
                <w:szCs w:val="18"/>
              </w:rPr>
              <w:t>Interest and other, net</w:t>
            </w:r>
          </w:p>
        </w:tc>
        <w:tc>
          <w:tcPr>
            <w:tcW w:w="0" w:type="auto"/>
            <w:gridSpan w:val="3"/>
            <w:shd w:val="clear" w:color="auto" w:fill="auto"/>
            <w:tcMar>
              <w:left w:w="20" w:type="dxa"/>
              <w:right w:w="20" w:type="dxa"/>
            </w:tcMar>
            <w:vAlign w:val="bottom"/>
          </w:tcPr>
          <w:p w14:paraId="20ADFA54"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A55" w14:textId="77777777" w:rsidR="00B626E7" w:rsidRDefault="00175C1D">
            <w:pPr>
              <w:jc w:val="right"/>
              <w:textAlignment w:val="bottom"/>
            </w:pPr>
            <w:r>
              <w:rPr>
                <w:rFonts w:ascii="Arial" w:eastAsia="宋体" w:hAnsi="Arial" w:cs="Arial"/>
                <w:color w:val="0071C5"/>
                <w:sz w:val="18"/>
                <w:szCs w:val="18"/>
              </w:rPr>
              <w:t>(29)</w:t>
            </w:r>
          </w:p>
        </w:tc>
        <w:tc>
          <w:tcPr>
            <w:tcW w:w="0" w:type="auto"/>
            <w:shd w:val="clear" w:color="auto" w:fill="auto"/>
            <w:tcMar>
              <w:top w:w="40" w:type="dxa"/>
              <w:bottom w:w="40" w:type="dxa"/>
              <w:right w:w="20" w:type="dxa"/>
            </w:tcMar>
            <w:vAlign w:val="bottom"/>
          </w:tcPr>
          <w:p w14:paraId="20ADFA56"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DFA57"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A58" w14:textId="77777777" w:rsidR="00B626E7" w:rsidRDefault="00175C1D">
            <w:pPr>
              <w:jc w:val="right"/>
              <w:textAlignment w:val="bottom"/>
            </w:pPr>
            <w:r>
              <w:rPr>
                <w:rFonts w:ascii="Arial" w:eastAsia="宋体" w:hAnsi="Arial" w:cs="Arial"/>
                <w:color w:val="333333"/>
                <w:sz w:val="18"/>
                <w:szCs w:val="18"/>
              </w:rPr>
              <w:t>(63)</w:t>
            </w:r>
          </w:p>
        </w:tc>
        <w:tc>
          <w:tcPr>
            <w:tcW w:w="0" w:type="auto"/>
            <w:shd w:val="clear" w:color="auto" w:fill="auto"/>
            <w:tcMar>
              <w:top w:w="40" w:type="dxa"/>
              <w:bottom w:w="40" w:type="dxa"/>
              <w:right w:w="20" w:type="dxa"/>
            </w:tcMar>
            <w:vAlign w:val="bottom"/>
          </w:tcPr>
          <w:p w14:paraId="20ADFA59"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DFA5A"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A5B" w14:textId="77777777" w:rsidR="00B626E7" w:rsidRDefault="00175C1D">
            <w:pPr>
              <w:jc w:val="right"/>
              <w:textAlignment w:val="bottom"/>
            </w:pPr>
            <w:r>
              <w:rPr>
                <w:rFonts w:ascii="Arial" w:eastAsia="宋体" w:hAnsi="Arial" w:cs="Arial"/>
                <w:color w:val="0071C5"/>
                <w:sz w:val="18"/>
                <w:szCs w:val="18"/>
              </w:rPr>
              <w:t>(342)</w:t>
            </w:r>
          </w:p>
        </w:tc>
        <w:tc>
          <w:tcPr>
            <w:tcW w:w="0" w:type="auto"/>
            <w:shd w:val="clear" w:color="auto" w:fill="auto"/>
            <w:tcMar>
              <w:top w:w="40" w:type="dxa"/>
              <w:bottom w:w="40" w:type="dxa"/>
              <w:right w:w="20" w:type="dxa"/>
            </w:tcMar>
            <w:vAlign w:val="bottom"/>
          </w:tcPr>
          <w:p w14:paraId="20ADFA5C"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DFA5D"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A5E" w14:textId="77777777" w:rsidR="00B626E7" w:rsidRDefault="00175C1D">
            <w:pPr>
              <w:jc w:val="right"/>
              <w:textAlignment w:val="bottom"/>
            </w:pPr>
            <w:r>
              <w:rPr>
                <w:rFonts w:ascii="Arial" w:eastAsia="宋体" w:hAnsi="Arial" w:cs="Arial"/>
                <w:color w:val="333333"/>
                <w:sz w:val="18"/>
                <w:szCs w:val="18"/>
              </w:rPr>
              <w:t>(124)</w:t>
            </w:r>
          </w:p>
        </w:tc>
        <w:tc>
          <w:tcPr>
            <w:tcW w:w="0" w:type="auto"/>
            <w:shd w:val="clear" w:color="auto" w:fill="auto"/>
            <w:tcMar>
              <w:top w:w="40" w:type="dxa"/>
              <w:bottom w:w="40" w:type="dxa"/>
              <w:right w:w="20" w:type="dxa"/>
            </w:tcMar>
            <w:vAlign w:val="bottom"/>
          </w:tcPr>
          <w:p w14:paraId="20ADFA5F"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DFA60" w14:textId="77777777" w:rsidR="00B626E7" w:rsidRDefault="00B626E7">
            <w:pPr>
              <w:rPr>
                <w:rFonts w:ascii="宋体"/>
              </w:rPr>
            </w:pPr>
          </w:p>
        </w:tc>
        <w:tc>
          <w:tcPr>
            <w:tcW w:w="0" w:type="auto"/>
            <w:shd w:val="clear" w:color="auto" w:fill="auto"/>
          </w:tcPr>
          <w:p w14:paraId="20ADFA61" w14:textId="77777777" w:rsidR="00B626E7" w:rsidRDefault="00B626E7">
            <w:pPr>
              <w:rPr>
                <w:rFonts w:ascii="宋体"/>
              </w:rPr>
            </w:pPr>
          </w:p>
        </w:tc>
        <w:tc>
          <w:tcPr>
            <w:tcW w:w="0" w:type="auto"/>
            <w:shd w:val="clear" w:color="auto" w:fill="auto"/>
          </w:tcPr>
          <w:p w14:paraId="20ADFA62" w14:textId="77777777" w:rsidR="00B626E7" w:rsidRDefault="00B626E7">
            <w:pPr>
              <w:rPr>
                <w:rFonts w:ascii="宋体"/>
              </w:rPr>
            </w:pPr>
          </w:p>
        </w:tc>
        <w:tc>
          <w:tcPr>
            <w:tcW w:w="0" w:type="auto"/>
            <w:shd w:val="clear" w:color="auto" w:fill="auto"/>
          </w:tcPr>
          <w:p w14:paraId="20ADFA63" w14:textId="77777777" w:rsidR="00B626E7" w:rsidRDefault="00B626E7">
            <w:pPr>
              <w:rPr>
                <w:rFonts w:ascii="宋体"/>
              </w:rPr>
            </w:pPr>
          </w:p>
        </w:tc>
        <w:tc>
          <w:tcPr>
            <w:tcW w:w="0" w:type="auto"/>
            <w:shd w:val="clear" w:color="auto" w:fill="auto"/>
          </w:tcPr>
          <w:p w14:paraId="20ADFA64" w14:textId="77777777" w:rsidR="00B626E7" w:rsidRDefault="00B626E7">
            <w:pPr>
              <w:rPr>
                <w:rFonts w:ascii="宋体"/>
              </w:rPr>
            </w:pPr>
          </w:p>
        </w:tc>
        <w:tc>
          <w:tcPr>
            <w:tcW w:w="0" w:type="auto"/>
            <w:shd w:val="clear" w:color="auto" w:fill="auto"/>
          </w:tcPr>
          <w:p w14:paraId="20ADFA65" w14:textId="77777777" w:rsidR="00B626E7" w:rsidRDefault="00B626E7">
            <w:pPr>
              <w:rPr>
                <w:rFonts w:ascii="宋体"/>
              </w:rPr>
            </w:pPr>
          </w:p>
        </w:tc>
        <w:tc>
          <w:tcPr>
            <w:tcW w:w="0" w:type="auto"/>
            <w:shd w:val="clear" w:color="auto" w:fill="auto"/>
          </w:tcPr>
          <w:p w14:paraId="20ADFA66" w14:textId="77777777" w:rsidR="00B626E7" w:rsidRDefault="00B626E7">
            <w:pPr>
              <w:rPr>
                <w:rFonts w:ascii="宋体"/>
              </w:rPr>
            </w:pPr>
          </w:p>
        </w:tc>
        <w:tc>
          <w:tcPr>
            <w:tcW w:w="0" w:type="auto"/>
            <w:shd w:val="clear" w:color="auto" w:fill="auto"/>
          </w:tcPr>
          <w:p w14:paraId="20ADFA67" w14:textId="77777777" w:rsidR="00B626E7" w:rsidRDefault="00B626E7">
            <w:pPr>
              <w:rPr>
                <w:rFonts w:ascii="宋体"/>
              </w:rPr>
            </w:pPr>
          </w:p>
        </w:tc>
        <w:tc>
          <w:tcPr>
            <w:tcW w:w="0" w:type="auto"/>
            <w:shd w:val="clear" w:color="auto" w:fill="auto"/>
          </w:tcPr>
          <w:p w14:paraId="20ADFA68" w14:textId="77777777" w:rsidR="00B626E7" w:rsidRDefault="00B626E7">
            <w:pPr>
              <w:rPr>
                <w:rFonts w:ascii="宋体"/>
              </w:rPr>
            </w:pPr>
          </w:p>
        </w:tc>
        <w:tc>
          <w:tcPr>
            <w:tcW w:w="0" w:type="auto"/>
            <w:shd w:val="clear" w:color="auto" w:fill="auto"/>
          </w:tcPr>
          <w:p w14:paraId="20ADFA69" w14:textId="77777777" w:rsidR="00B626E7" w:rsidRDefault="00B626E7">
            <w:pPr>
              <w:rPr>
                <w:rFonts w:ascii="宋体"/>
              </w:rPr>
            </w:pPr>
          </w:p>
        </w:tc>
        <w:tc>
          <w:tcPr>
            <w:tcW w:w="0" w:type="auto"/>
            <w:shd w:val="clear" w:color="auto" w:fill="auto"/>
          </w:tcPr>
          <w:p w14:paraId="20ADFA6A" w14:textId="77777777" w:rsidR="00B626E7" w:rsidRDefault="00B626E7">
            <w:pPr>
              <w:rPr>
                <w:rFonts w:ascii="宋体"/>
              </w:rPr>
            </w:pPr>
          </w:p>
        </w:tc>
        <w:tc>
          <w:tcPr>
            <w:tcW w:w="0" w:type="auto"/>
            <w:shd w:val="clear" w:color="auto" w:fill="auto"/>
          </w:tcPr>
          <w:p w14:paraId="20ADFA6B" w14:textId="77777777" w:rsidR="00B626E7" w:rsidRDefault="00B626E7">
            <w:pPr>
              <w:rPr>
                <w:rFonts w:ascii="宋体"/>
              </w:rPr>
            </w:pPr>
          </w:p>
        </w:tc>
      </w:tr>
      <w:tr w:rsidR="00B626E7" w14:paraId="20ADFA86" w14:textId="77777777">
        <w:tc>
          <w:tcPr>
            <w:tcW w:w="0" w:type="auto"/>
            <w:gridSpan w:val="3"/>
            <w:shd w:val="clear" w:color="auto" w:fill="auto"/>
            <w:tcMar>
              <w:top w:w="40" w:type="dxa"/>
              <w:left w:w="20" w:type="dxa"/>
              <w:bottom w:w="40" w:type="dxa"/>
              <w:right w:w="20" w:type="dxa"/>
            </w:tcMar>
          </w:tcPr>
          <w:p w14:paraId="20ADFA6D" w14:textId="77777777" w:rsidR="00B626E7" w:rsidRDefault="00175C1D">
            <w:pPr>
              <w:ind w:hanging="180"/>
              <w:textAlignment w:val="top"/>
            </w:pPr>
            <w:r>
              <w:rPr>
                <w:rFonts w:ascii="Arial" w:eastAsia="宋体" w:hAnsi="Arial" w:cs="Arial"/>
                <w:b/>
                <w:bCs/>
                <w:color w:val="333333"/>
                <w:sz w:val="18"/>
                <w:szCs w:val="18"/>
              </w:rPr>
              <w:t>Income before taxes</w:t>
            </w:r>
          </w:p>
        </w:tc>
        <w:tc>
          <w:tcPr>
            <w:tcW w:w="0" w:type="auto"/>
            <w:gridSpan w:val="3"/>
            <w:shd w:val="clear" w:color="auto" w:fill="auto"/>
            <w:tcMar>
              <w:left w:w="20" w:type="dxa"/>
              <w:right w:w="20" w:type="dxa"/>
            </w:tcMar>
            <w:vAlign w:val="bottom"/>
          </w:tcPr>
          <w:p w14:paraId="20ADFA6E"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DFA6F" w14:textId="77777777" w:rsidR="00B626E7" w:rsidRDefault="00175C1D">
            <w:pPr>
              <w:jc w:val="right"/>
              <w:textAlignment w:val="bottom"/>
            </w:pPr>
            <w:r>
              <w:rPr>
                <w:rFonts w:ascii="Arial" w:eastAsia="宋体" w:hAnsi="Arial" w:cs="Arial"/>
                <w:b/>
                <w:bCs/>
                <w:color w:val="0071C5"/>
                <w:sz w:val="18"/>
                <w:szCs w:val="18"/>
              </w:rPr>
              <w:t>5,935 </w:t>
            </w:r>
          </w:p>
        </w:tc>
        <w:tc>
          <w:tcPr>
            <w:tcW w:w="0" w:type="auto"/>
            <w:tcBorders>
              <w:top w:val="single" w:sz="8" w:space="0" w:color="333333"/>
            </w:tcBorders>
            <w:shd w:val="clear" w:color="auto" w:fill="auto"/>
            <w:tcMar>
              <w:top w:w="40" w:type="dxa"/>
              <w:bottom w:w="40" w:type="dxa"/>
              <w:right w:w="20" w:type="dxa"/>
            </w:tcMar>
            <w:vAlign w:val="bottom"/>
          </w:tcPr>
          <w:p w14:paraId="20ADFA70"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DFA71"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DFA72" w14:textId="77777777" w:rsidR="00B626E7" w:rsidRDefault="00175C1D">
            <w:pPr>
              <w:jc w:val="right"/>
              <w:textAlignment w:val="bottom"/>
            </w:pPr>
            <w:r>
              <w:rPr>
                <w:rFonts w:ascii="Arial" w:eastAsia="宋体" w:hAnsi="Arial" w:cs="Arial"/>
                <w:b/>
                <w:bCs/>
                <w:color w:val="333333"/>
                <w:sz w:val="18"/>
                <w:szCs w:val="18"/>
              </w:rPr>
              <w:t>4,724 </w:t>
            </w:r>
          </w:p>
        </w:tc>
        <w:tc>
          <w:tcPr>
            <w:tcW w:w="0" w:type="auto"/>
            <w:tcBorders>
              <w:top w:val="single" w:sz="8" w:space="0" w:color="333333"/>
            </w:tcBorders>
            <w:shd w:val="clear" w:color="auto" w:fill="auto"/>
            <w:tcMar>
              <w:top w:w="40" w:type="dxa"/>
              <w:bottom w:w="40" w:type="dxa"/>
              <w:right w:w="20" w:type="dxa"/>
            </w:tcMar>
            <w:vAlign w:val="bottom"/>
          </w:tcPr>
          <w:p w14:paraId="20ADFA73"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DFA74"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DFA75" w14:textId="77777777" w:rsidR="00B626E7" w:rsidRDefault="00175C1D">
            <w:pPr>
              <w:jc w:val="right"/>
              <w:textAlignment w:val="bottom"/>
            </w:pPr>
            <w:r>
              <w:rPr>
                <w:rFonts w:ascii="Arial" w:eastAsia="宋体" w:hAnsi="Arial" w:cs="Arial"/>
                <w:b/>
                <w:bCs/>
                <w:color w:val="0071C5"/>
                <w:sz w:val="18"/>
                <w:szCs w:val="18"/>
              </w:rPr>
              <w:t>12,549 </w:t>
            </w:r>
          </w:p>
        </w:tc>
        <w:tc>
          <w:tcPr>
            <w:tcW w:w="0" w:type="auto"/>
            <w:tcBorders>
              <w:top w:val="single" w:sz="8" w:space="0" w:color="333333"/>
            </w:tcBorders>
            <w:shd w:val="clear" w:color="auto" w:fill="auto"/>
            <w:tcMar>
              <w:top w:w="40" w:type="dxa"/>
              <w:bottom w:w="40" w:type="dxa"/>
              <w:right w:w="20" w:type="dxa"/>
            </w:tcMar>
            <w:vAlign w:val="bottom"/>
          </w:tcPr>
          <w:p w14:paraId="20ADFA76"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DFA77"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DFA78" w14:textId="77777777" w:rsidR="00B626E7" w:rsidRDefault="00175C1D">
            <w:pPr>
              <w:jc w:val="right"/>
              <w:textAlignment w:val="bottom"/>
            </w:pPr>
            <w:r>
              <w:rPr>
                <w:rFonts w:ascii="Arial" w:eastAsia="宋体" w:hAnsi="Arial" w:cs="Arial"/>
                <w:b/>
                <w:bCs/>
                <w:color w:val="333333"/>
                <w:sz w:val="18"/>
                <w:szCs w:val="18"/>
              </w:rPr>
              <w:t>9,271 </w:t>
            </w:r>
          </w:p>
        </w:tc>
        <w:tc>
          <w:tcPr>
            <w:tcW w:w="0" w:type="auto"/>
            <w:tcBorders>
              <w:top w:val="single" w:sz="8" w:space="0" w:color="333333"/>
            </w:tcBorders>
            <w:shd w:val="clear" w:color="auto" w:fill="auto"/>
            <w:tcMar>
              <w:top w:w="40" w:type="dxa"/>
              <w:bottom w:w="40" w:type="dxa"/>
              <w:right w:w="20" w:type="dxa"/>
            </w:tcMar>
            <w:vAlign w:val="bottom"/>
          </w:tcPr>
          <w:p w14:paraId="20ADFA79"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DFA7A" w14:textId="77777777" w:rsidR="00B626E7" w:rsidRDefault="00B626E7">
            <w:pPr>
              <w:rPr>
                <w:rFonts w:ascii="宋体"/>
              </w:rPr>
            </w:pPr>
          </w:p>
        </w:tc>
        <w:tc>
          <w:tcPr>
            <w:tcW w:w="0" w:type="auto"/>
            <w:shd w:val="clear" w:color="auto" w:fill="auto"/>
          </w:tcPr>
          <w:p w14:paraId="20ADFA7B" w14:textId="77777777" w:rsidR="00B626E7" w:rsidRDefault="00B626E7">
            <w:pPr>
              <w:rPr>
                <w:rFonts w:ascii="宋体"/>
              </w:rPr>
            </w:pPr>
          </w:p>
        </w:tc>
        <w:tc>
          <w:tcPr>
            <w:tcW w:w="0" w:type="auto"/>
            <w:shd w:val="clear" w:color="auto" w:fill="auto"/>
          </w:tcPr>
          <w:p w14:paraId="20ADFA7C" w14:textId="77777777" w:rsidR="00B626E7" w:rsidRDefault="00B626E7">
            <w:pPr>
              <w:rPr>
                <w:rFonts w:ascii="宋体"/>
              </w:rPr>
            </w:pPr>
          </w:p>
        </w:tc>
        <w:tc>
          <w:tcPr>
            <w:tcW w:w="0" w:type="auto"/>
            <w:shd w:val="clear" w:color="auto" w:fill="auto"/>
          </w:tcPr>
          <w:p w14:paraId="20ADFA7D" w14:textId="77777777" w:rsidR="00B626E7" w:rsidRDefault="00B626E7">
            <w:pPr>
              <w:rPr>
                <w:rFonts w:ascii="宋体"/>
              </w:rPr>
            </w:pPr>
          </w:p>
        </w:tc>
        <w:tc>
          <w:tcPr>
            <w:tcW w:w="0" w:type="auto"/>
            <w:shd w:val="clear" w:color="auto" w:fill="auto"/>
          </w:tcPr>
          <w:p w14:paraId="20ADFA7E" w14:textId="77777777" w:rsidR="00B626E7" w:rsidRDefault="00B626E7">
            <w:pPr>
              <w:rPr>
                <w:rFonts w:ascii="宋体"/>
              </w:rPr>
            </w:pPr>
          </w:p>
        </w:tc>
        <w:tc>
          <w:tcPr>
            <w:tcW w:w="0" w:type="auto"/>
            <w:shd w:val="clear" w:color="auto" w:fill="auto"/>
          </w:tcPr>
          <w:p w14:paraId="20ADFA7F" w14:textId="77777777" w:rsidR="00B626E7" w:rsidRDefault="00B626E7">
            <w:pPr>
              <w:rPr>
                <w:rFonts w:ascii="宋体"/>
              </w:rPr>
            </w:pPr>
          </w:p>
        </w:tc>
        <w:tc>
          <w:tcPr>
            <w:tcW w:w="0" w:type="auto"/>
            <w:shd w:val="clear" w:color="auto" w:fill="auto"/>
          </w:tcPr>
          <w:p w14:paraId="20ADFA80" w14:textId="77777777" w:rsidR="00B626E7" w:rsidRDefault="00B626E7">
            <w:pPr>
              <w:rPr>
                <w:rFonts w:ascii="宋体"/>
              </w:rPr>
            </w:pPr>
          </w:p>
        </w:tc>
        <w:tc>
          <w:tcPr>
            <w:tcW w:w="0" w:type="auto"/>
            <w:shd w:val="clear" w:color="auto" w:fill="auto"/>
          </w:tcPr>
          <w:p w14:paraId="20ADFA81" w14:textId="77777777" w:rsidR="00B626E7" w:rsidRDefault="00B626E7">
            <w:pPr>
              <w:rPr>
                <w:rFonts w:ascii="宋体"/>
              </w:rPr>
            </w:pPr>
          </w:p>
        </w:tc>
        <w:tc>
          <w:tcPr>
            <w:tcW w:w="0" w:type="auto"/>
            <w:shd w:val="clear" w:color="auto" w:fill="auto"/>
          </w:tcPr>
          <w:p w14:paraId="20ADFA82" w14:textId="77777777" w:rsidR="00B626E7" w:rsidRDefault="00B626E7">
            <w:pPr>
              <w:rPr>
                <w:rFonts w:ascii="宋体"/>
              </w:rPr>
            </w:pPr>
          </w:p>
        </w:tc>
        <w:tc>
          <w:tcPr>
            <w:tcW w:w="0" w:type="auto"/>
            <w:shd w:val="clear" w:color="auto" w:fill="auto"/>
          </w:tcPr>
          <w:p w14:paraId="20ADFA83" w14:textId="77777777" w:rsidR="00B626E7" w:rsidRDefault="00B626E7">
            <w:pPr>
              <w:rPr>
                <w:rFonts w:ascii="宋体"/>
              </w:rPr>
            </w:pPr>
          </w:p>
        </w:tc>
        <w:tc>
          <w:tcPr>
            <w:tcW w:w="0" w:type="auto"/>
            <w:shd w:val="clear" w:color="auto" w:fill="auto"/>
          </w:tcPr>
          <w:p w14:paraId="20ADFA84" w14:textId="77777777" w:rsidR="00B626E7" w:rsidRDefault="00B626E7">
            <w:pPr>
              <w:rPr>
                <w:rFonts w:ascii="宋体"/>
              </w:rPr>
            </w:pPr>
          </w:p>
        </w:tc>
        <w:tc>
          <w:tcPr>
            <w:tcW w:w="0" w:type="auto"/>
            <w:shd w:val="clear" w:color="auto" w:fill="auto"/>
          </w:tcPr>
          <w:p w14:paraId="20ADFA85" w14:textId="77777777" w:rsidR="00B626E7" w:rsidRDefault="00B626E7">
            <w:pPr>
              <w:rPr>
                <w:rFonts w:ascii="宋体"/>
              </w:rPr>
            </w:pPr>
          </w:p>
        </w:tc>
      </w:tr>
      <w:tr w:rsidR="00B626E7" w14:paraId="20ADFAA0" w14:textId="77777777">
        <w:tc>
          <w:tcPr>
            <w:tcW w:w="0" w:type="auto"/>
            <w:gridSpan w:val="3"/>
            <w:shd w:val="clear" w:color="auto" w:fill="auto"/>
            <w:tcMar>
              <w:top w:w="40" w:type="dxa"/>
              <w:left w:w="20" w:type="dxa"/>
              <w:bottom w:w="40" w:type="dxa"/>
              <w:right w:w="20" w:type="dxa"/>
            </w:tcMar>
          </w:tcPr>
          <w:p w14:paraId="20ADFA87" w14:textId="77777777" w:rsidR="00B626E7" w:rsidRDefault="00175C1D">
            <w:pPr>
              <w:ind w:hanging="180"/>
              <w:textAlignment w:val="top"/>
            </w:pPr>
            <w:r>
              <w:rPr>
                <w:rFonts w:ascii="Arial" w:eastAsia="宋体" w:hAnsi="Arial" w:cs="Arial"/>
                <w:color w:val="333333"/>
                <w:sz w:val="18"/>
                <w:szCs w:val="18"/>
              </w:rPr>
              <w:t>Provision for taxes</w:t>
            </w:r>
          </w:p>
        </w:tc>
        <w:tc>
          <w:tcPr>
            <w:tcW w:w="0" w:type="auto"/>
            <w:gridSpan w:val="3"/>
            <w:shd w:val="clear" w:color="auto" w:fill="auto"/>
            <w:tcMar>
              <w:left w:w="20" w:type="dxa"/>
              <w:right w:w="20" w:type="dxa"/>
            </w:tcMar>
            <w:vAlign w:val="bottom"/>
          </w:tcPr>
          <w:p w14:paraId="20ADFA88"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A89" w14:textId="77777777" w:rsidR="00B626E7" w:rsidRDefault="00175C1D">
            <w:pPr>
              <w:jc w:val="right"/>
              <w:textAlignment w:val="bottom"/>
            </w:pPr>
            <w:r>
              <w:rPr>
                <w:rFonts w:ascii="Arial" w:eastAsia="宋体" w:hAnsi="Arial" w:cs="Arial"/>
                <w:color w:val="0071C5"/>
                <w:sz w:val="18"/>
                <w:szCs w:val="18"/>
              </w:rPr>
              <w:t>830 </w:t>
            </w:r>
          </w:p>
        </w:tc>
        <w:tc>
          <w:tcPr>
            <w:tcW w:w="0" w:type="auto"/>
            <w:shd w:val="clear" w:color="auto" w:fill="auto"/>
            <w:tcMar>
              <w:top w:w="40" w:type="dxa"/>
              <w:bottom w:w="40" w:type="dxa"/>
              <w:right w:w="20" w:type="dxa"/>
            </w:tcMar>
            <w:vAlign w:val="bottom"/>
          </w:tcPr>
          <w:p w14:paraId="20ADFA8A"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DFA8B"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A8C" w14:textId="77777777" w:rsidR="00B626E7" w:rsidRDefault="00175C1D">
            <w:pPr>
              <w:jc w:val="right"/>
              <w:textAlignment w:val="bottom"/>
            </w:pPr>
            <w:r>
              <w:rPr>
                <w:rFonts w:ascii="Arial" w:eastAsia="宋体" w:hAnsi="Arial" w:cs="Arial"/>
                <w:color w:val="333333"/>
                <w:sz w:val="18"/>
                <w:szCs w:val="18"/>
              </w:rPr>
              <w:t>545 </w:t>
            </w:r>
          </w:p>
        </w:tc>
        <w:tc>
          <w:tcPr>
            <w:tcW w:w="0" w:type="auto"/>
            <w:shd w:val="clear" w:color="auto" w:fill="auto"/>
            <w:tcMar>
              <w:top w:w="40" w:type="dxa"/>
              <w:bottom w:w="40" w:type="dxa"/>
              <w:right w:w="20" w:type="dxa"/>
            </w:tcMar>
            <w:vAlign w:val="bottom"/>
          </w:tcPr>
          <w:p w14:paraId="20ADFA8D"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DFA8E"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A8F" w14:textId="77777777" w:rsidR="00B626E7" w:rsidRDefault="00175C1D">
            <w:pPr>
              <w:jc w:val="right"/>
              <w:textAlignment w:val="bottom"/>
            </w:pPr>
            <w:r>
              <w:rPr>
                <w:rFonts w:ascii="Arial" w:eastAsia="宋体" w:hAnsi="Arial" w:cs="Arial"/>
                <w:color w:val="0071C5"/>
                <w:sz w:val="18"/>
                <w:szCs w:val="18"/>
              </w:rPr>
              <w:t>1,783 </w:t>
            </w:r>
          </w:p>
        </w:tc>
        <w:tc>
          <w:tcPr>
            <w:tcW w:w="0" w:type="auto"/>
            <w:shd w:val="clear" w:color="auto" w:fill="auto"/>
            <w:tcMar>
              <w:top w:w="40" w:type="dxa"/>
              <w:bottom w:w="40" w:type="dxa"/>
              <w:right w:w="20" w:type="dxa"/>
            </w:tcMar>
            <w:vAlign w:val="bottom"/>
          </w:tcPr>
          <w:p w14:paraId="20ADFA90"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DFA91"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A92" w14:textId="77777777" w:rsidR="00B626E7" w:rsidRDefault="00175C1D">
            <w:pPr>
              <w:jc w:val="right"/>
              <w:textAlignment w:val="bottom"/>
            </w:pPr>
            <w:r>
              <w:rPr>
                <w:rFonts w:ascii="Arial" w:eastAsia="宋体" w:hAnsi="Arial" w:cs="Arial"/>
                <w:color w:val="333333"/>
                <w:sz w:val="18"/>
                <w:szCs w:val="18"/>
              </w:rPr>
              <w:t>1,118 </w:t>
            </w:r>
          </w:p>
        </w:tc>
        <w:tc>
          <w:tcPr>
            <w:tcW w:w="0" w:type="auto"/>
            <w:shd w:val="clear" w:color="auto" w:fill="auto"/>
            <w:tcMar>
              <w:top w:w="40" w:type="dxa"/>
              <w:bottom w:w="40" w:type="dxa"/>
              <w:right w:w="20" w:type="dxa"/>
            </w:tcMar>
            <w:vAlign w:val="bottom"/>
          </w:tcPr>
          <w:p w14:paraId="20ADFA93"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DFA94" w14:textId="77777777" w:rsidR="00B626E7" w:rsidRDefault="00B626E7">
            <w:pPr>
              <w:rPr>
                <w:rFonts w:ascii="宋体"/>
              </w:rPr>
            </w:pPr>
          </w:p>
        </w:tc>
        <w:tc>
          <w:tcPr>
            <w:tcW w:w="0" w:type="auto"/>
            <w:shd w:val="clear" w:color="auto" w:fill="auto"/>
          </w:tcPr>
          <w:p w14:paraId="20ADFA95" w14:textId="77777777" w:rsidR="00B626E7" w:rsidRDefault="00B626E7">
            <w:pPr>
              <w:rPr>
                <w:rFonts w:ascii="宋体"/>
              </w:rPr>
            </w:pPr>
          </w:p>
        </w:tc>
        <w:tc>
          <w:tcPr>
            <w:tcW w:w="0" w:type="auto"/>
            <w:shd w:val="clear" w:color="auto" w:fill="auto"/>
          </w:tcPr>
          <w:p w14:paraId="20ADFA96" w14:textId="77777777" w:rsidR="00B626E7" w:rsidRDefault="00B626E7">
            <w:pPr>
              <w:rPr>
                <w:rFonts w:ascii="宋体"/>
              </w:rPr>
            </w:pPr>
          </w:p>
        </w:tc>
        <w:tc>
          <w:tcPr>
            <w:tcW w:w="0" w:type="auto"/>
            <w:shd w:val="clear" w:color="auto" w:fill="auto"/>
          </w:tcPr>
          <w:p w14:paraId="20ADFA97" w14:textId="77777777" w:rsidR="00B626E7" w:rsidRDefault="00B626E7">
            <w:pPr>
              <w:rPr>
                <w:rFonts w:ascii="宋体"/>
              </w:rPr>
            </w:pPr>
          </w:p>
        </w:tc>
        <w:tc>
          <w:tcPr>
            <w:tcW w:w="0" w:type="auto"/>
            <w:shd w:val="clear" w:color="auto" w:fill="auto"/>
          </w:tcPr>
          <w:p w14:paraId="20ADFA98" w14:textId="77777777" w:rsidR="00B626E7" w:rsidRDefault="00B626E7">
            <w:pPr>
              <w:rPr>
                <w:rFonts w:ascii="宋体"/>
              </w:rPr>
            </w:pPr>
          </w:p>
        </w:tc>
        <w:tc>
          <w:tcPr>
            <w:tcW w:w="0" w:type="auto"/>
            <w:shd w:val="clear" w:color="auto" w:fill="auto"/>
          </w:tcPr>
          <w:p w14:paraId="20ADFA99" w14:textId="77777777" w:rsidR="00B626E7" w:rsidRDefault="00B626E7">
            <w:pPr>
              <w:rPr>
                <w:rFonts w:ascii="宋体"/>
              </w:rPr>
            </w:pPr>
          </w:p>
        </w:tc>
        <w:tc>
          <w:tcPr>
            <w:tcW w:w="0" w:type="auto"/>
            <w:shd w:val="clear" w:color="auto" w:fill="auto"/>
          </w:tcPr>
          <w:p w14:paraId="20ADFA9A" w14:textId="77777777" w:rsidR="00B626E7" w:rsidRDefault="00B626E7">
            <w:pPr>
              <w:rPr>
                <w:rFonts w:ascii="宋体"/>
              </w:rPr>
            </w:pPr>
          </w:p>
        </w:tc>
        <w:tc>
          <w:tcPr>
            <w:tcW w:w="0" w:type="auto"/>
            <w:shd w:val="clear" w:color="auto" w:fill="auto"/>
          </w:tcPr>
          <w:p w14:paraId="20ADFA9B" w14:textId="77777777" w:rsidR="00B626E7" w:rsidRDefault="00B626E7">
            <w:pPr>
              <w:rPr>
                <w:rFonts w:ascii="宋体"/>
              </w:rPr>
            </w:pPr>
          </w:p>
        </w:tc>
        <w:tc>
          <w:tcPr>
            <w:tcW w:w="0" w:type="auto"/>
            <w:shd w:val="clear" w:color="auto" w:fill="auto"/>
          </w:tcPr>
          <w:p w14:paraId="20ADFA9C" w14:textId="77777777" w:rsidR="00B626E7" w:rsidRDefault="00B626E7">
            <w:pPr>
              <w:rPr>
                <w:rFonts w:ascii="宋体"/>
              </w:rPr>
            </w:pPr>
          </w:p>
        </w:tc>
        <w:tc>
          <w:tcPr>
            <w:tcW w:w="0" w:type="auto"/>
            <w:shd w:val="clear" w:color="auto" w:fill="auto"/>
          </w:tcPr>
          <w:p w14:paraId="20ADFA9D" w14:textId="77777777" w:rsidR="00B626E7" w:rsidRDefault="00B626E7">
            <w:pPr>
              <w:rPr>
                <w:rFonts w:ascii="宋体"/>
              </w:rPr>
            </w:pPr>
          </w:p>
        </w:tc>
        <w:tc>
          <w:tcPr>
            <w:tcW w:w="0" w:type="auto"/>
            <w:shd w:val="clear" w:color="auto" w:fill="auto"/>
          </w:tcPr>
          <w:p w14:paraId="20ADFA9E" w14:textId="77777777" w:rsidR="00B626E7" w:rsidRDefault="00B626E7">
            <w:pPr>
              <w:rPr>
                <w:rFonts w:ascii="宋体"/>
              </w:rPr>
            </w:pPr>
          </w:p>
        </w:tc>
        <w:tc>
          <w:tcPr>
            <w:tcW w:w="0" w:type="auto"/>
            <w:shd w:val="clear" w:color="auto" w:fill="auto"/>
          </w:tcPr>
          <w:p w14:paraId="20ADFA9F" w14:textId="77777777" w:rsidR="00B626E7" w:rsidRDefault="00B626E7">
            <w:pPr>
              <w:rPr>
                <w:rFonts w:ascii="宋体"/>
              </w:rPr>
            </w:pPr>
          </w:p>
        </w:tc>
      </w:tr>
      <w:tr w:rsidR="00B626E7" w14:paraId="20ADFABE" w14:textId="77777777">
        <w:tc>
          <w:tcPr>
            <w:tcW w:w="0" w:type="auto"/>
            <w:gridSpan w:val="3"/>
            <w:shd w:val="clear" w:color="auto" w:fill="auto"/>
            <w:tcMar>
              <w:top w:w="40" w:type="dxa"/>
              <w:left w:w="20" w:type="dxa"/>
              <w:bottom w:w="40" w:type="dxa"/>
              <w:right w:w="20" w:type="dxa"/>
            </w:tcMar>
          </w:tcPr>
          <w:p w14:paraId="20ADFAA1" w14:textId="77777777" w:rsidR="00B626E7" w:rsidRDefault="00175C1D">
            <w:pPr>
              <w:ind w:hanging="180"/>
              <w:textAlignment w:val="top"/>
            </w:pPr>
            <w:r>
              <w:rPr>
                <w:rFonts w:ascii="Arial" w:eastAsia="宋体" w:hAnsi="Arial" w:cs="Arial"/>
                <w:b/>
                <w:bCs/>
                <w:color w:val="333333"/>
                <w:sz w:val="18"/>
                <w:szCs w:val="18"/>
              </w:rPr>
              <w:t>Net income</w:t>
            </w:r>
          </w:p>
        </w:tc>
        <w:tc>
          <w:tcPr>
            <w:tcW w:w="0" w:type="auto"/>
            <w:gridSpan w:val="3"/>
            <w:shd w:val="clear" w:color="auto" w:fill="auto"/>
            <w:tcMar>
              <w:left w:w="20" w:type="dxa"/>
              <w:right w:w="20" w:type="dxa"/>
            </w:tcMar>
            <w:vAlign w:val="bottom"/>
          </w:tcPr>
          <w:p w14:paraId="20ADFAA2" w14:textId="77777777" w:rsidR="00B626E7" w:rsidRDefault="00B626E7">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20ADFAA3" w14:textId="77777777" w:rsidR="00B626E7" w:rsidRDefault="00175C1D">
            <w:pPr>
              <w:textAlignment w:val="bottom"/>
            </w:pPr>
            <w:r>
              <w:rPr>
                <w:rFonts w:ascii="Arial" w:eastAsia="宋体" w:hAnsi="Arial" w:cs="Arial"/>
                <w:b/>
                <w:bCs/>
                <w:color w:val="0071C5"/>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20ADFAA4" w14:textId="77777777" w:rsidR="00B626E7" w:rsidRDefault="00175C1D">
            <w:pPr>
              <w:jc w:val="right"/>
              <w:textAlignment w:val="bottom"/>
            </w:pPr>
            <w:r>
              <w:rPr>
                <w:rFonts w:ascii="Arial" w:eastAsia="宋体" w:hAnsi="Arial" w:cs="Arial"/>
                <w:b/>
                <w:bCs/>
                <w:color w:val="0071C5"/>
                <w:sz w:val="18"/>
                <w:szCs w:val="18"/>
              </w:rPr>
              <w:t>5,105 </w:t>
            </w:r>
          </w:p>
        </w:tc>
        <w:tc>
          <w:tcPr>
            <w:tcW w:w="0" w:type="auto"/>
            <w:tcBorders>
              <w:top w:val="single" w:sz="8" w:space="0" w:color="333333"/>
            </w:tcBorders>
            <w:shd w:val="clear" w:color="auto" w:fill="auto"/>
            <w:tcMar>
              <w:top w:w="40" w:type="dxa"/>
              <w:bottom w:w="40" w:type="dxa"/>
              <w:right w:w="20" w:type="dxa"/>
            </w:tcMar>
            <w:vAlign w:val="bottom"/>
          </w:tcPr>
          <w:p w14:paraId="20ADFAA5"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DFAA6" w14:textId="77777777" w:rsidR="00B626E7" w:rsidRDefault="00B626E7">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20ADFAA7"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20ADFAA8" w14:textId="77777777" w:rsidR="00B626E7" w:rsidRDefault="00175C1D">
            <w:pPr>
              <w:jc w:val="right"/>
              <w:textAlignment w:val="bottom"/>
            </w:pPr>
            <w:r>
              <w:rPr>
                <w:rFonts w:ascii="Arial" w:eastAsia="宋体" w:hAnsi="Arial" w:cs="Arial"/>
                <w:b/>
                <w:bCs/>
                <w:color w:val="333333"/>
                <w:sz w:val="18"/>
                <w:szCs w:val="18"/>
              </w:rPr>
              <w:t>4,179 </w:t>
            </w:r>
          </w:p>
        </w:tc>
        <w:tc>
          <w:tcPr>
            <w:tcW w:w="0" w:type="auto"/>
            <w:tcBorders>
              <w:top w:val="single" w:sz="8" w:space="0" w:color="333333"/>
            </w:tcBorders>
            <w:shd w:val="clear" w:color="auto" w:fill="auto"/>
            <w:tcMar>
              <w:top w:w="40" w:type="dxa"/>
              <w:bottom w:w="40" w:type="dxa"/>
              <w:right w:w="20" w:type="dxa"/>
            </w:tcMar>
            <w:vAlign w:val="bottom"/>
          </w:tcPr>
          <w:p w14:paraId="20ADFAA9"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DFAAA" w14:textId="77777777" w:rsidR="00B626E7" w:rsidRDefault="00B626E7">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20ADFAAB" w14:textId="77777777" w:rsidR="00B626E7" w:rsidRDefault="00175C1D">
            <w:pPr>
              <w:textAlignment w:val="bottom"/>
            </w:pPr>
            <w:r>
              <w:rPr>
                <w:rFonts w:ascii="Arial" w:eastAsia="宋体" w:hAnsi="Arial" w:cs="Arial"/>
                <w:b/>
                <w:bCs/>
                <w:color w:val="0071C5"/>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20ADFAAC" w14:textId="77777777" w:rsidR="00B626E7" w:rsidRDefault="00175C1D">
            <w:pPr>
              <w:jc w:val="right"/>
              <w:textAlignment w:val="bottom"/>
            </w:pPr>
            <w:r>
              <w:rPr>
                <w:rFonts w:ascii="Arial" w:eastAsia="宋体" w:hAnsi="Arial" w:cs="Arial"/>
                <w:b/>
                <w:bCs/>
                <w:color w:val="0071C5"/>
                <w:sz w:val="18"/>
                <w:szCs w:val="18"/>
              </w:rPr>
              <w:t>10,766 </w:t>
            </w:r>
          </w:p>
        </w:tc>
        <w:tc>
          <w:tcPr>
            <w:tcW w:w="0" w:type="auto"/>
            <w:tcBorders>
              <w:top w:val="single" w:sz="8" w:space="0" w:color="333333"/>
            </w:tcBorders>
            <w:shd w:val="clear" w:color="auto" w:fill="auto"/>
            <w:tcMar>
              <w:top w:w="40" w:type="dxa"/>
              <w:bottom w:w="40" w:type="dxa"/>
              <w:right w:w="20" w:type="dxa"/>
            </w:tcMar>
            <w:vAlign w:val="bottom"/>
          </w:tcPr>
          <w:p w14:paraId="20ADFAAD"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DFAAE" w14:textId="77777777" w:rsidR="00B626E7" w:rsidRDefault="00B626E7">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20ADFAAF"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20ADFAB0" w14:textId="77777777" w:rsidR="00B626E7" w:rsidRDefault="00175C1D">
            <w:pPr>
              <w:jc w:val="right"/>
              <w:textAlignment w:val="bottom"/>
            </w:pPr>
            <w:r>
              <w:rPr>
                <w:rFonts w:ascii="Arial" w:eastAsia="宋体" w:hAnsi="Arial" w:cs="Arial"/>
                <w:b/>
                <w:bCs/>
                <w:color w:val="333333"/>
                <w:sz w:val="18"/>
                <w:szCs w:val="18"/>
              </w:rPr>
              <w:t>8,153 </w:t>
            </w:r>
          </w:p>
        </w:tc>
        <w:tc>
          <w:tcPr>
            <w:tcW w:w="0" w:type="auto"/>
            <w:tcBorders>
              <w:top w:val="single" w:sz="8" w:space="0" w:color="333333"/>
            </w:tcBorders>
            <w:shd w:val="clear" w:color="auto" w:fill="auto"/>
            <w:tcMar>
              <w:top w:w="40" w:type="dxa"/>
              <w:bottom w:w="40" w:type="dxa"/>
              <w:right w:w="20" w:type="dxa"/>
            </w:tcMar>
            <w:vAlign w:val="bottom"/>
          </w:tcPr>
          <w:p w14:paraId="20ADFAB1"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DFAB2" w14:textId="77777777" w:rsidR="00B626E7" w:rsidRDefault="00B626E7">
            <w:pPr>
              <w:rPr>
                <w:rFonts w:ascii="宋体"/>
              </w:rPr>
            </w:pPr>
          </w:p>
        </w:tc>
        <w:tc>
          <w:tcPr>
            <w:tcW w:w="0" w:type="auto"/>
            <w:shd w:val="clear" w:color="auto" w:fill="auto"/>
          </w:tcPr>
          <w:p w14:paraId="20ADFAB3" w14:textId="77777777" w:rsidR="00B626E7" w:rsidRDefault="00B626E7">
            <w:pPr>
              <w:rPr>
                <w:rFonts w:ascii="宋体"/>
              </w:rPr>
            </w:pPr>
          </w:p>
        </w:tc>
        <w:tc>
          <w:tcPr>
            <w:tcW w:w="0" w:type="auto"/>
            <w:shd w:val="clear" w:color="auto" w:fill="auto"/>
          </w:tcPr>
          <w:p w14:paraId="20ADFAB4" w14:textId="77777777" w:rsidR="00B626E7" w:rsidRDefault="00B626E7">
            <w:pPr>
              <w:rPr>
                <w:rFonts w:ascii="宋体"/>
              </w:rPr>
            </w:pPr>
          </w:p>
        </w:tc>
        <w:tc>
          <w:tcPr>
            <w:tcW w:w="0" w:type="auto"/>
            <w:shd w:val="clear" w:color="auto" w:fill="auto"/>
          </w:tcPr>
          <w:p w14:paraId="20ADFAB5" w14:textId="77777777" w:rsidR="00B626E7" w:rsidRDefault="00B626E7">
            <w:pPr>
              <w:rPr>
                <w:rFonts w:ascii="宋体"/>
              </w:rPr>
            </w:pPr>
          </w:p>
        </w:tc>
        <w:tc>
          <w:tcPr>
            <w:tcW w:w="0" w:type="auto"/>
            <w:shd w:val="clear" w:color="auto" w:fill="auto"/>
          </w:tcPr>
          <w:p w14:paraId="20ADFAB6" w14:textId="77777777" w:rsidR="00B626E7" w:rsidRDefault="00B626E7">
            <w:pPr>
              <w:rPr>
                <w:rFonts w:ascii="宋体"/>
              </w:rPr>
            </w:pPr>
          </w:p>
        </w:tc>
        <w:tc>
          <w:tcPr>
            <w:tcW w:w="0" w:type="auto"/>
            <w:shd w:val="clear" w:color="auto" w:fill="auto"/>
          </w:tcPr>
          <w:p w14:paraId="20ADFAB7" w14:textId="77777777" w:rsidR="00B626E7" w:rsidRDefault="00B626E7">
            <w:pPr>
              <w:rPr>
                <w:rFonts w:ascii="宋体"/>
              </w:rPr>
            </w:pPr>
          </w:p>
        </w:tc>
        <w:tc>
          <w:tcPr>
            <w:tcW w:w="0" w:type="auto"/>
            <w:shd w:val="clear" w:color="auto" w:fill="auto"/>
          </w:tcPr>
          <w:p w14:paraId="20ADFAB8" w14:textId="77777777" w:rsidR="00B626E7" w:rsidRDefault="00B626E7">
            <w:pPr>
              <w:rPr>
                <w:rFonts w:ascii="宋体"/>
              </w:rPr>
            </w:pPr>
          </w:p>
        </w:tc>
        <w:tc>
          <w:tcPr>
            <w:tcW w:w="0" w:type="auto"/>
            <w:shd w:val="clear" w:color="auto" w:fill="auto"/>
          </w:tcPr>
          <w:p w14:paraId="20ADFAB9" w14:textId="77777777" w:rsidR="00B626E7" w:rsidRDefault="00B626E7">
            <w:pPr>
              <w:rPr>
                <w:rFonts w:ascii="宋体"/>
              </w:rPr>
            </w:pPr>
          </w:p>
        </w:tc>
        <w:tc>
          <w:tcPr>
            <w:tcW w:w="0" w:type="auto"/>
            <w:shd w:val="clear" w:color="auto" w:fill="auto"/>
          </w:tcPr>
          <w:p w14:paraId="20ADFABA" w14:textId="77777777" w:rsidR="00B626E7" w:rsidRDefault="00B626E7">
            <w:pPr>
              <w:rPr>
                <w:rFonts w:ascii="宋体"/>
              </w:rPr>
            </w:pPr>
          </w:p>
        </w:tc>
        <w:tc>
          <w:tcPr>
            <w:tcW w:w="0" w:type="auto"/>
            <w:shd w:val="clear" w:color="auto" w:fill="auto"/>
          </w:tcPr>
          <w:p w14:paraId="20ADFABB" w14:textId="77777777" w:rsidR="00B626E7" w:rsidRDefault="00B626E7">
            <w:pPr>
              <w:rPr>
                <w:rFonts w:ascii="宋体"/>
              </w:rPr>
            </w:pPr>
          </w:p>
        </w:tc>
        <w:tc>
          <w:tcPr>
            <w:tcW w:w="0" w:type="auto"/>
            <w:shd w:val="clear" w:color="auto" w:fill="auto"/>
          </w:tcPr>
          <w:p w14:paraId="20ADFABC" w14:textId="77777777" w:rsidR="00B626E7" w:rsidRDefault="00B626E7">
            <w:pPr>
              <w:rPr>
                <w:rFonts w:ascii="宋体"/>
              </w:rPr>
            </w:pPr>
          </w:p>
        </w:tc>
        <w:tc>
          <w:tcPr>
            <w:tcW w:w="0" w:type="auto"/>
            <w:shd w:val="clear" w:color="auto" w:fill="auto"/>
          </w:tcPr>
          <w:p w14:paraId="20ADFABD" w14:textId="77777777" w:rsidR="00B626E7" w:rsidRDefault="00B626E7">
            <w:pPr>
              <w:rPr>
                <w:rFonts w:ascii="宋体"/>
              </w:rPr>
            </w:pPr>
          </w:p>
        </w:tc>
      </w:tr>
      <w:tr w:rsidR="00B626E7" w14:paraId="20ADFADC" w14:textId="77777777">
        <w:tc>
          <w:tcPr>
            <w:tcW w:w="0" w:type="auto"/>
            <w:gridSpan w:val="3"/>
            <w:shd w:val="clear" w:color="auto" w:fill="auto"/>
            <w:tcMar>
              <w:top w:w="40" w:type="dxa"/>
              <w:left w:w="20" w:type="dxa"/>
              <w:bottom w:w="40" w:type="dxa"/>
              <w:right w:w="20" w:type="dxa"/>
            </w:tcMar>
          </w:tcPr>
          <w:p w14:paraId="20ADFABF" w14:textId="77777777" w:rsidR="00B626E7" w:rsidRDefault="00175C1D">
            <w:pPr>
              <w:textAlignment w:val="top"/>
            </w:pPr>
            <w:r>
              <w:rPr>
                <w:rFonts w:ascii="Arial" w:eastAsia="宋体" w:hAnsi="Arial" w:cs="Arial"/>
                <w:b/>
                <w:bCs/>
                <w:color w:val="333333"/>
                <w:sz w:val="18"/>
                <w:szCs w:val="18"/>
              </w:rPr>
              <w:t>Earnings per share—basic</w:t>
            </w:r>
          </w:p>
        </w:tc>
        <w:tc>
          <w:tcPr>
            <w:tcW w:w="0" w:type="auto"/>
            <w:gridSpan w:val="3"/>
            <w:shd w:val="clear" w:color="auto" w:fill="auto"/>
            <w:tcMar>
              <w:left w:w="20" w:type="dxa"/>
              <w:right w:w="20" w:type="dxa"/>
            </w:tcMar>
            <w:vAlign w:val="bottom"/>
          </w:tcPr>
          <w:p w14:paraId="20ADFAC0" w14:textId="77777777" w:rsidR="00B626E7" w:rsidRDefault="00B626E7">
            <w:pPr>
              <w:rPr>
                <w:rFonts w:ascii="宋体"/>
              </w:rPr>
            </w:pPr>
          </w:p>
        </w:tc>
        <w:tc>
          <w:tcPr>
            <w:tcW w:w="0" w:type="auto"/>
            <w:tcBorders>
              <w:top w:val="double" w:sz="6" w:space="0" w:color="333333"/>
            </w:tcBorders>
            <w:shd w:val="clear" w:color="auto" w:fill="auto"/>
            <w:tcMar>
              <w:top w:w="40" w:type="dxa"/>
              <w:left w:w="20" w:type="dxa"/>
              <w:bottom w:w="40" w:type="dxa"/>
            </w:tcMar>
            <w:vAlign w:val="bottom"/>
          </w:tcPr>
          <w:p w14:paraId="20ADFAC1" w14:textId="77777777" w:rsidR="00B626E7" w:rsidRDefault="00175C1D">
            <w:pPr>
              <w:textAlignment w:val="bottom"/>
            </w:pPr>
            <w:r>
              <w:rPr>
                <w:rFonts w:ascii="Arial" w:eastAsia="宋体" w:hAnsi="Arial" w:cs="Arial"/>
                <w:b/>
                <w:bCs/>
                <w:color w:val="0071C5"/>
                <w:sz w:val="18"/>
                <w:szCs w:val="18"/>
              </w:rPr>
              <w:t>$</w:t>
            </w:r>
          </w:p>
        </w:tc>
        <w:tc>
          <w:tcPr>
            <w:tcW w:w="0" w:type="auto"/>
            <w:tcBorders>
              <w:top w:val="double" w:sz="6" w:space="0" w:color="333333"/>
            </w:tcBorders>
            <w:shd w:val="clear" w:color="auto" w:fill="auto"/>
            <w:tcMar>
              <w:top w:w="40" w:type="dxa"/>
              <w:bottom w:w="40" w:type="dxa"/>
              <w:right w:w="0" w:type="dxa"/>
            </w:tcMar>
            <w:vAlign w:val="bottom"/>
          </w:tcPr>
          <w:p w14:paraId="20ADFAC2" w14:textId="77777777" w:rsidR="00B626E7" w:rsidRDefault="00175C1D">
            <w:pPr>
              <w:jc w:val="right"/>
              <w:textAlignment w:val="bottom"/>
            </w:pPr>
            <w:r>
              <w:rPr>
                <w:rFonts w:ascii="Arial" w:eastAsia="宋体" w:hAnsi="Arial" w:cs="Arial"/>
                <w:b/>
                <w:bCs/>
                <w:color w:val="0071C5"/>
                <w:sz w:val="18"/>
                <w:szCs w:val="18"/>
              </w:rPr>
              <w:t>1.20 </w:t>
            </w:r>
          </w:p>
        </w:tc>
        <w:tc>
          <w:tcPr>
            <w:tcW w:w="0" w:type="auto"/>
            <w:tcBorders>
              <w:top w:val="double" w:sz="6" w:space="0" w:color="333333"/>
            </w:tcBorders>
            <w:shd w:val="clear" w:color="auto" w:fill="auto"/>
            <w:tcMar>
              <w:top w:w="40" w:type="dxa"/>
              <w:bottom w:w="40" w:type="dxa"/>
              <w:right w:w="20" w:type="dxa"/>
            </w:tcMar>
            <w:vAlign w:val="bottom"/>
          </w:tcPr>
          <w:p w14:paraId="20ADFAC3"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DFAC4" w14:textId="77777777" w:rsidR="00B626E7" w:rsidRDefault="00B626E7">
            <w:pPr>
              <w:rPr>
                <w:rFonts w:ascii="宋体"/>
              </w:rPr>
            </w:pPr>
          </w:p>
        </w:tc>
        <w:tc>
          <w:tcPr>
            <w:tcW w:w="0" w:type="auto"/>
            <w:tcBorders>
              <w:top w:val="double" w:sz="6" w:space="0" w:color="333333"/>
            </w:tcBorders>
            <w:shd w:val="clear" w:color="auto" w:fill="auto"/>
            <w:tcMar>
              <w:top w:w="40" w:type="dxa"/>
              <w:left w:w="20" w:type="dxa"/>
              <w:bottom w:w="40" w:type="dxa"/>
            </w:tcMar>
            <w:vAlign w:val="bottom"/>
          </w:tcPr>
          <w:p w14:paraId="20ADFAC5" w14:textId="77777777" w:rsidR="00B626E7" w:rsidRDefault="00175C1D">
            <w:pPr>
              <w:textAlignment w:val="bottom"/>
            </w:pPr>
            <w:r>
              <w:rPr>
                <w:rFonts w:ascii="Arial" w:eastAsia="宋体" w:hAnsi="Arial" w:cs="Arial"/>
                <w:b/>
                <w:bCs/>
                <w:color w:val="333333"/>
                <w:sz w:val="18"/>
                <w:szCs w:val="18"/>
              </w:rPr>
              <w:t>$</w:t>
            </w:r>
          </w:p>
        </w:tc>
        <w:tc>
          <w:tcPr>
            <w:tcW w:w="0" w:type="auto"/>
            <w:tcBorders>
              <w:top w:val="double" w:sz="6" w:space="0" w:color="333333"/>
            </w:tcBorders>
            <w:shd w:val="clear" w:color="auto" w:fill="auto"/>
            <w:tcMar>
              <w:top w:w="40" w:type="dxa"/>
              <w:bottom w:w="40" w:type="dxa"/>
              <w:right w:w="0" w:type="dxa"/>
            </w:tcMar>
            <w:vAlign w:val="bottom"/>
          </w:tcPr>
          <w:p w14:paraId="20ADFAC6" w14:textId="77777777" w:rsidR="00B626E7" w:rsidRDefault="00175C1D">
            <w:pPr>
              <w:jc w:val="right"/>
              <w:textAlignment w:val="bottom"/>
            </w:pPr>
            <w:r>
              <w:rPr>
                <w:rFonts w:ascii="Arial" w:eastAsia="宋体" w:hAnsi="Arial" w:cs="Arial"/>
                <w:b/>
                <w:bCs/>
                <w:color w:val="333333"/>
                <w:sz w:val="18"/>
                <w:szCs w:val="18"/>
              </w:rPr>
              <w:t>0.94 </w:t>
            </w:r>
          </w:p>
        </w:tc>
        <w:tc>
          <w:tcPr>
            <w:tcW w:w="0" w:type="auto"/>
            <w:tcBorders>
              <w:top w:val="double" w:sz="6" w:space="0" w:color="333333"/>
            </w:tcBorders>
            <w:shd w:val="clear" w:color="auto" w:fill="auto"/>
            <w:tcMar>
              <w:top w:w="40" w:type="dxa"/>
              <w:bottom w:w="40" w:type="dxa"/>
              <w:right w:w="20" w:type="dxa"/>
            </w:tcMar>
            <w:vAlign w:val="bottom"/>
          </w:tcPr>
          <w:p w14:paraId="20ADFAC7"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DFAC8" w14:textId="77777777" w:rsidR="00B626E7" w:rsidRDefault="00B626E7">
            <w:pPr>
              <w:rPr>
                <w:rFonts w:ascii="宋体"/>
              </w:rPr>
            </w:pPr>
          </w:p>
        </w:tc>
        <w:tc>
          <w:tcPr>
            <w:tcW w:w="0" w:type="auto"/>
            <w:tcBorders>
              <w:top w:val="double" w:sz="6" w:space="0" w:color="000000"/>
            </w:tcBorders>
            <w:shd w:val="clear" w:color="auto" w:fill="auto"/>
            <w:tcMar>
              <w:top w:w="40" w:type="dxa"/>
              <w:left w:w="20" w:type="dxa"/>
              <w:bottom w:w="40" w:type="dxa"/>
            </w:tcMar>
            <w:vAlign w:val="bottom"/>
          </w:tcPr>
          <w:p w14:paraId="20ADFAC9" w14:textId="77777777" w:rsidR="00B626E7" w:rsidRDefault="00175C1D">
            <w:pPr>
              <w:textAlignment w:val="bottom"/>
            </w:pPr>
            <w:r>
              <w:rPr>
                <w:rFonts w:ascii="Arial" w:eastAsia="宋体" w:hAnsi="Arial" w:cs="Arial"/>
                <w:b/>
                <w:bCs/>
                <w:color w:val="0071C5"/>
                <w:sz w:val="18"/>
                <w:szCs w:val="18"/>
              </w:rPr>
              <w:t>$</w:t>
            </w:r>
          </w:p>
        </w:tc>
        <w:tc>
          <w:tcPr>
            <w:tcW w:w="0" w:type="auto"/>
            <w:tcBorders>
              <w:top w:val="double" w:sz="6" w:space="0" w:color="000000"/>
            </w:tcBorders>
            <w:shd w:val="clear" w:color="auto" w:fill="auto"/>
            <w:tcMar>
              <w:top w:w="40" w:type="dxa"/>
              <w:bottom w:w="40" w:type="dxa"/>
              <w:right w:w="0" w:type="dxa"/>
            </w:tcMar>
            <w:vAlign w:val="bottom"/>
          </w:tcPr>
          <w:p w14:paraId="20ADFACA" w14:textId="77777777" w:rsidR="00B626E7" w:rsidRDefault="00175C1D">
            <w:pPr>
              <w:jc w:val="right"/>
              <w:textAlignment w:val="bottom"/>
            </w:pPr>
            <w:r>
              <w:rPr>
                <w:rFonts w:ascii="Arial" w:eastAsia="宋体" w:hAnsi="Arial" w:cs="Arial"/>
                <w:b/>
                <w:bCs/>
                <w:color w:val="0071C5"/>
                <w:sz w:val="18"/>
                <w:szCs w:val="18"/>
              </w:rPr>
              <w:t>2.53 </w:t>
            </w:r>
          </w:p>
        </w:tc>
        <w:tc>
          <w:tcPr>
            <w:tcW w:w="0" w:type="auto"/>
            <w:tcBorders>
              <w:top w:val="double" w:sz="6" w:space="0" w:color="000000"/>
            </w:tcBorders>
            <w:shd w:val="clear" w:color="auto" w:fill="auto"/>
            <w:tcMar>
              <w:top w:w="40" w:type="dxa"/>
              <w:bottom w:w="40" w:type="dxa"/>
              <w:right w:w="20" w:type="dxa"/>
            </w:tcMar>
            <w:vAlign w:val="bottom"/>
          </w:tcPr>
          <w:p w14:paraId="20ADFACB"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DFACC" w14:textId="77777777" w:rsidR="00B626E7" w:rsidRDefault="00B626E7">
            <w:pPr>
              <w:rPr>
                <w:rFonts w:ascii="宋体"/>
              </w:rPr>
            </w:pPr>
          </w:p>
        </w:tc>
        <w:tc>
          <w:tcPr>
            <w:tcW w:w="0" w:type="auto"/>
            <w:tcBorders>
              <w:top w:val="double" w:sz="6" w:space="0" w:color="333333"/>
            </w:tcBorders>
            <w:shd w:val="clear" w:color="auto" w:fill="auto"/>
            <w:tcMar>
              <w:top w:w="40" w:type="dxa"/>
              <w:left w:w="20" w:type="dxa"/>
              <w:bottom w:w="40" w:type="dxa"/>
            </w:tcMar>
            <w:vAlign w:val="bottom"/>
          </w:tcPr>
          <w:p w14:paraId="20ADFACD" w14:textId="77777777" w:rsidR="00B626E7" w:rsidRDefault="00175C1D">
            <w:pPr>
              <w:textAlignment w:val="bottom"/>
            </w:pPr>
            <w:r>
              <w:rPr>
                <w:rFonts w:ascii="Arial" w:eastAsia="宋体" w:hAnsi="Arial" w:cs="Arial"/>
                <w:b/>
                <w:bCs/>
                <w:color w:val="333333"/>
                <w:sz w:val="18"/>
                <w:szCs w:val="18"/>
              </w:rPr>
              <w:t>$</w:t>
            </w:r>
          </w:p>
        </w:tc>
        <w:tc>
          <w:tcPr>
            <w:tcW w:w="0" w:type="auto"/>
            <w:tcBorders>
              <w:top w:val="double" w:sz="6" w:space="0" w:color="333333"/>
            </w:tcBorders>
            <w:shd w:val="clear" w:color="auto" w:fill="auto"/>
            <w:tcMar>
              <w:top w:w="40" w:type="dxa"/>
              <w:bottom w:w="40" w:type="dxa"/>
              <w:right w:w="0" w:type="dxa"/>
            </w:tcMar>
            <w:vAlign w:val="bottom"/>
          </w:tcPr>
          <w:p w14:paraId="20ADFACE" w14:textId="77777777" w:rsidR="00B626E7" w:rsidRDefault="00175C1D">
            <w:pPr>
              <w:jc w:val="right"/>
              <w:textAlignment w:val="bottom"/>
            </w:pPr>
            <w:r>
              <w:rPr>
                <w:rFonts w:ascii="Arial" w:eastAsia="宋体" w:hAnsi="Arial" w:cs="Arial"/>
                <w:b/>
                <w:bCs/>
                <w:color w:val="333333"/>
                <w:sz w:val="18"/>
                <w:szCs w:val="18"/>
              </w:rPr>
              <w:t>1.82 </w:t>
            </w:r>
          </w:p>
        </w:tc>
        <w:tc>
          <w:tcPr>
            <w:tcW w:w="0" w:type="auto"/>
            <w:tcBorders>
              <w:top w:val="double" w:sz="6" w:space="0" w:color="333333"/>
            </w:tcBorders>
            <w:shd w:val="clear" w:color="auto" w:fill="auto"/>
            <w:tcMar>
              <w:top w:w="40" w:type="dxa"/>
              <w:bottom w:w="40" w:type="dxa"/>
              <w:right w:w="20" w:type="dxa"/>
            </w:tcMar>
            <w:vAlign w:val="bottom"/>
          </w:tcPr>
          <w:p w14:paraId="20ADFACF"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DFAD0" w14:textId="77777777" w:rsidR="00B626E7" w:rsidRDefault="00B626E7">
            <w:pPr>
              <w:rPr>
                <w:rFonts w:ascii="宋体"/>
              </w:rPr>
            </w:pPr>
          </w:p>
        </w:tc>
        <w:tc>
          <w:tcPr>
            <w:tcW w:w="0" w:type="auto"/>
            <w:shd w:val="clear" w:color="auto" w:fill="auto"/>
          </w:tcPr>
          <w:p w14:paraId="20ADFAD1" w14:textId="77777777" w:rsidR="00B626E7" w:rsidRDefault="00B626E7">
            <w:pPr>
              <w:rPr>
                <w:rFonts w:ascii="宋体"/>
              </w:rPr>
            </w:pPr>
          </w:p>
        </w:tc>
        <w:tc>
          <w:tcPr>
            <w:tcW w:w="0" w:type="auto"/>
            <w:shd w:val="clear" w:color="auto" w:fill="auto"/>
          </w:tcPr>
          <w:p w14:paraId="20ADFAD2" w14:textId="77777777" w:rsidR="00B626E7" w:rsidRDefault="00B626E7">
            <w:pPr>
              <w:rPr>
                <w:rFonts w:ascii="宋体"/>
              </w:rPr>
            </w:pPr>
          </w:p>
        </w:tc>
        <w:tc>
          <w:tcPr>
            <w:tcW w:w="0" w:type="auto"/>
            <w:shd w:val="clear" w:color="auto" w:fill="auto"/>
          </w:tcPr>
          <w:p w14:paraId="20ADFAD3" w14:textId="77777777" w:rsidR="00B626E7" w:rsidRDefault="00B626E7">
            <w:pPr>
              <w:rPr>
                <w:rFonts w:ascii="宋体"/>
              </w:rPr>
            </w:pPr>
          </w:p>
        </w:tc>
        <w:tc>
          <w:tcPr>
            <w:tcW w:w="0" w:type="auto"/>
            <w:shd w:val="clear" w:color="auto" w:fill="auto"/>
          </w:tcPr>
          <w:p w14:paraId="20ADFAD4" w14:textId="77777777" w:rsidR="00B626E7" w:rsidRDefault="00B626E7">
            <w:pPr>
              <w:rPr>
                <w:rFonts w:ascii="宋体"/>
              </w:rPr>
            </w:pPr>
          </w:p>
        </w:tc>
        <w:tc>
          <w:tcPr>
            <w:tcW w:w="0" w:type="auto"/>
            <w:shd w:val="clear" w:color="auto" w:fill="auto"/>
          </w:tcPr>
          <w:p w14:paraId="20ADFAD5" w14:textId="77777777" w:rsidR="00B626E7" w:rsidRDefault="00B626E7">
            <w:pPr>
              <w:rPr>
                <w:rFonts w:ascii="宋体"/>
              </w:rPr>
            </w:pPr>
          </w:p>
        </w:tc>
        <w:tc>
          <w:tcPr>
            <w:tcW w:w="0" w:type="auto"/>
            <w:shd w:val="clear" w:color="auto" w:fill="auto"/>
          </w:tcPr>
          <w:p w14:paraId="20ADFAD6" w14:textId="77777777" w:rsidR="00B626E7" w:rsidRDefault="00B626E7">
            <w:pPr>
              <w:rPr>
                <w:rFonts w:ascii="宋体"/>
              </w:rPr>
            </w:pPr>
          </w:p>
        </w:tc>
        <w:tc>
          <w:tcPr>
            <w:tcW w:w="0" w:type="auto"/>
            <w:shd w:val="clear" w:color="auto" w:fill="auto"/>
          </w:tcPr>
          <w:p w14:paraId="20ADFAD7" w14:textId="77777777" w:rsidR="00B626E7" w:rsidRDefault="00B626E7">
            <w:pPr>
              <w:rPr>
                <w:rFonts w:ascii="宋体"/>
              </w:rPr>
            </w:pPr>
          </w:p>
        </w:tc>
        <w:tc>
          <w:tcPr>
            <w:tcW w:w="0" w:type="auto"/>
            <w:shd w:val="clear" w:color="auto" w:fill="auto"/>
          </w:tcPr>
          <w:p w14:paraId="20ADFAD8" w14:textId="77777777" w:rsidR="00B626E7" w:rsidRDefault="00B626E7">
            <w:pPr>
              <w:rPr>
                <w:rFonts w:ascii="宋体"/>
              </w:rPr>
            </w:pPr>
          </w:p>
        </w:tc>
        <w:tc>
          <w:tcPr>
            <w:tcW w:w="0" w:type="auto"/>
            <w:shd w:val="clear" w:color="auto" w:fill="auto"/>
          </w:tcPr>
          <w:p w14:paraId="20ADFAD9" w14:textId="77777777" w:rsidR="00B626E7" w:rsidRDefault="00B626E7">
            <w:pPr>
              <w:rPr>
                <w:rFonts w:ascii="宋体"/>
              </w:rPr>
            </w:pPr>
          </w:p>
        </w:tc>
        <w:tc>
          <w:tcPr>
            <w:tcW w:w="0" w:type="auto"/>
            <w:shd w:val="clear" w:color="auto" w:fill="auto"/>
          </w:tcPr>
          <w:p w14:paraId="20ADFADA" w14:textId="77777777" w:rsidR="00B626E7" w:rsidRDefault="00B626E7">
            <w:pPr>
              <w:rPr>
                <w:rFonts w:ascii="宋体"/>
              </w:rPr>
            </w:pPr>
          </w:p>
        </w:tc>
        <w:tc>
          <w:tcPr>
            <w:tcW w:w="0" w:type="auto"/>
            <w:shd w:val="clear" w:color="auto" w:fill="auto"/>
          </w:tcPr>
          <w:p w14:paraId="20ADFADB" w14:textId="77777777" w:rsidR="00B626E7" w:rsidRDefault="00B626E7">
            <w:pPr>
              <w:rPr>
                <w:rFonts w:ascii="宋体"/>
              </w:rPr>
            </w:pPr>
          </w:p>
        </w:tc>
      </w:tr>
      <w:tr w:rsidR="00B626E7" w14:paraId="20ADFAFA" w14:textId="77777777">
        <w:tc>
          <w:tcPr>
            <w:tcW w:w="0" w:type="auto"/>
            <w:gridSpan w:val="3"/>
            <w:shd w:val="clear" w:color="auto" w:fill="auto"/>
            <w:tcMar>
              <w:top w:w="40" w:type="dxa"/>
              <w:left w:w="20" w:type="dxa"/>
              <w:bottom w:w="40" w:type="dxa"/>
              <w:right w:w="20" w:type="dxa"/>
            </w:tcMar>
          </w:tcPr>
          <w:p w14:paraId="20ADFADD" w14:textId="77777777" w:rsidR="00B626E7" w:rsidRDefault="00175C1D">
            <w:pPr>
              <w:ind w:hanging="180"/>
              <w:textAlignment w:val="top"/>
            </w:pPr>
            <w:r>
              <w:rPr>
                <w:rFonts w:ascii="Arial" w:eastAsia="宋体" w:hAnsi="Arial" w:cs="Arial"/>
                <w:b/>
                <w:bCs/>
                <w:color w:val="333333"/>
                <w:sz w:val="18"/>
                <w:szCs w:val="18"/>
              </w:rPr>
              <w:t>Earnings per share—diluted</w:t>
            </w:r>
          </w:p>
        </w:tc>
        <w:tc>
          <w:tcPr>
            <w:tcW w:w="0" w:type="auto"/>
            <w:gridSpan w:val="3"/>
            <w:shd w:val="clear" w:color="auto" w:fill="auto"/>
            <w:tcMar>
              <w:left w:w="20" w:type="dxa"/>
              <w:right w:w="20" w:type="dxa"/>
            </w:tcMar>
            <w:vAlign w:val="bottom"/>
          </w:tcPr>
          <w:p w14:paraId="20ADFADE" w14:textId="77777777" w:rsidR="00B626E7" w:rsidRDefault="00B626E7">
            <w:pPr>
              <w:rPr>
                <w:rFonts w:ascii="宋体"/>
              </w:rPr>
            </w:pPr>
          </w:p>
        </w:tc>
        <w:tc>
          <w:tcPr>
            <w:tcW w:w="0" w:type="auto"/>
            <w:tcBorders>
              <w:top w:val="double" w:sz="6" w:space="0" w:color="333333"/>
            </w:tcBorders>
            <w:shd w:val="clear" w:color="auto" w:fill="auto"/>
            <w:tcMar>
              <w:top w:w="40" w:type="dxa"/>
              <w:left w:w="20" w:type="dxa"/>
              <w:bottom w:w="40" w:type="dxa"/>
            </w:tcMar>
            <w:vAlign w:val="bottom"/>
          </w:tcPr>
          <w:p w14:paraId="20ADFADF" w14:textId="77777777" w:rsidR="00B626E7" w:rsidRDefault="00175C1D">
            <w:pPr>
              <w:textAlignment w:val="bottom"/>
            </w:pPr>
            <w:r>
              <w:rPr>
                <w:rFonts w:ascii="Arial" w:eastAsia="宋体" w:hAnsi="Arial" w:cs="Arial"/>
                <w:b/>
                <w:bCs/>
                <w:color w:val="0071C5"/>
                <w:sz w:val="18"/>
                <w:szCs w:val="18"/>
              </w:rPr>
              <w:t>$</w:t>
            </w:r>
          </w:p>
        </w:tc>
        <w:tc>
          <w:tcPr>
            <w:tcW w:w="0" w:type="auto"/>
            <w:tcBorders>
              <w:top w:val="double" w:sz="6" w:space="0" w:color="333333"/>
            </w:tcBorders>
            <w:shd w:val="clear" w:color="auto" w:fill="auto"/>
            <w:tcMar>
              <w:top w:w="40" w:type="dxa"/>
              <w:bottom w:w="40" w:type="dxa"/>
              <w:right w:w="0" w:type="dxa"/>
            </w:tcMar>
            <w:vAlign w:val="bottom"/>
          </w:tcPr>
          <w:p w14:paraId="20ADFAE0" w14:textId="77777777" w:rsidR="00B626E7" w:rsidRDefault="00175C1D">
            <w:pPr>
              <w:jc w:val="right"/>
              <w:textAlignment w:val="bottom"/>
            </w:pPr>
            <w:r>
              <w:rPr>
                <w:rFonts w:ascii="Arial" w:eastAsia="宋体" w:hAnsi="Arial" w:cs="Arial"/>
                <w:b/>
                <w:bCs/>
                <w:color w:val="0071C5"/>
                <w:sz w:val="18"/>
                <w:szCs w:val="18"/>
              </w:rPr>
              <w:t>1.19 </w:t>
            </w:r>
          </w:p>
        </w:tc>
        <w:tc>
          <w:tcPr>
            <w:tcW w:w="0" w:type="auto"/>
            <w:tcBorders>
              <w:top w:val="double" w:sz="6" w:space="0" w:color="333333"/>
            </w:tcBorders>
            <w:shd w:val="clear" w:color="auto" w:fill="auto"/>
            <w:tcMar>
              <w:top w:w="40" w:type="dxa"/>
              <w:bottom w:w="40" w:type="dxa"/>
              <w:right w:w="20" w:type="dxa"/>
            </w:tcMar>
            <w:vAlign w:val="bottom"/>
          </w:tcPr>
          <w:p w14:paraId="20ADFAE1"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DFAE2" w14:textId="77777777" w:rsidR="00B626E7" w:rsidRDefault="00B626E7">
            <w:pPr>
              <w:rPr>
                <w:rFonts w:ascii="宋体"/>
              </w:rPr>
            </w:pPr>
          </w:p>
        </w:tc>
        <w:tc>
          <w:tcPr>
            <w:tcW w:w="0" w:type="auto"/>
            <w:tcBorders>
              <w:top w:val="double" w:sz="6" w:space="0" w:color="333333"/>
            </w:tcBorders>
            <w:shd w:val="clear" w:color="auto" w:fill="auto"/>
            <w:tcMar>
              <w:top w:w="40" w:type="dxa"/>
              <w:left w:w="20" w:type="dxa"/>
              <w:bottom w:w="40" w:type="dxa"/>
            </w:tcMar>
            <w:vAlign w:val="bottom"/>
          </w:tcPr>
          <w:p w14:paraId="20ADFAE3" w14:textId="77777777" w:rsidR="00B626E7" w:rsidRDefault="00175C1D">
            <w:pPr>
              <w:textAlignment w:val="bottom"/>
            </w:pPr>
            <w:r>
              <w:rPr>
                <w:rFonts w:ascii="Arial" w:eastAsia="宋体" w:hAnsi="Arial" w:cs="Arial"/>
                <w:b/>
                <w:bCs/>
                <w:color w:val="333333"/>
                <w:sz w:val="18"/>
                <w:szCs w:val="18"/>
              </w:rPr>
              <w:t>$</w:t>
            </w:r>
          </w:p>
        </w:tc>
        <w:tc>
          <w:tcPr>
            <w:tcW w:w="0" w:type="auto"/>
            <w:tcBorders>
              <w:top w:val="double" w:sz="6" w:space="0" w:color="333333"/>
            </w:tcBorders>
            <w:shd w:val="clear" w:color="auto" w:fill="auto"/>
            <w:tcMar>
              <w:top w:w="40" w:type="dxa"/>
              <w:bottom w:w="40" w:type="dxa"/>
              <w:right w:w="0" w:type="dxa"/>
            </w:tcMar>
            <w:vAlign w:val="bottom"/>
          </w:tcPr>
          <w:p w14:paraId="20ADFAE4" w14:textId="77777777" w:rsidR="00B626E7" w:rsidRDefault="00175C1D">
            <w:pPr>
              <w:jc w:val="right"/>
              <w:textAlignment w:val="bottom"/>
            </w:pPr>
            <w:r>
              <w:rPr>
                <w:rFonts w:ascii="Arial" w:eastAsia="宋体" w:hAnsi="Arial" w:cs="Arial"/>
                <w:b/>
                <w:bCs/>
                <w:color w:val="333333"/>
                <w:sz w:val="18"/>
                <w:szCs w:val="18"/>
              </w:rPr>
              <w:t>0.92 </w:t>
            </w:r>
          </w:p>
        </w:tc>
        <w:tc>
          <w:tcPr>
            <w:tcW w:w="0" w:type="auto"/>
            <w:tcBorders>
              <w:top w:val="double" w:sz="6" w:space="0" w:color="333333"/>
            </w:tcBorders>
            <w:shd w:val="clear" w:color="auto" w:fill="auto"/>
            <w:tcMar>
              <w:top w:w="40" w:type="dxa"/>
              <w:bottom w:w="40" w:type="dxa"/>
              <w:right w:w="20" w:type="dxa"/>
            </w:tcMar>
            <w:vAlign w:val="bottom"/>
          </w:tcPr>
          <w:p w14:paraId="20ADFAE5"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DFAE6" w14:textId="77777777" w:rsidR="00B626E7" w:rsidRDefault="00B626E7">
            <w:pPr>
              <w:rPr>
                <w:rFonts w:ascii="宋体"/>
              </w:rPr>
            </w:pPr>
          </w:p>
        </w:tc>
        <w:tc>
          <w:tcPr>
            <w:tcW w:w="0" w:type="auto"/>
            <w:tcBorders>
              <w:top w:val="double" w:sz="6" w:space="0" w:color="333333"/>
            </w:tcBorders>
            <w:shd w:val="clear" w:color="auto" w:fill="auto"/>
            <w:tcMar>
              <w:top w:w="40" w:type="dxa"/>
              <w:left w:w="20" w:type="dxa"/>
              <w:bottom w:w="40" w:type="dxa"/>
            </w:tcMar>
            <w:vAlign w:val="bottom"/>
          </w:tcPr>
          <w:p w14:paraId="20ADFAE7" w14:textId="77777777" w:rsidR="00B626E7" w:rsidRDefault="00175C1D">
            <w:pPr>
              <w:textAlignment w:val="bottom"/>
            </w:pPr>
            <w:r>
              <w:rPr>
                <w:rFonts w:ascii="Arial" w:eastAsia="宋体" w:hAnsi="Arial" w:cs="Arial"/>
                <w:b/>
                <w:bCs/>
                <w:color w:val="0071C5"/>
                <w:sz w:val="18"/>
                <w:szCs w:val="18"/>
              </w:rPr>
              <w:t>$</w:t>
            </w:r>
          </w:p>
        </w:tc>
        <w:tc>
          <w:tcPr>
            <w:tcW w:w="0" w:type="auto"/>
            <w:tcBorders>
              <w:top w:val="double" w:sz="6" w:space="0" w:color="333333"/>
            </w:tcBorders>
            <w:shd w:val="clear" w:color="auto" w:fill="auto"/>
            <w:tcMar>
              <w:top w:w="40" w:type="dxa"/>
              <w:bottom w:w="40" w:type="dxa"/>
              <w:right w:w="0" w:type="dxa"/>
            </w:tcMar>
            <w:vAlign w:val="bottom"/>
          </w:tcPr>
          <w:p w14:paraId="20ADFAE8" w14:textId="77777777" w:rsidR="00B626E7" w:rsidRDefault="00175C1D">
            <w:pPr>
              <w:jc w:val="right"/>
              <w:textAlignment w:val="bottom"/>
            </w:pPr>
            <w:r>
              <w:rPr>
                <w:rFonts w:ascii="Arial" w:eastAsia="宋体" w:hAnsi="Arial" w:cs="Arial"/>
                <w:b/>
                <w:bCs/>
                <w:color w:val="0071C5"/>
                <w:sz w:val="18"/>
                <w:szCs w:val="18"/>
              </w:rPr>
              <w:t>2.50 </w:t>
            </w:r>
          </w:p>
        </w:tc>
        <w:tc>
          <w:tcPr>
            <w:tcW w:w="0" w:type="auto"/>
            <w:tcBorders>
              <w:top w:val="double" w:sz="6" w:space="0" w:color="333333"/>
            </w:tcBorders>
            <w:shd w:val="clear" w:color="auto" w:fill="auto"/>
            <w:tcMar>
              <w:top w:w="40" w:type="dxa"/>
              <w:bottom w:w="40" w:type="dxa"/>
              <w:right w:w="20" w:type="dxa"/>
            </w:tcMar>
            <w:vAlign w:val="bottom"/>
          </w:tcPr>
          <w:p w14:paraId="20ADFAE9"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DFAEA" w14:textId="77777777" w:rsidR="00B626E7" w:rsidRDefault="00B626E7">
            <w:pPr>
              <w:rPr>
                <w:rFonts w:ascii="宋体"/>
              </w:rPr>
            </w:pPr>
          </w:p>
        </w:tc>
        <w:tc>
          <w:tcPr>
            <w:tcW w:w="0" w:type="auto"/>
            <w:tcBorders>
              <w:top w:val="double" w:sz="6" w:space="0" w:color="333333"/>
            </w:tcBorders>
            <w:shd w:val="clear" w:color="auto" w:fill="auto"/>
            <w:tcMar>
              <w:top w:w="40" w:type="dxa"/>
              <w:left w:w="20" w:type="dxa"/>
              <w:bottom w:w="40" w:type="dxa"/>
            </w:tcMar>
            <w:vAlign w:val="bottom"/>
          </w:tcPr>
          <w:p w14:paraId="20ADFAEB" w14:textId="77777777" w:rsidR="00B626E7" w:rsidRDefault="00175C1D">
            <w:pPr>
              <w:textAlignment w:val="bottom"/>
            </w:pPr>
            <w:r>
              <w:rPr>
                <w:rFonts w:ascii="Arial" w:eastAsia="宋体" w:hAnsi="Arial" w:cs="Arial"/>
                <w:b/>
                <w:bCs/>
                <w:color w:val="333333"/>
                <w:sz w:val="18"/>
                <w:szCs w:val="18"/>
              </w:rPr>
              <w:t>$</w:t>
            </w:r>
          </w:p>
        </w:tc>
        <w:tc>
          <w:tcPr>
            <w:tcW w:w="0" w:type="auto"/>
            <w:tcBorders>
              <w:top w:val="double" w:sz="6" w:space="0" w:color="333333"/>
            </w:tcBorders>
            <w:shd w:val="clear" w:color="auto" w:fill="auto"/>
            <w:tcMar>
              <w:top w:w="40" w:type="dxa"/>
              <w:bottom w:w="40" w:type="dxa"/>
              <w:right w:w="0" w:type="dxa"/>
            </w:tcMar>
            <w:vAlign w:val="bottom"/>
          </w:tcPr>
          <w:p w14:paraId="20ADFAEC" w14:textId="77777777" w:rsidR="00B626E7" w:rsidRDefault="00175C1D">
            <w:pPr>
              <w:jc w:val="right"/>
              <w:textAlignment w:val="bottom"/>
            </w:pPr>
            <w:r>
              <w:rPr>
                <w:rFonts w:ascii="Arial" w:eastAsia="宋体" w:hAnsi="Arial" w:cs="Arial"/>
                <w:b/>
                <w:bCs/>
                <w:color w:val="333333"/>
                <w:sz w:val="18"/>
                <w:szCs w:val="18"/>
              </w:rPr>
              <w:t>1.79 </w:t>
            </w:r>
          </w:p>
        </w:tc>
        <w:tc>
          <w:tcPr>
            <w:tcW w:w="0" w:type="auto"/>
            <w:tcBorders>
              <w:top w:val="double" w:sz="6" w:space="0" w:color="333333"/>
            </w:tcBorders>
            <w:shd w:val="clear" w:color="auto" w:fill="auto"/>
            <w:tcMar>
              <w:top w:w="40" w:type="dxa"/>
              <w:bottom w:w="40" w:type="dxa"/>
              <w:right w:w="20" w:type="dxa"/>
            </w:tcMar>
            <w:vAlign w:val="bottom"/>
          </w:tcPr>
          <w:p w14:paraId="20ADFAED"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DFAEE" w14:textId="77777777" w:rsidR="00B626E7" w:rsidRDefault="00B626E7">
            <w:pPr>
              <w:rPr>
                <w:rFonts w:ascii="宋体"/>
              </w:rPr>
            </w:pPr>
          </w:p>
        </w:tc>
        <w:tc>
          <w:tcPr>
            <w:tcW w:w="0" w:type="auto"/>
            <w:shd w:val="clear" w:color="auto" w:fill="auto"/>
          </w:tcPr>
          <w:p w14:paraId="20ADFAEF" w14:textId="77777777" w:rsidR="00B626E7" w:rsidRDefault="00B626E7">
            <w:pPr>
              <w:rPr>
                <w:rFonts w:ascii="宋体"/>
              </w:rPr>
            </w:pPr>
          </w:p>
        </w:tc>
        <w:tc>
          <w:tcPr>
            <w:tcW w:w="0" w:type="auto"/>
            <w:shd w:val="clear" w:color="auto" w:fill="auto"/>
          </w:tcPr>
          <w:p w14:paraId="20ADFAF0" w14:textId="77777777" w:rsidR="00B626E7" w:rsidRDefault="00B626E7">
            <w:pPr>
              <w:rPr>
                <w:rFonts w:ascii="宋体"/>
              </w:rPr>
            </w:pPr>
          </w:p>
        </w:tc>
        <w:tc>
          <w:tcPr>
            <w:tcW w:w="0" w:type="auto"/>
            <w:shd w:val="clear" w:color="auto" w:fill="auto"/>
          </w:tcPr>
          <w:p w14:paraId="20ADFAF1" w14:textId="77777777" w:rsidR="00B626E7" w:rsidRDefault="00B626E7">
            <w:pPr>
              <w:rPr>
                <w:rFonts w:ascii="宋体"/>
              </w:rPr>
            </w:pPr>
          </w:p>
        </w:tc>
        <w:tc>
          <w:tcPr>
            <w:tcW w:w="0" w:type="auto"/>
            <w:shd w:val="clear" w:color="auto" w:fill="auto"/>
          </w:tcPr>
          <w:p w14:paraId="20ADFAF2" w14:textId="77777777" w:rsidR="00B626E7" w:rsidRDefault="00B626E7">
            <w:pPr>
              <w:rPr>
                <w:rFonts w:ascii="宋体"/>
              </w:rPr>
            </w:pPr>
          </w:p>
        </w:tc>
        <w:tc>
          <w:tcPr>
            <w:tcW w:w="0" w:type="auto"/>
            <w:shd w:val="clear" w:color="auto" w:fill="auto"/>
          </w:tcPr>
          <w:p w14:paraId="20ADFAF3" w14:textId="77777777" w:rsidR="00B626E7" w:rsidRDefault="00B626E7">
            <w:pPr>
              <w:rPr>
                <w:rFonts w:ascii="宋体"/>
              </w:rPr>
            </w:pPr>
          </w:p>
        </w:tc>
        <w:tc>
          <w:tcPr>
            <w:tcW w:w="0" w:type="auto"/>
            <w:shd w:val="clear" w:color="auto" w:fill="auto"/>
          </w:tcPr>
          <w:p w14:paraId="20ADFAF4" w14:textId="77777777" w:rsidR="00B626E7" w:rsidRDefault="00B626E7">
            <w:pPr>
              <w:rPr>
                <w:rFonts w:ascii="宋体"/>
              </w:rPr>
            </w:pPr>
          </w:p>
        </w:tc>
        <w:tc>
          <w:tcPr>
            <w:tcW w:w="0" w:type="auto"/>
            <w:shd w:val="clear" w:color="auto" w:fill="auto"/>
          </w:tcPr>
          <w:p w14:paraId="20ADFAF5" w14:textId="77777777" w:rsidR="00B626E7" w:rsidRDefault="00B626E7">
            <w:pPr>
              <w:rPr>
                <w:rFonts w:ascii="宋体"/>
              </w:rPr>
            </w:pPr>
          </w:p>
        </w:tc>
        <w:tc>
          <w:tcPr>
            <w:tcW w:w="0" w:type="auto"/>
            <w:shd w:val="clear" w:color="auto" w:fill="auto"/>
          </w:tcPr>
          <w:p w14:paraId="20ADFAF6" w14:textId="77777777" w:rsidR="00B626E7" w:rsidRDefault="00B626E7">
            <w:pPr>
              <w:rPr>
                <w:rFonts w:ascii="宋体"/>
              </w:rPr>
            </w:pPr>
          </w:p>
        </w:tc>
        <w:tc>
          <w:tcPr>
            <w:tcW w:w="0" w:type="auto"/>
            <w:shd w:val="clear" w:color="auto" w:fill="auto"/>
          </w:tcPr>
          <w:p w14:paraId="20ADFAF7" w14:textId="77777777" w:rsidR="00B626E7" w:rsidRDefault="00B626E7">
            <w:pPr>
              <w:rPr>
                <w:rFonts w:ascii="宋体"/>
              </w:rPr>
            </w:pPr>
          </w:p>
        </w:tc>
        <w:tc>
          <w:tcPr>
            <w:tcW w:w="0" w:type="auto"/>
            <w:shd w:val="clear" w:color="auto" w:fill="auto"/>
          </w:tcPr>
          <w:p w14:paraId="20ADFAF8" w14:textId="77777777" w:rsidR="00B626E7" w:rsidRDefault="00B626E7">
            <w:pPr>
              <w:rPr>
                <w:rFonts w:ascii="宋体"/>
              </w:rPr>
            </w:pPr>
          </w:p>
        </w:tc>
        <w:tc>
          <w:tcPr>
            <w:tcW w:w="0" w:type="auto"/>
            <w:shd w:val="clear" w:color="auto" w:fill="auto"/>
          </w:tcPr>
          <w:p w14:paraId="20ADFAF9" w14:textId="77777777" w:rsidR="00B626E7" w:rsidRDefault="00B626E7">
            <w:pPr>
              <w:rPr>
                <w:rFonts w:ascii="宋体"/>
              </w:rPr>
            </w:pPr>
          </w:p>
        </w:tc>
      </w:tr>
      <w:tr w:rsidR="00B626E7" w14:paraId="20ADFB10" w14:textId="77777777">
        <w:trPr>
          <w:hidden/>
        </w:trPr>
        <w:tc>
          <w:tcPr>
            <w:tcW w:w="0" w:type="auto"/>
            <w:gridSpan w:val="3"/>
            <w:shd w:val="clear" w:color="auto" w:fill="auto"/>
          </w:tcPr>
          <w:p w14:paraId="20ADFAFB" w14:textId="77777777" w:rsidR="00B626E7" w:rsidRDefault="00B626E7">
            <w:pPr>
              <w:rPr>
                <w:rFonts w:ascii="宋体"/>
                <w:vanish/>
              </w:rPr>
            </w:pPr>
          </w:p>
        </w:tc>
        <w:tc>
          <w:tcPr>
            <w:tcW w:w="0" w:type="auto"/>
            <w:gridSpan w:val="3"/>
            <w:shd w:val="clear" w:color="auto" w:fill="auto"/>
          </w:tcPr>
          <w:p w14:paraId="20ADFAFC" w14:textId="77777777" w:rsidR="00B626E7" w:rsidRDefault="00B626E7">
            <w:pPr>
              <w:rPr>
                <w:rFonts w:ascii="宋体"/>
                <w:vanish/>
              </w:rPr>
            </w:pPr>
          </w:p>
        </w:tc>
        <w:tc>
          <w:tcPr>
            <w:tcW w:w="0" w:type="auto"/>
            <w:gridSpan w:val="3"/>
            <w:shd w:val="clear" w:color="auto" w:fill="auto"/>
          </w:tcPr>
          <w:p w14:paraId="20ADFAFD" w14:textId="77777777" w:rsidR="00B626E7" w:rsidRDefault="00B626E7">
            <w:pPr>
              <w:rPr>
                <w:rFonts w:ascii="宋体"/>
                <w:vanish/>
              </w:rPr>
            </w:pPr>
          </w:p>
        </w:tc>
        <w:tc>
          <w:tcPr>
            <w:tcW w:w="0" w:type="auto"/>
            <w:gridSpan w:val="3"/>
            <w:shd w:val="clear" w:color="auto" w:fill="auto"/>
          </w:tcPr>
          <w:p w14:paraId="20ADFAFE" w14:textId="77777777" w:rsidR="00B626E7" w:rsidRDefault="00B626E7">
            <w:pPr>
              <w:rPr>
                <w:rFonts w:ascii="宋体"/>
                <w:vanish/>
              </w:rPr>
            </w:pPr>
          </w:p>
        </w:tc>
        <w:tc>
          <w:tcPr>
            <w:tcW w:w="0" w:type="auto"/>
            <w:gridSpan w:val="3"/>
            <w:shd w:val="clear" w:color="auto" w:fill="auto"/>
          </w:tcPr>
          <w:p w14:paraId="20ADFAFF" w14:textId="77777777" w:rsidR="00B626E7" w:rsidRDefault="00B626E7">
            <w:pPr>
              <w:rPr>
                <w:rFonts w:ascii="宋体"/>
                <w:vanish/>
              </w:rPr>
            </w:pPr>
          </w:p>
        </w:tc>
        <w:tc>
          <w:tcPr>
            <w:tcW w:w="0" w:type="auto"/>
            <w:gridSpan w:val="3"/>
            <w:shd w:val="clear" w:color="auto" w:fill="auto"/>
          </w:tcPr>
          <w:p w14:paraId="20ADFB00" w14:textId="77777777" w:rsidR="00B626E7" w:rsidRDefault="00B626E7">
            <w:pPr>
              <w:rPr>
                <w:rFonts w:ascii="宋体"/>
                <w:vanish/>
              </w:rPr>
            </w:pPr>
          </w:p>
        </w:tc>
        <w:tc>
          <w:tcPr>
            <w:tcW w:w="0" w:type="auto"/>
            <w:gridSpan w:val="3"/>
            <w:shd w:val="clear" w:color="auto" w:fill="auto"/>
          </w:tcPr>
          <w:p w14:paraId="20ADFB01" w14:textId="77777777" w:rsidR="00B626E7" w:rsidRDefault="00B626E7">
            <w:pPr>
              <w:rPr>
                <w:rFonts w:ascii="宋体"/>
                <w:vanish/>
              </w:rPr>
            </w:pPr>
          </w:p>
        </w:tc>
        <w:tc>
          <w:tcPr>
            <w:tcW w:w="0" w:type="auto"/>
            <w:gridSpan w:val="3"/>
            <w:shd w:val="clear" w:color="auto" w:fill="auto"/>
          </w:tcPr>
          <w:p w14:paraId="20ADFB02" w14:textId="77777777" w:rsidR="00B626E7" w:rsidRDefault="00B626E7">
            <w:pPr>
              <w:rPr>
                <w:rFonts w:ascii="宋体"/>
                <w:vanish/>
              </w:rPr>
            </w:pPr>
          </w:p>
        </w:tc>
        <w:tc>
          <w:tcPr>
            <w:tcW w:w="0" w:type="auto"/>
            <w:gridSpan w:val="3"/>
            <w:shd w:val="clear" w:color="auto" w:fill="auto"/>
          </w:tcPr>
          <w:p w14:paraId="20ADFB03" w14:textId="77777777" w:rsidR="00B626E7" w:rsidRDefault="00B626E7">
            <w:pPr>
              <w:rPr>
                <w:rFonts w:ascii="宋体"/>
                <w:vanish/>
              </w:rPr>
            </w:pPr>
          </w:p>
        </w:tc>
        <w:tc>
          <w:tcPr>
            <w:tcW w:w="0" w:type="auto"/>
            <w:shd w:val="clear" w:color="auto" w:fill="auto"/>
          </w:tcPr>
          <w:p w14:paraId="20ADFB04" w14:textId="77777777" w:rsidR="00B626E7" w:rsidRDefault="00B626E7">
            <w:pPr>
              <w:rPr>
                <w:rFonts w:ascii="宋体"/>
              </w:rPr>
            </w:pPr>
          </w:p>
        </w:tc>
        <w:tc>
          <w:tcPr>
            <w:tcW w:w="0" w:type="auto"/>
            <w:shd w:val="clear" w:color="auto" w:fill="auto"/>
          </w:tcPr>
          <w:p w14:paraId="20ADFB05" w14:textId="77777777" w:rsidR="00B626E7" w:rsidRDefault="00B626E7">
            <w:pPr>
              <w:rPr>
                <w:rFonts w:ascii="宋体"/>
              </w:rPr>
            </w:pPr>
          </w:p>
        </w:tc>
        <w:tc>
          <w:tcPr>
            <w:tcW w:w="0" w:type="auto"/>
            <w:shd w:val="clear" w:color="auto" w:fill="auto"/>
          </w:tcPr>
          <w:p w14:paraId="20ADFB06" w14:textId="77777777" w:rsidR="00B626E7" w:rsidRDefault="00B626E7">
            <w:pPr>
              <w:rPr>
                <w:rFonts w:ascii="宋体"/>
              </w:rPr>
            </w:pPr>
          </w:p>
        </w:tc>
        <w:tc>
          <w:tcPr>
            <w:tcW w:w="0" w:type="auto"/>
            <w:shd w:val="clear" w:color="auto" w:fill="auto"/>
          </w:tcPr>
          <w:p w14:paraId="20ADFB07" w14:textId="77777777" w:rsidR="00B626E7" w:rsidRDefault="00B626E7">
            <w:pPr>
              <w:rPr>
                <w:rFonts w:ascii="宋体"/>
              </w:rPr>
            </w:pPr>
          </w:p>
        </w:tc>
        <w:tc>
          <w:tcPr>
            <w:tcW w:w="0" w:type="auto"/>
            <w:shd w:val="clear" w:color="auto" w:fill="auto"/>
          </w:tcPr>
          <w:p w14:paraId="20ADFB08" w14:textId="77777777" w:rsidR="00B626E7" w:rsidRDefault="00B626E7">
            <w:pPr>
              <w:rPr>
                <w:rFonts w:ascii="宋体"/>
              </w:rPr>
            </w:pPr>
          </w:p>
        </w:tc>
        <w:tc>
          <w:tcPr>
            <w:tcW w:w="0" w:type="auto"/>
            <w:shd w:val="clear" w:color="auto" w:fill="auto"/>
          </w:tcPr>
          <w:p w14:paraId="20ADFB09" w14:textId="77777777" w:rsidR="00B626E7" w:rsidRDefault="00B626E7">
            <w:pPr>
              <w:rPr>
                <w:rFonts w:ascii="宋体"/>
              </w:rPr>
            </w:pPr>
          </w:p>
        </w:tc>
        <w:tc>
          <w:tcPr>
            <w:tcW w:w="0" w:type="auto"/>
            <w:shd w:val="clear" w:color="auto" w:fill="auto"/>
          </w:tcPr>
          <w:p w14:paraId="20ADFB0A" w14:textId="77777777" w:rsidR="00B626E7" w:rsidRDefault="00B626E7">
            <w:pPr>
              <w:rPr>
                <w:rFonts w:ascii="宋体"/>
              </w:rPr>
            </w:pPr>
          </w:p>
        </w:tc>
        <w:tc>
          <w:tcPr>
            <w:tcW w:w="0" w:type="auto"/>
            <w:shd w:val="clear" w:color="auto" w:fill="auto"/>
          </w:tcPr>
          <w:p w14:paraId="20ADFB0B" w14:textId="77777777" w:rsidR="00B626E7" w:rsidRDefault="00B626E7">
            <w:pPr>
              <w:rPr>
                <w:rFonts w:ascii="宋体"/>
              </w:rPr>
            </w:pPr>
          </w:p>
        </w:tc>
        <w:tc>
          <w:tcPr>
            <w:tcW w:w="0" w:type="auto"/>
            <w:shd w:val="clear" w:color="auto" w:fill="auto"/>
          </w:tcPr>
          <w:p w14:paraId="20ADFB0C" w14:textId="77777777" w:rsidR="00B626E7" w:rsidRDefault="00B626E7">
            <w:pPr>
              <w:rPr>
                <w:rFonts w:ascii="宋体"/>
              </w:rPr>
            </w:pPr>
          </w:p>
        </w:tc>
        <w:tc>
          <w:tcPr>
            <w:tcW w:w="0" w:type="auto"/>
            <w:shd w:val="clear" w:color="auto" w:fill="auto"/>
          </w:tcPr>
          <w:p w14:paraId="20ADFB0D" w14:textId="77777777" w:rsidR="00B626E7" w:rsidRDefault="00B626E7">
            <w:pPr>
              <w:rPr>
                <w:rFonts w:ascii="宋体"/>
              </w:rPr>
            </w:pPr>
          </w:p>
        </w:tc>
        <w:tc>
          <w:tcPr>
            <w:tcW w:w="0" w:type="auto"/>
            <w:shd w:val="clear" w:color="auto" w:fill="auto"/>
          </w:tcPr>
          <w:p w14:paraId="20ADFB0E" w14:textId="77777777" w:rsidR="00B626E7" w:rsidRDefault="00B626E7">
            <w:pPr>
              <w:rPr>
                <w:rFonts w:ascii="宋体"/>
              </w:rPr>
            </w:pPr>
          </w:p>
        </w:tc>
        <w:tc>
          <w:tcPr>
            <w:tcW w:w="0" w:type="auto"/>
            <w:shd w:val="clear" w:color="auto" w:fill="auto"/>
          </w:tcPr>
          <w:p w14:paraId="20ADFB0F" w14:textId="77777777" w:rsidR="00B626E7" w:rsidRDefault="00B626E7">
            <w:pPr>
              <w:rPr>
                <w:rFonts w:ascii="宋体"/>
              </w:rPr>
            </w:pPr>
          </w:p>
        </w:tc>
      </w:tr>
      <w:tr w:rsidR="00B626E7" w14:paraId="20ADFB26" w14:textId="77777777">
        <w:tc>
          <w:tcPr>
            <w:tcW w:w="0" w:type="auto"/>
            <w:gridSpan w:val="3"/>
            <w:shd w:val="clear" w:color="auto" w:fill="auto"/>
            <w:tcMar>
              <w:top w:w="40" w:type="dxa"/>
              <w:left w:w="20" w:type="dxa"/>
              <w:bottom w:w="40" w:type="dxa"/>
              <w:right w:w="20" w:type="dxa"/>
            </w:tcMar>
          </w:tcPr>
          <w:p w14:paraId="20ADFB11" w14:textId="77777777" w:rsidR="00B626E7" w:rsidRDefault="00175C1D">
            <w:pPr>
              <w:ind w:hanging="180"/>
              <w:textAlignment w:val="top"/>
            </w:pPr>
            <w:r>
              <w:rPr>
                <w:rFonts w:ascii="Arial" w:eastAsia="宋体" w:hAnsi="Arial" w:cs="Arial"/>
                <w:color w:val="333333"/>
                <w:sz w:val="18"/>
                <w:szCs w:val="18"/>
              </w:rPr>
              <w:t>Weighted average shares of common stock outstanding:</w:t>
            </w:r>
          </w:p>
        </w:tc>
        <w:tc>
          <w:tcPr>
            <w:tcW w:w="0" w:type="auto"/>
            <w:gridSpan w:val="3"/>
            <w:shd w:val="clear" w:color="auto" w:fill="auto"/>
            <w:tcMar>
              <w:left w:w="20" w:type="dxa"/>
              <w:right w:w="20" w:type="dxa"/>
            </w:tcMar>
            <w:vAlign w:val="bottom"/>
          </w:tcPr>
          <w:p w14:paraId="20ADFB12" w14:textId="77777777" w:rsidR="00B626E7" w:rsidRDefault="00B626E7">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20ADFB13"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DFB14" w14:textId="77777777" w:rsidR="00B626E7" w:rsidRDefault="00B626E7">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20ADFB15"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DFB16" w14:textId="77777777" w:rsidR="00B626E7" w:rsidRDefault="00B626E7">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20ADFB17"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DFB18" w14:textId="77777777" w:rsidR="00B626E7" w:rsidRDefault="00B626E7">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20ADFB19" w14:textId="77777777" w:rsidR="00B626E7" w:rsidRDefault="00B626E7">
            <w:pPr>
              <w:rPr>
                <w:rFonts w:ascii="宋体"/>
              </w:rPr>
            </w:pPr>
          </w:p>
        </w:tc>
        <w:tc>
          <w:tcPr>
            <w:tcW w:w="0" w:type="auto"/>
            <w:shd w:val="clear" w:color="auto" w:fill="auto"/>
          </w:tcPr>
          <w:p w14:paraId="20ADFB1A" w14:textId="77777777" w:rsidR="00B626E7" w:rsidRDefault="00B626E7">
            <w:pPr>
              <w:rPr>
                <w:rFonts w:ascii="宋体"/>
              </w:rPr>
            </w:pPr>
          </w:p>
        </w:tc>
        <w:tc>
          <w:tcPr>
            <w:tcW w:w="0" w:type="auto"/>
            <w:shd w:val="clear" w:color="auto" w:fill="auto"/>
          </w:tcPr>
          <w:p w14:paraId="20ADFB1B" w14:textId="77777777" w:rsidR="00B626E7" w:rsidRDefault="00B626E7">
            <w:pPr>
              <w:rPr>
                <w:rFonts w:ascii="宋体"/>
              </w:rPr>
            </w:pPr>
          </w:p>
        </w:tc>
        <w:tc>
          <w:tcPr>
            <w:tcW w:w="0" w:type="auto"/>
            <w:shd w:val="clear" w:color="auto" w:fill="auto"/>
          </w:tcPr>
          <w:p w14:paraId="20ADFB1C" w14:textId="77777777" w:rsidR="00B626E7" w:rsidRDefault="00B626E7">
            <w:pPr>
              <w:rPr>
                <w:rFonts w:ascii="宋体"/>
              </w:rPr>
            </w:pPr>
          </w:p>
        </w:tc>
        <w:tc>
          <w:tcPr>
            <w:tcW w:w="0" w:type="auto"/>
            <w:shd w:val="clear" w:color="auto" w:fill="auto"/>
          </w:tcPr>
          <w:p w14:paraId="20ADFB1D" w14:textId="77777777" w:rsidR="00B626E7" w:rsidRDefault="00B626E7">
            <w:pPr>
              <w:rPr>
                <w:rFonts w:ascii="宋体"/>
              </w:rPr>
            </w:pPr>
          </w:p>
        </w:tc>
        <w:tc>
          <w:tcPr>
            <w:tcW w:w="0" w:type="auto"/>
            <w:shd w:val="clear" w:color="auto" w:fill="auto"/>
          </w:tcPr>
          <w:p w14:paraId="20ADFB1E" w14:textId="77777777" w:rsidR="00B626E7" w:rsidRDefault="00B626E7">
            <w:pPr>
              <w:rPr>
                <w:rFonts w:ascii="宋体"/>
              </w:rPr>
            </w:pPr>
          </w:p>
        </w:tc>
        <w:tc>
          <w:tcPr>
            <w:tcW w:w="0" w:type="auto"/>
            <w:shd w:val="clear" w:color="auto" w:fill="auto"/>
          </w:tcPr>
          <w:p w14:paraId="20ADFB1F" w14:textId="77777777" w:rsidR="00B626E7" w:rsidRDefault="00B626E7">
            <w:pPr>
              <w:rPr>
                <w:rFonts w:ascii="宋体"/>
              </w:rPr>
            </w:pPr>
          </w:p>
        </w:tc>
        <w:tc>
          <w:tcPr>
            <w:tcW w:w="0" w:type="auto"/>
            <w:shd w:val="clear" w:color="auto" w:fill="auto"/>
          </w:tcPr>
          <w:p w14:paraId="20ADFB20" w14:textId="77777777" w:rsidR="00B626E7" w:rsidRDefault="00B626E7">
            <w:pPr>
              <w:rPr>
                <w:rFonts w:ascii="宋体"/>
              </w:rPr>
            </w:pPr>
          </w:p>
        </w:tc>
        <w:tc>
          <w:tcPr>
            <w:tcW w:w="0" w:type="auto"/>
            <w:shd w:val="clear" w:color="auto" w:fill="auto"/>
          </w:tcPr>
          <w:p w14:paraId="20ADFB21" w14:textId="77777777" w:rsidR="00B626E7" w:rsidRDefault="00B626E7">
            <w:pPr>
              <w:rPr>
                <w:rFonts w:ascii="宋体"/>
              </w:rPr>
            </w:pPr>
          </w:p>
        </w:tc>
        <w:tc>
          <w:tcPr>
            <w:tcW w:w="0" w:type="auto"/>
            <w:shd w:val="clear" w:color="auto" w:fill="auto"/>
          </w:tcPr>
          <w:p w14:paraId="20ADFB22" w14:textId="77777777" w:rsidR="00B626E7" w:rsidRDefault="00B626E7">
            <w:pPr>
              <w:rPr>
                <w:rFonts w:ascii="宋体"/>
              </w:rPr>
            </w:pPr>
          </w:p>
        </w:tc>
        <w:tc>
          <w:tcPr>
            <w:tcW w:w="0" w:type="auto"/>
            <w:shd w:val="clear" w:color="auto" w:fill="auto"/>
          </w:tcPr>
          <w:p w14:paraId="20ADFB23" w14:textId="77777777" w:rsidR="00B626E7" w:rsidRDefault="00B626E7">
            <w:pPr>
              <w:rPr>
                <w:rFonts w:ascii="宋体"/>
              </w:rPr>
            </w:pPr>
          </w:p>
        </w:tc>
        <w:tc>
          <w:tcPr>
            <w:tcW w:w="0" w:type="auto"/>
            <w:shd w:val="clear" w:color="auto" w:fill="auto"/>
          </w:tcPr>
          <w:p w14:paraId="20ADFB24" w14:textId="77777777" w:rsidR="00B626E7" w:rsidRDefault="00B626E7">
            <w:pPr>
              <w:rPr>
                <w:rFonts w:ascii="宋体"/>
              </w:rPr>
            </w:pPr>
          </w:p>
        </w:tc>
        <w:tc>
          <w:tcPr>
            <w:tcW w:w="0" w:type="auto"/>
            <w:shd w:val="clear" w:color="auto" w:fill="auto"/>
          </w:tcPr>
          <w:p w14:paraId="20ADFB25" w14:textId="77777777" w:rsidR="00B626E7" w:rsidRDefault="00B626E7">
            <w:pPr>
              <w:rPr>
                <w:rFonts w:ascii="宋体"/>
              </w:rPr>
            </w:pPr>
          </w:p>
        </w:tc>
      </w:tr>
      <w:tr w:rsidR="00B626E7" w14:paraId="20ADFB40" w14:textId="77777777">
        <w:tc>
          <w:tcPr>
            <w:tcW w:w="0" w:type="auto"/>
            <w:gridSpan w:val="3"/>
            <w:shd w:val="clear" w:color="auto" w:fill="auto"/>
            <w:tcMar>
              <w:top w:w="40" w:type="dxa"/>
              <w:left w:w="20" w:type="dxa"/>
              <w:bottom w:w="40" w:type="dxa"/>
              <w:right w:w="20" w:type="dxa"/>
            </w:tcMar>
          </w:tcPr>
          <w:p w14:paraId="20ADFB27" w14:textId="77777777" w:rsidR="00B626E7" w:rsidRDefault="00175C1D">
            <w:pPr>
              <w:ind w:hanging="180"/>
              <w:textAlignment w:val="top"/>
            </w:pPr>
            <w:r>
              <w:rPr>
                <w:rFonts w:ascii="Arial" w:eastAsia="宋体" w:hAnsi="Arial" w:cs="Arial"/>
                <w:b/>
                <w:bCs/>
                <w:color w:val="333333"/>
                <w:sz w:val="18"/>
                <w:szCs w:val="18"/>
              </w:rPr>
              <w:t>Basic</w:t>
            </w:r>
          </w:p>
        </w:tc>
        <w:tc>
          <w:tcPr>
            <w:tcW w:w="0" w:type="auto"/>
            <w:gridSpan w:val="3"/>
            <w:shd w:val="clear" w:color="auto" w:fill="auto"/>
            <w:tcMar>
              <w:left w:w="20" w:type="dxa"/>
              <w:right w:w="20" w:type="dxa"/>
            </w:tcMar>
            <w:vAlign w:val="bottom"/>
          </w:tcPr>
          <w:p w14:paraId="20ADFB28"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B29" w14:textId="77777777" w:rsidR="00B626E7" w:rsidRDefault="00175C1D">
            <w:pPr>
              <w:jc w:val="right"/>
              <w:textAlignment w:val="bottom"/>
            </w:pPr>
            <w:r>
              <w:rPr>
                <w:rFonts w:ascii="Arial" w:eastAsia="宋体" w:hAnsi="Arial" w:cs="Arial"/>
                <w:b/>
                <w:bCs/>
                <w:color w:val="0071C5"/>
                <w:sz w:val="18"/>
                <w:szCs w:val="18"/>
              </w:rPr>
              <w:t>4,246 </w:t>
            </w:r>
          </w:p>
        </w:tc>
        <w:tc>
          <w:tcPr>
            <w:tcW w:w="0" w:type="auto"/>
            <w:shd w:val="clear" w:color="auto" w:fill="auto"/>
            <w:tcMar>
              <w:top w:w="40" w:type="dxa"/>
              <w:bottom w:w="40" w:type="dxa"/>
              <w:right w:w="20" w:type="dxa"/>
            </w:tcMar>
            <w:vAlign w:val="bottom"/>
          </w:tcPr>
          <w:p w14:paraId="20ADFB2A"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DFB2B"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B2C" w14:textId="77777777" w:rsidR="00B626E7" w:rsidRDefault="00175C1D">
            <w:pPr>
              <w:jc w:val="right"/>
              <w:textAlignment w:val="bottom"/>
            </w:pPr>
            <w:r>
              <w:rPr>
                <w:rFonts w:ascii="Arial" w:eastAsia="宋体" w:hAnsi="Arial" w:cs="Arial"/>
                <w:b/>
                <w:bCs/>
                <w:color w:val="333333"/>
                <w:sz w:val="18"/>
                <w:szCs w:val="18"/>
              </w:rPr>
              <w:t>4,466 </w:t>
            </w:r>
          </w:p>
        </w:tc>
        <w:tc>
          <w:tcPr>
            <w:tcW w:w="0" w:type="auto"/>
            <w:shd w:val="clear" w:color="auto" w:fill="auto"/>
            <w:tcMar>
              <w:top w:w="40" w:type="dxa"/>
              <w:bottom w:w="40" w:type="dxa"/>
              <w:right w:w="20" w:type="dxa"/>
            </w:tcMar>
            <w:vAlign w:val="bottom"/>
          </w:tcPr>
          <w:p w14:paraId="20ADFB2D"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DFB2E"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B2F" w14:textId="77777777" w:rsidR="00B626E7" w:rsidRDefault="00175C1D">
            <w:pPr>
              <w:jc w:val="right"/>
              <w:textAlignment w:val="bottom"/>
            </w:pPr>
            <w:r>
              <w:rPr>
                <w:rFonts w:ascii="Arial" w:eastAsia="宋体" w:hAnsi="Arial" w:cs="Arial"/>
                <w:b/>
                <w:bCs/>
                <w:color w:val="0071C5"/>
                <w:sz w:val="18"/>
                <w:szCs w:val="18"/>
              </w:rPr>
              <w:t>4,256 </w:t>
            </w:r>
          </w:p>
        </w:tc>
        <w:tc>
          <w:tcPr>
            <w:tcW w:w="0" w:type="auto"/>
            <w:shd w:val="clear" w:color="auto" w:fill="auto"/>
            <w:tcMar>
              <w:top w:w="40" w:type="dxa"/>
              <w:bottom w:w="40" w:type="dxa"/>
              <w:right w:w="20" w:type="dxa"/>
            </w:tcMar>
            <w:vAlign w:val="bottom"/>
          </w:tcPr>
          <w:p w14:paraId="20ADFB30"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DFB31"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B32" w14:textId="77777777" w:rsidR="00B626E7" w:rsidRDefault="00175C1D">
            <w:pPr>
              <w:jc w:val="right"/>
              <w:textAlignment w:val="bottom"/>
            </w:pPr>
            <w:r>
              <w:rPr>
                <w:rFonts w:ascii="Arial" w:eastAsia="宋体" w:hAnsi="Arial" w:cs="Arial"/>
                <w:b/>
                <w:bCs/>
                <w:color w:val="333333"/>
                <w:sz w:val="18"/>
                <w:szCs w:val="18"/>
              </w:rPr>
              <w:t>4,479 </w:t>
            </w:r>
          </w:p>
        </w:tc>
        <w:tc>
          <w:tcPr>
            <w:tcW w:w="0" w:type="auto"/>
            <w:shd w:val="clear" w:color="auto" w:fill="auto"/>
            <w:tcMar>
              <w:top w:w="40" w:type="dxa"/>
              <w:bottom w:w="40" w:type="dxa"/>
              <w:right w:w="20" w:type="dxa"/>
            </w:tcMar>
            <w:vAlign w:val="bottom"/>
          </w:tcPr>
          <w:p w14:paraId="20ADFB33"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DFB34" w14:textId="77777777" w:rsidR="00B626E7" w:rsidRDefault="00B626E7">
            <w:pPr>
              <w:rPr>
                <w:rFonts w:ascii="宋体"/>
              </w:rPr>
            </w:pPr>
          </w:p>
        </w:tc>
        <w:tc>
          <w:tcPr>
            <w:tcW w:w="0" w:type="auto"/>
            <w:shd w:val="clear" w:color="auto" w:fill="auto"/>
          </w:tcPr>
          <w:p w14:paraId="20ADFB35" w14:textId="77777777" w:rsidR="00B626E7" w:rsidRDefault="00B626E7">
            <w:pPr>
              <w:rPr>
                <w:rFonts w:ascii="宋体"/>
              </w:rPr>
            </w:pPr>
          </w:p>
        </w:tc>
        <w:tc>
          <w:tcPr>
            <w:tcW w:w="0" w:type="auto"/>
            <w:shd w:val="clear" w:color="auto" w:fill="auto"/>
          </w:tcPr>
          <w:p w14:paraId="20ADFB36" w14:textId="77777777" w:rsidR="00B626E7" w:rsidRDefault="00B626E7">
            <w:pPr>
              <w:rPr>
                <w:rFonts w:ascii="宋体"/>
              </w:rPr>
            </w:pPr>
          </w:p>
        </w:tc>
        <w:tc>
          <w:tcPr>
            <w:tcW w:w="0" w:type="auto"/>
            <w:shd w:val="clear" w:color="auto" w:fill="auto"/>
          </w:tcPr>
          <w:p w14:paraId="20ADFB37" w14:textId="77777777" w:rsidR="00B626E7" w:rsidRDefault="00B626E7">
            <w:pPr>
              <w:rPr>
                <w:rFonts w:ascii="宋体"/>
              </w:rPr>
            </w:pPr>
          </w:p>
        </w:tc>
        <w:tc>
          <w:tcPr>
            <w:tcW w:w="0" w:type="auto"/>
            <w:shd w:val="clear" w:color="auto" w:fill="auto"/>
          </w:tcPr>
          <w:p w14:paraId="20ADFB38" w14:textId="77777777" w:rsidR="00B626E7" w:rsidRDefault="00B626E7">
            <w:pPr>
              <w:rPr>
                <w:rFonts w:ascii="宋体"/>
              </w:rPr>
            </w:pPr>
          </w:p>
        </w:tc>
        <w:tc>
          <w:tcPr>
            <w:tcW w:w="0" w:type="auto"/>
            <w:shd w:val="clear" w:color="auto" w:fill="auto"/>
          </w:tcPr>
          <w:p w14:paraId="20ADFB39" w14:textId="77777777" w:rsidR="00B626E7" w:rsidRDefault="00B626E7">
            <w:pPr>
              <w:rPr>
                <w:rFonts w:ascii="宋体"/>
              </w:rPr>
            </w:pPr>
          </w:p>
        </w:tc>
        <w:tc>
          <w:tcPr>
            <w:tcW w:w="0" w:type="auto"/>
            <w:shd w:val="clear" w:color="auto" w:fill="auto"/>
          </w:tcPr>
          <w:p w14:paraId="20ADFB3A" w14:textId="77777777" w:rsidR="00B626E7" w:rsidRDefault="00B626E7">
            <w:pPr>
              <w:rPr>
                <w:rFonts w:ascii="宋体"/>
              </w:rPr>
            </w:pPr>
          </w:p>
        </w:tc>
        <w:tc>
          <w:tcPr>
            <w:tcW w:w="0" w:type="auto"/>
            <w:shd w:val="clear" w:color="auto" w:fill="auto"/>
          </w:tcPr>
          <w:p w14:paraId="20ADFB3B" w14:textId="77777777" w:rsidR="00B626E7" w:rsidRDefault="00B626E7">
            <w:pPr>
              <w:rPr>
                <w:rFonts w:ascii="宋体"/>
              </w:rPr>
            </w:pPr>
          </w:p>
        </w:tc>
        <w:tc>
          <w:tcPr>
            <w:tcW w:w="0" w:type="auto"/>
            <w:shd w:val="clear" w:color="auto" w:fill="auto"/>
          </w:tcPr>
          <w:p w14:paraId="20ADFB3C" w14:textId="77777777" w:rsidR="00B626E7" w:rsidRDefault="00B626E7">
            <w:pPr>
              <w:rPr>
                <w:rFonts w:ascii="宋体"/>
              </w:rPr>
            </w:pPr>
          </w:p>
        </w:tc>
        <w:tc>
          <w:tcPr>
            <w:tcW w:w="0" w:type="auto"/>
            <w:shd w:val="clear" w:color="auto" w:fill="auto"/>
          </w:tcPr>
          <w:p w14:paraId="20ADFB3D" w14:textId="77777777" w:rsidR="00B626E7" w:rsidRDefault="00B626E7">
            <w:pPr>
              <w:rPr>
                <w:rFonts w:ascii="宋体"/>
              </w:rPr>
            </w:pPr>
          </w:p>
        </w:tc>
        <w:tc>
          <w:tcPr>
            <w:tcW w:w="0" w:type="auto"/>
            <w:shd w:val="clear" w:color="auto" w:fill="auto"/>
          </w:tcPr>
          <w:p w14:paraId="20ADFB3E" w14:textId="77777777" w:rsidR="00B626E7" w:rsidRDefault="00B626E7">
            <w:pPr>
              <w:rPr>
                <w:rFonts w:ascii="宋体"/>
              </w:rPr>
            </w:pPr>
          </w:p>
        </w:tc>
        <w:tc>
          <w:tcPr>
            <w:tcW w:w="0" w:type="auto"/>
            <w:shd w:val="clear" w:color="auto" w:fill="auto"/>
          </w:tcPr>
          <w:p w14:paraId="20ADFB3F" w14:textId="77777777" w:rsidR="00B626E7" w:rsidRDefault="00B626E7">
            <w:pPr>
              <w:rPr>
                <w:rFonts w:ascii="宋体"/>
              </w:rPr>
            </w:pPr>
          </w:p>
        </w:tc>
      </w:tr>
      <w:tr w:rsidR="00B626E7" w14:paraId="20ADFB5A" w14:textId="77777777">
        <w:tc>
          <w:tcPr>
            <w:tcW w:w="0" w:type="auto"/>
            <w:gridSpan w:val="3"/>
            <w:shd w:val="clear" w:color="auto" w:fill="auto"/>
            <w:tcMar>
              <w:top w:w="40" w:type="dxa"/>
              <w:left w:w="20" w:type="dxa"/>
              <w:bottom w:w="40" w:type="dxa"/>
              <w:right w:w="20" w:type="dxa"/>
            </w:tcMar>
          </w:tcPr>
          <w:p w14:paraId="20ADFB41" w14:textId="77777777" w:rsidR="00B626E7" w:rsidRDefault="00175C1D">
            <w:pPr>
              <w:ind w:hanging="180"/>
              <w:textAlignment w:val="top"/>
            </w:pPr>
            <w:r>
              <w:rPr>
                <w:rFonts w:ascii="Arial" w:eastAsia="宋体" w:hAnsi="Arial" w:cs="Arial"/>
                <w:b/>
                <w:bCs/>
                <w:color w:val="333333"/>
                <w:sz w:val="18"/>
                <w:szCs w:val="18"/>
              </w:rPr>
              <w:t>Diluted</w:t>
            </w:r>
          </w:p>
        </w:tc>
        <w:tc>
          <w:tcPr>
            <w:tcW w:w="0" w:type="auto"/>
            <w:gridSpan w:val="3"/>
            <w:shd w:val="clear" w:color="auto" w:fill="auto"/>
            <w:tcMar>
              <w:left w:w="20" w:type="dxa"/>
              <w:right w:w="20" w:type="dxa"/>
            </w:tcMar>
            <w:vAlign w:val="bottom"/>
          </w:tcPr>
          <w:p w14:paraId="20ADFB42" w14:textId="77777777" w:rsidR="00B626E7" w:rsidRDefault="00B626E7">
            <w:pPr>
              <w:rPr>
                <w:rFonts w:ascii="宋体"/>
              </w:rPr>
            </w:pPr>
          </w:p>
        </w:tc>
        <w:tc>
          <w:tcPr>
            <w:tcW w:w="0" w:type="auto"/>
            <w:gridSpan w:val="2"/>
            <w:tcBorders>
              <w:top w:val="double" w:sz="6" w:space="0" w:color="333333"/>
              <w:bottom w:val="double" w:sz="6" w:space="0" w:color="333333"/>
            </w:tcBorders>
            <w:shd w:val="clear" w:color="auto" w:fill="auto"/>
            <w:tcMar>
              <w:top w:w="40" w:type="dxa"/>
              <w:left w:w="20" w:type="dxa"/>
              <w:bottom w:w="40" w:type="dxa"/>
              <w:right w:w="0" w:type="dxa"/>
            </w:tcMar>
            <w:vAlign w:val="bottom"/>
          </w:tcPr>
          <w:p w14:paraId="20ADFB43" w14:textId="77777777" w:rsidR="00B626E7" w:rsidRDefault="00175C1D">
            <w:pPr>
              <w:jc w:val="right"/>
              <w:textAlignment w:val="bottom"/>
            </w:pPr>
            <w:r>
              <w:rPr>
                <w:rFonts w:ascii="Arial" w:eastAsia="宋体" w:hAnsi="Arial" w:cs="Arial"/>
                <w:b/>
                <w:bCs/>
                <w:color w:val="0071C5"/>
                <w:sz w:val="18"/>
                <w:szCs w:val="18"/>
              </w:rPr>
              <w:t>4,284 </w:t>
            </w:r>
          </w:p>
        </w:tc>
        <w:tc>
          <w:tcPr>
            <w:tcW w:w="0" w:type="auto"/>
            <w:tcBorders>
              <w:top w:val="double" w:sz="6" w:space="0" w:color="333333"/>
              <w:bottom w:val="double" w:sz="6" w:space="0" w:color="333333"/>
            </w:tcBorders>
            <w:shd w:val="clear" w:color="auto" w:fill="auto"/>
            <w:tcMar>
              <w:top w:w="40" w:type="dxa"/>
              <w:bottom w:w="40" w:type="dxa"/>
              <w:right w:w="20" w:type="dxa"/>
            </w:tcMar>
            <w:vAlign w:val="bottom"/>
          </w:tcPr>
          <w:p w14:paraId="20ADFB44"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DFB45" w14:textId="77777777" w:rsidR="00B626E7" w:rsidRDefault="00B626E7">
            <w:pPr>
              <w:rPr>
                <w:rFonts w:ascii="宋体"/>
              </w:rPr>
            </w:pPr>
          </w:p>
        </w:tc>
        <w:tc>
          <w:tcPr>
            <w:tcW w:w="0" w:type="auto"/>
            <w:gridSpan w:val="2"/>
            <w:tcBorders>
              <w:top w:val="double" w:sz="6" w:space="0" w:color="333333"/>
              <w:bottom w:val="double" w:sz="6" w:space="0" w:color="333333"/>
            </w:tcBorders>
            <w:shd w:val="clear" w:color="auto" w:fill="auto"/>
            <w:tcMar>
              <w:top w:w="40" w:type="dxa"/>
              <w:left w:w="20" w:type="dxa"/>
              <w:bottom w:w="40" w:type="dxa"/>
              <w:right w:w="0" w:type="dxa"/>
            </w:tcMar>
            <w:vAlign w:val="bottom"/>
          </w:tcPr>
          <w:p w14:paraId="20ADFB46" w14:textId="77777777" w:rsidR="00B626E7" w:rsidRDefault="00175C1D">
            <w:pPr>
              <w:jc w:val="right"/>
              <w:textAlignment w:val="bottom"/>
            </w:pPr>
            <w:r>
              <w:rPr>
                <w:rFonts w:ascii="Arial" w:eastAsia="宋体" w:hAnsi="Arial" w:cs="Arial"/>
                <w:b/>
                <w:bCs/>
                <w:color w:val="333333"/>
                <w:sz w:val="18"/>
                <w:szCs w:val="18"/>
              </w:rPr>
              <w:t>4,523 </w:t>
            </w:r>
          </w:p>
        </w:tc>
        <w:tc>
          <w:tcPr>
            <w:tcW w:w="0" w:type="auto"/>
            <w:tcBorders>
              <w:top w:val="double" w:sz="6" w:space="0" w:color="333333"/>
              <w:bottom w:val="double" w:sz="6" w:space="0" w:color="333333"/>
            </w:tcBorders>
            <w:shd w:val="clear" w:color="auto" w:fill="auto"/>
            <w:tcMar>
              <w:top w:w="40" w:type="dxa"/>
              <w:bottom w:w="40" w:type="dxa"/>
              <w:right w:w="20" w:type="dxa"/>
            </w:tcMar>
            <w:vAlign w:val="bottom"/>
          </w:tcPr>
          <w:p w14:paraId="20ADFB47"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DFB48" w14:textId="77777777" w:rsidR="00B626E7" w:rsidRDefault="00B626E7">
            <w:pPr>
              <w:rPr>
                <w:rFonts w:ascii="宋体"/>
              </w:rPr>
            </w:pPr>
          </w:p>
        </w:tc>
        <w:tc>
          <w:tcPr>
            <w:tcW w:w="0" w:type="auto"/>
            <w:gridSpan w:val="2"/>
            <w:tcBorders>
              <w:top w:val="double" w:sz="6" w:space="0" w:color="333333"/>
              <w:bottom w:val="double" w:sz="6" w:space="0" w:color="333333"/>
            </w:tcBorders>
            <w:shd w:val="clear" w:color="auto" w:fill="auto"/>
            <w:tcMar>
              <w:top w:w="40" w:type="dxa"/>
              <w:left w:w="20" w:type="dxa"/>
              <w:bottom w:w="40" w:type="dxa"/>
              <w:right w:w="0" w:type="dxa"/>
            </w:tcMar>
            <w:vAlign w:val="bottom"/>
          </w:tcPr>
          <w:p w14:paraId="20ADFB49" w14:textId="77777777" w:rsidR="00B626E7" w:rsidRDefault="00175C1D">
            <w:pPr>
              <w:jc w:val="right"/>
              <w:textAlignment w:val="bottom"/>
            </w:pPr>
            <w:r>
              <w:rPr>
                <w:rFonts w:ascii="Arial" w:eastAsia="宋体" w:hAnsi="Arial" w:cs="Arial"/>
                <w:b/>
                <w:bCs/>
                <w:color w:val="0071C5"/>
                <w:sz w:val="18"/>
                <w:szCs w:val="18"/>
              </w:rPr>
              <w:t>4,298 </w:t>
            </w:r>
          </w:p>
        </w:tc>
        <w:tc>
          <w:tcPr>
            <w:tcW w:w="0" w:type="auto"/>
            <w:tcBorders>
              <w:top w:val="double" w:sz="6" w:space="0" w:color="333333"/>
              <w:bottom w:val="double" w:sz="6" w:space="0" w:color="333333"/>
            </w:tcBorders>
            <w:shd w:val="clear" w:color="auto" w:fill="auto"/>
            <w:tcMar>
              <w:top w:w="40" w:type="dxa"/>
              <w:bottom w:w="40" w:type="dxa"/>
              <w:right w:w="20" w:type="dxa"/>
            </w:tcMar>
            <w:vAlign w:val="bottom"/>
          </w:tcPr>
          <w:p w14:paraId="20ADFB4A"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DFB4B" w14:textId="77777777" w:rsidR="00B626E7" w:rsidRDefault="00B626E7">
            <w:pPr>
              <w:rPr>
                <w:rFonts w:ascii="宋体"/>
              </w:rPr>
            </w:pPr>
          </w:p>
        </w:tc>
        <w:tc>
          <w:tcPr>
            <w:tcW w:w="0" w:type="auto"/>
            <w:gridSpan w:val="2"/>
            <w:tcBorders>
              <w:top w:val="double" w:sz="6" w:space="0" w:color="333333"/>
              <w:bottom w:val="double" w:sz="6" w:space="0" w:color="333333"/>
            </w:tcBorders>
            <w:shd w:val="clear" w:color="auto" w:fill="auto"/>
            <w:tcMar>
              <w:top w:w="40" w:type="dxa"/>
              <w:left w:w="20" w:type="dxa"/>
              <w:bottom w:w="40" w:type="dxa"/>
              <w:right w:w="0" w:type="dxa"/>
            </w:tcMar>
            <w:vAlign w:val="bottom"/>
          </w:tcPr>
          <w:p w14:paraId="20ADFB4C" w14:textId="77777777" w:rsidR="00B626E7" w:rsidRDefault="00175C1D">
            <w:pPr>
              <w:jc w:val="right"/>
              <w:textAlignment w:val="bottom"/>
            </w:pPr>
            <w:r>
              <w:rPr>
                <w:rFonts w:ascii="Arial" w:eastAsia="宋体" w:hAnsi="Arial" w:cs="Arial"/>
                <w:b/>
                <w:bCs/>
                <w:color w:val="333333"/>
                <w:sz w:val="18"/>
                <w:szCs w:val="18"/>
              </w:rPr>
              <w:t>4,543 </w:t>
            </w:r>
          </w:p>
        </w:tc>
        <w:tc>
          <w:tcPr>
            <w:tcW w:w="0" w:type="auto"/>
            <w:tcBorders>
              <w:top w:val="double" w:sz="6" w:space="0" w:color="333333"/>
              <w:bottom w:val="double" w:sz="6" w:space="0" w:color="333333"/>
            </w:tcBorders>
            <w:shd w:val="clear" w:color="auto" w:fill="auto"/>
            <w:tcMar>
              <w:top w:w="40" w:type="dxa"/>
              <w:bottom w:w="40" w:type="dxa"/>
              <w:right w:w="20" w:type="dxa"/>
            </w:tcMar>
            <w:vAlign w:val="bottom"/>
          </w:tcPr>
          <w:p w14:paraId="20ADFB4D"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DFB4E" w14:textId="77777777" w:rsidR="00B626E7" w:rsidRDefault="00B626E7">
            <w:pPr>
              <w:rPr>
                <w:rFonts w:ascii="宋体"/>
              </w:rPr>
            </w:pPr>
          </w:p>
        </w:tc>
        <w:tc>
          <w:tcPr>
            <w:tcW w:w="0" w:type="auto"/>
            <w:shd w:val="clear" w:color="auto" w:fill="auto"/>
          </w:tcPr>
          <w:p w14:paraId="20ADFB4F" w14:textId="77777777" w:rsidR="00B626E7" w:rsidRDefault="00B626E7">
            <w:pPr>
              <w:rPr>
                <w:rFonts w:ascii="宋体"/>
              </w:rPr>
            </w:pPr>
          </w:p>
        </w:tc>
        <w:tc>
          <w:tcPr>
            <w:tcW w:w="0" w:type="auto"/>
            <w:shd w:val="clear" w:color="auto" w:fill="auto"/>
          </w:tcPr>
          <w:p w14:paraId="20ADFB50" w14:textId="77777777" w:rsidR="00B626E7" w:rsidRDefault="00B626E7">
            <w:pPr>
              <w:rPr>
                <w:rFonts w:ascii="宋体"/>
              </w:rPr>
            </w:pPr>
          </w:p>
        </w:tc>
        <w:tc>
          <w:tcPr>
            <w:tcW w:w="0" w:type="auto"/>
            <w:shd w:val="clear" w:color="auto" w:fill="auto"/>
          </w:tcPr>
          <w:p w14:paraId="20ADFB51" w14:textId="77777777" w:rsidR="00B626E7" w:rsidRDefault="00B626E7">
            <w:pPr>
              <w:rPr>
                <w:rFonts w:ascii="宋体"/>
              </w:rPr>
            </w:pPr>
          </w:p>
        </w:tc>
        <w:tc>
          <w:tcPr>
            <w:tcW w:w="0" w:type="auto"/>
            <w:shd w:val="clear" w:color="auto" w:fill="auto"/>
          </w:tcPr>
          <w:p w14:paraId="20ADFB52" w14:textId="77777777" w:rsidR="00B626E7" w:rsidRDefault="00B626E7">
            <w:pPr>
              <w:rPr>
                <w:rFonts w:ascii="宋体"/>
              </w:rPr>
            </w:pPr>
          </w:p>
        </w:tc>
        <w:tc>
          <w:tcPr>
            <w:tcW w:w="0" w:type="auto"/>
            <w:shd w:val="clear" w:color="auto" w:fill="auto"/>
          </w:tcPr>
          <w:p w14:paraId="20ADFB53" w14:textId="77777777" w:rsidR="00B626E7" w:rsidRDefault="00B626E7">
            <w:pPr>
              <w:rPr>
                <w:rFonts w:ascii="宋体"/>
              </w:rPr>
            </w:pPr>
          </w:p>
        </w:tc>
        <w:tc>
          <w:tcPr>
            <w:tcW w:w="0" w:type="auto"/>
            <w:shd w:val="clear" w:color="auto" w:fill="auto"/>
          </w:tcPr>
          <w:p w14:paraId="20ADFB54" w14:textId="77777777" w:rsidR="00B626E7" w:rsidRDefault="00B626E7">
            <w:pPr>
              <w:rPr>
                <w:rFonts w:ascii="宋体"/>
              </w:rPr>
            </w:pPr>
          </w:p>
        </w:tc>
        <w:tc>
          <w:tcPr>
            <w:tcW w:w="0" w:type="auto"/>
            <w:shd w:val="clear" w:color="auto" w:fill="auto"/>
          </w:tcPr>
          <w:p w14:paraId="20ADFB55" w14:textId="77777777" w:rsidR="00B626E7" w:rsidRDefault="00B626E7">
            <w:pPr>
              <w:rPr>
                <w:rFonts w:ascii="宋体"/>
              </w:rPr>
            </w:pPr>
          </w:p>
        </w:tc>
        <w:tc>
          <w:tcPr>
            <w:tcW w:w="0" w:type="auto"/>
            <w:shd w:val="clear" w:color="auto" w:fill="auto"/>
          </w:tcPr>
          <w:p w14:paraId="20ADFB56" w14:textId="77777777" w:rsidR="00B626E7" w:rsidRDefault="00B626E7">
            <w:pPr>
              <w:rPr>
                <w:rFonts w:ascii="宋体"/>
              </w:rPr>
            </w:pPr>
          </w:p>
        </w:tc>
        <w:tc>
          <w:tcPr>
            <w:tcW w:w="0" w:type="auto"/>
            <w:shd w:val="clear" w:color="auto" w:fill="auto"/>
          </w:tcPr>
          <w:p w14:paraId="20ADFB57" w14:textId="77777777" w:rsidR="00B626E7" w:rsidRDefault="00B626E7">
            <w:pPr>
              <w:rPr>
                <w:rFonts w:ascii="宋体"/>
              </w:rPr>
            </w:pPr>
          </w:p>
        </w:tc>
        <w:tc>
          <w:tcPr>
            <w:tcW w:w="0" w:type="auto"/>
            <w:shd w:val="clear" w:color="auto" w:fill="auto"/>
          </w:tcPr>
          <w:p w14:paraId="20ADFB58" w14:textId="77777777" w:rsidR="00B626E7" w:rsidRDefault="00B626E7">
            <w:pPr>
              <w:rPr>
                <w:rFonts w:ascii="宋体"/>
              </w:rPr>
            </w:pPr>
          </w:p>
        </w:tc>
        <w:tc>
          <w:tcPr>
            <w:tcW w:w="0" w:type="auto"/>
            <w:shd w:val="clear" w:color="auto" w:fill="auto"/>
          </w:tcPr>
          <w:p w14:paraId="20ADFB59" w14:textId="77777777" w:rsidR="00B626E7" w:rsidRDefault="00B626E7">
            <w:pPr>
              <w:rPr>
                <w:rFonts w:ascii="宋体"/>
              </w:rPr>
            </w:pPr>
          </w:p>
        </w:tc>
      </w:tr>
    </w:tbl>
    <w:p w14:paraId="20ADFB5B" w14:textId="77777777" w:rsidR="00B626E7" w:rsidRDefault="00175C1D">
      <w:pPr>
        <w:spacing w:before="180" w:after="180"/>
      </w:pPr>
      <w:r>
        <w:rPr>
          <w:rFonts w:ascii="Arial" w:eastAsia="宋体" w:hAnsi="Arial" w:cs="Arial"/>
          <w:i/>
          <w:iCs/>
          <w:color w:val="333333"/>
          <w:sz w:val="16"/>
          <w:szCs w:val="16"/>
        </w:rPr>
        <w:t>See accompanying notes.</w:t>
      </w:r>
    </w:p>
    <w:tbl>
      <w:tblPr>
        <w:tblW w:w="5000" w:type="pct"/>
        <w:tblCellMar>
          <w:top w:w="15" w:type="dxa"/>
          <w:left w:w="15" w:type="dxa"/>
          <w:bottom w:w="15" w:type="dxa"/>
          <w:right w:w="15" w:type="dxa"/>
        </w:tblCellMar>
        <w:tblLook w:val="04A0" w:firstRow="1" w:lastRow="0" w:firstColumn="1" w:lastColumn="0" w:noHBand="0" w:noVBand="1"/>
      </w:tblPr>
      <w:tblGrid>
        <w:gridCol w:w="84"/>
        <w:gridCol w:w="2422"/>
        <w:gridCol w:w="83"/>
        <w:gridCol w:w="83"/>
        <w:gridCol w:w="2582"/>
        <w:gridCol w:w="83"/>
        <w:gridCol w:w="83"/>
        <w:gridCol w:w="2833"/>
        <w:gridCol w:w="83"/>
      </w:tblGrid>
      <w:tr w:rsidR="00B626E7" w14:paraId="20ADFB65" w14:textId="77777777">
        <w:tc>
          <w:tcPr>
            <w:tcW w:w="50" w:type="pct"/>
            <w:shd w:val="clear" w:color="auto" w:fill="auto"/>
            <w:vAlign w:val="bottom"/>
          </w:tcPr>
          <w:p w14:paraId="20ADFB5C" w14:textId="77777777" w:rsidR="00B626E7" w:rsidRDefault="00B626E7">
            <w:pPr>
              <w:rPr>
                <w:rFonts w:ascii="宋体"/>
              </w:rPr>
            </w:pPr>
          </w:p>
        </w:tc>
        <w:tc>
          <w:tcPr>
            <w:tcW w:w="1452" w:type="pct"/>
            <w:shd w:val="clear" w:color="auto" w:fill="auto"/>
            <w:vAlign w:val="bottom"/>
          </w:tcPr>
          <w:p w14:paraId="20ADFB5D" w14:textId="77777777" w:rsidR="00B626E7" w:rsidRDefault="00B626E7">
            <w:pPr>
              <w:rPr>
                <w:rFonts w:ascii="宋体"/>
              </w:rPr>
            </w:pPr>
          </w:p>
        </w:tc>
        <w:tc>
          <w:tcPr>
            <w:tcW w:w="50" w:type="pct"/>
            <w:shd w:val="clear" w:color="auto" w:fill="auto"/>
            <w:vAlign w:val="bottom"/>
          </w:tcPr>
          <w:p w14:paraId="20ADFB5E" w14:textId="77777777" w:rsidR="00B626E7" w:rsidRDefault="00B626E7">
            <w:pPr>
              <w:rPr>
                <w:rFonts w:ascii="宋体"/>
              </w:rPr>
            </w:pPr>
          </w:p>
        </w:tc>
        <w:tc>
          <w:tcPr>
            <w:tcW w:w="50" w:type="pct"/>
            <w:shd w:val="clear" w:color="auto" w:fill="auto"/>
            <w:vAlign w:val="bottom"/>
          </w:tcPr>
          <w:p w14:paraId="20ADFB5F" w14:textId="77777777" w:rsidR="00B626E7" w:rsidRDefault="00B626E7">
            <w:pPr>
              <w:rPr>
                <w:rFonts w:ascii="宋体"/>
              </w:rPr>
            </w:pPr>
          </w:p>
        </w:tc>
        <w:tc>
          <w:tcPr>
            <w:tcW w:w="1548" w:type="pct"/>
            <w:shd w:val="clear" w:color="auto" w:fill="auto"/>
            <w:vAlign w:val="bottom"/>
          </w:tcPr>
          <w:p w14:paraId="20ADFB60" w14:textId="77777777" w:rsidR="00B626E7" w:rsidRDefault="00B626E7">
            <w:pPr>
              <w:rPr>
                <w:rFonts w:ascii="宋体"/>
              </w:rPr>
            </w:pPr>
          </w:p>
        </w:tc>
        <w:tc>
          <w:tcPr>
            <w:tcW w:w="50" w:type="pct"/>
            <w:shd w:val="clear" w:color="auto" w:fill="auto"/>
            <w:vAlign w:val="bottom"/>
          </w:tcPr>
          <w:p w14:paraId="20ADFB61" w14:textId="77777777" w:rsidR="00B626E7" w:rsidRDefault="00B626E7">
            <w:pPr>
              <w:rPr>
                <w:rFonts w:ascii="宋体"/>
              </w:rPr>
            </w:pPr>
          </w:p>
        </w:tc>
        <w:tc>
          <w:tcPr>
            <w:tcW w:w="50" w:type="pct"/>
            <w:shd w:val="clear" w:color="auto" w:fill="auto"/>
            <w:vAlign w:val="bottom"/>
          </w:tcPr>
          <w:p w14:paraId="20ADFB62" w14:textId="77777777" w:rsidR="00B626E7" w:rsidRDefault="00B626E7">
            <w:pPr>
              <w:rPr>
                <w:rFonts w:ascii="宋体"/>
              </w:rPr>
            </w:pPr>
          </w:p>
        </w:tc>
        <w:tc>
          <w:tcPr>
            <w:tcW w:w="1698" w:type="pct"/>
            <w:shd w:val="clear" w:color="auto" w:fill="auto"/>
            <w:vAlign w:val="bottom"/>
          </w:tcPr>
          <w:p w14:paraId="20ADFB63" w14:textId="77777777" w:rsidR="00B626E7" w:rsidRDefault="00B626E7">
            <w:pPr>
              <w:rPr>
                <w:rFonts w:ascii="宋体"/>
              </w:rPr>
            </w:pPr>
          </w:p>
        </w:tc>
        <w:tc>
          <w:tcPr>
            <w:tcW w:w="50" w:type="pct"/>
            <w:shd w:val="clear" w:color="auto" w:fill="auto"/>
            <w:vAlign w:val="bottom"/>
          </w:tcPr>
          <w:p w14:paraId="20ADFB64" w14:textId="77777777" w:rsidR="00B626E7" w:rsidRDefault="00B626E7">
            <w:pPr>
              <w:rPr>
                <w:rFonts w:ascii="宋体"/>
              </w:rPr>
            </w:pPr>
          </w:p>
        </w:tc>
      </w:tr>
      <w:tr w:rsidR="00B626E7" w14:paraId="20ADFB69" w14:textId="77777777">
        <w:tc>
          <w:tcPr>
            <w:tcW w:w="0" w:type="auto"/>
            <w:gridSpan w:val="3"/>
            <w:tcBorders>
              <w:top w:val="single" w:sz="8" w:space="0" w:color="0071C5"/>
            </w:tcBorders>
            <w:shd w:val="clear" w:color="auto" w:fill="auto"/>
            <w:tcMar>
              <w:top w:w="40" w:type="dxa"/>
              <w:left w:w="20" w:type="dxa"/>
              <w:bottom w:w="40" w:type="dxa"/>
              <w:right w:w="20" w:type="dxa"/>
            </w:tcMar>
            <w:vAlign w:val="center"/>
          </w:tcPr>
          <w:p w14:paraId="20ADFB66" w14:textId="77777777" w:rsidR="00B626E7" w:rsidRDefault="00175C1D">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Viewer10_files/intc-20200627_g10.jpg"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26" wp14:editId="20AE3C27">
                  <wp:extent cx="304800" cy="304800"/>
                  <wp:effectExtent l="0" t="0" r="0" b="0"/>
                  <wp:docPr id="41" name="图片 49"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9" descr="IMG_26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Arial" w:eastAsia="宋体" w:hAnsi="Arial" w:cs="Arial"/>
                <w:color w:val="333333"/>
                <w:sz w:val="16"/>
                <w:szCs w:val="16"/>
              </w:rPr>
              <w:t>FINANCIAL STATEMENTS</w:t>
            </w:r>
          </w:p>
        </w:tc>
        <w:tc>
          <w:tcPr>
            <w:tcW w:w="0" w:type="auto"/>
            <w:gridSpan w:val="3"/>
            <w:tcBorders>
              <w:top w:val="single" w:sz="8" w:space="0" w:color="0071C5"/>
              <w:left w:val="single" w:sz="24" w:space="0" w:color="0071C5"/>
            </w:tcBorders>
            <w:shd w:val="clear" w:color="auto" w:fill="auto"/>
            <w:tcMar>
              <w:top w:w="40" w:type="dxa"/>
              <w:left w:w="20" w:type="dxa"/>
              <w:bottom w:w="40" w:type="dxa"/>
              <w:right w:w="20" w:type="dxa"/>
            </w:tcMar>
            <w:vAlign w:val="bottom"/>
          </w:tcPr>
          <w:p w14:paraId="20ADFB67" w14:textId="77777777" w:rsidR="00B626E7" w:rsidRDefault="00175C1D">
            <w:pPr>
              <w:textAlignment w:val="bottom"/>
            </w:pPr>
            <w:r>
              <w:rPr>
                <w:rFonts w:ascii="Arial" w:eastAsia="宋体" w:hAnsi="Arial" w:cs="Arial"/>
                <w:color w:val="333333"/>
                <w:sz w:val="16"/>
                <w:szCs w:val="16"/>
              </w:rPr>
              <w:t>  Consolidated Condensed Statements of Income</w:t>
            </w: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DFB68" w14:textId="77777777" w:rsidR="00B626E7" w:rsidRDefault="00175C1D">
            <w:pPr>
              <w:jc w:val="right"/>
              <w:textAlignment w:val="bottom"/>
            </w:pPr>
            <w:r>
              <w:rPr>
                <w:rFonts w:ascii="Arial" w:eastAsia="宋体" w:hAnsi="Arial" w:cs="Arial"/>
                <w:color w:val="333333"/>
                <w:sz w:val="16"/>
                <w:szCs w:val="16"/>
              </w:rPr>
              <w:t>5</w:t>
            </w:r>
          </w:p>
        </w:tc>
      </w:tr>
    </w:tbl>
    <w:p w14:paraId="20ADFB6A" w14:textId="77777777" w:rsidR="00B626E7" w:rsidRDefault="00175C1D">
      <w:r>
        <w:pict w14:anchorId="20AE3C28">
          <v:rect id="_x0000_i1031" style="width:415.3pt;height:1.5pt" o:hralign="center" o:hrstd="t" o:hr="t" fillcolor="#a0a0a0" stroked="f"/>
        </w:pict>
      </w:r>
    </w:p>
    <w:p w14:paraId="20ADFB6B" w14:textId="77777777" w:rsidR="00B626E7" w:rsidRDefault="00175C1D">
      <w:pPr>
        <w:spacing w:after="180"/>
        <w:jc w:val="right"/>
      </w:pPr>
      <w:hyperlink r:id="rId33" w:anchor="ib035cc8759904e51927d703ec8414366_7" w:history="1">
        <w:r>
          <w:rPr>
            <w:rStyle w:val="a5"/>
            <w:rFonts w:ascii="Arial" w:eastAsia="宋体" w:hAnsi="Arial" w:cs="Arial"/>
            <w:b/>
            <w:bCs/>
            <w:sz w:val="16"/>
            <w:szCs w:val="16"/>
          </w:rPr>
          <w:t>Table of Contents</w:t>
        </w:r>
      </w:hyperlink>
    </w:p>
    <w:p w14:paraId="20ADFB6C" w14:textId="77777777" w:rsidR="00B626E7" w:rsidRDefault="00B626E7">
      <w:pPr>
        <w:spacing w:after="180"/>
        <w:jc w:val="right"/>
      </w:pPr>
    </w:p>
    <w:tbl>
      <w:tblPr>
        <w:tblW w:w="5000" w:type="pct"/>
        <w:jc w:val="center"/>
        <w:tblCellMar>
          <w:top w:w="15" w:type="dxa"/>
          <w:left w:w="15" w:type="dxa"/>
          <w:bottom w:w="15" w:type="dxa"/>
          <w:right w:w="15" w:type="dxa"/>
        </w:tblCellMar>
        <w:tblLook w:val="04A0" w:firstRow="1" w:lastRow="0" w:firstColumn="1" w:lastColumn="0" w:noHBand="0" w:noVBand="1"/>
      </w:tblPr>
      <w:tblGrid>
        <w:gridCol w:w="84"/>
        <w:gridCol w:w="8169"/>
        <w:gridCol w:w="83"/>
      </w:tblGrid>
      <w:tr w:rsidR="00B626E7" w14:paraId="20ADFB70" w14:textId="77777777">
        <w:trPr>
          <w:jc w:val="center"/>
        </w:trPr>
        <w:tc>
          <w:tcPr>
            <w:tcW w:w="50" w:type="pct"/>
            <w:shd w:val="clear" w:color="auto" w:fill="auto"/>
          </w:tcPr>
          <w:p w14:paraId="20ADFB6D" w14:textId="77777777" w:rsidR="00B626E7" w:rsidRDefault="00B626E7">
            <w:pPr>
              <w:rPr>
                <w:rFonts w:ascii="宋体"/>
              </w:rPr>
            </w:pPr>
          </w:p>
        </w:tc>
        <w:tc>
          <w:tcPr>
            <w:tcW w:w="4900" w:type="pct"/>
            <w:shd w:val="clear" w:color="auto" w:fill="auto"/>
          </w:tcPr>
          <w:p w14:paraId="20ADFB6E" w14:textId="77777777" w:rsidR="00B626E7" w:rsidRDefault="00B626E7">
            <w:pPr>
              <w:rPr>
                <w:rFonts w:ascii="宋体"/>
              </w:rPr>
            </w:pPr>
          </w:p>
        </w:tc>
        <w:tc>
          <w:tcPr>
            <w:tcW w:w="50" w:type="pct"/>
            <w:shd w:val="clear" w:color="auto" w:fill="auto"/>
          </w:tcPr>
          <w:p w14:paraId="20ADFB6F" w14:textId="77777777" w:rsidR="00B626E7" w:rsidRDefault="00B626E7">
            <w:pPr>
              <w:rPr>
                <w:rFonts w:ascii="宋体"/>
              </w:rPr>
            </w:pPr>
          </w:p>
        </w:tc>
      </w:tr>
      <w:tr w:rsidR="00B626E7" w14:paraId="20ADFB72" w14:textId="77777777">
        <w:trPr>
          <w:jc w:val="center"/>
        </w:trPr>
        <w:tc>
          <w:tcPr>
            <w:tcW w:w="0" w:type="auto"/>
            <w:gridSpan w:val="3"/>
            <w:shd w:val="clear" w:color="auto" w:fill="0071C5"/>
            <w:tcMar>
              <w:top w:w="40" w:type="dxa"/>
              <w:left w:w="20" w:type="dxa"/>
              <w:bottom w:w="40" w:type="dxa"/>
              <w:right w:w="20" w:type="dxa"/>
            </w:tcMar>
            <w:vAlign w:val="bottom"/>
          </w:tcPr>
          <w:p w14:paraId="20ADFB71" w14:textId="77777777" w:rsidR="00B626E7" w:rsidRDefault="00175C1D">
            <w:pPr>
              <w:textAlignment w:val="bottom"/>
            </w:pPr>
            <w:r>
              <w:rPr>
                <w:rFonts w:ascii="Arial" w:eastAsia="宋体" w:hAnsi="Arial" w:cs="Arial"/>
                <w:b/>
                <w:bCs/>
                <w:color w:val="FFFFFF"/>
                <w:sz w:val="28"/>
                <w:szCs w:val="28"/>
              </w:rPr>
              <w:t>CONSOLIDATED CONDENSED STATEMENTS OF COMPREHENSIVE INCOME</w:t>
            </w:r>
          </w:p>
        </w:tc>
      </w:tr>
    </w:tbl>
    <w:p w14:paraId="20ADFB73" w14:textId="77777777" w:rsidR="00B626E7" w:rsidRDefault="00B626E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724"/>
        <w:gridCol w:w="38"/>
        <w:gridCol w:w="36"/>
        <w:gridCol w:w="36"/>
        <w:gridCol w:w="36"/>
        <w:gridCol w:w="137"/>
        <w:gridCol w:w="737"/>
        <w:gridCol w:w="87"/>
        <w:gridCol w:w="37"/>
        <w:gridCol w:w="36"/>
        <w:gridCol w:w="36"/>
        <w:gridCol w:w="136"/>
        <w:gridCol w:w="736"/>
        <w:gridCol w:w="86"/>
        <w:gridCol w:w="36"/>
        <w:gridCol w:w="36"/>
        <w:gridCol w:w="36"/>
        <w:gridCol w:w="136"/>
        <w:gridCol w:w="616"/>
        <w:gridCol w:w="86"/>
        <w:gridCol w:w="36"/>
        <w:gridCol w:w="36"/>
        <w:gridCol w:w="36"/>
        <w:gridCol w:w="136"/>
        <w:gridCol w:w="691"/>
        <w:gridCol w:w="86"/>
        <w:gridCol w:w="36"/>
        <w:gridCol w:w="36"/>
        <w:gridCol w:w="36"/>
        <w:gridCol w:w="36"/>
        <w:gridCol w:w="36"/>
        <w:gridCol w:w="36"/>
        <w:gridCol w:w="36"/>
        <w:gridCol w:w="36"/>
        <w:gridCol w:w="36"/>
        <w:gridCol w:w="36"/>
        <w:gridCol w:w="36"/>
        <w:gridCol w:w="36"/>
      </w:tblGrid>
      <w:tr w:rsidR="00B626E7" w14:paraId="20ADFB8F" w14:textId="77777777">
        <w:trPr>
          <w:gridAfter w:val="12"/>
        </w:trPr>
        <w:tc>
          <w:tcPr>
            <w:tcW w:w="50" w:type="pct"/>
            <w:shd w:val="clear" w:color="auto" w:fill="auto"/>
          </w:tcPr>
          <w:p w14:paraId="20ADFB74" w14:textId="77777777" w:rsidR="00B626E7" w:rsidRDefault="00B626E7">
            <w:pPr>
              <w:rPr>
                <w:rFonts w:ascii="宋体"/>
              </w:rPr>
            </w:pPr>
          </w:p>
        </w:tc>
        <w:tc>
          <w:tcPr>
            <w:tcW w:w="2386" w:type="pct"/>
            <w:shd w:val="clear" w:color="auto" w:fill="auto"/>
          </w:tcPr>
          <w:p w14:paraId="20ADFB75" w14:textId="77777777" w:rsidR="00B626E7" w:rsidRDefault="00B626E7">
            <w:pPr>
              <w:rPr>
                <w:rFonts w:ascii="宋体"/>
              </w:rPr>
            </w:pPr>
          </w:p>
        </w:tc>
        <w:tc>
          <w:tcPr>
            <w:tcW w:w="50" w:type="pct"/>
            <w:shd w:val="clear" w:color="auto" w:fill="auto"/>
          </w:tcPr>
          <w:p w14:paraId="20ADFB76" w14:textId="77777777" w:rsidR="00B626E7" w:rsidRDefault="00B626E7">
            <w:pPr>
              <w:rPr>
                <w:rFonts w:ascii="宋体"/>
              </w:rPr>
            </w:pPr>
          </w:p>
        </w:tc>
        <w:tc>
          <w:tcPr>
            <w:tcW w:w="5" w:type="pct"/>
            <w:shd w:val="clear" w:color="auto" w:fill="auto"/>
          </w:tcPr>
          <w:p w14:paraId="20ADFB77" w14:textId="77777777" w:rsidR="00B626E7" w:rsidRDefault="00B626E7">
            <w:pPr>
              <w:rPr>
                <w:rFonts w:ascii="宋体"/>
              </w:rPr>
            </w:pPr>
          </w:p>
        </w:tc>
        <w:tc>
          <w:tcPr>
            <w:tcW w:w="24" w:type="pct"/>
            <w:shd w:val="clear" w:color="auto" w:fill="auto"/>
          </w:tcPr>
          <w:p w14:paraId="20ADFB78" w14:textId="77777777" w:rsidR="00B626E7" w:rsidRDefault="00B626E7">
            <w:pPr>
              <w:rPr>
                <w:rFonts w:ascii="宋体"/>
              </w:rPr>
            </w:pPr>
          </w:p>
        </w:tc>
        <w:tc>
          <w:tcPr>
            <w:tcW w:w="5" w:type="pct"/>
            <w:shd w:val="clear" w:color="auto" w:fill="auto"/>
          </w:tcPr>
          <w:p w14:paraId="20ADFB79" w14:textId="77777777" w:rsidR="00B626E7" w:rsidRDefault="00B626E7">
            <w:pPr>
              <w:rPr>
                <w:rFonts w:ascii="宋体"/>
              </w:rPr>
            </w:pPr>
          </w:p>
        </w:tc>
        <w:tc>
          <w:tcPr>
            <w:tcW w:w="50" w:type="pct"/>
            <w:shd w:val="clear" w:color="auto" w:fill="auto"/>
          </w:tcPr>
          <w:p w14:paraId="20ADFB7A" w14:textId="77777777" w:rsidR="00B626E7" w:rsidRDefault="00B626E7">
            <w:pPr>
              <w:rPr>
                <w:rFonts w:ascii="宋体"/>
              </w:rPr>
            </w:pPr>
          </w:p>
        </w:tc>
        <w:tc>
          <w:tcPr>
            <w:tcW w:w="494" w:type="pct"/>
            <w:shd w:val="clear" w:color="auto" w:fill="auto"/>
          </w:tcPr>
          <w:p w14:paraId="20ADFB7B" w14:textId="77777777" w:rsidR="00B626E7" w:rsidRDefault="00B626E7">
            <w:pPr>
              <w:rPr>
                <w:rFonts w:ascii="宋体"/>
              </w:rPr>
            </w:pPr>
          </w:p>
        </w:tc>
        <w:tc>
          <w:tcPr>
            <w:tcW w:w="50" w:type="pct"/>
            <w:shd w:val="clear" w:color="auto" w:fill="auto"/>
          </w:tcPr>
          <w:p w14:paraId="20ADFB7C" w14:textId="77777777" w:rsidR="00B626E7" w:rsidRDefault="00B626E7">
            <w:pPr>
              <w:rPr>
                <w:rFonts w:ascii="宋体"/>
              </w:rPr>
            </w:pPr>
          </w:p>
        </w:tc>
        <w:tc>
          <w:tcPr>
            <w:tcW w:w="5" w:type="pct"/>
            <w:shd w:val="clear" w:color="auto" w:fill="auto"/>
          </w:tcPr>
          <w:p w14:paraId="20ADFB7D" w14:textId="77777777" w:rsidR="00B626E7" w:rsidRDefault="00B626E7">
            <w:pPr>
              <w:rPr>
                <w:rFonts w:ascii="宋体"/>
              </w:rPr>
            </w:pPr>
          </w:p>
        </w:tc>
        <w:tc>
          <w:tcPr>
            <w:tcW w:w="24" w:type="pct"/>
            <w:shd w:val="clear" w:color="auto" w:fill="auto"/>
          </w:tcPr>
          <w:p w14:paraId="20ADFB7E" w14:textId="77777777" w:rsidR="00B626E7" w:rsidRDefault="00B626E7">
            <w:pPr>
              <w:rPr>
                <w:rFonts w:ascii="宋体"/>
              </w:rPr>
            </w:pPr>
          </w:p>
        </w:tc>
        <w:tc>
          <w:tcPr>
            <w:tcW w:w="5" w:type="pct"/>
            <w:shd w:val="clear" w:color="auto" w:fill="auto"/>
          </w:tcPr>
          <w:p w14:paraId="20ADFB7F" w14:textId="77777777" w:rsidR="00B626E7" w:rsidRDefault="00B626E7">
            <w:pPr>
              <w:rPr>
                <w:rFonts w:ascii="宋体"/>
              </w:rPr>
            </w:pPr>
          </w:p>
        </w:tc>
        <w:tc>
          <w:tcPr>
            <w:tcW w:w="50" w:type="pct"/>
            <w:shd w:val="clear" w:color="auto" w:fill="auto"/>
          </w:tcPr>
          <w:p w14:paraId="20ADFB80" w14:textId="77777777" w:rsidR="00B626E7" w:rsidRDefault="00B626E7">
            <w:pPr>
              <w:rPr>
                <w:rFonts w:ascii="宋体"/>
              </w:rPr>
            </w:pPr>
          </w:p>
        </w:tc>
        <w:tc>
          <w:tcPr>
            <w:tcW w:w="494" w:type="pct"/>
            <w:shd w:val="clear" w:color="auto" w:fill="auto"/>
          </w:tcPr>
          <w:p w14:paraId="20ADFB81" w14:textId="77777777" w:rsidR="00B626E7" w:rsidRDefault="00B626E7">
            <w:pPr>
              <w:rPr>
                <w:rFonts w:ascii="宋体"/>
              </w:rPr>
            </w:pPr>
          </w:p>
        </w:tc>
        <w:tc>
          <w:tcPr>
            <w:tcW w:w="50" w:type="pct"/>
            <w:shd w:val="clear" w:color="auto" w:fill="auto"/>
          </w:tcPr>
          <w:p w14:paraId="20ADFB82" w14:textId="77777777" w:rsidR="00B626E7" w:rsidRDefault="00B626E7">
            <w:pPr>
              <w:rPr>
                <w:rFonts w:ascii="宋体"/>
              </w:rPr>
            </w:pPr>
          </w:p>
        </w:tc>
        <w:tc>
          <w:tcPr>
            <w:tcW w:w="5" w:type="pct"/>
            <w:shd w:val="clear" w:color="auto" w:fill="auto"/>
          </w:tcPr>
          <w:p w14:paraId="20ADFB83" w14:textId="77777777" w:rsidR="00B626E7" w:rsidRDefault="00B626E7">
            <w:pPr>
              <w:rPr>
                <w:rFonts w:ascii="宋体"/>
              </w:rPr>
            </w:pPr>
          </w:p>
        </w:tc>
        <w:tc>
          <w:tcPr>
            <w:tcW w:w="24" w:type="pct"/>
            <w:shd w:val="clear" w:color="auto" w:fill="auto"/>
          </w:tcPr>
          <w:p w14:paraId="20ADFB84" w14:textId="77777777" w:rsidR="00B626E7" w:rsidRDefault="00B626E7">
            <w:pPr>
              <w:rPr>
                <w:rFonts w:ascii="宋体"/>
              </w:rPr>
            </w:pPr>
          </w:p>
        </w:tc>
        <w:tc>
          <w:tcPr>
            <w:tcW w:w="5" w:type="pct"/>
            <w:shd w:val="clear" w:color="auto" w:fill="auto"/>
          </w:tcPr>
          <w:p w14:paraId="20ADFB85" w14:textId="77777777" w:rsidR="00B626E7" w:rsidRDefault="00B626E7">
            <w:pPr>
              <w:rPr>
                <w:rFonts w:ascii="宋体"/>
              </w:rPr>
            </w:pPr>
          </w:p>
        </w:tc>
        <w:tc>
          <w:tcPr>
            <w:tcW w:w="50" w:type="pct"/>
            <w:shd w:val="clear" w:color="auto" w:fill="auto"/>
          </w:tcPr>
          <w:p w14:paraId="20ADFB86" w14:textId="77777777" w:rsidR="00B626E7" w:rsidRDefault="00B626E7">
            <w:pPr>
              <w:rPr>
                <w:rFonts w:ascii="宋体"/>
              </w:rPr>
            </w:pPr>
          </w:p>
        </w:tc>
        <w:tc>
          <w:tcPr>
            <w:tcW w:w="494" w:type="pct"/>
            <w:shd w:val="clear" w:color="auto" w:fill="auto"/>
          </w:tcPr>
          <w:p w14:paraId="20ADFB87" w14:textId="77777777" w:rsidR="00B626E7" w:rsidRDefault="00B626E7">
            <w:pPr>
              <w:rPr>
                <w:rFonts w:ascii="宋体"/>
              </w:rPr>
            </w:pPr>
          </w:p>
        </w:tc>
        <w:tc>
          <w:tcPr>
            <w:tcW w:w="50" w:type="pct"/>
            <w:shd w:val="clear" w:color="auto" w:fill="auto"/>
          </w:tcPr>
          <w:p w14:paraId="20ADFB88" w14:textId="77777777" w:rsidR="00B626E7" w:rsidRDefault="00B626E7">
            <w:pPr>
              <w:rPr>
                <w:rFonts w:ascii="宋体"/>
              </w:rPr>
            </w:pPr>
          </w:p>
        </w:tc>
        <w:tc>
          <w:tcPr>
            <w:tcW w:w="5" w:type="pct"/>
            <w:shd w:val="clear" w:color="auto" w:fill="auto"/>
          </w:tcPr>
          <w:p w14:paraId="20ADFB89" w14:textId="77777777" w:rsidR="00B626E7" w:rsidRDefault="00B626E7">
            <w:pPr>
              <w:rPr>
                <w:rFonts w:ascii="宋体"/>
              </w:rPr>
            </w:pPr>
          </w:p>
        </w:tc>
        <w:tc>
          <w:tcPr>
            <w:tcW w:w="24" w:type="pct"/>
            <w:shd w:val="clear" w:color="auto" w:fill="auto"/>
          </w:tcPr>
          <w:p w14:paraId="20ADFB8A" w14:textId="77777777" w:rsidR="00B626E7" w:rsidRDefault="00B626E7">
            <w:pPr>
              <w:rPr>
                <w:rFonts w:ascii="宋体"/>
              </w:rPr>
            </w:pPr>
          </w:p>
        </w:tc>
        <w:tc>
          <w:tcPr>
            <w:tcW w:w="5" w:type="pct"/>
            <w:shd w:val="clear" w:color="auto" w:fill="auto"/>
          </w:tcPr>
          <w:p w14:paraId="20ADFB8B" w14:textId="77777777" w:rsidR="00B626E7" w:rsidRDefault="00B626E7">
            <w:pPr>
              <w:rPr>
                <w:rFonts w:ascii="宋体"/>
              </w:rPr>
            </w:pPr>
          </w:p>
        </w:tc>
        <w:tc>
          <w:tcPr>
            <w:tcW w:w="50" w:type="pct"/>
            <w:shd w:val="clear" w:color="auto" w:fill="auto"/>
          </w:tcPr>
          <w:p w14:paraId="20ADFB8C" w14:textId="77777777" w:rsidR="00B626E7" w:rsidRDefault="00B626E7">
            <w:pPr>
              <w:rPr>
                <w:rFonts w:ascii="宋体"/>
              </w:rPr>
            </w:pPr>
          </w:p>
        </w:tc>
        <w:tc>
          <w:tcPr>
            <w:tcW w:w="494" w:type="pct"/>
            <w:shd w:val="clear" w:color="auto" w:fill="auto"/>
          </w:tcPr>
          <w:p w14:paraId="20ADFB8D" w14:textId="77777777" w:rsidR="00B626E7" w:rsidRDefault="00B626E7">
            <w:pPr>
              <w:rPr>
                <w:rFonts w:ascii="宋体"/>
              </w:rPr>
            </w:pPr>
          </w:p>
        </w:tc>
        <w:tc>
          <w:tcPr>
            <w:tcW w:w="50" w:type="pct"/>
            <w:shd w:val="clear" w:color="auto" w:fill="auto"/>
          </w:tcPr>
          <w:p w14:paraId="20ADFB8E" w14:textId="77777777" w:rsidR="00B626E7" w:rsidRDefault="00B626E7">
            <w:pPr>
              <w:rPr>
                <w:rFonts w:ascii="宋体"/>
              </w:rPr>
            </w:pPr>
          </w:p>
        </w:tc>
      </w:tr>
      <w:tr w:rsidR="00B626E7" w14:paraId="20ADFB99" w14:textId="77777777">
        <w:tc>
          <w:tcPr>
            <w:tcW w:w="0" w:type="auto"/>
            <w:gridSpan w:val="3"/>
            <w:shd w:val="clear" w:color="auto" w:fill="auto"/>
            <w:tcMar>
              <w:left w:w="20" w:type="dxa"/>
              <w:right w:w="20" w:type="dxa"/>
            </w:tcMar>
            <w:vAlign w:val="bottom"/>
          </w:tcPr>
          <w:p w14:paraId="20ADFB90"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DFB91" w14:textId="77777777" w:rsidR="00B626E7" w:rsidRDefault="00B626E7">
            <w:pPr>
              <w:rPr>
                <w:rFonts w:ascii="宋体"/>
              </w:rPr>
            </w:pPr>
          </w:p>
        </w:tc>
        <w:tc>
          <w:tcPr>
            <w:tcW w:w="0" w:type="auto"/>
            <w:gridSpan w:val="9"/>
            <w:shd w:val="clear" w:color="auto" w:fill="auto"/>
            <w:tcMar>
              <w:top w:w="40" w:type="dxa"/>
              <w:left w:w="20" w:type="dxa"/>
              <w:bottom w:w="40" w:type="dxa"/>
              <w:right w:w="20" w:type="dxa"/>
            </w:tcMar>
            <w:vAlign w:val="center"/>
          </w:tcPr>
          <w:p w14:paraId="20ADFB92" w14:textId="77777777" w:rsidR="00B626E7" w:rsidRDefault="00175C1D">
            <w:pPr>
              <w:jc w:val="center"/>
              <w:textAlignment w:val="center"/>
            </w:pPr>
            <w:r>
              <w:rPr>
                <w:rFonts w:ascii="Arial" w:eastAsia="宋体" w:hAnsi="Arial" w:cs="Arial"/>
                <w:b/>
                <w:bCs/>
                <w:color w:val="333333"/>
                <w:sz w:val="18"/>
                <w:szCs w:val="18"/>
              </w:rPr>
              <w:t>Three Months Ended</w:t>
            </w:r>
          </w:p>
        </w:tc>
        <w:tc>
          <w:tcPr>
            <w:tcW w:w="0" w:type="auto"/>
            <w:gridSpan w:val="3"/>
            <w:shd w:val="clear" w:color="auto" w:fill="auto"/>
          </w:tcPr>
          <w:p w14:paraId="20ADFB93" w14:textId="77777777" w:rsidR="00B626E7" w:rsidRDefault="00B626E7">
            <w:pPr>
              <w:rPr>
                <w:rFonts w:ascii="宋体"/>
                <w:vanish/>
              </w:rPr>
            </w:pPr>
          </w:p>
        </w:tc>
        <w:tc>
          <w:tcPr>
            <w:tcW w:w="0" w:type="auto"/>
            <w:gridSpan w:val="3"/>
            <w:shd w:val="clear" w:color="auto" w:fill="auto"/>
          </w:tcPr>
          <w:p w14:paraId="20ADFB94" w14:textId="77777777" w:rsidR="00B626E7" w:rsidRDefault="00B626E7">
            <w:pPr>
              <w:rPr>
                <w:rFonts w:ascii="宋体"/>
                <w:vanish/>
              </w:rPr>
            </w:pPr>
          </w:p>
        </w:tc>
        <w:tc>
          <w:tcPr>
            <w:tcW w:w="0" w:type="auto"/>
            <w:gridSpan w:val="3"/>
            <w:shd w:val="clear" w:color="auto" w:fill="auto"/>
            <w:tcMar>
              <w:left w:w="20" w:type="dxa"/>
              <w:right w:w="20" w:type="dxa"/>
            </w:tcMar>
            <w:vAlign w:val="bottom"/>
          </w:tcPr>
          <w:p w14:paraId="20ADFB95" w14:textId="77777777" w:rsidR="00B626E7" w:rsidRDefault="00B626E7">
            <w:pPr>
              <w:rPr>
                <w:rFonts w:ascii="宋体"/>
              </w:rPr>
            </w:pPr>
          </w:p>
        </w:tc>
        <w:tc>
          <w:tcPr>
            <w:tcW w:w="0" w:type="auto"/>
            <w:gridSpan w:val="9"/>
            <w:shd w:val="clear" w:color="auto" w:fill="auto"/>
            <w:tcMar>
              <w:top w:w="40" w:type="dxa"/>
              <w:left w:w="20" w:type="dxa"/>
              <w:bottom w:w="40" w:type="dxa"/>
              <w:right w:w="20" w:type="dxa"/>
            </w:tcMar>
            <w:vAlign w:val="center"/>
          </w:tcPr>
          <w:p w14:paraId="20ADFB96" w14:textId="77777777" w:rsidR="00B626E7" w:rsidRDefault="00175C1D">
            <w:pPr>
              <w:jc w:val="center"/>
              <w:textAlignment w:val="center"/>
            </w:pPr>
            <w:r>
              <w:rPr>
                <w:rFonts w:ascii="Arial" w:eastAsia="宋体" w:hAnsi="Arial" w:cs="Arial"/>
                <w:b/>
                <w:bCs/>
                <w:color w:val="333333"/>
                <w:sz w:val="18"/>
                <w:szCs w:val="18"/>
              </w:rPr>
              <w:t>Six Months Ended</w:t>
            </w:r>
          </w:p>
        </w:tc>
        <w:tc>
          <w:tcPr>
            <w:tcW w:w="0" w:type="auto"/>
            <w:gridSpan w:val="3"/>
            <w:shd w:val="clear" w:color="auto" w:fill="auto"/>
          </w:tcPr>
          <w:p w14:paraId="20ADFB97" w14:textId="77777777" w:rsidR="00B626E7" w:rsidRDefault="00B626E7">
            <w:pPr>
              <w:rPr>
                <w:rFonts w:ascii="宋体"/>
                <w:vanish/>
              </w:rPr>
            </w:pPr>
          </w:p>
        </w:tc>
        <w:tc>
          <w:tcPr>
            <w:tcW w:w="0" w:type="auto"/>
            <w:gridSpan w:val="3"/>
            <w:shd w:val="clear" w:color="auto" w:fill="auto"/>
          </w:tcPr>
          <w:p w14:paraId="20ADFB98" w14:textId="77777777" w:rsidR="00B626E7" w:rsidRDefault="00B626E7">
            <w:pPr>
              <w:rPr>
                <w:rFonts w:ascii="宋体"/>
                <w:vanish/>
              </w:rPr>
            </w:pPr>
          </w:p>
        </w:tc>
      </w:tr>
      <w:tr w:rsidR="00B626E7" w14:paraId="20ADFBAF" w14:textId="77777777">
        <w:tc>
          <w:tcPr>
            <w:tcW w:w="0" w:type="auto"/>
            <w:gridSpan w:val="3"/>
            <w:shd w:val="clear" w:color="auto" w:fill="auto"/>
            <w:tcMar>
              <w:top w:w="40" w:type="dxa"/>
              <w:left w:w="20" w:type="dxa"/>
              <w:bottom w:w="40" w:type="dxa"/>
              <w:right w:w="20" w:type="dxa"/>
            </w:tcMar>
            <w:vAlign w:val="bottom"/>
          </w:tcPr>
          <w:p w14:paraId="20ADFB9A" w14:textId="77777777" w:rsidR="00B626E7" w:rsidRDefault="00175C1D">
            <w:pPr>
              <w:ind w:hanging="180"/>
              <w:textAlignment w:val="bottom"/>
            </w:pPr>
            <w:r>
              <w:rPr>
                <w:rFonts w:ascii="Arial" w:eastAsia="宋体" w:hAnsi="Arial" w:cs="Arial"/>
                <w:b/>
                <w:bCs/>
                <w:color w:val="333333"/>
                <w:sz w:val="18"/>
                <w:szCs w:val="18"/>
              </w:rPr>
              <w:t>(In Millions; Unaudited)</w:t>
            </w:r>
          </w:p>
        </w:tc>
        <w:tc>
          <w:tcPr>
            <w:tcW w:w="0" w:type="auto"/>
            <w:gridSpan w:val="3"/>
            <w:shd w:val="clear" w:color="auto" w:fill="auto"/>
            <w:tcMar>
              <w:left w:w="20" w:type="dxa"/>
              <w:right w:w="20" w:type="dxa"/>
            </w:tcMar>
            <w:vAlign w:val="bottom"/>
          </w:tcPr>
          <w:p w14:paraId="20ADFB9B"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DFB9C" w14:textId="77777777" w:rsidR="00B626E7" w:rsidRDefault="00175C1D">
            <w:pPr>
              <w:jc w:val="center"/>
              <w:textAlignment w:val="bottom"/>
            </w:pPr>
            <w:r>
              <w:rPr>
                <w:rFonts w:ascii="Arial" w:eastAsia="宋体" w:hAnsi="Arial" w:cs="Arial"/>
                <w:b/>
                <w:bCs/>
                <w:color w:val="333333"/>
                <w:sz w:val="18"/>
                <w:szCs w:val="18"/>
              </w:rPr>
              <w:t>Jun 27, 2020</w:t>
            </w:r>
          </w:p>
        </w:tc>
        <w:tc>
          <w:tcPr>
            <w:tcW w:w="0" w:type="auto"/>
            <w:gridSpan w:val="3"/>
            <w:tcBorders>
              <w:top w:val="single" w:sz="8" w:space="0" w:color="0071C5"/>
            </w:tcBorders>
            <w:shd w:val="clear" w:color="auto" w:fill="auto"/>
            <w:tcMar>
              <w:left w:w="20" w:type="dxa"/>
              <w:right w:w="20" w:type="dxa"/>
            </w:tcMar>
            <w:vAlign w:val="bottom"/>
          </w:tcPr>
          <w:p w14:paraId="20ADFB9D"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DFB9E" w14:textId="77777777" w:rsidR="00B626E7" w:rsidRDefault="00175C1D">
            <w:pPr>
              <w:jc w:val="center"/>
              <w:textAlignment w:val="bottom"/>
            </w:pPr>
            <w:r>
              <w:rPr>
                <w:rFonts w:ascii="Arial" w:eastAsia="宋体" w:hAnsi="Arial" w:cs="Arial"/>
                <w:b/>
                <w:bCs/>
                <w:color w:val="333333"/>
                <w:sz w:val="18"/>
                <w:szCs w:val="18"/>
              </w:rPr>
              <w:t>Jun 29, 2019</w:t>
            </w:r>
          </w:p>
        </w:tc>
        <w:tc>
          <w:tcPr>
            <w:tcW w:w="0" w:type="auto"/>
            <w:gridSpan w:val="3"/>
            <w:shd w:val="clear" w:color="auto" w:fill="auto"/>
            <w:tcMar>
              <w:left w:w="20" w:type="dxa"/>
              <w:right w:w="20" w:type="dxa"/>
            </w:tcMar>
            <w:vAlign w:val="bottom"/>
          </w:tcPr>
          <w:p w14:paraId="20ADFB9F"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DFBA0" w14:textId="77777777" w:rsidR="00B626E7" w:rsidRDefault="00175C1D">
            <w:pPr>
              <w:jc w:val="center"/>
              <w:textAlignment w:val="bottom"/>
            </w:pPr>
            <w:r>
              <w:rPr>
                <w:rFonts w:ascii="Arial" w:eastAsia="宋体" w:hAnsi="Arial" w:cs="Arial"/>
                <w:b/>
                <w:bCs/>
                <w:color w:val="333333"/>
                <w:sz w:val="18"/>
                <w:szCs w:val="18"/>
              </w:rPr>
              <w:t>Jun 27, 2020</w:t>
            </w:r>
          </w:p>
        </w:tc>
        <w:tc>
          <w:tcPr>
            <w:tcW w:w="0" w:type="auto"/>
            <w:gridSpan w:val="3"/>
            <w:tcBorders>
              <w:top w:val="single" w:sz="8" w:space="0" w:color="0071C5"/>
            </w:tcBorders>
            <w:shd w:val="clear" w:color="auto" w:fill="auto"/>
            <w:tcMar>
              <w:left w:w="20" w:type="dxa"/>
              <w:right w:w="20" w:type="dxa"/>
            </w:tcMar>
            <w:vAlign w:val="bottom"/>
          </w:tcPr>
          <w:p w14:paraId="20ADFBA1"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DFBA2" w14:textId="77777777" w:rsidR="00B626E7" w:rsidRDefault="00175C1D">
            <w:pPr>
              <w:jc w:val="center"/>
              <w:textAlignment w:val="bottom"/>
            </w:pPr>
            <w:r>
              <w:rPr>
                <w:rFonts w:ascii="Arial" w:eastAsia="宋体" w:hAnsi="Arial" w:cs="Arial"/>
                <w:b/>
                <w:bCs/>
                <w:color w:val="333333"/>
                <w:sz w:val="18"/>
                <w:szCs w:val="18"/>
              </w:rPr>
              <w:t>Jun 29, 2019</w:t>
            </w:r>
          </w:p>
        </w:tc>
        <w:tc>
          <w:tcPr>
            <w:tcW w:w="0" w:type="auto"/>
            <w:shd w:val="clear" w:color="auto" w:fill="auto"/>
          </w:tcPr>
          <w:p w14:paraId="20ADFBA3" w14:textId="77777777" w:rsidR="00B626E7" w:rsidRDefault="00B626E7">
            <w:pPr>
              <w:rPr>
                <w:rFonts w:ascii="宋体"/>
              </w:rPr>
            </w:pPr>
          </w:p>
        </w:tc>
        <w:tc>
          <w:tcPr>
            <w:tcW w:w="0" w:type="auto"/>
            <w:shd w:val="clear" w:color="auto" w:fill="auto"/>
          </w:tcPr>
          <w:p w14:paraId="20ADFBA4" w14:textId="77777777" w:rsidR="00B626E7" w:rsidRDefault="00B626E7">
            <w:pPr>
              <w:rPr>
                <w:rFonts w:ascii="宋体"/>
              </w:rPr>
            </w:pPr>
          </w:p>
        </w:tc>
        <w:tc>
          <w:tcPr>
            <w:tcW w:w="0" w:type="auto"/>
            <w:shd w:val="clear" w:color="auto" w:fill="auto"/>
          </w:tcPr>
          <w:p w14:paraId="20ADFBA5" w14:textId="77777777" w:rsidR="00B626E7" w:rsidRDefault="00B626E7">
            <w:pPr>
              <w:rPr>
                <w:rFonts w:ascii="宋体"/>
              </w:rPr>
            </w:pPr>
          </w:p>
        </w:tc>
        <w:tc>
          <w:tcPr>
            <w:tcW w:w="0" w:type="auto"/>
            <w:shd w:val="clear" w:color="auto" w:fill="auto"/>
          </w:tcPr>
          <w:p w14:paraId="20ADFBA6" w14:textId="77777777" w:rsidR="00B626E7" w:rsidRDefault="00B626E7">
            <w:pPr>
              <w:rPr>
                <w:rFonts w:ascii="宋体"/>
              </w:rPr>
            </w:pPr>
          </w:p>
        </w:tc>
        <w:tc>
          <w:tcPr>
            <w:tcW w:w="0" w:type="auto"/>
            <w:shd w:val="clear" w:color="auto" w:fill="auto"/>
          </w:tcPr>
          <w:p w14:paraId="20ADFBA7" w14:textId="77777777" w:rsidR="00B626E7" w:rsidRDefault="00B626E7">
            <w:pPr>
              <w:rPr>
                <w:rFonts w:ascii="宋体"/>
              </w:rPr>
            </w:pPr>
          </w:p>
        </w:tc>
        <w:tc>
          <w:tcPr>
            <w:tcW w:w="0" w:type="auto"/>
            <w:shd w:val="clear" w:color="auto" w:fill="auto"/>
          </w:tcPr>
          <w:p w14:paraId="20ADFBA8" w14:textId="77777777" w:rsidR="00B626E7" w:rsidRDefault="00B626E7">
            <w:pPr>
              <w:rPr>
                <w:rFonts w:ascii="宋体"/>
              </w:rPr>
            </w:pPr>
          </w:p>
        </w:tc>
        <w:tc>
          <w:tcPr>
            <w:tcW w:w="0" w:type="auto"/>
            <w:shd w:val="clear" w:color="auto" w:fill="auto"/>
          </w:tcPr>
          <w:p w14:paraId="20ADFBA9" w14:textId="77777777" w:rsidR="00B626E7" w:rsidRDefault="00B626E7">
            <w:pPr>
              <w:rPr>
                <w:rFonts w:ascii="宋体"/>
              </w:rPr>
            </w:pPr>
          </w:p>
        </w:tc>
        <w:tc>
          <w:tcPr>
            <w:tcW w:w="0" w:type="auto"/>
            <w:shd w:val="clear" w:color="auto" w:fill="auto"/>
          </w:tcPr>
          <w:p w14:paraId="20ADFBAA" w14:textId="77777777" w:rsidR="00B626E7" w:rsidRDefault="00B626E7">
            <w:pPr>
              <w:rPr>
                <w:rFonts w:ascii="宋体"/>
              </w:rPr>
            </w:pPr>
          </w:p>
        </w:tc>
        <w:tc>
          <w:tcPr>
            <w:tcW w:w="0" w:type="auto"/>
            <w:shd w:val="clear" w:color="auto" w:fill="auto"/>
          </w:tcPr>
          <w:p w14:paraId="20ADFBAB" w14:textId="77777777" w:rsidR="00B626E7" w:rsidRDefault="00B626E7">
            <w:pPr>
              <w:rPr>
                <w:rFonts w:ascii="宋体"/>
              </w:rPr>
            </w:pPr>
          </w:p>
        </w:tc>
        <w:tc>
          <w:tcPr>
            <w:tcW w:w="0" w:type="auto"/>
            <w:shd w:val="clear" w:color="auto" w:fill="auto"/>
          </w:tcPr>
          <w:p w14:paraId="20ADFBAC" w14:textId="77777777" w:rsidR="00B626E7" w:rsidRDefault="00B626E7">
            <w:pPr>
              <w:rPr>
                <w:rFonts w:ascii="宋体"/>
              </w:rPr>
            </w:pPr>
          </w:p>
        </w:tc>
        <w:tc>
          <w:tcPr>
            <w:tcW w:w="0" w:type="auto"/>
            <w:shd w:val="clear" w:color="auto" w:fill="auto"/>
          </w:tcPr>
          <w:p w14:paraId="20ADFBAD" w14:textId="77777777" w:rsidR="00B626E7" w:rsidRDefault="00B626E7">
            <w:pPr>
              <w:rPr>
                <w:rFonts w:ascii="宋体"/>
              </w:rPr>
            </w:pPr>
          </w:p>
        </w:tc>
        <w:tc>
          <w:tcPr>
            <w:tcW w:w="0" w:type="auto"/>
            <w:shd w:val="clear" w:color="auto" w:fill="auto"/>
          </w:tcPr>
          <w:p w14:paraId="20ADFBAE" w14:textId="77777777" w:rsidR="00B626E7" w:rsidRDefault="00B626E7">
            <w:pPr>
              <w:rPr>
                <w:rFonts w:ascii="宋体"/>
              </w:rPr>
            </w:pPr>
          </w:p>
        </w:tc>
      </w:tr>
      <w:tr w:rsidR="00B626E7" w14:paraId="20ADFBCD" w14:textId="77777777">
        <w:tc>
          <w:tcPr>
            <w:tcW w:w="0" w:type="auto"/>
            <w:gridSpan w:val="3"/>
            <w:tcBorders>
              <w:top w:val="single" w:sz="8" w:space="0" w:color="0071C5"/>
            </w:tcBorders>
            <w:shd w:val="clear" w:color="auto" w:fill="auto"/>
            <w:tcMar>
              <w:top w:w="40" w:type="dxa"/>
              <w:left w:w="20" w:type="dxa"/>
              <w:bottom w:w="40" w:type="dxa"/>
              <w:right w:w="20" w:type="dxa"/>
            </w:tcMar>
          </w:tcPr>
          <w:p w14:paraId="20ADFBB0" w14:textId="77777777" w:rsidR="00B626E7" w:rsidRDefault="00175C1D">
            <w:pPr>
              <w:ind w:hanging="180"/>
              <w:textAlignment w:val="top"/>
            </w:pPr>
            <w:r>
              <w:rPr>
                <w:rFonts w:ascii="Arial" w:eastAsia="宋体" w:hAnsi="Arial" w:cs="Arial"/>
                <w:b/>
                <w:bCs/>
                <w:color w:val="333333"/>
                <w:sz w:val="18"/>
                <w:szCs w:val="18"/>
              </w:rPr>
              <w:t xml:space="preserve">Net </w:t>
            </w:r>
            <w:r>
              <w:rPr>
                <w:rFonts w:ascii="Arial" w:eastAsia="宋体" w:hAnsi="Arial" w:cs="Arial"/>
                <w:b/>
                <w:bCs/>
                <w:color w:val="333333"/>
                <w:sz w:val="18"/>
                <w:szCs w:val="18"/>
              </w:rPr>
              <w:t>income</w:t>
            </w:r>
          </w:p>
        </w:tc>
        <w:tc>
          <w:tcPr>
            <w:tcW w:w="0" w:type="auto"/>
            <w:gridSpan w:val="3"/>
            <w:shd w:val="clear" w:color="auto" w:fill="auto"/>
            <w:tcMar>
              <w:left w:w="20" w:type="dxa"/>
              <w:right w:w="20" w:type="dxa"/>
            </w:tcMar>
            <w:vAlign w:val="bottom"/>
          </w:tcPr>
          <w:p w14:paraId="20ADFBB1"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DFBB2" w14:textId="77777777" w:rsidR="00B626E7" w:rsidRDefault="00175C1D">
            <w:pPr>
              <w:textAlignment w:val="bottom"/>
            </w:pPr>
            <w:r>
              <w:rPr>
                <w:rFonts w:ascii="Arial" w:eastAsia="宋体" w:hAnsi="Arial" w:cs="Arial"/>
                <w:b/>
                <w:bCs/>
                <w:color w:val="0071C5"/>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DFBB3" w14:textId="77777777" w:rsidR="00B626E7" w:rsidRDefault="00175C1D">
            <w:pPr>
              <w:jc w:val="right"/>
              <w:textAlignment w:val="bottom"/>
            </w:pPr>
            <w:r>
              <w:rPr>
                <w:rFonts w:ascii="Arial" w:eastAsia="宋体" w:hAnsi="Arial" w:cs="Arial"/>
                <w:b/>
                <w:bCs/>
                <w:color w:val="0071C5"/>
                <w:sz w:val="18"/>
                <w:szCs w:val="18"/>
              </w:rPr>
              <w:t>5,105 </w:t>
            </w:r>
          </w:p>
        </w:tc>
        <w:tc>
          <w:tcPr>
            <w:tcW w:w="0" w:type="auto"/>
            <w:tcBorders>
              <w:top w:val="single" w:sz="8" w:space="0" w:color="0071C5"/>
            </w:tcBorders>
            <w:shd w:val="clear" w:color="auto" w:fill="auto"/>
            <w:tcMar>
              <w:top w:w="40" w:type="dxa"/>
              <w:bottom w:w="40" w:type="dxa"/>
              <w:right w:w="20" w:type="dxa"/>
            </w:tcMar>
            <w:vAlign w:val="bottom"/>
          </w:tcPr>
          <w:p w14:paraId="20ADFBB4"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DFBB5"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DFBB6"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DFBB7" w14:textId="77777777" w:rsidR="00B626E7" w:rsidRDefault="00175C1D">
            <w:pPr>
              <w:jc w:val="right"/>
              <w:textAlignment w:val="bottom"/>
            </w:pPr>
            <w:r>
              <w:rPr>
                <w:rFonts w:ascii="Arial" w:eastAsia="宋体" w:hAnsi="Arial" w:cs="Arial"/>
                <w:b/>
                <w:bCs/>
                <w:color w:val="333333"/>
                <w:sz w:val="18"/>
                <w:szCs w:val="18"/>
              </w:rPr>
              <w:t>4,179 </w:t>
            </w:r>
          </w:p>
        </w:tc>
        <w:tc>
          <w:tcPr>
            <w:tcW w:w="0" w:type="auto"/>
            <w:tcBorders>
              <w:top w:val="single" w:sz="8" w:space="0" w:color="0071C5"/>
            </w:tcBorders>
            <w:shd w:val="clear" w:color="auto" w:fill="auto"/>
            <w:tcMar>
              <w:top w:w="40" w:type="dxa"/>
              <w:bottom w:w="40" w:type="dxa"/>
              <w:right w:w="20" w:type="dxa"/>
            </w:tcMar>
            <w:vAlign w:val="bottom"/>
          </w:tcPr>
          <w:p w14:paraId="20ADFBB8"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DFBB9"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DFBBA" w14:textId="77777777" w:rsidR="00B626E7" w:rsidRDefault="00175C1D">
            <w:pPr>
              <w:textAlignment w:val="bottom"/>
            </w:pPr>
            <w:r>
              <w:rPr>
                <w:rFonts w:ascii="Arial" w:eastAsia="宋体" w:hAnsi="Arial" w:cs="Arial"/>
                <w:b/>
                <w:bCs/>
                <w:color w:val="0071C5"/>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DFBBB" w14:textId="77777777" w:rsidR="00B626E7" w:rsidRDefault="00175C1D">
            <w:pPr>
              <w:jc w:val="right"/>
              <w:textAlignment w:val="bottom"/>
            </w:pPr>
            <w:r>
              <w:rPr>
                <w:rFonts w:ascii="Arial" w:eastAsia="宋体" w:hAnsi="Arial" w:cs="Arial"/>
                <w:b/>
                <w:bCs/>
                <w:color w:val="0071C5"/>
                <w:sz w:val="18"/>
                <w:szCs w:val="18"/>
              </w:rPr>
              <w:t>10,766 </w:t>
            </w:r>
          </w:p>
        </w:tc>
        <w:tc>
          <w:tcPr>
            <w:tcW w:w="0" w:type="auto"/>
            <w:tcBorders>
              <w:top w:val="single" w:sz="8" w:space="0" w:color="0071C5"/>
            </w:tcBorders>
            <w:shd w:val="clear" w:color="auto" w:fill="auto"/>
            <w:tcMar>
              <w:top w:w="40" w:type="dxa"/>
              <w:bottom w:w="40" w:type="dxa"/>
              <w:right w:w="20" w:type="dxa"/>
            </w:tcMar>
            <w:vAlign w:val="bottom"/>
          </w:tcPr>
          <w:p w14:paraId="20ADFBBC"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DFBBD"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DFBBE"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DFBBF" w14:textId="77777777" w:rsidR="00B626E7" w:rsidRDefault="00175C1D">
            <w:pPr>
              <w:jc w:val="right"/>
              <w:textAlignment w:val="bottom"/>
            </w:pPr>
            <w:r>
              <w:rPr>
                <w:rFonts w:ascii="Arial" w:eastAsia="宋体" w:hAnsi="Arial" w:cs="Arial"/>
                <w:b/>
                <w:bCs/>
                <w:color w:val="333333"/>
                <w:sz w:val="18"/>
                <w:szCs w:val="18"/>
              </w:rPr>
              <w:t>8,153 </w:t>
            </w:r>
          </w:p>
        </w:tc>
        <w:tc>
          <w:tcPr>
            <w:tcW w:w="0" w:type="auto"/>
            <w:tcBorders>
              <w:top w:val="single" w:sz="8" w:space="0" w:color="0071C5"/>
            </w:tcBorders>
            <w:shd w:val="clear" w:color="auto" w:fill="auto"/>
            <w:tcMar>
              <w:top w:w="40" w:type="dxa"/>
              <w:bottom w:w="40" w:type="dxa"/>
              <w:right w:w="20" w:type="dxa"/>
            </w:tcMar>
            <w:vAlign w:val="bottom"/>
          </w:tcPr>
          <w:p w14:paraId="20ADFBC0"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DFBC1" w14:textId="77777777" w:rsidR="00B626E7" w:rsidRDefault="00B626E7">
            <w:pPr>
              <w:rPr>
                <w:rFonts w:ascii="宋体"/>
              </w:rPr>
            </w:pPr>
          </w:p>
        </w:tc>
        <w:tc>
          <w:tcPr>
            <w:tcW w:w="0" w:type="auto"/>
            <w:shd w:val="clear" w:color="auto" w:fill="auto"/>
          </w:tcPr>
          <w:p w14:paraId="20ADFBC2" w14:textId="77777777" w:rsidR="00B626E7" w:rsidRDefault="00B626E7">
            <w:pPr>
              <w:rPr>
                <w:rFonts w:ascii="宋体"/>
              </w:rPr>
            </w:pPr>
          </w:p>
        </w:tc>
        <w:tc>
          <w:tcPr>
            <w:tcW w:w="0" w:type="auto"/>
            <w:shd w:val="clear" w:color="auto" w:fill="auto"/>
          </w:tcPr>
          <w:p w14:paraId="20ADFBC3" w14:textId="77777777" w:rsidR="00B626E7" w:rsidRDefault="00B626E7">
            <w:pPr>
              <w:rPr>
                <w:rFonts w:ascii="宋体"/>
              </w:rPr>
            </w:pPr>
          </w:p>
        </w:tc>
        <w:tc>
          <w:tcPr>
            <w:tcW w:w="0" w:type="auto"/>
            <w:shd w:val="clear" w:color="auto" w:fill="auto"/>
          </w:tcPr>
          <w:p w14:paraId="20ADFBC4" w14:textId="77777777" w:rsidR="00B626E7" w:rsidRDefault="00B626E7">
            <w:pPr>
              <w:rPr>
                <w:rFonts w:ascii="宋体"/>
              </w:rPr>
            </w:pPr>
          </w:p>
        </w:tc>
        <w:tc>
          <w:tcPr>
            <w:tcW w:w="0" w:type="auto"/>
            <w:shd w:val="clear" w:color="auto" w:fill="auto"/>
          </w:tcPr>
          <w:p w14:paraId="20ADFBC5" w14:textId="77777777" w:rsidR="00B626E7" w:rsidRDefault="00B626E7">
            <w:pPr>
              <w:rPr>
                <w:rFonts w:ascii="宋体"/>
              </w:rPr>
            </w:pPr>
          </w:p>
        </w:tc>
        <w:tc>
          <w:tcPr>
            <w:tcW w:w="0" w:type="auto"/>
            <w:shd w:val="clear" w:color="auto" w:fill="auto"/>
          </w:tcPr>
          <w:p w14:paraId="20ADFBC6" w14:textId="77777777" w:rsidR="00B626E7" w:rsidRDefault="00B626E7">
            <w:pPr>
              <w:rPr>
                <w:rFonts w:ascii="宋体"/>
              </w:rPr>
            </w:pPr>
          </w:p>
        </w:tc>
        <w:tc>
          <w:tcPr>
            <w:tcW w:w="0" w:type="auto"/>
            <w:shd w:val="clear" w:color="auto" w:fill="auto"/>
          </w:tcPr>
          <w:p w14:paraId="20ADFBC7" w14:textId="77777777" w:rsidR="00B626E7" w:rsidRDefault="00B626E7">
            <w:pPr>
              <w:rPr>
                <w:rFonts w:ascii="宋体"/>
              </w:rPr>
            </w:pPr>
          </w:p>
        </w:tc>
        <w:tc>
          <w:tcPr>
            <w:tcW w:w="0" w:type="auto"/>
            <w:shd w:val="clear" w:color="auto" w:fill="auto"/>
          </w:tcPr>
          <w:p w14:paraId="20ADFBC8" w14:textId="77777777" w:rsidR="00B626E7" w:rsidRDefault="00B626E7">
            <w:pPr>
              <w:rPr>
                <w:rFonts w:ascii="宋体"/>
              </w:rPr>
            </w:pPr>
          </w:p>
        </w:tc>
        <w:tc>
          <w:tcPr>
            <w:tcW w:w="0" w:type="auto"/>
            <w:shd w:val="clear" w:color="auto" w:fill="auto"/>
          </w:tcPr>
          <w:p w14:paraId="20ADFBC9" w14:textId="77777777" w:rsidR="00B626E7" w:rsidRDefault="00B626E7">
            <w:pPr>
              <w:rPr>
                <w:rFonts w:ascii="宋体"/>
              </w:rPr>
            </w:pPr>
          </w:p>
        </w:tc>
        <w:tc>
          <w:tcPr>
            <w:tcW w:w="0" w:type="auto"/>
            <w:shd w:val="clear" w:color="auto" w:fill="auto"/>
          </w:tcPr>
          <w:p w14:paraId="20ADFBCA" w14:textId="77777777" w:rsidR="00B626E7" w:rsidRDefault="00B626E7">
            <w:pPr>
              <w:rPr>
                <w:rFonts w:ascii="宋体"/>
              </w:rPr>
            </w:pPr>
          </w:p>
        </w:tc>
        <w:tc>
          <w:tcPr>
            <w:tcW w:w="0" w:type="auto"/>
            <w:shd w:val="clear" w:color="auto" w:fill="auto"/>
          </w:tcPr>
          <w:p w14:paraId="20ADFBCB" w14:textId="77777777" w:rsidR="00B626E7" w:rsidRDefault="00B626E7">
            <w:pPr>
              <w:rPr>
                <w:rFonts w:ascii="宋体"/>
              </w:rPr>
            </w:pPr>
          </w:p>
        </w:tc>
        <w:tc>
          <w:tcPr>
            <w:tcW w:w="0" w:type="auto"/>
            <w:shd w:val="clear" w:color="auto" w:fill="auto"/>
          </w:tcPr>
          <w:p w14:paraId="20ADFBCC" w14:textId="77777777" w:rsidR="00B626E7" w:rsidRDefault="00B626E7">
            <w:pPr>
              <w:rPr>
                <w:rFonts w:ascii="宋体"/>
              </w:rPr>
            </w:pPr>
          </w:p>
        </w:tc>
      </w:tr>
      <w:tr w:rsidR="00B626E7" w14:paraId="20ADFBE3" w14:textId="77777777">
        <w:tc>
          <w:tcPr>
            <w:tcW w:w="0" w:type="auto"/>
            <w:gridSpan w:val="3"/>
            <w:shd w:val="clear" w:color="auto" w:fill="auto"/>
            <w:tcMar>
              <w:top w:w="40" w:type="dxa"/>
              <w:left w:w="20" w:type="dxa"/>
              <w:bottom w:w="40" w:type="dxa"/>
              <w:right w:w="20" w:type="dxa"/>
            </w:tcMar>
          </w:tcPr>
          <w:p w14:paraId="20ADFBCE" w14:textId="77777777" w:rsidR="00B626E7" w:rsidRDefault="00175C1D">
            <w:pPr>
              <w:textAlignment w:val="top"/>
            </w:pPr>
            <w:r>
              <w:rPr>
                <w:rFonts w:ascii="Arial" w:eastAsia="宋体" w:hAnsi="Arial" w:cs="Arial"/>
                <w:color w:val="333333"/>
                <w:sz w:val="18"/>
                <w:szCs w:val="18"/>
              </w:rPr>
              <w:t>Changes in other comprehensive income, net of tax:</w:t>
            </w:r>
          </w:p>
        </w:tc>
        <w:tc>
          <w:tcPr>
            <w:tcW w:w="0" w:type="auto"/>
            <w:gridSpan w:val="3"/>
            <w:shd w:val="clear" w:color="auto" w:fill="auto"/>
            <w:tcMar>
              <w:left w:w="20" w:type="dxa"/>
              <w:right w:w="20" w:type="dxa"/>
            </w:tcMar>
            <w:vAlign w:val="bottom"/>
          </w:tcPr>
          <w:p w14:paraId="20ADFBCF" w14:textId="77777777" w:rsidR="00B626E7" w:rsidRDefault="00B626E7">
            <w:pPr>
              <w:rPr>
                <w:rFonts w:ascii="宋体"/>
              </w:rPr>
            </w:pPr>
          </w:p>
        </w:tc>
        <w:tc>
          <w:tcPr>
            <w:tcW w:w="0" w:type="auto"/>
            <w:gridSpan w:val="3"/>
            <w:tcBorders>
              <w:top w:val="single" w:sz="8" w:space="0" w:color="333333"/>
            </w:tcBorders>
            <w:shd w:val="clear" w:color="auto" w:fill="auto"/>
            <w:tcMar>
              <w:left w:w="20" w:type="dxa"/>
              <w:right w:w="20" w:type="dxa"/>
            </w:tcMar>
            <w:vAlign w:val="bottom"/>
          </w:tcPr>
          <w:p w14:paraId="20ADFBD0"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DFBD1" w14:textId="77777777" w:rsidR="00B626E7" w:rsidRDefault="00B626E7">
            <w:pPr>
              <w:rPr>
                <w:rFonts w:ascii="宋体"/>
              </w:rPr>
            </w:pPr>
          </w:p>
        </w:tc>
        <w:tc>
          <w:tcPr>
            <w:tcW w:w="0" w:type="auto"/>
            <w:gridSpan w:val="3"/>
            <w:tcBorders>
              <w:top w:val="single" w:sz="8" w:space="0" w:color="333333"/>
            </w:tcBorders>
            <w:shd w:val="clear" w:color="auto" w:fill="auto"/>
            <w:tcMar>
              <w:left w:w="20" w:type="dxa"/>
              <w:right w:w="20" w:type="dxa"/>
            </w:tcMar>
            <w:vAlign w:val="bottom"/>
          </w:tcPr>
          <w:p w14:paraId="20ADFBD2"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DFBD3" w14:textId="77777777" w:rsidR="00B626E7" w:rsidRDefault="00B626E7">
            <w:pPr>
              <w:rPr>
                <w:rFonts w:ascii="宋体"/>
              </w:rPr>
            </w:pPr>
          </w:p>
        </w:tc>
        <w:tc>
          <w:tcPr>
            <w:tcW w:w="0" w:type="auto"/>
            <w:gridSpan w:val="3"/>
            <w:tcBorders>
              <w:top w:val="single" w:sz="8" w:space="0" w:color="333333"/>
            </w:tcBorders>
            <w:shd w:val="clear" w:color="auto" w:fill="auto"/>
            <w:tcMar>
              <w:left w:w="20" w:type="dxa"/>
              <w:right w:w="20" w:type="dxa"/>
            </w:tcMar>
            <w:vAlign w:val="bottom"/>
          </w:tcPr>
          <w:p w14:paraId="20ADFBD4"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DFBD5" w14:textId="77777777" w:rsidR="00B626E7" w:rsidRDefault="00B626E7">
            <w:pPr>
              <w:rPr>
                <w:rFonts w:ascii="宋体"/>
              </w:rPr>
            </w:pPr>
          </w:p>
        </w:tc>
        <w:tc>
          <w:tcPr>
            <w:tcW w:w="0" w:type="auto"/>
            <w:gridSpan w:val="3"/>
            <w:tcBorders>
              <w:top w:val="single" w:sz="8" w:space="0" w:color="333333"/>
            </w:tcBorders>
            <w:shd w:val="clear" w:color="auto" w:fill="auto"/>
            <w:tcMar>
              <w:left w:w="20" w:type="dxa"/>
              <w:right w:w="20" w:type="dxa"/>
            </w:tcMar>
            <w:vAlign w:val="bottom"/>
          </w:tcPr>
          <w:p w14:paraId="20ADFBD6" w14:textId="77777777" w:rsidR="00B626E7" w:rsidRDefault="00B626E7">
            <w:pPr>
              <w:rPr>
                <w:rFonts w:ascii="宋体"/>
              </w:rPr>
            </w:pPr>
          </w:p>
        </w:tc>
        <w:tc>
          <w:tcPr>
            <w:tcW w:w="0" w:type="auto"/>
            <w:shd w:val="clear" w:color="auto" w:fill="auto"/>
          </w:tcPr>
          <w:p w14:paraId="20ADFBD7" w14:textId="77777777" w:rsidR="00B626E7" w:rsidRDefault="00B626E7">
            <w:pPr>
              <w:rPr>
                <w:rFonts w:ascii="宋体"/>
              </w:rPr>
            </w:pPr>
          </w:p>
        </w:tc>
        <w:tc>
          <w:tcPr>
            <w:tcW w:w="0" w:type="auto"/>
            <w:shd w:val="clear" w:color="auto" w:fill="auto"/>
          </w:tcPr>
          <w:p w14:paraId="20ADFBD8" w14:textId="77777777" w:rsidR="00B626E7" w:rsidRDefault="00B626E7">
            <w:pPr>
              <w:rPr>
                <w:rFonts w:ascii="宋体"/>
              </w:rPr>
            </w:pPr>
          </w:p>
        </w:tc>
        <w:tc>
          <w:tcPr>
            <w:tcW w:w="0" w:type="auto"/>
            <w:shd w:val="clear" w:color="auto" w:fill="auto"/>
          </w:tcPr>
          <w:p w14:paraId="20ADFBD9" w14:textId="77777777" w:rsidR="00B626E7" w:rsidRDefault="00B626E7">
            <w:pPr>
              <w:rPr>
                <w:rFonts w:ascii="宋体"/>
              </w:rPr>
            </w:pPr>
          </w:p>
        </w:tc>
        <w:tc>
          <w:tcPr>
            <w:tcW w:w="0" w:type="auto"/>
            <w:shd w:val="clear" w:color="auto" w:fill="auto"/>
          </w:tcPr>
          <w:p w14:paraId="20ADFBDA" w14:textId="77777777" w:rsidR="00B626E7" w:rsidRDefault="00B626E7">
            <w:pPr>
              <w:rPr>
                <w:rFonts w:ascii="宋体"/>
              </w:rPr>
            </w:pPr>
          </w:p>
        </w:tc>
        <w:tc>
          <w:tcPr>
            <w:tcW w:w="0" w:type="auto"/>
            <w:shd w:val="clear" w:color="auto" w:fill="auto"/>
          </w:tcPr>
          <w:p w14:paraId="20ADFBDB" w14:textId="77777777" w:rsidR="00B626E7" w:rsidRDefault="00B626E7">
            <w:pPr>
              <w:rPr>
                <w:rFonts w:ascii="宋体"/>
              </w:rPr>
            </w:pPr>
          </w:p>
        </w:tc>
        <w:tc>
          <w:tcPr>
            <w:tcW w:w="0" w:type="auto"/>
            <w:shd w:val="clear" w:color="auto" w:fill="auto"/>
          </w:tcPr>
          <w:p w14:paraId="20ADFBDC" w14:textId="77777777" w:rsidR="00B626E7" w:rsidRDefault="00B626E7">
            <w:pPr>
              <w:rPr>
                <w:rFonts w:ascii="宋体"/>
              </w:rPr>
            </w:pPr>
          </w:p>
        </w:tc>
        <w:tc>
          <w:tcPr>
            <w:tcW w:w="0" w:type="auto"/>
            <w:shd w:val="clear" w:color="auto" w:fill="auto"/>
          </w:tcPr>
          <w:p w14:paraId="20ADFBDD" w14:textId="77777777" w:rsidR="00B626E7" w:rsidRDefault="00B626E7">
            <w:pPr>
              <w:rPr>
                <w:rFonts w:ascii="宋体"/>
              </w:rPr>
            </w:pPr>
          </w:p>
        </w:tc>
        <w:tc>
          <w:tcPr>
            <w:tcW w:w="0" w:type="auto"/>
            <w:shd w:val="clear" w:color="auto" w:fill="auto"/>
          </w:tcPr>
          <w:p w14:paraId="20ADFBDE" w14:textId="77777777" w:rsidR="00B626E7" w:rsidRDefault="00B626E7">
            <w:pPr>
              <w:rPr>
                <w:rFonts w:ascii="宋体"/>
              </w:rPr>
            </w:pPr>
          </w:p>
        </w:tc>
        <w:tc>
          <w:tcPr>
            <w:tcW w:w="0" w:type="auto"/>
            <w:shd w:val="clear" w:color="auto" w:fill="auto"/>
          </w:tcPr>
          <w:p w14:paraId="20ADFBDF" w14:textId="77777777" w:rsidR="00B626E7" w:rsidRDefault="00B626E7">
            <w:pPr>
              <w:rPr>
                <w:rFonts w:ascii="宋体"/>
              </w:rPr>
            </w:pPr>
          </w:p>
        </w:tc>
        <w:tc>
          <w:tcPr>
            <w:tcW w:w="0" w:type="auto"/>
            <w:shd w:val="clear" w:color="auto" w:fill="auto"/>
          </w:tcPr>
          <w:p w14:paraId="20ADFBE0" w14:textId="77777777" w:rsidR="00B626E7" w:rsidRDefault="00B626E7">
            <w:pPr>
              <w:rPr>
                <w:rFonts w:ascii="宋体"/>
              </w:rPr>
            </w:pPr>
          </w:p>
        </w:tc>
        <w:tc>
          <w:tcPr>
            <w:tcW w:w="0" w:type="auto"/>
            <w:shd w:val="clear" w:color="auto" w:fill="auto"/>
          </w:tcPr>
          <w:p w14:paraId="20ADFBE1" w14:textId="77777777" w:rsidR="00B626E7" w:rsidRDefault="00B626E7">
            <w:pPr>
              <w:rPr>
                <w:rFonts w:ascii="宋体"/>
              </w:rPr>
            </w:pPr>
          </w:p>
        </w:tc>
        <w:tc>
          <w:tcPr>
            <w:tcW w:w="0" w:type="auto"/>
            <w:shd w:val="clear" w:color="auto" w:fill="auto"/>
          </w:tcPr>
          <w:p w14:paraId="20ADFBE2" w14:textId="77777777" w:rsidR="00B626E7" w:rsidRDefault="00B626E7">
            <w:pPr>
              <w:rPr>
                <w:rFonts w:ascii="宋体"/>
              </w:rPr>
            </w:pPr>
          </w:p>
        </w:tc>
      </w:tr>
      <w:tr w:rsidR="00B626E7" w14:paraId="20ADFBF9" w14:textId="77777777">
        <w:trPr>
          <w:hidden/>
        </w:trPr>
        <w:tc>
          <w:tcPr>
            <w:tcW w:w="0" w:type="auto"/>
            <w:gridSpan w:val="3"/>
            <w:shd w:val="clear" w:color="auto" w:fill="auto"/>
          </w:tcPr>
          <w:p w14:paraId="20ADFBE4" w14:textId="77777777" w:rsidR="00B626E7" w:rsidRDefault="00B626E7">
            <w:pPr>
              <w:rPr>
                <w:rFonts w:ascii="宋体"/>
                <w:vanish/>
              </w:rPr>
            </w:pPr>
          </w:p>
        </w:tc>
        <w:tc>
          <w:tcPr>
            <w:tcW w:w="0" w:type="auto"/>
            <w:gridSpan w:val="3"/>
            <w:shd w:val="clear" w:color="auto" w:fill="auto"/>
          </w:tcPr>
          <w:p w14:paraId="20ADFBE5" w14:textId="77777777" w:rsidR="00B626E7" w:rsidRDefault="00B626E7">
            <w:pPr>
              <w:rPr>
                <w:rFonts w:ascii="宋体"/>
                <w:vanish/>
              </w:rPr>
            </w:pPr>
          </w:p>
        </w:tc>
        <w:tc>
          <w:tcPr>
            <w:tcW w:w="0" w:type="auto"/>
            <w:gridSpan w:val="3"/>
            <w:shd w:val="clear" w:color="auto" w:fill="auto"/>
          </w:tcPr>
          <w:p w14:paraId="20ADFBE6" w14:textId="77777777" w:rsidR="00B626E7" w:rsidRDefault="00B626E7">
            <w:pPr>
              <w:rPr>
                <w:rFonts w:ascii="宋体"/>
                <w:vanish/>
              </w:rPr>
            </w:pPr>
          </w:p>
        </w:tc>
        <w:tc>
          <w:tcPr>
            <w:tcW w:w="0" w:type="auto"/>
            <w:gridSpan w:val="3"/>
            <w:shd w:val="clear" w:color="auto" w:fill="auto"/>
          </w:tcPr>
          <w:p w14:paraId="20ADFBE7" w14:textId="77777777" w:rsidR="00B626E7" w:rsidRDefault="00B626E7">
            <w:pPr>
              <w:rPr>
                <w:rFonts w:ascii="宋体"/>
                <w:vanish/>
              </w:rPr>
            </w:pPr>
          </w:p>
        </w:tc>
        <w:tc>
          <w:tcPr>
            <w:tcW w:w="0" w:type="auto"/>
            <w:gridSpan w:val="3"/>
            <w:shd w:val="clear" w:color="auto" w:fill="auto"/>
          </w:tcPr>
          <w:p w14:paraId="20ADFBE8" w14:textId="77777777" w:rsidR="00B626E7" w:rsidRDefault="00B626E7">
            <w:pPr>
              <w:rPr>
                <w:rFonts w:ascii="宋体"/>
                <w:vanish/>
              </w:rPr>
            </w:pPr>
          </w:p>
        </w:tc>
        <w:tc>
          <w:tcPr>
            <w:tcW w:w="0" w:type="auto"/>
            <w:gridSpan w:val="3"/>
            <w:shd w:val="clear" w:color="auto" w:fill="auto"/>
          </w:tcPr>
          <w:p w14:paraId="20ADFBE9" w14:textId="77777777" w:rsidR="00B626E7" w:rsidRDefault="00B626E7">
            <w:pPr>
              <w:rPr>
                <w:rFonts w:ascii="宋体"/>
                <w:vanish/>
              </w:rPr>
            </w:pPr>
          </w:p>
        </w:tc>
        <w:tc>
          <w:tcPr>
            <w:tcW w:w="0" w:type="auto"/>
            <w:gridSpan w:val="3"/>
            <w:shd w:val="clear" w:color="auto" w:fill="auto"/>
          </w:tcPr>
          <w:p w14:paraId="20ADFBEA" w14:textId="77777777" w:rsidR="00B626E7" w:rsidRDefault="00B626E7">
            <w:pPr>
              <w:rPr>
                <w:rFonts w:ascii="宋体"/>
                <w:vanish/>
              </w:rPr>
            </w:pPr>
          </w:p>
        </w:tc>
        <w:tc>
          <w:tcPr>
            <w:tcW w:w="0" w:type="auto"/>
            <w:gridSpan w:val="3"/>
            <w:shd w:val="clear" w:color="auto" w:fill="auto"/>
          </w:tcPr>
          <w:p w14:paraId="20ADFBEB" w14:textId="77777777" w:rsidR="00B626E7" w:rsidRDefault="00B626E7">
            <w:pPr>
              <w:rPr>
                <w:rFonts w:ascii="宋体"/>
                <w:vanish/>
              </w:rPr>
            </w:pPr>
          </w:p>
        </w:tc>
        <w:tc>
          <w:tcPr>
            <w:tcW w:w="0" w:type="auto"/>
            <w:gridSpan w:val="3"/>
            <w:shd w:val="clear" w:color="auto" w:fill="auto"/>
          </w:tcPr>
          <w:p w14:paraId="20ADFBEC" w14:textId="77777777" w:rsidR="00B626E7" w:rsidRDefault="00B626E7">
            <w:pPr>
              <w:rPr>
                <w:rFonts w:ascii="宋体"/>
                <w:vanish/>
              </w:rPr>
            </w:pPr>
          </w:p>
        </w:tc>
        <w:tc>
          <w:tcPr>
            <w:tcW w:w="0" w:type="auto"/>
            <w:shd w:val="clear" w:color="auto" w:fill="auto"/>
          </w:tcPr>
          <w:p w14:paraId="20ADFBED" w14:textId="77777777" w:rsidR="00B626E7" w:rsidRDefault="00B626E7">
            <w:pPr>
              <w:rPr>
                <w:rFonts w:ascii="宋体"/>
              </w:rPr>
            </w:pPr>
          </w:p>
        </w:tc>
        <w:tc>
          <w:tcPr>
            <w:tcW w:w="0" w:type="auto"/>
            <w:shd w:val="clear" w:color="auto" w:fill="auto"/>
          </w:tcPr>
          <w:p w14:paraId="20ADFBEE" w14:textId="77777777" w:rsidR="00B626E7" w:rsidRDefault="00B626E7">
            <w:pPr>
              <w:rPr>
                <w:rFonts w:ascii="宋体"/>
              </w:rPr>
            </w:pPr>
          </w:p>
        </w:tc>
        <w:tc>
          <w:tcPr>
            <w:tcW w:w="0" w:type="auto"/>
            <w:shd w:val="clear" w:color="auto" w:fill="auto"/>
          </w:tcPr>
          <w:p w14:paraId="20ADFBEF" w14:textId="77777777" w:rsidR="00B626E7" w:rsidRDefault="00B626E7">
            <w:pPr>
              <w:rPr>
                <w:rFonts w:ascii="宋体"/>
              </w:rPr>
            </w:pPr>
          </w:p>
        </w:tc>
        <w:tc>
          <w:tcPr>
            <w:tcW w:w="0" w:type="auto"/>
            <w:shd w:val="clear" w:color="auto" w:fill="auto"/>
          </w:tcPr>
          <w:p w14:paraId="20ADFBF0" w14:textId="77777777" w:rsidR="00B626E7" w:rsidRDefault="00B626E7">
            <w:pPr>
              <w:rPr>
                <w:rFonts w:ascii="宋体"/>
              </w:rPr>
            </w:pPr>
          </w:p>
        </w:tc>
        <w:tc>
          <w:tcPr>
            <w:tcW w:w="0" w:type="auto"/>
            <w:shd w:val="clear" w:color="auto" w:fill="auto"/>
          </w:tcPr>
          <w:p w14:paraId="20ADFBF1" w14:textId="77777777" w:rsidR="00B626E7" w:rsidRDefault="00B626E7">
            <w:pPr>
              <w:rPr>
                <w:rFonts w:ascii="宋体"/>
              </w:rPr>
            </w:pPr>
          </w:p>
        </w:tc>
        <w:tc>
          <w:tcPr>
            <w:tcW w:w="0" w:type="auto"/>
            <w:shd w:val="clear" w:color="auto" w:fill="auto"/>
          </w:tcPr>
          <w:p w14:paraId="20ADFBF2" w14:textId="77777777" w:rsidR="00B626E7" w:rsidRDefault="00B626E7">
            <w:pPr>
              <w:rPr>
                <w:rFonts w:ascii="宋体"/>
              </w:rPr>
            </w:pPr>
          </w:p>
        </w:tc>
        <w:tc>
          <w:tcPr>
            <w:tcW w:w="0" w:type="auto"/>
            <w:shd w:val="clear" w:color="auto" w:fill="auto"/>
          </w:tcPr>
          <w:p w14:paraId="20ADFBF3" w14:textId="77777777" w:rsidR="00B626E7" w:rsidRDefault="00B626E7">
            <w:pPr>
              <w:rPr>
                <w:rFonts w:ascii="宋体"/>
              </w:rPr>
            </w:pPr>
          </w:p>
        </w:tc>
        <w:tc>
          <w:tcPr>
            <w:tcW w:w="0" w:type="auto"/>
            <w:shd w:val="clear" w:color="auto" w:fill="auto"/>
          </w:tcPr>
          <w:p w14:paraId="20ADFBF4" w14:textId="77777777" w:rsidR="00B626E7" w:rsidRDefault="00B626E7">
            <w:pPr>
              <w:rPr>
                <w:rFonts w:ascii="宋体"/>
              </w:rPr>
            </w:pPr>
          </w:p>
        </w:tc>
        <w:tc>
          <w:tcPr>
            <w:tcW w:w="0" w:type="auto"/>
            <w:shd w:val="clear" w:color="auto" w:fill="auto"/>
          </w:tcPr>
          <w:p w14:paraId="20ADFBF5" w14:textId="77777777" w:rsidR="00B626E7" w:rsidRDefault="00B626E7">
            <w:pPr>
              <w:rPr>
                <w:rFonts w:ascii="宋体"/>
              </w:rPr>
            </w:pPr>
          </w:p>
        </w:tc>
        <w:tc>
          <w:tcPr>
            <w:tcW w:w="0" w:type="auto"/>
            <w:shd w:val="clear" w:color="auto" w:fill="auto"/>
          </w:tcPr>
          <w:p w14:paraId="20ADFBF6" w14:textId="77777777" w:rsidR="00B626E7" w:rsidRDefault="00B626E7">
            <w:pPr>
              <w:rPr>
                <w:rFonts w:ascii="宋体"/>
              </w:rPr>
            </w:pPr>
          </w:p>
        </w:tc>
        <w:tc>
          <w:tcPr>
            <w:tcW w:w="0" w:type="auto"/>
            <w:shd w:val="clear" w:color="auto" w:fill="auto"/>
          </w:tcPr>
          <w:p w14:paraId="20ADFBF7" w14:textId="77777777" w:rsidR="00B626E7" w:rsidRDefault="00B626E7">
            <w:pPr>
              <w:rPr>
                <w:rFonts w:ascii="宋体"/>
              </w:rPr>
            </w:pPr>
          </w:p>
        </w:tc>
        <w:tc>
          <w:tcPr>
            <w:tcW w:w="0" w:type="auto"/>
            <w:shd w:val="clear" w:color="auto" w:fill="auto"/>
          </w:tcPr>
          <w:p w14:paraId="20ADFBF8" w14:textId="77777777" w:rsidR="00B626E7" w:rsidRDefault="00B626E7">
            <w:pPr>
              <w:rPr>
                <w:rFonts w:ascii="宋体"/>
              </w:rPr>
            </w:pPr>
          </w:p>
        </w:tc>
      </w:tr>
      <w:tr w:rsidR="00B626E7" w14:paraId="20ADFC0F" w14:textId="77777777">
        <w:trPr>
          <w:hidden/>
        </w:trPr>
        <w:tc>
          <w:tcPr>
            <w:tcW w:w="0" w:type="auto"/>
            <w:gridSpan w:val="3"/>
            <w:shd w:val="clear" w:color="auto" w:fill="auto"/>
          </w:tcPr>
          <w:p w14:paraId="20ADFBFA" w14:textId="77777777" w:rsidR="00B626E7" w:rsidRDefault="00B626E7">
            <w:pPr>
              <w:rPr>
                <w:rFonts w:ascii="宋体"/>
                <w:vanish/>
              </w:rPr>
            </w:pPr>
          </w:p>
        </w:tc>
        <w:tc>
          <w:tcPr>
            <w:tcW w:w="0" w:type="auto"/>
            <w:gridSpan w:val="3"/>
            <w:shd w:val="clear" w:color="auto" w:fill="auto"/>
          </w:tcPr>
          <w:p w14:paraId="20ADFBFB" w14:textId="77777777" w:rsidR="00B626E7" w:rsidRDefault="00B626E7">
            <w:pPr>
              <w:rPr>
                <w:rFonts w:ascii="宋体"/>
                <w:vanish/>
              </w:rPr>
            </w:pPr>
          </w:p>
        </w:tc>
        <w:tc>
          <w:tcPr>
            <w:tcW w:w="0" w:type="auto"/>
            <w:gridSpan w:val="3"/>
            <w:shd w:val="clear" w:color="auto" w:fill="auto"/>
          </w:tcPr>
          <w:p w14:paraId="20ADFBFC" w14:textId="77777777" w:rsidR="00B626E7" w:rsidRDefault="00B626E7">
            <w:pPr>
              <w:rPr>
                <w:rFonts w:ascii="宋体"/>
                <w:vanish/>
              </w:rPr>
            </w:pPr>
          </w:p>
        </w:tc>
        <w:tc>
          <w:tcPr>
            <w:tcW w:w="0" w:type="auto"/>
            <w:gridSpan w:val="3"/>
            <w:shd w:val="clear" w:color="auto" w:fill="auto"/>
          </w:tcPr>
          <w:p w14:paraId="20ADFBFD" w14:textId="77777777" w:rsidR="00B626E7" w:rsidRDefault="00B626E7">
            <w:pPr>
              <w:rPr>
                <w:rFonts w:ascii="宋体"/>
                <w:vanish/>
              </w:rPr>
            </w:pPr>
          </w:p>
        </w:tc>
        <w:tc>
          <w:tcPr>
            <w:tcW w:w="0" w:type="auto"/>
            <w:gridSpan w:val="3"/>
            <w:shd w:val="clear" w:color="auto" w:fill="auto"/>
          </w:tcPr>
          <w:p w14:paraId="20ADFBFE" w14:textId="77777777" w:rsidR="00B626E7" w:rsidRDefault="00B626E7">
            <w:pPr>
              <w:rPr>
                <w:rFonts w:ascii="宋体"/>
                <w:vanish/>
              </w:rPr>
            </w:pPr>
          </w:p>
        </w:tc>
        <w:tc>
          <w:tcPr>
            <w:tcW w:w="0" w:type="auto"/>
            <w:gridSpan w:val="3"/>
            <w:shd w:val="clear" w:color="auto" w:fill="auto"/>
          </w:tcPr>
          <w:p w14:paraId="20ADFBFF" w14:textId="77777777" w:rsidR="00B626E7" w:rsidRDefault="00B626E7">
            <w:pPr>
              <w:rPr>
                <w:rFonts w:ascii="宋体"/>
                <w:vanish/>
              </w:rPr>
            </w:pPr>
          </w:p>
        </w:tc>
        <w:tc>
          <w:tcPr>
            <w:tcW w:w="0" w:type="auto"/>
            <w:gridSpan w:val="3"/>
            <w:shd w:val="clear" w:color="auto" w:fill="auto"/>
          </w:tcPr>
          <w:p w14:paraId="20ADFC00" w14:textId="77777777" w:rsidR="00B626E7" w:rsidRDefault="00B626E7">
            <w:pPr>
              <w:rPr>
                <w:rFonts w:ascii="宋体"/>
                <w:vanish/>
              </w:rPr>
            </w:pPr>
          </w:p>
        </w:tc>
        <w:tc>
          <w:tcPr>
            <w:tcW w:w="0" w:type="auto"/>
            <w:gridSpan w:val="3"/>
            <w:shd w:val="clear" w:color="auto" w:fill="auto"/>
          </w:tcPr>
          <w:p w14:paraId="20ADFC01" w14:textId="77777777" w:rsidR="00B626E7" w:rsidRDefault="00B626E7">
            <w:pPr>
              <w:rPr>
                <w:rFonts w:ascii="宋体"/>
                <w:vanish/>
              </w:rPr>
            </w:pPr>
          </w:p>
        </w:tc>
        <w:tc>
          <w:tcPr>
            <w:tcW w:w="0" w:type="auto"/>
            <w:gridSpan w:val="3"/>
            <w:shd w:val="clear" w:color="auto" w:fill="auto"/>
          </w:tcPr>
          <w:p w14:paraId="20ADFC02" w14:textId="77777777" w:rsidR="00B626E7" w:rsidRDefault="00B626E7">
            <w:pPr>
              <w:rPr>
                <w:rFonts w:ascii="宋体"/>
                <w:vanish/>
              </w:rPr>
            </w:pPr>
          </w:p>
        </w:tc>
        <w:tc>
          <w:tcPr>
            <w:tcW w:w="0" w:type="auto"/>
            <w:shd w:val="clear" w:color="auto" w:fill="auto"/>
          </w:tcPr>
          <w:p w14:paraId="20ADFC03" w14:textId="77777777" w:rsidR="00B626E7" w:rsidRDefault="00B626E7">
            <w:pPr>
              <w:rPr>
                <w:rFonts w:ascii="宋体"/>
              </w:rPr>
            </w:pPr>
          </w:p>
        </w:tc>
        <w:tc>
          <w:tcPr>
            <w:tcW w:w="0" w:type="auto"/>
            <w:shd w:val="clear" w:color="auto" w:fill="auto"/>
          </w:tcPr>
          <w:p w14:paraId="20ADFC04" w14:textId="77777777" w:rsidR="00B626E7" w:rsidRDefault="00B626E7">
            <w:pPr>
              <w:rPr>
                <w:rFonts w:ascii="宋体"/>
              </w:rPr>
            </w:pPr>
          </w:p>
        </w:tc>
        <w:tc>
          <w:tcPr>
            <w:tcW w:w="0" w:type="auto"/>
            <w:shd w:val="clear" w:color="auto" w:fill="auto"/>
          </w:tcPr>
          <w:p w14:paraId="20ADFC05" w14:textId="77777777" w:rsidR="00B626E7" w:rsidRDefault="00B626E7">
            <w:pPr>
              <w:rPr>
                <w:rFonts w:ascii="宋体"/>
              </w:rPr>
            </w:pPr>
          </w:p>
        </w:tc>
        <w:tc>
          <w:tcPr>
            <w:tcW w:w="0" w:type="auto"/>
            <w:shd w:val="clear" w:color="auto" w:fill="auto"/>
          </w:tcPr>
          <w:p w14:paraId="20ADFC06" w14:textId="77777777" w:rsidR="00B626E7" w:rsidRDefault="00B626E7">
            <w:pPr>
              <w:rPr>
                <w:rFonts w:ascii="宋体"/>
              </w:rPr>
            </w:pPr>
          </w:p>
        </w:tc>
        <w:tc>
          <w:tcPr>
            <w:tcW w:w="0" w:type="auto"/>
            <w:shd w:val="clear" w:color="auto" w:fill="auto"/>
          </w:tcPr>
          <w:p w14:paraId="20ADFC07" w14:textId="77777777" w:rsidR="00B626E7" w:rsidRDefault="00B626E7">
            <w:pPr>
              <w:rPr>
                <w:rFonts w:ascii="宋体"/>
              </w:rPr>
            </w:pPr>
          </w:p>
        </w:tc>
        <w:tc>
          <w:tcPr>
            <w:tcW w:w="0" w:type="auto"/>
            <w:shd w:val="clear" w:color="auto" w:fill="auto"/>
          </w:tcPr>
          <w:p w14:paraId="20ADFC08" w14:textId="77777777" w:rsidR="00B626E7" w:rsidRDefault="00B626E7">
            <w:pPr>
              <w:rPr>
                <w:rFonts w:ascii="宋体"/>
              </w:rPr>
            </w:pPr>
          </w:p>
        </w:tc>
        <w:tc>
          <w:tcPr>
            <w:tcW w:w="0" w:type="auto"/>
            <w:shd w:val="clear" w:color="auto" w:fill="auto"/>
          </w:tcPr>
          <w:p w14:paraId="20ADFC09" w14:textId="77777777" w:rsidR="00B626E7" w:rsidRDefault="00B626E7">
            <w:pPr>
              <w:rPr>
                <w:rFonts w:ascii="宋体"/>
              </w:rPr>
            </w:pPr>
          </w:p>
        </w:tc>
        <w:tc>
          <w:tcPr>
            <w:tcW w:w="0" w:type="auto"/>
            <w:shd w:val="clear" w:color="auto" w:fill="auto"/>
          </w:tcPr>
          <w:p w14:paraId="20ADFC0A" w14:textId="77777777" w:rsidR="00B626E7" w:rsidRDefault="00B626E7">
            <w:pPr>
              <w:rPr>
                <w:rFonts w:ascii="宋体"/>
              </w:rPr>
            </w:pPr>
          </w:p>
        </w:tc>
        <w:tc>
          <w:tcPr>
            <w:tcW w:w="0" w:type="auto"/>
            <w:shd w:val="clear" w:color="auto" w:fill="auto"/>
          </w:tcPr>
          <w:p w14:paraId="20ADFC0B" w14:textId="77777777" w:rsidR="00B626E7" w:rsidRDefault="00B626E7">
            <w:pPr>
              <w:rPr>
                <w:rFonts w:ascii="宋体"/>
              </w:rPr>
            </w:pPr>
          </w:p>
        </w:tc>
        <w:tc>
          <w:tcPr>
            <w:tcW w:w="0" w:type="auto"/>
            <w:shd w:val="clear" w:color="auto" w:fill="auto"/>
          </w:tcPr>
          <w:p w14:paraId="20ADFC0C" w14:textId="77777777" w:rsidR="00B626E7" w:rsidRDefault="00B626E7">
            <w:pPr>
              <w:rPr>
                <w:rFonts w:ascii="宋体"/>
              </w:rPr>
            </w:pPr>
          </w:p>
        </w:tc>
        <w:tc>
          <w:tcPr>
            <w:tcW w:w="0" w:type="auto"/>
            <w:shd w:val="clear" w:color="auto" w:fill="auto"/>
          </w:tcPr>
          <w:p w14:paraId="20ADFC0D" w14:textId="77777777" w:rsidR="00B626E7" w:rsidRDefault="00B626E7">
            <w:pPr>
              <w:rPr>
                <w:rFonts w:ascii="宋体"/>
              </w:rPr>
            </w:pPr>
          </w:p>
        </w:tc>
        <w:tc>
          <w:tcPr>
            <w:tcW w:w="0" w:type="auto"/>
            <w:shd w:val="clear" w:color="auto" w:fill="auto"/>
          </w:tcPr>
          <w:p w14:paraId="20ADFC0E" w14:textId="77777777" w:rsidR="00B626E7" w:rsidRDefault="00B626E7">
            <w:pPr>
              <w:rPr>
                <w:rFonts w:ascii="宋体"/>
              </w:rPr>
            </w:pPr>
          </w:p>
        </w:tc>
      </w:tr>
      <w:tr w:rsidR="00B626E7" w14:paraId="20ADFC29" w14:textId="77777777">
        <w:tc>
          <w:tcPr>
            <w:tcW w:w="0" w:type="auto"/>
            <w:gridSpan w:val="3"/>
            <w:shd w:val="clear" w:color="auto" w:fill="auto"/>
            <w:tcMar>
              <w:top w:w="40" w:type="dxa"/>
              <w:left w:w="120" w:type="dxa"/>
              <w:bottom w:w="40" w:type="dxa"/>
              <w:right w:w="20" w:type="dxa"/>
            </w:tcMar>
          </w:tcPr>
          <w:p w14:paraId="20ADFC10" w14:textId="77777777" w:rsidR="00B626E7" w:rsidRDefault="00175C1D">
            <w:pPr>
              <w:textAlignment w:val="top"/>
            </w:pPr>
            <w:r>
              <w:rPr>
                <w:rFonts w:ascii="Arial" w:eastAsia="宋体" w:hAnsi="Arial" w:cs="Arial"/>
                <w:color w:val="333333"/>
                <w:sz w:val="18"/>
                <w:szCs w:val="18"/>
              </w:rPr>
              <w:t>Net unrealized holding gains (losses) on derivatives</w:t>
            </w:r>
          </w:p>
        </w:tc>
        <w:tc>
          <w:tcPr>
            <w:tcW w:w="0" w:type="auto"/>
            <w:gridSpan w:val="3"/>
            <w:shd w:val="clear" w:color="auto" w:fill="auto"/>
            <w:tcMar>
              <w:left w:w="20" w:type="dxa"/>
              <w:right w:w="20" w:type="dxa"/>
            </w:tcMar>
            <w:vAlign w:val="bottom"/>
          </w:tcPr>
          <w:p w14:paraId="20ADFC11"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C12" w14:textId="77777777" w:rsidR="00B626E7" w:rsidRDefault="00175C1D">
            <w:pPr>
              <w:jc w:val="right"/>
              <w:textAlignment w:val="bottom"/>
            </w:pPr>
            <w:r>
              <w:rPr>
                <w:rFonts w:ascii="Arial" w:eastAsia="宋体" w:hAnsi="Arial" w:cs="Arial"/>
                <w:color w:val="0071C5"/>
                <w:sz w:val="18"/>
                <w:szCs w:val="18"/>
              </w:rPr>
              <w:t>319 </w:t>
            </w:r>
          </w:p>
        </w:tc>
        <w:tc>
          <w:tcPr>
            <w:tcW w:w="0" w:type="auto"/>
            <w:shd w:val="clear" w:color="auto" w:fill="auto"/>
            <w:tcMar>
              <w:top w:w="40" w:type="dxa"/>
              <w:bottom w:w="40" w:type="dxa"/>
              <w:right w:w="20" w:type="dxa"/>
            </w:tcMar>
            <w:vAlign w:val="bottom"/>
          </w:tcPr>
          <w:p w14:paraId="20ADFC13"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DFC14"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C15" w14:textId="77777777" w:rsidR="00B626E7" w:rsidRDefault="00175C1D">
            <w:pPr>
              <w:jc w:val="right"/>
              <w:textAlignment w:val="bottom"/>
            </w:pPr>
            <w:r>
              <w:rPr>
                <w:rFonts w:ascii="Arial" w:eastAsia="宋体" w:hAnsi="Arial" w:cs="Arial"/>
                <w:color w:val="333333"/>
                <w:sz w:val="18"/>
                <w:szCs w:val="18"/>
              </w:rPr>
              <w:t>151 </w:t>
            </w:r>
          </w:p>
        </w:tc>
        <w:tc>
          <w:tcPr>
            <w:tcW w:w="0" w:type="auto"/>
            <w:shd w:val="clear" w:color="auto" w:fill="auto"/>
            <w:tcMar>
              <w:top w:w="40" w:type="dxa"/>
              <w:bottom w:w="40" w:type="dxa"/>
              <w:right w:w="20" w:type="dxa"/>
            </w:tcMar>
            <w:vAlign w:val="bottom"/>
          </w:tcPr>
          <w:p w14:paraId="20ADFC16"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DFC17"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C18" w14:textId="77777777" w:rsidR="00B626E7" w:rsidRDefault="00175C1D">
            <w:pPr>
              <w:jc w:val="right"/>
              <w:textAlignment w:val="bottom"/>
            </w:pPr>
            <w:r>
              <w:rPr>
                <w:rFonts w:ascii="Arial" w:eastAsia="宋体" w:hAnsi="Arial" w:cs="Arial"/>
                <w:color w:val="0071C5"/>
                <w:sz w:val="18"/>
                <w:szCs w:val="18"/>
              </w:rPr>
              <w:t>51 </w:t>
            </w:r>
          </w:p>
        </w:tc>
        <w:tc>
          <w:tcPr>
            <w:tcW w:w="0" w:type="auto"/>
            <w:shd w:val="clear" w:color="auto" w:fill="auto"/>
            <w:tcMar>
              <w:top w:w="40" w:type="dxa"/>
              <w:bottom w:w="40" w:type="dxa"/>
              <w:right w:w="20" w:type="dxa"/>
            </w:tcMar>
            <w:vAlign w:val="bottom"/>
          </w:tcPr>
          <w:p w14:paraId="20ADFC19"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DFC1A"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C1B" w14:textId="77777777" w:rsidR="00B626E7" w:rsidRDefault="00175C1D">
            <w:pPr>
              <w:jc w:val="right"/>
              <w:textAlignment w:val="bottom"/>
            </w:pPr>
            <w:r>
              <w:rPr>
                <w:rFonts w:ascii="Arial" w:eastAsia="宋体" w:hAnsi="Arial" w:cs="Arial"/>
                <w:color w:val="333333"/>
                <w:sz w:val="18"/>
                <w:szCs w:val="18"/>
              </w:rPr>
              <w:t>253 </w:t>
            </w:r>
          </w:p>
        </w:tc>
        <w:tc>
          <w:tcPr>
            <w:tcW w:w="0" w:type="auto"/>
            <w:shd w:val="clear" w:color="auto" w:fill="auto"/>
            <w:tcMar>
              <w:top w:w="40" w:type="dxa"/>
              <w:bottom w:w="40" w:type="dxa"/>
              <w:right w:w="20" w:type="dxa"/>
            </w:tcMar>
            <w:vAlign w:val="bottom"/>
          </w:tcPr>
          <w:p w14:paraId="20ADFC1C"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DFC1D" w14:textId="77777777" w:rsidR="00B626E7" w:rsidRDefault="00B626E7">
            <w:pPr>
              <w:rPr>
                <w:rFonts w:ascii="宋体"/>
              </w:rPr>
            </w:pPr>
          </w:p>
        </w:tc>
        <w:tc>
          <w:tcPr>
            <w:tcW w:w="0" w:type="auto"/>
            <w:shd w:val="clear" w:color="auto" w:fill="auto"/>
          </w:tcPr>
          <w:p w14:paraId="20ADFC1E" w14:textId="77777777" w:rsidR="00B626E7" w:rsidRDefault="00B626E7">
            <w:pPr>
              <w:rPr>
                <w:rFonts w:ascii="宋体"/>
              </w:rPr>
            </w:pPr>
          </w:p>
        </w:tc>
        <w:tc>
          <w:tcPr>
            <w:tcW w:w="0" w:type="auto"/>
            <w:shd w:val="clear" w:color="auto" w:fill="auto"/>
          </w:tcPr>
          <w:p w14:paraId="20ADFC1F" w14:textId="77777777" w:rsidR="00B626E7" w:rsidRDefault="00B626E7">
            <w:pPr>
              <w:rPr>
                <w:rFonts w:ascii="宋体"/>
              </w:rPr>
            </w:pPr>
          </w:p>
        </w:tc>
        <w:tc>
          <w:tcPr>
            <w:tcW w:w="0" w:type="auto"/>
            <w:shd w:val="clear" w:color="auto" w:fill="auto"/>
          </w:tcPr>
          <w:p w14:paraId="20ADFC20" w14:textId="77777777" w:rsidR="00B626E7" w:rsidRDefault="00B626E7">
            <w:pPr>
              <w:rPr>
                <w:rFonts w:ascii="宋体"/>
              </w:rPr>
            </w:pPr>
          </w:p>
        </w:tc>
        <w:tc>
          <w:tcPr>
            <w:tcW w:w="0" w:type="auto"/>
            <w:shd w:val="clear" w:color="auto" w:fill="auto"/>
          </w:tcPr>
          <w:p w14:paraId="20ADFC21" w14:textId="77777777" w:rsidR="00B626E7" w:rsidRDefault="00B626E7">
            <w:pPr>
              <w:rPr>
                <w:rFonts w:ascii="宋体"/>
              </w:rPr>
            </w:pPr>
          </w:p>
        </w:tc>
        <w:tc>
          <w:tcPr>
            <w:tcW w:w="0" w:type="auto"/>
            <w:shd w:val="clear" w:color="auto" w:fill="auto"/>
          </w:tcPr>
          <w:p w14:paraId="20ADFC22" w14:textId="77777777" w:rsidR="00B626E7" w:rsidRDefault="00B626E7">
            <w:pPr>
              <w:rPr>
                <w:rFonts w:ascii="宋体"/>
              </w:rPr>
            </w:pPr>
          </w:p>
        </w:tc>
        <w:tc>
          <w:tcPr>
            <w:tcW w:w="0" w:type="auto"/>
            <w:shd w:val="clear" w:color="auto" w:fill="auto"/>
          </w:tcPr>
          <w:p w14:paraId="20ADFC23" w14:textId="77777777" w:rsidR="00B626E7" w:rsidRDefault="00B626E7">
            <w:pPr>
              <w:rPr>
                <w:rFonts w:ascii="宋体"/>
              </w:rPr>
            </w:pPr>
          </w:p>
        </w:tc>
        <w:tc>
          <w:tcPr>
            <w:tcW w:w="0" w:type="auto"/>
            <w:shd w:val="clear" w:color="auto" w:fill="auto"/>
          </w:tcPr>
          <w:p w14:paraId="20ADFC24" w14:textId="77777777" w:rsidR="00B626E7" w:rsidRDefault="00B626E7">
            <w:pPr>
              <w:rPr>
                <w:rFonts w:ascii="宋体"/>
              </w:rPr>
            </w:pPr>
          </w:p>
        </w:tc>
        <w:tc>
          <w:tcPr>
            <w:tcW w:w="0" w:type="auto"/>
            <w:shd w:val="clear" w:color="auto" w:fill="auto"/>
          </w:tcPr>
          <w:p w14:paraId="20ADFC25" w14:textId="77777777" w:rsidR="00B626E7" w:rsidRDefault="00B626E7">
            <w:pPr>
              <w:rPr>
                <w:rFonts w:ascii="宋体"/>
              </w:rPr>
            </w:pPr>
          </w:p>
        </w:tc>
        <w:tc>
          <w:tcPr>
            <w:tcW w:w="0" w:type="auto"/>
            <w:shd w:val="clear" w:color="auto" w:fill="auto"/>
          </w:tcPr>
          <w:p w14:paraId="20ADFC26" w14:textId="77777777" w:rsidR="00B626E7" w:rsidRDefault="00B626E7">
            <w:pPr>
              <w:rPr>
                <w:rFonts w:ascii="宋体"/>
              </w:rPr>
            </w:pPr>
          </w:p>
        </w:tc>
        <w:tc>
          <w:tcPr>
            <w:tcW w:w="0" w:type="auto"/>
            <w:shd w:val="clear" w:color="auto" w:fill="auto"/>
          </w:tcPr>
          <w:p w14:paraId="20ADFC27" w14:textId="77777777" w:rsidR="00B626E7" w:rsidRDefault="00B626E7">
            <w:pPr>
              <w:rPr>
                <w:rFonts w:ascii="宋体"/>
              </w:rPr>
            </w:pPr>
          </w:p>
        </w:tc>
        <w:tc>
          <w:tcPr>
            <w:tcW w:w="0" w:type="auto"/>
            <w:shd w:val="clear" w:color="auto" w:fill="auto"/>
          </w:tcPr>
          <w:p w14:paraId="20ADFC28" w14:textId="77777777" w:rsidR="00B626E7" w:rsidRDefault="00B626E7">
            <w:pPr>
              <w:rPr>
                <w:rFonts w:ascii="宋体"/>
              </w:rPr>
            </w:pPr>
          </w:p>
        </w:tc>
      </w:tr>
      <w:tr w:rsidR="00B626E7" w14:paraId="20ADFC43" w14:textId="77777777">
        <w:tc>
          <w:tcPr>
            <w:tcW w:w="0" w:type="auto"/>
            <w:gridSpan w:val="3"/>
            <w:shd w:val="clear" w:color="auto" w:fill="auto"/>
            <w:tcMar>
              <w:top w:w="40" w:type="dxa"/>
              <w:left w:w="120" w:type="dxa"/>
              <w:bottom w:w="40" w:type="dxa"/>
              <w:right w:w="20" w:type="dxa"/>
            </w:tcMar>
          </w:tcPr>
          <w:p w14:paraId="20ADFC2A" w14:textId="77777777" w:rsidR="00B626E7" w:rsidRDefault="00175C1D">
            <w:pPr>
              <w:textAlignment w:val="top"/>
            </w:pPr>
            <w:r>
              <w:rPr>
                <w:rFonts w:ascii="Arial" w:eastAsia="宋体" w:hAnsi="Arial" w:cs="Arial"/>
                <w:color w:val="333333"/>
                <w:sz w:val="18"/>
                <w:szCs w:val="18"/>
              </w:rPr>
              <w:t>Actuarial valuation and other pension benefits (expenses), net</w:t>
            </w:r>
          </w:p>
        </w:tc>
        <w:tc>
          <w:tcPr>
            <w:tcW w:w="0" w:type="auto"/>
            <w:gridSpan w:val="3"/>
            <w:shd w:val="clear" w:color="auto" w:fill="auto"/>
            <w:tcMar>
              <w:left w:w="20" w:type="dxa"/>
              <w:right w:w="20" w:type="dxa"/>
            </w:tcMar>
            <w:vAlign w:val="bottom"/>
          </w:tcPr>
          <w:p w14:paraId="20ADFC2B"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C2C" w14:textId="77777777" w:rsidR="00B626E7" w:rsidRDefault="00175C1D">
            <w:pPr>
              <w:jc w:val="right"/>
              <w:textAlignment w:val="bottom"/>
            </w:pPr>
            <w:r>
              <w:rPr>
                <w:rFonts w:ascii="Arial" w:eastAsia="宋体" w:hAnsi="Arial" w:cs="Arial"/>
                <w:color w:val="0071C5"/>
                <w:sz w:val="18"/>
                <w:szCs w:val="18"/>
              </w:rPr>
              <w:t>11 </w:t>
            </w:r>
          </w:p>
        </w:tc>
        <w:tc>
          <w:tcPr>
            <w:tcW w:w="0" w:type="auto"/>
            <w:shd w:val="clear" w:color="auto" w:fill="auto"/>
            <w:tcMar>
              <w:top w:w="40" w:type="dxa"/>
              <w:bottom w:w="40" w:type="dxa"/>
              <w:right w:w="20" w:type="dxa"/>
            </w:tcMar>
            <w:vAlign w:val="bottom"/>
          </w:tcPr>
          <w:p w14:paraId="20ADFC2D"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DFC2E"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C2F" w14:textId="77777777" w:rsidR="00B626E7" w:rsidRDefault="00175C1D">
            <w:pPr>
              <w:jc w:val="right"/>
              <w:textAlignment w:val="bottom"/>
            </w:pPr>
            <w:r>
              <w:rPr>
                <w:rFonts w:ascii="Arial" w:eastAsia="宋体" w:hAnsi="Arial" w:cs="Arial"/>
                <w:color w:val="333333"/>
                <w:sz w:val="18"/>
                <w:szCs w:val="18"/>
              </w:rPr>
              <w:t>8 </w:t>
            </w:r>
          </w:p>
        </w:tc>
        <w:tc>
          <w:tcPr>
            <w:tcW w:w="0" w:type="auto"/>
            <w:shd w:val="clear" w:color="auto" w:fill="auto"/>
            <w:tcMar>
              <w:top w:w="40" w:type="dxa"/>
              <w:bottom w:w="40" w:type="dxa"/>
              <w:right w:w="20" w:type="dxa"/>
            </w:tcMar>
            <w:vAlign w:val="bottom"/>
          </w:tcPr>
          <w:p w14:paraId="20ADFC30"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DFC31"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C32" w14:textId="77777777" w:rsidR="00B626E7" w:rsidRDefault="00175C1D">
            <w:pPr>
              <w:jc w:val="right"/>
              <w:textAlignment w:val="bottom"/>
            </w:pPr>
            <w:r>
              <w:rPr>
                <w:rFonts w:ascii="Arial" w:eastAsia="宋体" w:hAnsi="Arial" w:cs="Arial"/>
                <w:color w:val="0071C5"/>
                <w:sz w:val="18"/>
                <w:szCs w:val="18"/>
              </w:rPr>
              <w:t>23 </w:t>
            </w:r>
          </w:p>
        </w:tc>
        <w:tc>
          <w:tcPr>
            <w:tcW w:w="0" w:type="auto"/>
            <w:shd w:val="clear" w:color="auto" w:fill="auto"/>
            <w:tcMar>
              <w:top w:w="40" w:type="dxa"/>
              <w:bottom w:w="40" w:type="dxa"/>
              <w:right w:w="20" w:type="dxa"/>
            </w:tcMar>
            <w:vAlign w:val="bottom"/>
          </w:tcPr>
          <w:p w14:paraId="20ADFC33"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DFC34"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C35" w14:textId="77777777" w:rsidR="00B626E7" w:rsidRDefault="00175C1D">
            <w:pPr>
              <w:jc w:val="right"/>
              <w:textAlignment w:val="bottom"/>
            </w:pPr>
            <w:r>
              <w:rPr>
                <w:rFonts w:ascii="Arial" w:eastAsia="宋体" w:hAnsi="Arial" w:cs="Arial"/>
                <w:color w:val="333333"/>
                <w:sz w:val="18"/>
                <w:szCs w:val="18"/>
              </w:rPr>
              <w:t>17 </w:t>
            </w:r>
          </w:p>
        </w:tc>
        <w:tc>
          <w:tcPr>
            <w:tcW w:w="0" w:type="auto"/>
            <w:shd w:val="clear" w:color="auto" w:fill="auto"/>
            <w:tcMar>
              <w:top w:w="40" w:type="dxa"/>
              <w:bottom w:w="40" w:type="dxa"/>
              <w:right w:w="20" w:type="dxa"/>
            </w:tcMar>
            <w:vAlign w:val="bottom"/>
          </w:tcPr>
          <w:p w14:paraId="20ADFC36"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DFC37" w14:textId="77777777" w:rsidR="00B626E7" w:rsidRDefault="00B626E7">
            <w:pPr>
              <w:rPr>
                <w:rFonts w:ascii="宋体"/>
              </w:rPr>
            </w:pPr>
          </w:p>
        </w:tc>
        <w:tc>
          <w:tcPr>
            <w:tcW w:w="0" w:type="auto"/>
            <w:shd w:val="clear" w:color="auto" w:fill="auto"/>
          </w:tcPr>
          <w:p w14:paraId="20ADFC38" w14:textId="77777777" w:rsidR="00B626E7" w:rsidRDefault="00B626E7">
            <w:pPr>
              <w:rPr>
                <w:rFonts w:ascii="宋体"/>
              </w:rPr>
            </w:pPr>
          </w:p>
        </w:tc>
        <w:tc>
          <w:tcPr>
            <w:tcW w:w="0" w:type="auto"/>
            <w:shd w:val="clear" w:color="auto" w:fill="auto"/>
          </w:tcPr>
          <w:p w14:paraId="20ADFC39" w14:textId="77777777" w:rsidR="00B626E7" w:rsidRDefault="00B626E7">
            <w:pPr>
              <w:rPr>
                <w:rFonts w:ascii="宋体"/>
              </w:rPr>
            </w:pPr>
          </w:p>
        </w:tc>
        <w:tc>
          <w:tcPr>
            <w:tcW w:w="0" w:type="auto"/>
            <w:shd w:val="clear" w:color="auto" w:fill="auto"/>
          </w:tcPr>
          <w:p w14:paraId="20ADFC3A" w14:textId="77777777" w:rsidR="00B626E7" w:rsidRDefault="00B626E7">
            <w:pPr>
              <w:rPr>
                <w:rFonts w:ascii="宋体"/>
              </w:rPr>
            </w:pPr>
          </w:p>
        </w:tc>
        <w:tc>
          <w:tcPr>
            <w:tcW w:w="0" w:type="auto"/>
            <w:shd w:val="clear" w:color="auto" w:fill="auto"/>
          </w:tcPr>
          <w:p w14:paraId="20ADFC3B" w14:textId="77777777" w:rsidR="00B626E7" w:rsidRDefault="00B626E7">
            <w:pPr>
              <w:rPr>
                <w:rFonts w:ascii="宋体"/>
              </w:rPr>
            </w:pPr>
          </w:p>
        </w:tc>
        <w:tc>
          <w:tcPr>
            <w:tcW w:w="0" w:type="auto"/>
            <w:shd w:val="clear" w:color="auto" w:fill="auto"/>
          </w:tcPr>
          <w:p w14:paraId="20ADFC3C" w14:textId="77777777" w:rsidR="00B626E7" w:rsidRDefault="00B626E7">
            <w:pPr>
              <w:rPr>
                <w:rFonts w:ascii="宋体"/>
              </w:rPr>
            </w:pPr>
          </w:p>
        </w:tc>
        <w:tc>
          <w:tcPr>
            <w:tcW w:w="0" w:type="auto"/>
            <w:shd w:val="clear" w:color="auto" w:fill="auto"/>
          </w:tcPr>
          <w:p w14:paraId="20ADFC3D" w14:textId="77777777" w:rsidR="00B626E7" w:rsidRDefault="00B626E7">
            <w:pPr>
              <w:rPr>
                <w:rFonts w:ascii="宋体"/>
              </w:rPr>
            </w:pPr>
          </w:p>
        </w:tc>
        <w:tc>
          <w:tcPr>
            <w:tcW w:w="0" w:type="auto"/>
            <w:shd w:val="clear" w:color="auto" w:fill="auto"/>
          </w:tcPr>
          <w:p w14:paraId="20ADFC3E" w14:textId="77777777" w:rsidR="00B626E7" w:rsidRDefault="00B626E7">
            <w:pPr>
              <w:rPr>
                <w:rFonts w:ascii="宋体"/>
              </w:rPr>
            </w:pPr>
          </w:p>
        </w:tc>
        <w:tc>
          <w:tcPr>
            <w:tcW w:w="0" w:type="auto"/>
            <w:shd w:val="clear" w:color="auto" w:fill="auto"/>
          </w:tcPr>
          <w:p w14:paraId="20ADFC3F" w14:textId="77777777" w:rsidR="00B626E7" w:rsidRDefault="00B626E7">
            <w:pPr>
              <w:rPr>
                <w:rFonts w:ascii="宋体"/>
              </w:rPr>
            </w:pPr>
          </w:p>
        </w:tc>
        <w:tc>
          <w:tcPr>
            <w:tcW w:w="0" w:type="auto"/>
            <w:shd w:val="clear" w:color="auto" w:fill="auto"/>
          </w:tcPr>
          <w:p w14:paraId="20ADFC40" w14:textId="77777777" w:rsidR="00B626E7" w:rsidRDefault="00B626E7">
            <w:pPr>
              <w:rPr>
                <w:rFonts w:ascii="宋体"/>
              </w:rPr>
            </w:pPr>
          </w:p>
        </w:tc>
        <w:tc>
          <w:tcPr>
            <w:tcW w:w="0" w:type="auto"/>
            <w:shd w:val="clear" w:color="auto" w:fill="auto"/>
          </w:tcPr>
          <w:p w14:paraId="20ADFC41" w14:textId="77777777" w:rsidR="00B626E7" w:rsidRDefault="00B626E7">
            <w:pPr>
              <w:rPr>
                <w:rFonts w:ascii="宋体"/>
              </w:rPr>
            </w:pPr>
          </w:p>
        </w:tc>
        <w:tc>
          <w:tcPr>
            <w:tcW w:w="0" w:type="auto"/>
            <w:shd w:val="clear" w:color="auto" w:fill="auto"/>
          </w:tcPr>
          <w:p w14:paraId="20ADFC42" w14:textId="77777777" w:rsidR="00B626E7" w:rsidRDefault="00B626E7">
            <w:pPr>
              <w:rPr>
                <w:rFonts w:ascii="宋体"/>
              </w:rPr>
            </w:pPr>
          </w:p>
        </w:tc>
      </w:tr>
      <w:tr w:rsidR="00B626E7" w14:paraId="20ADFC5D" w14:textId="77777777">
        <w:tc>
          <w:tcPr>
            <w:tcW w:w="0" w:type="auto"/>
            <w:gridSpan w:val="3"/>
            <w:shd w:val="clear" w:color="auto" w:fill="auto"/>
            <w:tcMar>
              <w:top w:w="40" w:type="dxa"/>
              <w:left w:w="120" w:type="dxa"/>
              <w:bottom w:w="40" w:type="dxa"/>
              <w:right w:w="20" w:type="dxa"/>
            </w:tcMar>
          </w:tcPr>
          <w:p w14:paraId="20ADFC44" w14:textId="77777777" w:rsidR="00B626E7" w:rsidRDefault="00175C1D">
            <w:pPr>
              <w:textAlignment w:val="top"/>
            </w:pPr>
            <w:r>
              <w:rPr>
                <w:rFonts w:ascii="Arial" w:eastAsia="宋体" w:hAnsi="Arial" w:cs="Arial"/>
                <w:color w:val="333333"/>
                <w:sz w:val="18"/>
                <w:szCs w:val="18"/>
              </w:rPr>
              <w:t>Translation adjustments and other</w:t>
            </w:r>
          </w:p>
        </w:tc>
        <w:tc>
          <w:tcPr>
            <w:tcW w:w="0" w:type="auto"/>
            <w:gridSpan w:val="3"/>
            <w:shd w:val="clear" w:color="auto" w:fill="auto"/>
            <w:tcMar>
              <w:left w:w="20" w:type="dxa"/>
              <w:right w:w="20" w:type="dxa"/>
            </w:tcMar>
            <w:vAlign w:val="bottom"/>
          </w:tcPr>
          <w:p w14:paraId="20ADFC45"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C46" w14:textId="77777777" w:rsidR="00B626E7" w:rsidRDefault="00175C1D">
            <w:pPr>
              <w:jc w:val="right"/>
              <w:textAlignment w:val="bottom"/>
            </w:pPr>
            <w:r>
              <w:rPr>
                <w:rFonts w:ascii="Arial" w:eastAsia="宋体" w:hAnsi="Arial" w:cs="Arial"/>
                <w:color w:val="0071C5"/>
                <w:sz w:val="18"/>
                <w:szCs w:val="18"/>
              </w:rPr>
              <w:t>59 </w:t>
            </w:r>
          </w:p>
        </w:tc>
        <w:tc>
          <w:tcPr>
            <w:tcW w:w="0" w:type="auto"/>
            <w:shd w:val="clear" w:color="auto" w:fill="auto"/>
            <w:tcMar>
              <w:top w:w="40" w:type="dxa"/>
              <w:bottom w:w="40" w:type="dxa"/>
              <w:right w:w="20" w:type="dxa"/>
            </w:tcMar>
            <w:vAlign w:val="bottom"/>
          </w:tcPr>
          <w:p w14:paraId="20ADFC47"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DFC48"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C49" w14:textId="77777777" w:rsidR="00B626E7" w:rsidRDefault="00175C1D">
            <w:pPr>
              <w:jc w:val="right"/>
              <w:textAlignment w:val="bottom"/>
            </w:pPr>
            <w:r>
              <w:rPr>
                <w:rFonts w:ascii="Arial" w:eastAsia="宋体" w:hAnsi="Arial" w:cs="Arial"/>
                <w:color w:val="333333"/>
                <w:sz w:val="18"/>
                <w:szCs w:val="18"/>
              </w:rPr>
              <w:t>32 </w:t>
            </w:r>
          </w:p>
        </w:tc>
        <w:tc>
          <w:tcPr>
            <w:tcW w:w="0" w:type="auto"/>
            <w:shd w:val="clear" w:color="auto" w:fill="auto"/>
            <w:tcMar>
              <w:top w:w="40" w:type="dxa"/>
              <w:bottom w:w="40" w:type="dxa"/>
              <w:right w:w="20" w:type="dxa"/>
            </w:tcMar>
            <w:vAlign w:val="bottom"/>
          </w:tcPr>
          <w:p w14:paraId="20ADFC4A"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DFC4B"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C4C" w14:textId="77777777" w:rsidR="00B626E7" w:rsidRDefault="00175C1D">
            <w:pPr>
              <w:jc w:val="right"/>
              <w:textAlignment w:val="bottom"/>
            </w:pPr>
            <w:r>
              <w:rPr>
                <w:rFonts w:ascii="Arial" w:eastAsia="宋体" w:hAnsi="Arial" w:cs="Arial"/>
                <w:color w:val="0071C5"/>
                <w:sz w:val="18"/>
                <w:szCs w:val="18"/>
              </w:rPr>
              <w:t>54 </w:t>
            </w:r>
          </w:p>
        </w:tc>
        <w:tc>
          <w:tcPr>
            <w:tcW w:w="0" w:type="auto"/>
            <w:shd w:val="clear" w:color="auto" w:fill="auto"/>
            <w:tcMar>
              <w:top w:w="40" w:type="dxa"/>
              <w:bottom w:w="40" w:type="dxa"/>
              <w:right w:w="20" w:type="dxa"/>
            </w:tcMar>
            <w:vAlign w:val="bottom"/>
          </w:tcPr>
          <w:p w14:paraId="20ADFC4D"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DFC4E"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C4F" w14:textId="77777777" w:rsidR="00B626E7" w:rsidRDefault="00175C1D">
            <w:pPr>
              <w:jc w:val="right"/>
              <w:textAlignment w:val="bottom"/>
            </w:pPr>
            <w:r>
              <w:rPr>
                <w:rFonts w:ascii="Arial" w:eastAsia="宋体" w:hAnsi="Arial" w:cs="Arial"/>
                <w:color w:val="333333"/>
                <w:sz w:val="18"/>
                <w:szCs w:val="18"/>
              </w:rPr>
              <w:t>82 </w:t>
            </w:r>
          </w:p>
        </w:tc>
        <w:tc>
          <w:tcPr>
            <w:tcW w:w="0" w:type="auto"/>
            <w:shd w:val="clear" w:color="auto" w:fill="auto"/>
            <w:tcMar>
              <w:top w:w="40" w:type="dxa"/>
              <w:bottom w:w="40" w:type="dxa"/>
              <w:right w:w="20" w:type="dxa"/>
            </w:tcMar>
            <w:vAlign w:val="bottom"/>
          </w:tcPr>
          <w:p w14:paraId="20ADFC50"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DFC51" w14:textId="77777777" w:rsidR="00B626E7" w:rsidRDefault="00B626E7">
            <w:pPr>
              <w:rPr>
                <w:rFonts w:ascii="宋体"/>
              </w:rPr>
            </w:pPr>
          </w:p>
        </w:tc>
        <w:tc>
          <w:tcPr>
            <w:tcW w:w="0" w:type="auto"/>
            <w:shd w:val="clear" w:color="auto" w:fill="auto"/>
          </w:tcPr>
          <w:p w14:paraId="20ADFC52" w14:textId="77777777" w:rsidR="00B626E7" w:rsidRDefault="00B626E7">
            <w:pPr>
              <w:rPr>
                <w:rFonts w:ascii="宋体"/>
              </w:rPr>
            </w:pPr>
          </w:p>
        </w:tc>
        <w:tc>
          <w:tcPr>
            <w:tcW w:w="0" w:type="auto"/>
            <w:shd w:val="clear" w:color="auto" w:fill="auto"/>
          </w:tcPr>
          <w:p w14:paraId="20ADFC53" w14:textId="77777777" w:rsidR="00B626E7" w:rsidRDefault="00B626E7">
            <w:pPr>
              <w:rPr>
                <w:rFonts w:ascii="宋体"/>
              </w:rPr>
            </w:pPr>
          </w:p>
        </w:tc>
        <w:tc>
          <w:tcPr>
            <w:tcW w:w="0" w:type="auto"/>
            <w:shd w:val="clear" w:color="auto" w:fill="auto"/>
          </w:tcPr>
          <w:p w14:paraId="20ADFC54" w14:textId="77777777" w:rsidR="00B626E7" w:rsidRDefault="00B626E7">
            <w:pPr>
              <w:rPr>
                <w:rFonts w:ascii="宋体"/>
              </w:rPr>
            </w:pPr>
          </w:p>
        </w:tc>
        <w:tc>
          <w:tcPr>
            <w:tcW w:w="0" w:type="auto"/>
            <w:shd w:val="clear" w:color="auto" w:fill="auto"/>
          </w:tcPr>
          <w:p w14:paraId="20ADFC55" w14:textId="77777777" w:rsidR="00B626E7" w:rsidRDefault="00B626E7">
            <w:pPr>
              <w:rPr>
                <w:rFonts w:ascii="宋体"/>
              </w:rPr>
            </w:pPr>
          </w:p>
        </w:tc>
        <w:tc>
          <w:tcPr>
            <w:tcW w:w="0" w:type="auto"/>
            <w:shd w:val="clear" w:color="auto" w:fill="auto"/>
          </w:tcPr>
          <w:p w14:paraId="20ADFC56" w14:textId="77777777" w:rsidR="00B626E7" w:rsidRDefault="00B626E7">
            <w:pPr>
              <w:rPr>
                <w:rFonts w:ascii="宋体"/>
              </w:rPr>
            </w:pPr>
          </w:p>
        </w:tc>
        <w:tc>
          <w:tcPr>
            <w:tcW w:w="0" w:type="auto"/>
            <w:shd w:val="clear" w:color="auto" w:fill="auto"/>
          </w:tcPr>
          <w:p w14:paraId="20ADFC57" w14:textId="77777777" w:rsidR="00B626E7" w:rsidRDefault="00B626E7">
            <w:pPr>
              <w:rPr>
                <w:rFonts w:ascii="宋体"/>
              </w:rPr>
            </w:pPr>
          </w:p>
        </w:tc>
        <w:tc>
          <w:tcPr>
            <w:tcW w:w="0" w:type="auto"/>
            <w:shd w:val="clear" w:color="auto" w:fill="auto"/>
          </w:tcPr>
          <w:p w14:paraId="20ADFC58" w14:textId="77777777" w:rsidR="00B626E7" w:rsidRDefault="00B626E7">
            <w:pPr>
              <w:rPr>
                <w:rFonts w:ascii="宋体"/>
              </w:rPr>
            </w:pPr>
          </w:p>
        </w:tc>
        <w:tc>
          <w:tcPr>
            <w:tcW w:w="0" w:type="auto"/>
            <w:shd w:val="clear" w:color="auto" w:fill="auto"/>
          </w:tcPr>
          <w:p w14:paraId="20ADFC59" w14:textId="77777777" w:rsidR="00B626E7" w:rsidRDefault="00B626E7">
            <w:pPr>
              <w:rPr>
                <w:rFonts w:ascii="宋体"/>
              </w:rPr>
            </w:pPr>
          </w:p>
        </w:tc>
        <w:tc>
          <w:tcPr>
            <w:tcW w:w="0" w:type="auto"/>
            <w:shd w:val="clear" w:color="auto" w:fill="auto"/>
          </w:tcPr>
          <w:p w14:paraId="20ADFC5A" w14:textId="77777777" w:rsidR="00B626E7" w:rsidRDefault="00B626E7">
            <w:pPr>
              <w:rPr>
                <w:rFonts w:ascii="宋体"/>
              </w:rPr>
            </w:pPr>
          </w:p>
        </w:tc>
        <w:tc>
          <w:tcPr>
            <w:tcW w:w="0" w:type="auto"/>
            <w:shd w:val="clear" w:color="auto" w:fill="auto"/>
          </w:tcPr>
          <w:p w14:paraId="20ADFC5B" w14:textId="77777777" w:rsidR="00B626E7" w:rsidRDefault="00B626E7">
            <w:pPr>
              <w:rPr>
                <w:rFonts w:ascii="宋体"/>
              </w:rPr>
            </w:pPr>
          </w:p>
        </w:tc>
        <w:tc>
          <w:tcPr>
            <w:tcW w:w="0" w:type="auto"/>
            <w:shd w:val="clear" w:color="auto" w:fill="auto"/>
          </w:tcPr>
          <w:p w14:paraId="20ADFC5C" w14:textId="77777777" w:rsidR="00B626E7" w:rsidRDefault="00B626E7">
            <w:pPr>
              <w:rPr>
                <w:rFonts w:ascii="宋体"/>
              </w:rPr>
            </w:pPr>
          </w:p>
        </w:tc>
      </w:tr>
      <w:tr w:rsidR="00B626E7" w14:paraId="20ADFC77" w14:textId="77777777">
        <w:tc>
          <w:tcPr>
            <w:tcW w:w="0" w:type="auto"/>
            <w:gridSpan w:val="3"/>
            <w:shd w:val="clear" w:color="auto" w:fill="auto"/>
            <w:tcMar>
              <w:top w:w="40" w:type="dxa"/>
              <w:left w:w="20" w:type="dxa"/>
              <w:bottom w:w="40" w:type="dxa"/>
              <w:right w:w="20" w:type="dxa"/>
            </w:tcMar>
          </w:tcPr>
          <w:p w14:paraId="20ADFC5E" w14:textId="77777777" w:rsidR="00B626E7" w:rsidRDefault="00175C1D">
            <w:pPr>
              <w:textAlignment w:val="top"/>
            </w:pPr>
            <w:r>
              <w:rPr>
                <w:rFonts w:ascii="Arial" w:eastAsia="宋体" w:hAnsi="Arial" w:cs="Arial"/>
                <w:b/>
                <w:bCs/>
                <w:color w:val="333333"/>
                <w:sz w:val="18"/>
                <w:szCs w:val="18"/>
              </w:rPr>
              <w:t>Other comprehensive income (loss)</w:t>
            </w:r>
          </w:p>
        </w:tc>
        <w:tc>
          <w:tcPr>
            <w:tcW w:w="0" w:type="auto"/>
            <w:gridSpan w:val="3"/>
            <w:shd w:val="clear" w:color="auto" w:fill="auto"/>
            <w:tcMar>
              <w:left w:w="20" w:type="dxa"/>
              <w:right w:w="20" w:type="dxa"/>
            </w:tcMar>
            <w:vAlign w:val="bottom"/>
          </w:tcPr>
          <w:p w14:paraId="20ADFC5F"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DFC60" w14:textId="77777777" w:rsidR="00B626E7" w:rsidRDefault="00175C1D">
            <w:pPr>
              <w:jc w:val="right"/>
              <w:textAlignment w:val="bottom"/>
            </w:pPr>
            <w:r>
              <w:rPr>
                <w:rFonts w:ascii="Arial" w:eastAsia="宋体" w:hAnsi="Arial" w:cs="Arial"/>
                <w:b/>
                <w:bCs/>
                <w:color w:val="0071C5"/>
                <w:sz w:val="18"/>
                <w:szCs w:val="18"/>
              </w:rPr>
              <w:t>389 </w:t>
            </w:r>
          </w:p>
        </w:tc>
        <w:tc>
          <w:tcPr>
            <w:tcW w:w="0" w:type="auto"/>
            <w:tcBorders>
              <w:top w:val="single" w:sz="8" w:space="0" w:color="333333"/>
            </w:tcBorders>
            <w:shd w:val="clear" w:color="auto" w:fill="auto"/>
            <w:tcMar>
              <w:top w:w="40" w:type="dxa"/>
              <w:bottom w:w="40" w:type="dxa"/>
              <w:right w:w="20" w:type="dxa"/>
            </w:tcMar>
            <w:vAlign w:val="bottom"/>
          </w:tcPr>
          <w:p w14:paraId="20ADFC61"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DFC62"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DFC63" w14:textId="77777777" w:rsidR="00B626E7" w:rsidRDefault="00175C1D">
            <w:pPr>
              <w:jc w:val="right"/>
              <w:textAlignment w:val="bottom"/>
            </w:pPr>
            <w:r>
              <w:rPr>
                <w:rFonts w:ascii="Arial" w:eastAsia="宋体" w:hAnsi="Arial" w:cs="Arial"/>
                <w:b/>
                <w:bCs/>
                <w:color w:val="333333"/>
                <w:sz w:val="18"/>
                <w:szCs w:val="18"/>
              </w:rPr>
              <w:t>191 </w:t>
            </w:r>
          </w:p>
        </w:tc>
        <w:tc>
          <w:tcPr>
            <w:tcW w:w="0" w:type="auto"/>
            <w:tcBorders>
              <w:top w:val="single" w:sz="8" w:space="0" w:color="333333"/>
            </w:tcBorders>
            <w:shd w:val="clear" w:color="auto" w:fill="auto"/>
            <w:tcMar>
              <w:top w:w="40" w:type="dxa"/>
              <w:bottom w:w="40" w:type="dxa"/>
              <w:right w:w="20" w:type="dxa"/>
            </w:tcMar>
            <w:vAlign w:val="bottom"/>
          </w:tcPr>
          <w:p w14:paraId="20ADFC64"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DFC65"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DFC66" w14:textId="77777777" w:rsidR="00B626E7" w:rsidRDefault="00175C1D">
            <w:pPr>
              <w:jc w:val="right"/>
              <w:textAlignment w:val="bottom"/>
            </w:pPr>
            <w:r>
              <w:rPr>
                <w:rFonts w:ascii="Arial" w:eastAsia="宋体" w:hAnsi="Arial" w:cs="Arial"/>
                <w:b/>
                <w:bCs/>
                <w:color w:val="0071C5"/>
                <w:sz w:val="18"/>
                <w:szCs w:val="18"/>
              </w:rPr>
              <w:t>128 </w:t>
            </w:r>
          </w:p>
        </w:tc>
        <w:tc>
          <w:tcPr>
            <w:tcW w:w="0" w:type="auto"/>
            <w:tcBorders>
              <w:top w:val="single" w:sz="8" w:space="0" w:color="333333"/>
            </w:tcBorders>
            <w:shd w:val="clear" w:color="auto" w:fill="auto"/>
            <w:tcMar>
              <w:top w:w="40" w:type="dxa"/>
              <w:bottom w:w="40" w:type="dxa"/>
              <w:right w:w="20" w:type="dxa"/>
            </w:tcMar>
            <w:vAlign w:val="bottom"/>
          </w:tcPr>
          <w:p w14:paraId="20ADFC67"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DFC68"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DFC69" w14:textId="77777777" w:rsidR="00B626E7" w:rsidRDefault="00175C1D">
            <w:pPr>
              <w:jc w:val="right"/>
              <w:textAlignment w:val="bottom"/>
            </w:pPr>
            <w:r>
              <w:rPr>
                <w:rFonts w:ascii="Arial" w:eastAsia="宋体" w:hAnsi="Arial" w:cs="Arial"/>
                <w:b/>
                <w:bCs/>
                <w:color w:val="333333"/>
                <w:sz w:val="18"/>
                <w:szCs w:val="18"/>
              </w:rPr>
              <w:t>352 </w:t>
            </w:r>
          </w:p>
        </w:tc>
        <w:tc>
          <w:tcPr>
            <w:tcW w:w="0" w:type="auto"/>
            <w:tcBorders>
              <w:top w:val="single" w:sz="8" w:space="0" w:color="333333"/>
            </w:tcBorders>
            <w:shd w:val="clear" w:color="auto" w:fill="auto"/>
            <w:tcMar>
              <w:top w:w="40" w:type="dxa"/>
              <w:bottom w:w="40" w:type="dxa"/>
              <w:right w:w="20" w:type="dxa"/>
            </w:tcMar>
            <w:vAlign w:val="bottom"/>
          </w:tcPr>
          <w:p w14:paraId="20ADFC6A"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DFC6B" w14:textId="77777777" w:rsidR="00B626E7" w:rsidRDefault="00B626E7">
            <w:pPr>
              <w:rPr>
                <w:rFonts w:ascii="宋体"/>
              </w:rPr>
            </w:pPr>
          </w:p>
        </w:tc>
        <w:tc>
          <w:tcPr>
            <w:tcW w:w="0" w:type="auto"/>
            <w:shd w:val="clear" w:color="auto" w:fill="auto"/>
          </w:tcPr>
          <w:p w14:paraId="20ADFC6C" w14:textId="77777777" w:rsidR="00B626E7" w:rsidRDefault="00B626E7">
            <w:pPr>
              <w:rPr>
                <w:rFonts w:ascii="宋体"/>
              </w:rPr>
            </w:pPr>
          </w:p>
        </w:tc>
        <w:tc>
          <w:tcPr>
            <w:tcW w:w="0" w:type="auto"/>
            <w:shd w:val="clear" w:color="auto" w:fill="auto"/>
          </w:tcPr>
          <w:p w14:paraId="20ADFC6D" w14:textId="77777777" w:rsidR="00B626E7" w:rsidRDefault="00B626E7">
            <w:pPr>
              <w:rPr>
                <w:rFonts w:ascii="宋体"/>
              </w:rPr>
            </w:pPr>
          </w:p>
        </w:tc>
        <w:tc>
          <w:tcPr>
            <w:tcW w:w="0" w:type="auto"/>
            <w:shd w:val="clear" w:color="auto" w:fill="auto"/>
          </w:tcPr>
          <w:p w14:paraId="20ADFC6E" w14:textId="77777777" w:rsidR="00B626E7" w:rsidRDefault="00B626E7">
            <w:pPr>
              <w:rPr>
                <w:rFonts w:ascii="宋体"/>
              </w:rPr>
            </w:pPr>
          </w:p>
        </w:tc>
        <w:tc>
          <w:tcPr>
            <w:tcW w:w="0" w:type="auto"/>
            <w:shd w:val="clear" w:color="auto" w:fill="auto"/>
          </w:tcPr>
          <w:p w14:paraId="20ADFC6F" w14:textId="77777777" w:rsidR="00B626E7" w:rsidRDefault="00B626E7">
            <w:pPr>
              <w:rPr>
                <w:rFonts w:ascii="宋体"/>
              </w:rPr>
            </w:pPr>
          </w:p>
        </w:tc>
        <w:tc>
          <w:tcPr>
            <w:tcW w:w="0" w:type="auto"/>
            <w:shd w:val="clear" w:color="auto" w:fill="auto"/>
          </w:tcPr>
          <w:p w14:paraId="20ADFC70" w14:textId="77777777" w:rsidR="00B626E7" w:rsidRDefault="00B626E7">
            <w:pPr>
              <w:rPr>
                <w:rFonts w:ascii="宋体"/>
              </w:rPr>
            </w:pPr>
          </w:p>
        </w:tc>
        <w:tc>
          <w:tcPr>
            <w:tcW w:w="0" w:type="auto"/>
            <w:shd w:val="clear" w:color="auto" w:fill="auto"/>
          </w:tcPr>
          <w:p w14:paraId="20ADFC71" w14:textId="77777777" w:rsidR="00B626E7" w:rsidRDefault="00B626E7">
            <w:pPr>
              <w:rPr>
                <w:rFonts w:ascii="宋体"/>
              </w:rPr>
            </w:pPr>
          </w:p>
        </w:tc>
        <w:tc>
          <w:tcPr>
            <w:tcW w:w="0" w:type="auto"/>
            <w:shd w:val="clear" w:color="auto" w:fill="auto"/>
          </w:tcPr>
          <w:p w14:paraId="20ADFC72" w14:textId="77777777" w:rsidR="00B626E7" w:rsidRDefault="00B626E7">
            <w:pPr>
              <w:rPr>
                <w:rFonts w:ascii="宋体"/>
              </w:rPr>
            </w:pPr>
          </w:p>
        </w:tc>
        <w:tc>
          <w:tcPr>
            <w:tcW w:w="0" w:type="auto"/>
            <w:shd w:val="clear" w:color="auto" w:fill="auto"/>
          </w:tcPr>
          <w:p w14:paraId="20ADFC73" w14:textId="77777777" w:rsidR="00B626E7" w:rsidRDefault="00B626E7">
            <w:pPr>
              <w:rPr>
                <w:rFonts w:ascii="宋体"/>
              </w:rPr>
            </w:pPr>
          </w:p>
        </w:tc>
        <w:tc>
          <w:tcPr>
            <w:tcW w:w="0" w:type="auto"/>
            <w:shd w:val="clear" w:color="auto" w:fill="auto"/>
          </w:tcPr>
          <w:p w14:paraId="20ADFC74" w14:textId="77777777" w:rsidR="00B626E7" w:rsidRDefault="00B626E7">
            <w:pPr>
              <w:rPr>
                <w:rFonts w:ascii="宋体"/>
              </w:rPr>
            </w:pPr>
          </w:p>
        </w:tc>
        <w:tc>
          <w:tcPr>
            <w:tcW w:w="0" w:type="auto"/>
            <w:shd w:val="clear" w:color="auto" w:fill="auto"/>
          </w:tcPr>
          <w:p w14:paraId="20ADFC75" w14:textId="77777777" w:rsidR="00B626E7" w:rsidRDefault="00B626E7">
            <w:pPr>
              <w:rPr>
                <w:rFonts w:ascii="宋体"/>
              </w:rPr>
            </w:pPr>
          </w:p>
        </w:tc>
        <w:tc>
          <w:tcPr>
            <w:tcW w:w="0" w:type="auto"/>
            <w:shd w:val="clear" w:color="auto" w:fill="auto"/>
          </w:tcPr>
          <w:p w14:paraId="20ADFC76" w14:textId="77777777" w:rsidR="00B626E7" w:rsidRDefault="00B626E7">
            <w:pPr>
              <w:rPr>
                <w:rFonts w:ascii="宋体"/>
              </w:rPr>
            </w:pPr>
          </w:p>
        </w:tc>
      </w:tr>
      <w:tr w:rsidR="00B626E7" w14:paraId="20ADFC95" w14:textId="77777777">
        <w:tc>
          <w:tcPr>
            <w:tcW w:w="0" w:type="auto"/>
            <w:gridSpan w:val="3"/>
            <w:shd w:val="clear" w:color="auto" w:fill="auto"/>
            <w:tcMar>
              <w:top w:w="40" w:type="dxa"/>
              <w:left w:w="20" w:type="dxa"/>
              <w:bottom w:w="40" w:type="dxa"/>
              <w:right w:w="20" w:type="dxa"/>
            </w:tcMar>
          </w:tcPr>
          <w:p w14:paraId="20ADFC78" w14:textId="77777777" w:rsidR="00B626E7" w:rsidRDefault="00175C1D">
            <w:pPr>
              <w:textAlignment w:val="top"/>
            </w:pPr>
            <w:r>
              <w:rPr>
                <w:rFonts w:ascii="Arial" w:eastAsia="宋体" w:hAnsi="Arial" w:cs="Arial"/>
                <w:b/>
                <w:bCs/>
                <w:color w:val="333333"/>
                <w:sz w:val="18"/>
                <w:szCs w:val="18"/>
              </w:rPr>
              <w:t>Total comprehensive income</w:t>
            </w:r>
          </w:p>
        </w:tc>
        <w:tc>
          <w:tcPr>
            <w:tcW w:w="0" w:type="auto"/>
            <w:gridSpan w:val="3"/>
            <w:shd w:val="clear" w:color="auto" w:fill="auto"/>
            <w:tcMar>
              <w:left w:w="20" w:type="dxa"/>
              <w:right w:w="20" w:type="dxa"/>
            </w:tcMar>
            <w:vAlign w:val="bottom"/>
          </w:tcPr>
          <w:p w14:paraId="20ADFC79"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DFC7A" w14:textId="77777777" w:rsidR="00B626E7" w:rsidRDefault="00175C1D">
            <w:pPr>
              <w:textAlignment w:val="bottom"/>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DFC7B" w14:textId="77777777" w:rsidR="00B626E7" w:rsidRDefault="00175C1D">
            <w:pPr>
              <w:jc w:val="right"/>
              <w:textAlignment w:val="bottom"/>
            </w:pPr>
            <w:r>
              <w:rPr>
                <w:rFonts w:ascii="Arial" w:eastAsia="宋体" w:hAnsi="Arial" w:cs="Arial"/>
                <w:b/>
                <w:bCs/>
                <w:color w:val="0071C5"/>
                <w:sz w:val="18"/>
                <w:szCs w:val="18"/>
              </w:rPr>
              <w:t>5,494 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DFC7C"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DFC7D"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DFC7E"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DFC7F" w14:textId="77777777" w:rsidR="00B626E7" w:rsidRDefault="00175C1D">
            <w:pPr>
              <w:jc w:val="right"/>
              <w:textAlignment w:val="bottom"/>
            </w:pPr>
            <w:r>
              <w:rPr>
                <w:rFonts w:ascii="Arial" w:eastAsia="宋体" w:hAnsi="Arial" w:cs="Arial"/>
                <w:b/>
                <w:bCs/>
                <w:color w:val="333333"/>
                <w:sz w:val="18"/>
                <w:szCs w:val="18"/>
              </w:rPr>
              <w:t>4,370 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DFC80"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DFC81"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DFC82" w14:textId="77777777" w:rsidR="00B626E7" w:rsidRDefault="00175C1D">
            <w:pPr>
              <w:textAlignment w:val="bottom"/>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DFC83" w14:textId="77777777" w:rsidR="00B626E7" w:rsidRDefault="00175C1D">
            <w:pPr>
              <w:jc w:val="right"/>
              <w:textAlignment w:val="bottom"/>
            </w:pPr>
            <w:r>
              <w:rPr>
                <w:rFonts w:ascii="Arial" w:eastAsia="宋体" w:hAnsi="Arial" w:cs="Arial"/>
                <w:b/>
                <w:bCs/>
                <w:color w:val="0071C5"/>
                <w:sz w:val="18"/>
                <w:szCs w:val="18"/>
              </w:rPr>
              <w:t>10,894 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DFC84"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DFC85"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DFC86"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DFC87" w14:textId="77777777" w:rsidR="00B626E7" w:rsidRDefault="00175C1D">
            <w:pPr>
              <w:jc w:val="right"/>
              <w:textAlignment w:val="bottom"/>
            </w:pPr>
            <w:r>
              <w:rPr>
                <w:rFonts w:ascii="Arial" w:eastAsia="宋体" w:hAnsi="Arial" w:cs="Arial"/>
                <w:b/>
                <w:bCs/>
                <w:color w:val="333333"/>
                <w:sz w:val="18"/>
                <w:szCs w:val="18"/>
              </w:rPr>
              <w:t>8,505 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DFC88"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DFC89" w14:textId="77777777" w:rsidR="00B626E7" w:rsidRDefault="00B626E7">
            <w:pPr>
              <w:rPr>
                <w:rFonts w:ascii="宋体"/>
              </w:rPr>
            </w:pPr>
          </w:p>
        </w:tc>
        <w:tc>
          <w:tcPr>
            <w:tcW w:w="0" w:type="auto"/>
            <w:shd w:val="clear" w:color="auto" w:fill="auto"/>
          </w:tcPr>
          <w:p w14:paraId="20ADFC8A" w14:textId="77777777" w:rsidR="00B626E7" w:rsidRDefault="00B626E7">
            <w:pPr>
              <w:rPr>
                <w:rFonts w:ascii="宋体"/>
              </w:rPr>
            </w:pPr>
          </w:p>
        </w:tc>
        <w:tc>
          <w:tcPr>
            <w:tcW w:w="0" w:type="auto"/>
            <w:shd w:val="clear" w:color="auto" w:fill="auto"/>
          </w:tcPr>
          <w:p w14:paraId="20ADFC8B" w14:textId="77777777" w:rsidR="00B626E7" w:rsidRDefault="00B626E7">
            <w:pPr>
              <w:rPr>
                <w:rFonts w:ascii="宋体"/>
              </w:rPr>
            </w:pPr>
          </w:p>
        </w:tc>
        <w:tc>
          <w:tcPr>
            <w:tcW w:w="0" w:type="auto"/>
            <w:shd w:val="clear" w:color="auto" w:fill="auto"/>
          </w:tcPr>
          <w:p w14:paraId="20ADFC8C" w14:textId="77777777" w:rsidR="00B626E7" w:rsidRDefault="00B626E7">
            <w:pPr>
              <w:rPr>
                <w:rFonts w:ascii="宋体"/>
              </w:rPr>
            </w:pPr>
          </w:p>
        </w:tc>
        <w:tc>
          <w:tcPr>
            <w:tcW w:w="0" w:type="auto"/>
            <w:shd w:val="clear" w:color="auto" w:fill="auto"/>
          </w:tcPr>
          <w:p w14:paraId="20ADFC8D" w14:textId="77777777" w:rsidR="00B626E7" w:rsidRDefault="00B626E7">
            <w:pPr>
              <w:rPr>
                <w:rFonts w:ascii="宋体"/>
              </w:rPr>
            </w:pPr>
          </w:p>
        </w:tc>
        <w:tc>
          <w:tcPr>
            <w:tcW w:w="0" w:type="auto"/>
            <w:shd w:val="clear" w:color="auto" w:fill="auto"/>
          </w:tcPr>
          <w:p w14:paraId="20ADFC8E" w14:textId="77777777" w:rsidR="00B626E7" w:rsidRDefault="00B626E7">
            <w:pPr>
              <w:rPr>
                <w:rFonts w:ascii="宋体"/>
              </w:rPr>
            </w:pPr>
          </w:p>
        </w:tc>
        <w:tc>
          <w:tcPr>
            <w:tcW w:w="0" w:type="auto"/>
            <w:shd w:val="clear" w:color="auto" w:fill="auto"/>
          </w:tcPr>
          <w:p w14:paraId="20ADFC8F" w14:textId="77777777" w:rsidR="00B626E7" w:rsidRDefault="00B626E7">
            <w:pPr>
              <w:rPr>
                <w:rFonts w:ascii="宋体"/>
              </w:rPr>
            </w:pPr>
          </w:p>
        </w:tc>
        <w:tc>
          <w:tcPr>
            <w:tcW w:w="0" w:type="auto"/>
            <w:shd w:val="clear" w:color="auto" w:fill="auto"/>
          </w:tcPr>
          <w:p w14:paraId="20ADFC90" w14:textId="77777777" w:rsidR="00B626E7" w:rsidRDefault="00B626E7">
            <w:pPr>
              <w:rPr>
                <w:rFonts w:ascii="宋体"/>
              </w:rPr>
            </w:pPr>
          </w:p>
        </w:tc>
        <w:tc>
          <w:tcPr>
            <w:tcW w:w="0" w:type="auto"/>
            <w:shd w:val="clear" w:color="auto" w:fill="auto"/>
          </w:tcPr>
          <w:p w14:paraId="20ADFC91" w14:textId="77777777" w:rsidR="00B626E7" w:rsidRDefault="00B626E7">
            <w:pPr>
              <w:rPr>
                <w:rFonts w:ascii="宋体"/>
              </w:rPr>
            </w:pPr>
          </w:p>
        </w:tc>
        <w:tc>
          <w:tcPr>
            <w:tcW w:w="0" w:type="auto"/>
            <w:shd w:val="clear" w:color="auto" w:fill="auto"/>
          </w:tcPr>
          <w:p w14:paraId="20ADFC92" w14:textId="77777777" w:rsidR="00B626E7" w:rsidRDefault="00B626E7">
            <w:pPr>
              <w:rPr>
                <w:rFonts w:ascii="宋体"/>
              </w:rPr>
            </w:pPr>
          </w:p>
        </w:tc>
        <w:tc>
          <w:tcPr>
            <w:tcW w:w="0" w:type="auto"/>
            <w:shd w:val="clear" w:color="auto" w:fill="auto"/>
          </w:tcPr>
          <w:p w14:paraId="20ADFC93" w14:textId="77777777" w:rsidR="00B626E7" w:rsidRDefault="00B626E7">
            <w:pPr>
              <w:rPr>
                <w:rFonts w:ascii="宋体"/>
              </w:rPr>
            </w:pPr>
          </w:p>
        </w:tc>
        <w:tc>
          <w:tcPr>
            <w:tcW w:w="0" w:type="auto"/>
            <w:shd w:val="clear" w:color="auto" w:fill="auto"/>
          </w:tcPr>
          <w:p w14:paraId="20ADFC94" w14:textId="77777777" w:rsidR="00B626E7" w:rsidRDefault="00B626E7">
            <w:pPr>
              <w:rPr>
                <w:rFonts w:ascii="宋体"/>
              </w:rPr>
            </w:pPr>
          </w:p>
        </w:tc>
      </w:tr>
    </w:tbl>
    <w:p w14:paraId="20ADFC96" w14:textId="77777777" w:rsidR="00B626E7" w:rsidRDefault="00175C1D">
      <w:pPr>
        <w:spacing w:before="180" w:after="180"/>
      </w:pPr>
      <w:r>
        <w:rPr>
          <w:rFonts w:ascii="Arial" w:eastAsia="宋体" w:hAnsi="Arial" w:cs="Arial"/>
          <w:i/>
          <w:iCs/>
          <w:color w:val="333333"/>
          <w:sz w:val="16"/>
          <w:szCs w:val="16"/>
        </w:rPr>
        <w:t xml:space="preserve">See accompanying notes. </w:t>
      </w:r>
    </w:p>
    <w:tbl>
      <w:tblPr>
        <w:tblW w:w="5000" w:type="pct"/>
        <w:tblCellMar>
          <w:top w:w="15" w:type="dxa"/>
          <w:left w:w="15" w:type="dxa"/>
          <w:bottom w:w="15" w:type="dxa"/>
          <w:right w:w="15" w:type="dxa"/>
        </w:tblCellMar>
        <w:tblLook w:val="04A0" w:firstRow="1" w:lastRow="0" w:firstColumn="1" w:lastColumn="0" w:noHBand="0" w:noVBand="1"/>
      </w:tblPr>
      <w:tblGrid>
        <w:gridCol w:w="84"/>
        <w:gridCol w:w="2423"/>
        <w:gridCol w:w="84"/>
        <w:gridCol w:w="83"/>
        <w:gridCol w:w="3471"/>
        <w:gridCol w:w="83"/>
        <w:gridCol w:w="83"/>
        <w:gridCol w:w="1942"/>
        <w:gridCol w:w="83"/>
      </w:tblGrid>
      <w:tr w:rsidR="00B626E7" w14:paraId="20ADFCA0" w14:textId="77777777">
        <w:tc>
          <w:tcPr>
            <w:tcW w:w="50" w:type="pct"/>
            <w:shd w:val="clear" w:color="auto" w:fill="auto"/>
            <w:vAlign w:val="bottom"/>
          </w:tcPr>
          <w:p w14:paraId="20ADFC97" w14:textId="77777777" w:rsidR="00B626E7" w:rsidRDefault="00B626E7">
            <w:pPr>
              <w:rPr>
                <w:rFonts w:ascii="宋体"/>
              </w:rPr>
            </w:pPr>
          </w:p>
        </w:tc>
        <w:tc>
          <w:tcPr>
            <w:tcW w:w="1452" w:type="pct"/>
            <w:shd w:val="clear" w:color="auto" w:fill="auto"/>
            <w:vAlign w:val="bottom"/>
          </w:tcPr>
          <w:p w14:paraId="20ADFC98" w14:textId="77777777" w:rsidR="00B626E7" w:rsidRDefault="00B626E7">
            <w:pPr>
              <w:rPr>
                <w:rFonts w:ascii="宋体"/>
              </w:rPr>
            </w:pPr>
          </w:p>
        </w:tc>
        <w:tc>
          <w:tcPr>
            <w:tcW w:w="50" w:type="pct"/>
            <w:shd w:val="clear" w:color="auto" w:fill="auto"/>
            <w:vAlign w:val="bottom"/>
          </w:tcPr>
          <w:p w14:paraId="20ADFC99" w14:textId="77777777" w:rsidR="00B626E7" w:rsidRDefault="00B626E7">
            <w:pPr>
              <w:rPr>
                <w:rFonts w:ascii="宋体"/>
              </w:rPr>
            </w:pPr>
          </w:p>
        </w:tc>
        <w:tc>
          <w:tcPr>
            <w:tcW w:w="50" w:type="pct"/>
            <w:shd w:val="clear" w:color="auto" w:fill="auto"/>
            <w:vAlign w:val="bottom"/>
          </w:tcPr>
          <w:p w14:paraId="20ADFC9A" w14:textId="77777777" w:rsidR="00B626E7" w:rsidRDefault="00B626E7">
            <w:pPr>
              <w:rPr>
                <w:rFonts w:ascii="宋体"/>
              </w:rPr>
            </w:pPr>
          </w:p>
        </w:tc>
        <w:tc>
          <w:tcPr>
            <w:tcW w:w="2081" w:type="pct"/>
            <w:shd w:val="clear" w:color="auto" w:fill="auto"/>
            <w:vAlign w:val="bottom"/>
          </w:tcPr>
          <w:p w14:paraId="20ADFC9B" w14:textId="77777777" w:rsidR="00B626E7" w:rsidRDefault="00B626E7">
            <w:pPr>
              <w:rPr>
                <w:rFonts w:ascii="宋体"/>
              </w:rPr>
            </w:pPr>
          </w:p>
        </w:tc>
        <w:tc>
          <w:tcPr>
            <w:tcW w:w="50" w:type="pct"/>
            <w:shd w:val="clear" w:color="auto" w:fill="auto"/>
            <w:vAlign w:val="bottom"/>
          </w:tcPr>
          <w:p w14:paraId="20ADFC9C" w14:textId="77777777" w:rsidR="00B626E7" w:rsidRDefault="00B626E7">
            <w:pPr>
              <w:rPr>
                <w:rFonts w:ascii="宋体"/>
              </w:rPr>
            </w:pPr>
          </w:p>
        </w:tc>
        <w:tc>
          <w:tcPr>
            <w:tcW w:w="50" w:type="pct"/>
            <w:shd w:val="clear" w:color="auto" w:fill="auto"/>
            <w:vAlign w:val="bottom"/>
          </w:tcPr>
          <w:p w14:paraId="20ADFC9D" w14:textId="77777777" w:rsidR="00B626E7" w:rsidRDefault="00B626E7">
            <w:pPr>
              <w:rPr>
                <w:rFonts w:ascii="宋体"/>
              </w:rPr>
            </w:pPr>
          </w:p>
        </w:tc>
        <w:tc>
          <w:tcPr>
            <w:tcW w:w="1165" w:type="pct"/>
            <w:shd w:val="clear" w:color="auto" w:fill="auto"/>
            <w:vAlign w:val="bottom"/>
          </w:tcPr>
          <w:p w14:paraId="20ADFC9E" w14:textId="77777777" w:rsidR="00B626E7" w:rsidRDefault="00B626E7">
            <w:pPr>
              <w:rPr>
                <w:rFonts w:ascii="宋体"/>
              </w:rPr>
            </w:pPr>
          </w:p>
        </w:tc>
        <w:tc>
          <w:tcPr>
            <w:tcW w:w="50" w:type="pct"/>
            <w:shd w:val="clear" w:color="auto" w:fill="auto"/>
            <w:vAlign w:val="bottom"/>
          </w:tcPr>
          <w:p w14:paraId="20ADFC9F" w14:textId="77777777" w:rsidR="00B626E7" w:rsidRDefault="00B626E7">
            <w:pPr>
              <w:rPr>
                <w:rFonts w:ascii="宋体"/>
              </w:rPr>
            </w:pPr>
          </w:p>
        </w:tc>
      </w:tr>
      <w:tr w:rsidR="00B626E7" w14:paraId="20ADFCA4" w14:textId="77777777">
        <w:tc>
          <w:tcPr>
            <w:tcW w:w="0" w:type="auto"/>
            <w:gridSpan w:val="3"/>
            <w:tcBorders>
              <w:top w:val="single" w:sz="8" w:space="0" w:color="0071C5"/>
            </w:tcBorders>
            <w:shd w:val="clear" w:color="auto" w:fill="auto"/>
            <w:tcMar>
              <w:top w:w="40" w:type="dxa"/>
              <w:left w:w="20" w:type="dxa"/>
              <w:bottom w:w="40" w:type="dxa"/>
              <w:right w:w="20" w:type="dxa"/>
            </w:tcMar>
            <w:vAlign w:val="center"/>
          </w:tcPr>
          <w:p w14:paraId="20ADFCA1" w14:textId="77777777" w:rsidR="00B626E7" w:rsidRDefault="00175C1D">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Viewer10_files/intc-20200627_g11.jpg"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29" wp14:editId="20AE3C2A">
                  <wp:extent cx="304800" cy="304800"/>
                  <wp:effectExtent l="0" t="0" r="0" b="0"/>
                  <wp:docPr id="27" name="图片 5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1" descr="IMG_26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Arial" w:eastAsia="宋体" w:hAnsi="Arial" w:cs="Arial"/>
                <w:color w:val="333333"/>
                <w:sz w:val="16"/>
                <w:szCs w:val="16"/>
              </w:rPr>
              <w:t>FINANCIAL STATEMENTS</w:t>
            </w:r>
          </w:p>
        </w:tc>
        <w:tc>
          <w:tcPr>
            <w:tcW w:w="0" w:type="auto"/>
            <w:gridSpan w:val="3"/>
            <w:tcBorders>
              <w:top w:val="single" w:sz="8" w:space="0" w:color="0071C5"/>
              <w:left w:val="single" w:sz="24" w:space="0" w:color="0071C5"/>
            </w:tcBorders>
            <w:shd w:val="clear" w:color="auto" w:fill="auto"/>
            <w:tcMar>
              <w:top w:w="40" w:type="dxa"/>
              <w:left w:w="20" w:type="dxa"/>
              <w:bottom w:w="40" w:type="dxa"/>
              <w:right w:w="20" w:type="dxa"/>
            </w:tcMar>
            <w:vAlign w:val="bottom"/>
          </w:tcPr>
          <w:p w14:paraId="20ADFCA2" w14:textId="77777777" w:rsidR="00B626E7" w:rsidRDefault="00175C1D">
            <w:pPr>
              <w:textAlignment w:val="bottom"/>
            </w:pPr>
            <w:r>
              <w:rPr>
                <w:rFonts w:ascii="Arial" w:eastAsia="宋体" w:hAnsi="Arial" w:cs="Arial"/>
                <w:color w:val="333333"/>
                <w:sz w:val="16"/>
                <w:szCs w:val="16"/>
              </w:rPr>
              <w:t>  Consolidated Condensed Statements of Comprehensive Income</w:t>
            </w: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DFCA3" w14:textId="77777777" w:rsidR="00B626E7" w:rsidRDefault="00175C1D">
            <w:pPr>
              <w:jc w:val="right"/>
              <w:textAlignment w:val="bottom"/>
            </w:pPr>
            <w:r>
              <w:rPr>
                <w:rFonts w:ascii="Arial" w:eastAsia="宋体" w:hAnsi="Arial" w:cs="Arial"/>
                <w:color w:val="333333"/>
                <w:sz w:val="16"/>
                <w:szCs w:val="16"/>
              </w:rPr>
              <w:t>6</w:t>
            </w:r>
          </w:p>
        </w:tc>
      </w:tr>
    </w:tbl>
    <w:p w14:paraId="20ADFCA5" w14:textId="77777777" w:rsidR="00B626E7" w:rsidRDefault="00175C1D">
      <w:r>
        <w:pict w14:anchorId="20AE3C2B">
          <v:rect id="_x0000_i1032" style="width:415.3pt;height:1.5pt" o:hralign="center" o:hrstd="t" o:hr="t" fillcolor="#a0a0a0" stroked="f"/>
        </w:pict>
      </w:r>
    </w:p>
    <w:p w14:paraId="20ADFCA6" w14:textId="77777777" w:rsidR="00B626E7" w:rsidRDefault="00175C1D">
      <w:pPr>
        <w:spacing w:after="180"/>
        <w:jc w:val="right"/>
      </w:pPr>
      <w:hyperlink r:id="rId34" w:anchor="ib035cc8759904e51927d703ec8414366_7" w:history="1">
        <w:r>
          <w:rPr>
            <w:rStyle w:val="a5"/>
            <w:rFonts w:ascii="Arial" w:eastAsia="宋体" w:hAnsi="Arial" w:cs="Arial"/>
            <w:b/>
            <w:bCs/>
            <w:sz w:val="16"/>
            <w:szCs w:val="16"/>
          </w:rPr>
          <w:t>Table of Contents</w:t>
        </w:r>
      </w:hyperlink>
    </w:p>
    <w:p w14:paraId="20ADFCA7" w14:textId="77777777" w:rsidR="00B626E7" w:rsidRDefault="00B626E7">
      <w:pPr>
        <w:spacing w:after="180"/>
        <w:jc w:val="right"/>
      </w:pPr>
    </w:p>
    <w:tbl>
      <w:tblPr>
        <w:tblW w:w="5000" w:type="pct"/>
        <w:jc w:val="center"/>
        <w:tblCellMar>
          <w:top w:w="15" w:type="dxa"/>
          <w:left w:w="15" w:type="dxa"/>
          <w:bottom w:w="15" w:type="dxa"/>
          <w:right w:w="15" w:type="dxa"/>
        </w:tblCellMar>
        <w:tblLook w:val="04A0" w:firstRow="1" w:lastRow="0" w:firstColumn="1" w:lastColumn="0" w:noHBand="0" w:noVBand="1"/>
      </w:tblPr>
      <w:tblGrid>
        <w:gridCol w:w="84"/>
        <w:gridCol w:w="8169"/>
        <w:gridCol w:w="83"/>
      </w:tblGrid>
      <w:tr w:rsidR="00B626E7" w14:paraId="20ADFCAB" w14:textId="77777777">
        <w:trPr>
          <w:jc w:val="center"/>
        </w:trPr>
        <w:tc>
          <w:tcPr>
            <w:tcW w:w="50" w:type="pct"/>
            <w:shd w:val="clear" w:color="auto" w:fill="auto"/>
          </w:tcPr>
          <w:p w14:paraId="20ADFCA8" w14:textId="77777777" w:rsidR="00B626E7" w:rsidRDefault="00B626E7">
            <w:pPr>
              <w:rPr>
                <w:rFonts w:ascii="宋体"/>
              </w:rPr>
            </w:pPr>
          </w:p>
        </w:tc>
        <w:tc>
          <w:tcPr>
            <w:tcW w:w="4900" w:type="pct"/>
            <w:shd w:val="clear" w:color="auto" w:fill="auto"/>
          </w:tcPr>
          <w:p w14:paraId="20ADFCA9" w14:textId="77777777" w:rsidR="00B626E7" w:rsidRDefault="00B626E7">
            <w:pPr>
              <w:rPr>
                <w:rFonts w:ascii="宋体"/>
              </w:rPr>
            </w:pPr>
          </w:p>
        </w:tc>
        <w:tc>
          <w:tcPr>
            <w:tcW w:w="50" w:type="pct"/>
            <w:shd w:val="clear" w:color="auto" w:fill="auto"/>
          </w:tcPr>
          <w:p w14:paraId="20ADFCAA" w14:textId="77777777" w:rsidR="00B626E7" w:rsidRDefault="00B626E7">
            <w:pPr>
              <w:rPr>
                <w:rFonts w:ascii="宋体"/>
              </w:rPr>
            </w:pPr>
          </w:p>
        </w:tc>
      </w:tr>
      <w:tr w:rsidR="00B626E7" w14:paraId="20ADFCAD" w14:textId="77777777">
        <w:trPr>
          <w:jc w:val="center"/>
        </w:trPr>
        <w:tc>
          <w:tcPr>
            <w:tcW w:w="0" w:type="auto"/>
            <w:gridSpan w:val="3"/>
            <w:shd w:val="clear" w:color="auto" w:fill="0071C5"/>
            <w:tcMar>
              <w:top w:w="40" w:type="dxa"/>
              <w:left w:w="20" w:type="dxa"/>
              <w:bottom w:w="40" w:type="dxa"/>
              <w:right w:w="20" w:type="dxa"/>
            </w:tcMar>
            <w:vAlign w:val="bottom"/>
          </w:tcPr>
          <w:p w14:paraId="20ADFCAC" w14:textId="77777777" w:rsidR="00B626E7" w:rsidRDefault="00175C1D">
            <w:pPr>
              <w:textAlignment w:val="bottom"/>
            </w:pPr>
            <w:r>
              <w:rPr>
                <w:rFonts w:ascii="Arial" w:eastAsia="宋体" w:hAnsi="Arial" w:cs="Arial"/>
                <w:b/>
                <w:bCs/>
                <w:color w:val="FFFFFF"/>
                <w:sz w:val="28"/>
                <w:szCs w:val="28"/>
              </w:rPr>
              <w:t xml:space="preserve">CONSOLIDATED CONDENSED BALANCE SHEETS </w:t>
            </w:r>
          </w:p>
        </w:tc>
      </w:tr>
    </w:tbl>
    <w:p w14:paraId="20ADFCAE" w14:textId="77777777" w:rsidR="00B626E7" w:rsidRDefault="00B626E7">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51"/>
        <w:gridCol w:w="6031"/>
        <w:gridCol w:w="51"/>
        <w:gridCol w:w="36"/>
        <w:gridCol w:w="36"/>
        <w:gridCol w:w="36"/>
        <w:gridCol w:w="137"/>
        <w:gridCol w:w="792"/>
        <w:gridCol w:w="87"/>
        <w:gridCol w:w="36"/>
        <w:gridCol w:w="36"/>
        <w:gridCol w:w="36"/>
        <w:gridCol w:w="136"/>
        <w:gridCol w:w="737"/>
        <w:gridCol w:w="86"/>
      </w:tblGrid>
      <w:tr w:rsidR="00B626E7" w14:paraId="20ADFCBE" w14:textId="77777777">
        <w:tc>
          <w:tcPr>
            <w:tcW w:w="50" w:type="pct"/>
            <w:shd w:val="clear" w:color="auto" w:fill="auto"/>
          </w:tcPr>
          <w:p w14:paraId="20ADFCAF" w14:textId="77777777" w:rsidR="00B626E7" w:rsidRDefault="00B626E7">
            <w:pPr>
              <w:rPr>
                <w:rFonts w:ascii="宋体"/>
              </w:rPr>
            </w:pPr>
          </w:p>
        </w:tc>
        <w:tc>
          <w:tcPr>
            <w:tcW w:w="3641" w:type="pct"/>
            <w:shd w:val="clear" w:color="auto" w:fill="auto"/>
          </w:tcPr>
          <w:p w14:paraId="20ADFCB0" w14:textId="77777777" w:rsidR="00B626E7" w:rsidRDefault="00B626E7">
            <w:pPr>
              <w:rPr>
                <w:rFonts w:ascii="宋体"/>
              </w:rPr>
            </w:pPr>
          </w:p>
        </w:tc>
        <w:tc>
          <w:tcPr>
            <w:tcW w:w="50" w:type="pct"/>
            <w:shd w:val="clear" w:color="auto" w:fill="auto"/>
          </w:tcPr>
          <w:p w14:paraId="20ADFCB1" w14:textId="77777777" w:rsidR="00B626E7" w:rsidRDefault="00B626E7">
            <w:pPr>
              <w:rPr>
                <w:rFonts w:ascii="宋体"/>
              </w:rPr>
            </w:pPr>
          </w:p>
        </w:tc>
        <w:tc>
          <w:tcPr>
            <w:tcW w:w="5" w:type="pct"/>
            <w:shd w:val="clear" w:color="auto" w:fill="auto"/>
          </w:tcPr>
          <w:p w14:paraId="20ADFCB2" w14:textId="77777777" w:rsidR="00B626E7" w:rsidRDefault="00B626E7">
            <w:pPr>
              <w:rPr>
                <w:rFonts w:ascii="宋体"/>
              </w:rPr>
            </w:pPr>
          </w:p>
        </w:tc>
        <w:tc>
          <w:tcPr>
            <w:tcW w:w="24" w:type="pct"/>
            <w:shd w:val="clear" w:color="auto" w:fill="auto"/>
          </w:tcPr>
          <w:p w14:paraId="20ADFCB3" w14:textId="77777777" w:rsidR="00B626E7" w:rsidRDefault="00B626E7">
            <w:pPr>
              <w:rPr>
                <w:rFonts w:ascii="宋体"/>
              </w:rPr>
            </w:pPr>
          </w:p>
        </w:tc>
        <w:tc>
          <w:tcPr>
            <w:tcW w:w="5" w:type="pct"/>
            <w:shd w:val="clear" w:color="auto" w:fill="auto"/>
          </w:tcPr>
          <w:p w14:paraId="20ADFCB4" w14:textId="77777777" w:rsidR="00B626E7" w:rsidRDefault="00B626E7">
            <w:pPr>
              <w:rPr>
                <w:rFonts w:ascii="宋体"/>
              </w:rPr>
            </w:pPr>
          </w:p>
        </w:tc>
        <w:tc>
          <w:tcPr>
            <w:tcW w:w="50" w:type="pct"/>
            <w:shd w:val="clear" w:color="auto" w:fill="auto"/>
          </w:tcPr>
          <w:p w14:paraId="20ADFCB5" w14:textId="77777777" w:rsidR="00B626E7" w:rsidRDefault="00B626E7">
            <w:pPr>
              <w:rPr>
                <w:rFonts w:ascii="宋体"/>
              </w:rPr>
            </w:pPr>
          </w:p>
        </w:tc>
        <w:tc>
          <w:tcPr>
            <w:tcW w:w="495" w:type="pct"/>
            <w:shd w:val="clear" w:color="auto" w:fill="auto"/>
          </w:tcPr>
          <w:p w14:paraId="20ADFCB6" w14:textId="77777777" w:rsidR="00B626E7" w:rsidRDefault="00B626E7">
            <w:pPr>
              <w:rPr>
                <w:rFonts w:ascii="宋体"/>
              </w:rPr>
            </w:pPr>
          </w:p>
        </w:tc>
        <w:tc>
          <w:tcPr>
            <w:tcW w:w="50" w:type="pct"/>
            <w:shd w:val="clear" w:color="auto" w:fill="auto"/>
          </w:tcPr>
          <w:p w14:paraId="20ADFCB7" w14:textId="77777777" w:rsidR="00B626E7" w:rsidRDefault="00B626E7">
            <w:pPr>
              <w:rPr>
                <w:rFonts w:ascii="宋体"/>
              </w:rPr>
            </w:pPr>
          </w:p>
        </w:tc>
        <w:tc>
          <w:tcPr>
            <w:tcW w:w="5" w:type="pct"/>
            <w:shd w:val="clear" w:color="auto" w:fill="auto"/>
          </w:tcPr>
          <w:p w14:paraId="20ADFCB8" w14:textId="77777777" w:rsidR="00B626E7" w:rsidRDefault="00B626E7">
            <w:pPr>
              <w:rPr>
                <w:rFonts w:ascii="宋体"/>
              </w:rPr>
            </w:pPr>
          </w:p>
        </w:tc>
        <w:tc>
          <w:tcPr>
            <w:tcW w:w="24" w:type="pct"/>
            <w:shd w:val="clear" w:color="auto" w:fill="auto"/>
          </w:tcPr>
          <w:p w14:paraId="20ADFCB9" w14:textId="77777777" w:rsidR="00B626E7" w:rsidRDefault="00B626E7">
            <w:pPr>
              <w:rPr>
                <w:rFonts w:ascii="宋体"/>
              </w:rPr>
            </w:pPr>
          </w:p>
        </w:tc>
        <w:tc>
          <w:tcPr>
            <w:tcW w:w="5" w:type="pct"/>
            <w:shd w:val="clear" w:color="auto" w:fill="auto"/>
          </w:tcPr>
          <w:p w14:paraId="20ADFCBA" w14:textId="77777777" w:rsidR="00B626E7" w:rsidRDefault="00B626E7">
            <w:pPr>
              <w:rPr>
                <w:rFonts w:ascii="宋体"/>
              </w:rPr>
            </w:pPr>
          </w:p>
        </w:tc>
        <w:tc>
          <w:tcPr>
            <w:tcW w:w="50" w:type="pct"/>
            <w:shd w:val="clear" w:color="auto" w:fill="auto"/>
          </w:tcPr>
          <w:p w14:paraId="20ADFCBB" w14:textId="77777777" w:rsidR="00B626E7" w:rsidRDefault="00B626E7">
            <w:pPr>
              <w:rPr>
                <w:rFonts w:ascii="宋体"/>
              </w:rPr>
            </w:pPr>
          </w:p>
        </w:tc>
        <w:tc>
          <w:tcPr>
            <w:tcW w:w="495" w:type="pct"/>
            <w:shd w:val="clear" w:color="auto" w:fill="auto"/>
          </w:tcPr>
          <w:p w14:paraId="20ADFCBC" w14:textId="77777777" w:rsidR="00B626E7" w:rsidRDefault="00B626E7">
            <w:pPr>
              <w:rPr>
                <w:rFonts w:ascii="宋体"/>
              </w:rPr>
            </w:pPr>
          </w:p>
        </w:tc>
        <w:tc>
          <w:tcPr>
            <w:tcW w:w="50" w:type="pct"/>
            <w:shd w:val="clear" w:color="auto" w:fill="auto"/>
          </w:tcPr>
          <w:p w14:paraId="20ADFCBD" w14:textId="77777777" w:rsidR="00B626E7" w:rsidRDefault="00B626E7">
            <w:pPr>
              <w:rPr>
                <w:rFonts w:ascii="宋体"/>
              </w:rPr>
            </w:pPr>
          </w:p>
        </w:tc>
      </w:tr>
      <w:tr w:rsidR="00B626E7" w14:paraId="20ADFCC4" w14:textId="77777777">
        <w:tc>
          <w:tcPr>
            <w:tcW w:w="0" w:type="auto"/>
            <w:gridSpan w:val="3"/>
            <w:shd w:val="clear" w:color="auto" w:fill="auto"/>
            <w:tcMar>
              <w:top w:w="40" w:type="dxa"/>
              <w:left w:w="20" w:type="dxa"/>
              <w:bottom w:w="40" w:type="dxa"/>
              <w:right w:w="20" w:type="dxa"/>
            </w:tcMar>
            <w:vAlign w:val="bottom"/>
          </w:tcPr>
          <w:p w14:paraId="20ADFCBF" w14:textId="77777777" w:rsidR="00B626E7" w:rsidRDefault="00175C1D">
            <w:pPr>
              <w:ind w:hanging="180"/>
              <w:textAlignment w:val="bottom"/>
            </w:pPr>
            <w:r>
              <w:rPr>
                <w:rFonts w:ascii="Arial" w:eastAsia="宋体" w:hAnsi="Arial" w:cs="Arial"/>
                <w:b/>
                <w:bCs/>
                <w:color w:val="333333"/>
                <w:sz w:val="18"/>
                <w:szCs w:val="18"/>
              </w:rPr>
              <w:t>(In Millions)</w:t>
            </w:r>
          </w:p>
        </w:tc>
        <w:tc>
          <w:tcPr>
            <w:tcW w:w="0" w:type="auto"/>
            <w:gridSpan w:val="3"/>
            <w:shd w:val="clear" w:color="auto" w:fill="auto"/>
            <w:tcMar>
              <w:left w:w="20" w:type="dxa"/>
              <w:right w:w="20" w:type="dxa"/>
            </w:tcMar>
            <w:vAlign w:val="bottom"/>
          </w:tcPr>
          <w:p w14:paraId="20ADFCC0"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bottom"/>
          </w:tcPr>
          <w:p w14:paraId="20ADFCC1" w14:textId="77777777" w:rsidR="00B626E7" w:rsidRDefault="00175C1D">
            <w:pPr>
              <w:jc w:val="center"/>
              <w:textAlignment w:val="bottom"/>
            </w:pPr>
            <w:r>
              <w:rPr>
                <w:rFonts w:ascii="Arial" w:eastAsia="宋体" w:hAnsi="Arial" w:cs="Arial"/>
                <w:b/>
                <w:bCs/>
                <w:color w:val="333333"/>
                <w:sz w:val="18"/>
                <w:szCs w:val="18"/>
              </w:rPr>
              <w:t xml:space="preserve">Jun </w:t>
            </w:r>
            <w:r>
              <w:rPr>
                <w:rFonts w:ascii="Arial" w:eastAsia="宋体" w:hAnsi="Arial" w:cs="Arial"/>
                <w:b/>
                <w:bCs/>
                <w:color w:val="333333"/>
                <w:sz w:val="18"/>
                <w:szCs w:val="18"/>
              </w:rPr>
              <w:t>27, 2020</w:t>
            </w:r>
          </w:p>
        </w:tc>
        <w:tc>
          <w:tcPr>
            <w:tcW w:w="0" w:type="auto"/>
            <w:gridSpan w:val="3"/>
            <w:shd w:val="clear" w:color="auto" w:fill="auto"/>
            <w:tcMar>
              <w:left w:w="20" w:type="dxa"/>
              <w:right w:w="20" w:type="dxa"/>
            </w:tcMar>
            <w:vAlign w:val="bottom"/>
          </w:tcPr>
          <w:p w14:paraId="20ADFCC2"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bottom"/>
          </w:tcPr>
          <w:p w14:paraId="20ADFCC3" w14:textId="77777777" w:rsidR="00B626E7" w:rsidRDefault="00175C1D">
            <w:pPr>
              <w:jc w:val="center"/>
              <w:textAlignment w:val="bottom"/>
            </w:pPr>
            <w:r>
              <w:rPr>
                <w:rFonts w:ascii="Arial" w:eastAsia="宋体" w:hAnsi="Arial" w:cs="Arial"/>
                <w:b/>
                <w:bCs/>
                <w:color w:val="333333"/>
                <w:sz w:val="18"/>
                <w:szCs w:val="18"/>
              </w:rPr>
              <w:t>Dec 28, 2019</w:t>
            </w:r>
          </w:p>
        </w:tc>
      </w:tr>
      <w:tr w:rsidR="00B626E7" w14:paraId="20ADFCCA" w14:textId="77777777">
        <w:tc>
          <w:tcPr>
            <w:tcW w:w="0" w:type="auto"/>
            <w:gridSpan w:val="3"/>
            <w:tcBorders>
              <w:top w:val="single" w:sz="8" w:space="0" w:color="0071C5"/>
            </w:tcBorders>
            <w:shd w:val="clear" w:color="auto" w:fill="auto"/>
            <w:tcMar>
              <w:left w:w="20" w:type="dxa"/>
              <w:right w:w="20" w:type="dxa"/>
            </w:tcMar>
            <w:vAlign w:val="bottom"/>
          </w:tcPr>
          <w:p w14:paraId="20ADFCC5"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DFCC6"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DFCC7" w14:textId="77777777" w:rsidR="00B626E7" w:rsidRDefault="00175C1D">
            <w:pPr>
              <w:jc w:val="center"/>
              <w:textAlignment w:val="bottom"/>
            </w:pPr>
            <w:r>
              <w:rPr>
                <w:rFonts w:ascii="Arial" w:eastAsia="宋体" w:hAnsi="Arial" w:cs="Arial"/>
                <w:color w:val="333333"/>
                <w:sz w:val="18"/>
                <w:szCs w:val="18"/>
              </w:rPr>
              <w:t>(unaudited)</w:t>
            </w:r>
          </w:p>
        </w:tc>
        <w:tc>
          <w:tcPr>
            <w:tcW w:w="0" w:type="auto"/>
            <w:gridSpan w:val="3"/>
            <w:shd w:val="clear" w:color="auto" w:fill="auto"/>
            <w:tcMar>
              <w:left w:w="20" w:type="dxa"/>
              <w:right w:w="20" w:type="dxa"/>
            </w:tcMar>
            <w:vAlign w:val="bottom"/>
          </w:tcPr>
          <w:p w14:paraId="20ADFCC8"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DFCC9" w14:textId="77777777" w:rsidR="00B626E7" w:rsidRDefault="00B626E7">
            <w:pPr>
              <w:rPr>
                <w:rFonts w:ascii="宋体"/>
              </w:rPr>
            </w:pPr>
          </w:p>
        </w:tc>
      </w:tr>
      <w:tr w:rsidR="00B626E7" w14:paraId="20ADFCD0" w14:textId="77777777">
        <w:tc>
          <w:tcPr>
            <w:tcW w:w="0" w:type="auto"/>
            <w:gridSpan w:val="3"/>
            <w:shd w:val="clear" w:color="auto" w:fill="auto"/>
            <w:tcMar>
              <w:top w:w="40" w:type="dxa"/>
              <w:left w:w="20" w:type="dxa"/>
              <w:bottom w:w="40" w:type="dxa"/>
              <w:right w:w="20" w:type="dxa"/>
            </w:tcMar>
          </w:tcPr>
          <w:p w14:paraId="20ADFCCB" w14:textId="77777777" w:rsidR="00B626E7" w:rsidRDefault="00175C1D">
            <w:pPr>
              <w:ind w:hanging="180"/>
              <w:textAlignment w:val="top"/>
            </w:pPr>
            <w:r>
              <w:rPr>
                <w:rFonts w:ascii="Arial" w:eastAsia="宋体" w:hAnsi="Arial" w:cs="Arial"/>
                <w:b/>
                <w:bCs/>
                <w:color w:val="333333"/>
                <w:sz w:val="18"/>
                <w:szCs w:val="18"/>
              </w:rPr>
              <w:t>Assets</w:t>
            </w:r>
          </w:p>
        </w:tc>
        <w:tc>
          <w:tcPr>
            <w:tcW w:w="0" w:type="auto"/>
            <w:gridSpan w:val="3"/>
            <w:shd w:val="clear" w:color="auto" w:fill="auto"/>
            <w:tcMar>
              <w:left w:w="20" w:type="dxa"/>
              <w:right w:w="20" w:type="dxa"/>
            </w:tcMar>
            <w:vAlign w:val="bottom"/>
          </w:tcPr>
          <w:p w14:paraId="20ADFCCC"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DFCCD"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DFCCE"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DFCCF" w14:textId="77777777" w:rsidR="00B626E7" w:rsidRDefault="00B626E7">
            <w:pPr>
              <w:rPr>
                <w:rFonts w:ascii="宋体"/>
              </w:rPr>
            </w:pPr>
          </w:p>
        </w:tc>
      </w:tr>
      <w:tr w:rsidR="00B626E7" w14:paraId="20ADFCD6" w14:textId="77777777">
        <w:tc>
          <w:tcPr>
            <w:tcW w:w="0" w:type="auto"/>
            <w:gridSpan w:val="3"/>
            <w:shd w:val="clear" w:color="auto" w:fill="auto"/>
            <w:tcMar>
              <w:top w:w="40" w:type="dxa"/>
              <w:left w:w="20" w:type="dxa"/>
              <w:bottom w:w="40" w:type="dxa"/>
              <w:right w:w="20" w:type="dxa"/>
            </w:tcMar>
          </w:tcPr>
          <w:p w14:paraId="20ADFCD1" w14:textId="77777777" w:rsidR="00B626E7" w:rsidRDefault="00175C1D">
            <w:pPr>
              <w:ind w:hanging="180"/>
              <w:textAlignment w:val="top"/>
            </w:pPr>
            <w:r>
              <w:rPr>
                <w:rFonts w:ascii="Arial" w:eastAsia="宋体" w:hAnsi="Arial" w:cs="Arial"/>
                <w:color w:val="333333"/>
                <w:sz w:val="18"/>
                <w:szCs w:val="18"/>
              </w:rPr>
              <w:t>Current assets:</w:t>
            </w:r>
          </w:p>
        </w:tc>
        <w:tc>
          <w:tcPr>
            <w:tcW w:w="0" w:type="auto"/>
            <w:gridSpan w:val="3"/>
            <w:shd w:val="clear" w:color="auto" w:fill="auto"/>
            <w:tcMar>
              <w:left w:w="20" w:type="dxa"/>
              <w:right w:w="20" w:type="dxa"/>
            </w:tcMar>
            <w:vAlign w:val="bottom"/>
          </w:tcPr>
          <w:p w14:paraId="20ADFCD2"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DFCD3"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DFCD4"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DFCD5" w14:textId="77777777" w:rsidR="00B626E7" w:rsidRDefault="00B626E7">
            <w:pPr>
              <w:rPr>
                <w:rFonts w:ascii="宋体"/>
              </w:rPr>
            </w:pPr>
          </w:p>
        </w:tc>
      </w:tr>
      <w:tr w:rsidR="00B626E7" w14:paraId="20ADFCE0" w14:textId="77777777">
        <w:tc>
          <w:tcPr>
            <w:tcW w:w="0" w:type="auto"/>
            <w:gridSpan w:val="3"/>
            <w:shd w:val="clear" w:color="auto" w:fill="auto"/>
            <w:tcMar>
              <w:top w:w="40" w:type="dxa"/>
              <w:left w:w="195" w:type="dxa"/>
              <w:bottom w:w="40" w:type="dxa"/>
              <w:right w:w="20" w:type="dxa"/>
            </w:tcMar>
          </w:tcPr>
          <w:p w14:paraId="20ADFCD7" w14:textId="77777777" w:rsidR="00B626E7" w:rsidRDefault="00175C1D">
            <w:pPr>
              <w:textAlignment w:val="top"/>
            </w:pPr>
            <w:r>
              <w:rPr>
                <w:rFonts w:ascii="Arial" w:eastAsia="宋体" w:hAnsi="Arial" w:cs="Arial"/>
                <w:color w:val="333333"/>
                <w:sz w:val="18"/>
                <w:szCs w:val="18"/>
              </w:rPr>
              <w:t>Cash and cash equivalents</w:t>
            </w:r>
          </w:p>
        </w:tc>
        <w:tc>
          <w:tcPr>
            <w:tcW w:w="0" w:type="auto"/>
            <w:gridSpan w:val="3"/>
            <w:shd w:val="clear" w:color="auto" w:fill="auto"/>
            <w:tcMar>
              <w:left w:w="20" w:type="dxa"/>
              <w:right w:w="20" w:type="dxa"/>
            </w:tcMar>
            <w:vAlign w:val="bottom"/>
          </w:tcPr>
          <w:p w14:paraId="20ADFCD8"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DFCD9" w14:textId="77777777" w:rsidR="00B626E7" w:rsidRDefault="00175C1D">
            <w:pPr>
              <w:textAlignment w:val="bottom"/>
            </w:pPr>
            <w:r>
              <w:rPr>
                <w:rFonts w:ascii="Arial" w:eastAsia="宋体" w:hAnsi="Arial" w:cs="Arial"/>
                <w:color w:val="0071C5"/>
                <w:sz w:val="18"/>
                <w:szCs w:val="18"/>
              </w:rPr>
              <w:t>$</w:t>
            </w:r>
          </w:p>
        </w:tc>
        <w:tc>
          <w:tcPr>
            <w:tcW w:w="0" w:type="auto"/>
            <w:shd w:val="clear" w:color="auto" w:fill="auto"/>
            <w:tcMar>
              <w:top w:w="40" w:type="dxa"/>
              <w:bottom w:w="40" w:type="dxa"/>
              <w:right w:w="0" w:type="dxa"/>
            </w:tcMar>
            <w:vAlign w:val="bottom"/>
          </w:tcPr>
          <w:p w14:paraId="20ADFCDA" w14:textId="77777777" w:rsidR="00B626E7" w:rsidRDefault="00175C1D">
            <w:pPr>
              <w:jc w:val="right"/>
              <w:textAlignment w:val="bottom"/>
            </w:pPr>
            <w:r>
              <w:rPr>
                <w:rFonts w:ascii="Arial" w:eastAsia="宋体" w:hAnsi="Arial" w:cs="Arial"/>
                <w:color w:val="0071C5"/>
                <w:sz w:val="18"/>
                <w:szCs w:val="18"/>
              </w:rPr>
              <w:t>8,736 </w:t>
            </w:r>
          </w:p>
        </w:tc>
        <w:tc>
          <w:tcPr>
            <w:tcW w:w="0" w:type="auto"/>
            <w:shd w:val="clear" w:color="auto" w:fill="auto"/>
            <w:tcMar>
              <w:top w:w="40" w:type="dxa"/>
              <w:bottom w:w="40" w:type="dxa"/>
              <w:right w:w="20" w:type="dxa"/>
            </w:tcMar>
            <w:vAlign w:val="bottom"/>
          </w:tcPr>
          <w:p w14:paraId="20ADFCDB"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DFCDC"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DFCDD" w14:textId="77777777" w:rsidR="00B626E7" w:rsidRDefault="00175C1D">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20ADFCDE" w14:textId="77777777" w:rsidR="00B626E7" w:rsidRDefault="00175C1D">
            <w:pPr>
              <w:jc w:val="right"/>
              <w:textAlignment w:val="bottom"/>
            </w:pPr>
            <w:r>
              <w:rPr>
                <w:rFonts w:ascii="Arial" w:eastAsia="宋体" w:hAnsi="Arial" w:cs="Arial"/>
                <w:color w:val="333333"/>
                <w:sz w:val="18"/>
                <w:szCs w:val="18"/>
              </w:rPr>
              <w:t>4,194 </w:t>
            </w:r>
          </w:p>
        </w:tc>
        <w:tc>
          <w:tcPr>
            <w:tcW w:w="0" w:type="auto"/>
            <w:shd w:val="clear" w:color="auto" w:fill="auto"/>
            <w:tcMar>
              <w:top w:w="40" w:type="dxa"/>
              <w:bottom w:w="40" w:type="dxa"/>
              <w:right w:w="20" w:type="dxa"/>
            </w:tcMar>
            <w:vAlign w:val="bottom"/>
          </w:tcPr>
          <w:p w14:paraId="20ADFCDF" w14:textId="77777777" w:rsidR="00B626E7" w:rsidRDefault="00175C1D">
            <w:pPr>
              <w:jc w:val="right"/>
              <w:textAlignment w:val="bottom"/>
            </w:pPr>
            <w:r>
              <w:rPr>
                <w:rFonts w:ascii="Arial" w:eastAsia="宋体" w:hAnsi="Arial" w:cs="Arial"/>
                <w:color w:val="333333"/>
                <w:sz w:val="18"/>
                <w:szCs w:val="18"/>
              </w:rPr>
              <w:t> </w:t>
            </w:r>
          </w:p>
        </w:tc>
      </w:tr>
      <w:tr w:rsidR="00B626E7" w14:paraId="20ADFCE8" w14:textId="77777777">
        <w:tc>
          <w:tcPr>
            <w:tcW w:w="0" w:type="auto"/>
            <w:gridSpan w:val="3"/>
            <w:shd w:val="clear" w:color="auto" w:fill="auto"/>
            <w:tcMar>
              <w:top w:w="40" w:type="dxa"/>
              <w:left w:w="195" w:type="dxa"/>
              <w:bottom w:w="40" w:type="dxa"/>
              <w:right w:w="20" w:type="dxa"/>
            </w:tcMar>
          </w:tcPr>
          <w:p w14:paraId="20ADFCE1" w14:textId="77777777" w:rsidR="00B626E7" w:rsidRDefault="00175C1D">
            <w:pPr>
              <w:textAlignment w:val="top"/>
            </w:pPr>
            <w:r>
              <w:rPr>
                <w:rFonts w:ascii="Arial" w:eastAsia="宋体" w:hAnsi="Arial" w:cs="Arial"/>
                <w:color w:val="333333"/>
                <w:sz w:val="18"/>
                <w:szCs w:val="18"/>
              </w:rPr>
              <w:t>Short-term investments</w:t>
            </w:r>
          </w:p>
        </w:tc>
        <w:tc>
          <w:tcPr>
            <w:tcW w:w="0" w:type="auto"/>
            <w:gridSpan w:val="3"/>
            <w:shd w:val="clear" w:color="auto" w:fill="auto"/>
            <w:tcMar>
              <w:left w:w="20" w:type="dxa"/>
              <w:right w:w="20" w:type="dxa"/>
            </w:tcMar>
            <w:vAlign w:val="bottom"/>
          </w:tcPr>
          <w:p w14:paraId="20ADFCE2"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CE3" w14:textId="77777777" w:rsidR="00B626E7" w:rsidRDefault="00175C1D">
            <w:pPr>
              <w:jc w:val="right"/>
              <w:textAlignment w:val="bottom"/>
            </w:pPr>
            <w:r>
              <w:rPr>
                <w:rFonts w:ascii="Arial" w:eastAsia="宋体" w:hAnsi="Arial" w:cs="Arial"/>
                <w:color w:val="0071C5"/>
                <w:sz w:val="18"/>
                <w:szCs w:val="18"/>
              </w:rPr>
              <w:t>4,791 </w:t>
            </w:r>
          </w:p>
        </w:tc>
        <w:tc>
          <w:tcPr>
            <w:tcW w:w="0" w:type="auto"/>
            <w:shd w:val="clear" w:color="auto" w:fill="auto"/>
            <w:tcMar>
              <w:top w:w="40" w:type="dxa"/>
              <w:bottom w:w="40" w:type="dxa"/>
              <w:right w:w="20" w:type="dxa"/>
            </w:tcMar>
            <w:vAlign w:val="bottom"/>
          </w:tcPr>
          <w:p w14:paraId="20ADFCE4"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DFCE5"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CE6" w14:textId="77777777" w:rsidR="00B626E7" w:rsidRDefault="00175C1D">
            <w:pPr>
              <w:jc w:val="right"/>
              <w:textAlignment w:val="bottom"/>
            </w:pPr>
            <w:r>
              <w:rPr>
                <w:rFonts w:ascii="Arial" w:eastAsia="宋体" w:hAnsi="Arial" w:cs="Arial"/>
                <w:color w:val="333333"/>
                <w:sz w:val="18"/>
                <w:szCs w:val="18"/>
              </w:rPr>
              <w:t>1,082 </w:t>
            </w:r>
          </w:p>
        </w:tc>
        <w:tc>
          <w:tcPr>
            <w:tcW w:w="0" w:type="auto"/>
            <w:shd w:val="clear" w:color="auto" w:fill="auto"/>
            <w:tcMar>
              <w:top w:w="40" w:type="dxa"/>
              <w:bottom w:w="40" w:type="dxa"/>
              <w:right w:w="20" w:type="dxa"/>
            </w:tcMar>
            <w:vAlign w:val="bottom"/>
          </w:tcPr>
          <w:p w14:paraId="20ADFCE7" w14:textId="77777777" w:rsidR="00B626E7" w:rsidRDefault="00175C1D">
            <w:pPr>
              <w:jc w:val="right"/>
              <w:textAlignment w:val="bottom"/>
            </w:pPr>
            <w:r>
              <w:rPr>
                <w:rFonts w:ascii="Arial" w:eastAsia="宋体" w:hAnsi="Arial" w:cs="Arial"/>
                <w:color w:val="333333"/>
                <w:sz w:val="18"/>
                <w:szCs w:val="18"/>
              </w:rPr>
              <w:t> </w:t>
            </w:r>
          </w:p>
        </w:tc>
      </w:tr>
      <w:tr w:rsidR="00B626E7" w14:paraId="20ADFCF0" w14:textId="77777777">
        <w:tc>
          <w:tcPr>
            <w:tcW w:w="0" w:type="auto"/>
            <w:gridSpan w:val="3"/>
            <w:shd w:val="clear" w:color="auto" w:fill="auto"/>
            <w:tcMar>
              <w:top w:w="40" w:type="dxa"/>
              <w:left w:w="195" w:type="dxa"/>
              <w:bottom w:w="40" w:type="dxa"/>
              <w:right w:w="20" w:type="dxa"/>
            </w:tcMar>
          </w:tcPr>
          <w:p w14:paraId="20ADFCE9" w14:textId="77777777" w:rsidR="00B626E7" w:rsidRDefault="00175C1D">
            <w:pPr>
              <w:textAlignment w:val="top"/>
            </w:pPr>
            <w:r>
              <w:rPr>
                <w:rFonts w:ascii="Arial" w:eastAsia="宋体" w:hAnsi="Arial" w:cs="Arial"/>
                <w:color w:val="333333"/>
                <w:sz w:val="18"/>
                <w:szCs w:val="18"/>
              </w:rPr>
              <w:t>Trading assets</w:t>
            </w:r>
          </w:p>
        </w:tc>
        <w:tc>
          <w:tcPr>
            <w:tcW w:w="0" w:type="auto"/>
            <w:gridSpan w:val="3"/>
            <w:shd w:val="clear" w:color="auto" w:fill="auto"/>
            <w:tcMar>
              <w:left w:w="20" w:type="dxa"/>
              <w:right w:w="20" w:type="dxa"/>
            </w:tcMar>
            <w:vAlign w:val="bottom"/>
          </w:tcPr>
          <w:p w14:paraId="20ADFCEA"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CEB" w14:textId="77777777" w:rsidR="00B626E7" w:rsidRDefault="00175C1D">
            <w:pPr>
              <w:jc w:val="right"/>
              <w:textAlignment w:val="bottom"/>
            </w:pPr>
            <w:r>
              <w:rPr>
                <w:rFonts w:ascii="Arial" w:eastAsia="宋体" w:hAnsi="Arial" w:cs="Arial"/>
                <w:color w:val="0071C5"/>
                <w:sz w:val="18"/>
                <w:szCs w:val="18"/>
              </w:rPr>
              <w:t>12,288 </w:t>
            </w:r>
          </w:p>
        </w:tc>
        <w:tc>
          <w:tcPr>
            <w:tcW w:w="0" w:type="auto"/>
            <w:shd w:val="clear" w:color="auto" w:fill="auto"/>
            <w:tcMar>
              <w:top w:w="40" w:type="dxa"/>
              <w:bottom w:w="40" w:type="dxa"/>
              <w:right w:w="20" w:type="dxa"/>
            </w:tcMar>
            <w:vAlign w:val="bottom"/>
          </w:tcPr>
          <w:p w14:paraId="20ADFCEC"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DFCED"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CEE" w14:textId="77777777" w:rsidR="00B626E7" w:rsidRDefault="00175C1D">
            <w:pPr>
              <w:jc w:val="right"/>
              <w:textAlignment w:val="bottom"/>
            </w:pPr>
            <w:r>
              <w:rPr>
                <w:rFonts w:ascii="Arial" w:eastAsia="宋体" w:hAnsi="Arial" w:cs="Arial"/>
                <w:color w:val="333333"/>
                <w:sz w:val="18"/>
                <w:szCs w:val="18"/>
              </w:rPr>
              <w:t>7,847 </w:t>
            </w:r>
          </w:p>
        </w:tc>
        <w:tc>
          <w:tcPr>
            <w:tcW w:w="0" w:type="auto"/>
            <w:shd w:val="clear" w:color="auto" w:fill="auto"/>
            <w:tcMar>
              <w:top w:w="40" w:type="dxa"/>
              <w:bottom w:w="40" w:type="dxa"/>
              <w:right w:w="20" w:type="dxa"/>
            </w:tcMar>
            <w:vAlign w:val="bottom"/>
          </w:tcPr>
          <w:p w14:paraId="20ADFCEF" w14:textId="77777777" w:rsidR="00B626E7" w:rsidRDefault="00175C1D">
            <w:pPr>
              <w:jc w:val="right"/>
              <w:textAlignment w:val="bottom"/>
            </w:pPr>
            <w:r>
              <w:rPr>
                <w:rFonts w:ascii="Arial" w:eastAsia="宋体" w:hAnsi="Arial" w:cs="Arial"/>
                <w:color w:val="333333"/>
                <w:sz w:val="18"/>
                <w:szCs w:val="18"/>
              </w:rPr>
              <w:t> </w:t>
            </w:r>
          </w:p>
        </w:tc>
      </w:tr>
      <w:tr w:rsidR="00B626E7" w14:paraId="20ADFCF8" w14:textId="77777777">
        <w:tc>
          <w:tcPr>
            <w:tcW w:w="0" w:type="auto"/>
            <w:gridSpan w:val="3"/>
            <w:shd w:val="clear" w:color="auto" w:fill="auto"/>
            <w:tcMar>
              <w:top w:w="40" w:type="dxa"/>
              <w:left w:w="195" w:type="dxa"/>
              <w:bottom w:w="40" w:type="dxa"/>
              <w:right w:w="20" w:type="dxa"/>
            </w:tcMar>
          </w:tcPr>
          <w:p w14:paraId="20ADFCF1" w14:textId="77777777" w:rsidR="00B626E7" w:rsidRDefault="00175C1D">
            <w:pPr>
              <w:textAlignment w:val="top"/>
            </w:pPr>
            <w:r>
              <w:rPr>
                <w:rFonts w:ascii="Arial" w:eastAsia="宋体" w:hAnsi="Arial" w:cs="Arial"/>
                <w:color w:val="333333"/>
                <w:sz w:val="18"/>
                <w:szCs w:val="18"/>
              </w:rPr>
              <w:t>Accounts receivable</w:t>
            </w:r>
          </w:p>
        </w:tc>
        <w:tc>
          <w:tcPr>
            <w:tcW w:w="0" w:type="auto"/>
            <w:gridSpan w:val="3"/>
            <w:shd w:val="clear" w:color="auto" w:fill="auto"/>
            <w:tcMar>
              <w:left w:w="20" w:type="dxa"/>
              <w:right w:w="20" w:type="dxa"/>
            </w:tcMar>
            <w:vAlign w:val="bottom"/>
          </w:tcPr>
          <w:p w14:paraId="20ADFCF2"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CF3" w14:textId="77777777" w:rsidR="00B626E7" w:rsidRDefault="00175C1D">
            <w:pPr>
              <w:jc w:val="right"/>
              <w:textAlignment w:val="bottom"/>
            </w:pPr>
            <w:r>
              <w:rPr>
                <w:rFonts w:ascii="Arial" w:eastAsia="宋体" w:hAnsi="Arial" w:cs="Arial"/>
                <w:color w:val="0071C5"/>
                <w:sz w:val="18"/>
                <w:szCs w:val="18"/>
              </w:rPr>
              <w:t>7,441 </w:t>
            </w:r>
          </w:p>
        </w:tc>
        <w:tc>
          <w:tcPr>
            <w:tcW w:w="0" w:type="auto"/>
            <w:shd w:val="clear" w:color="auto" w:fill="auto"/>
            <w:tcMar>
              <w:top w:w="40" w:type="dxa"/>
              <w:bottom w:w="40" w:type="dxa"/>
              <w:right w:w="20" w:type="dxa"/>
            </w:tcMar>
            <w:vAlign w:val="bottom"/>
          </w:tcPr>
          <w:p w14:paraId="20ADFCF4"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DFCF5"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CF6" w14:textId="77777777" w:rsidR="00B626E7" w:rsidRDefault="00175C1D">
            <w:pPr>
              <w:jc w:val="right"/>
              <w:textAlignment w:val="bottom"/>
            </w:pPr>
            <w:r>
              <w:rPr>
                <w:rFonts w:ascii="Arial" w:eastAsia="宋体" w:hAnsi="Arial" w:cs="Arial"/>
                <w:color w:val="333333"/>
                <w:sz w:val="18"/>
                <w:szCs w:val="18"/>
              </w:rPr>
              <w:t>7,659 </w:t>
            </w:r>
          </w:p>
        </w:tc>
        <w:tc>
          <w:tcPr>
            <w:tcW w:w="0" w:type="auto"/>
            <w:shd w:val="clear" w:color="auto" w:fill="auto"/>
            <w:tcMar>
              <w:top w:w="40" w:type="dxa"/>
              <w:bottom w:w="40" w:type="dxa"/>
              <w:right w:w="20" w:type="dxa"/>
            </w:tcMar>
            <w:vAlign w:val="bottom"/>
          </w:tcPr>
          <w:p w14:paraId="20ADFCF7" w14:textId="77777777" w:rsidR="00B626E7" w:rsidRDefault="00175C1D">
            <w:pPr>
              <w:jc w:val="right"/>
              <w:textAlignment w:val="bottom"/>
            </w:pPr>
            <w:r>
              <w:rPr>
                <w:rFonts w:ascii="Arial" w:eastAsia="宋体" w:hAnsi="Arial" w:cs="Arial"/>
                <w:color w:val="333333"/>
                <w:sz w:val="18"/>
                <w:szCs w:val="18"/>
              </w:rPr>
              <w:t> </w:t>
            </w:r>
          </w:p>
        </w:tc>
      </w:tr>
      <w:tr w:rsidR="00B626E7" w14:paraId="20ADFD00" w14:textId="77777777">
        <w:tc>
          <w:tcPr>
            <w:tcW w:w="0" w:type="auto"/>
            <w:gridSpan w:val="3"/>
            <w:shd w:val="clear" w:color="auto" w:fill="auto"/>
            <w:tcMar>
              <w:top w:w="40" w:type="dxa"/>
              <w:left w:w="195" w:type="dxa"/>
              <w:bottom w:w="40" w:type="dxa"/>
              <w:right w:w="20" w:type="dxa"/>
            </w:tcMar>
          </w:tcPr>
          <w:p w14:paraId="20ADFCF9" w14:textId="77777777" w:rsidR="00B626E7" w:rsidRDefault="00175C1D">
            <w:pPr>
              <w:textAlignment w:val="top"/>
            </w:pPr>
            <w:r>
              <w:rPr>
                <w:rFonts w:ascii="Arial" w:eastAsia="宋体" w:hAnsi="Arial" w:cs="Arial"/>
                <w:color w:val="333333"/>
                <w:sz w:val="18"/>
                <w:szCs w:val="18"/>
              </w:rPr>
              <w:t>Inventories</w:t>
            </w:r>
          </w:p>
        </w:tc>
        <w:tc>
          <w:tcPr>
            <w:tcW w:w="0" w:type="auto"/>
            <w:gridSpan w:val="3"/>
            <w:shd w:val="clear" w:color="auto" w:fill="auto"/>
            <w:tcMar>
              <w:left w:w="20" w:type="dxa"/>
              <w:right w:w="20" w:type="dxa"/>
            </w:tcMar>
            <w:vAlign w:val="bottom"/>
          </w:tcPr>
          <w:p w14:paraId="20ADFCFA"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CFB" w14:textId="77777777" w:rsidR="00B626E7" w:rsidRDefault="00175C1D">
            <w:pPr>
              <w:jc w:val="right"/>
              <w:textAlignment w:val="bottom"/>
            </w:pPr>
            <w:r>
              <w:rPr>
                <w:rFonts w:ascii="Arial" w:eastAsia="宋体" w:hAnsi="Arial" w:cs="Arial"/>
                <w:color w:val="0071C5"/>
                <w:sz w:val="18"/>
                <w:szCs w:val="18"/>
              </w:rPr>
              <w:t>8,969 </w:t>
            </w:r>
          </w:p>
        </w:tc>
        <w:tc>
          <w:tcPr>
            <w:tcW w:w="0" w:type="auto"/>
            <w:shd w:val="clear" w:color="auto" w:fill="auto"/>
            <w:tcMar>
              <w:top w:w="40" w:type="dxa"/>
              <w:bottom w:w="40" w:type="dxa"/>
              <w:right w:w="20" w:type="dxa"/>
            </w:tcMar>
            <w:vAlign w:val="bottom"/>
          </w:tcPr>
          <w:p w14:paraId="20ADFCFC"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DFCFD"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CFE" w14:textId="77777777" w:rsidR="00B626E7" w:rsidRDefault="00175C1D">
            <w:pPr>
              <w:jc w:val="right"/>
              <w:textAlignment w:val="bottom"/>
            </w:pPr>
            <w:r>
              <w:rPr>
                <w:rFonts w:ascii="Arial" w:eastAsia="宋体" w:hAnsi="Arial" w:cs="Arial"/>
                <w:color w:val="333333"/>
                <w:sz w:val="18"/>
                <w:szCs w:val="18"/>
              </w:rPr>
              <w:t>8,744 </w:t>
            </w:r>
          </w:p>
        </w:tc>
        <w:tc>
          <w:tcPr>
            <w:tcW w:w="0" w:type="auto"/>
            <w:shd w:val="clear" w:color="auto" w:fill="auto"/>
            <w:tcMar>
              <w:top w:w="40" w:type="dxa"/>
              <w:bottom w:w="40" w:type="dxa"/>
              <w:right w:w="20" w:type="dxa"/>
            </w:tcMar>
            <w:vAlign w:val="bottom"/>
          </w:tcPr>
          <w:p w14:paraId="20ADFCFF" w14:textId="77777777" w:rsidR="00B626E7" w:rsidRDefault="00175C1D">
            <w:pPr>
              <w:jc w:val="right"/>
              <w:textAlignment w:val="bottom"/>
            </w:pPr>
            <w:r>
              <w:rPr>
                <w:rFonts w:ascii="Arial" w:eastAsia="宋体" w:hAnsi="Arial" w:cs="Arial"/>
                <w:color w:val="333333"/>
                <w:sz w:val="18"/>
                <w:szCs w:val="18"/>
              </w:rPr>
              <w:t> </w:t>
            </w:r>
          </w:p>
        </w:tc>
      </w:tr>
      <w:tr w:rsidR="00B626E7" w14:paraId="20ADFD06" w14:textId="77777777">
        <w:trPr>
          <w:hidden/>
        </w:trPr>
        <w:tc>
          <w:tcPr>
            <w:tcW w:w="0" w:type="auto"/>
            <w:gridSpan w:val="3"/>
            <w:shd w:val="clear" w:color="auto" w:fill="auto"/>
          </w:tcPr>
          <w:p w14:paraId="20ADFD01" w14:textId="77777777" w:rsidR="00B626E7" w:rsidRDefault="00B626E7">
            <w:pPr>
              <w:rPr>
                <w:rFonts w:ascii="宋体"/>
                <w:vanish/>
              </w:rPr>
            </w:pPr>
          </w:p>
        </w:tc>
        <w:tc>
          <w:tcPr>
            <w:tcW w:w="0" w:type="auto"/>
            <w:gridSpan w:val="3"/>
            <w:shd w:val="clear" w:color="auto" w:fill="auto"/>
          </w:tcPr>
          <w:p w14:paraId="20ADFD02" w14:textId="77777777" w:rsidR="00B626E7" w:rsidRDefault="00B626E7">
            <w:pPr>
              <w:rPr>
                <w:rFonts w:ascii="宋体"/>
                <w:vanish/>
              </w:rPr>
            </w:pPr>
          </w:p>
        </w:tc>
        <w:tc>
          <w:tcPr>
            <w:tcW w:w="0" w:type="auto"/>
            <w:gridSpan w:val="3"/>
            <w:shd w:val="clear" w:color="auto" w:fill="auto"/>
          </w:tcPr>
          <w:p w14:paraId="20ADFD03" w14:textId="77777777" w:rsidR="00B626E7" w:rsidRDefault="00B626E7">
            <w:pPr>
              <w:rPr>
                <w:rFonts w:ascii="宋体"/>
                <w:vanish/>
              </w:rPr>
            </w:pPr>
          </w:p>
        </w:tc>
        <w:tc>
          <w:tcPr>
            <w:tcW w:w="0" w:type="auto"/>
            <w:gridSpan w:val="3"/>
            <w:shd w:val="clear" w:color="auto" w:fill="auto"/>
          </w:tcPr>
          <w:p w14:paraId="20ADFD04" w14:textId="77777777" w:rsidR="00B626E7" w:rsidRDefault="00B626E7">
            <w:pPr>
              <w:rPr>
                <w:rFonts w:ascii="宋体"/>
                <w:vanish/>
              </w:rPr>
            </w:pPr>
          </w:p>
        </w:tc>
        <w:tc>
          <w:tcPr>
            <w:tcW w:w="0" w:type="auto"/>
            <w:gridSpan w:val="3"/>
            <w:shd w:val="clear" w:color="auto" w:fill="auto"/>
          </w:tcPr>
          <w:p w14:paraId="20ADFD05" w14:textId="77777777" w:rsidR="00B626E7" w:rsidRDefault="00B626E7">
            <w:pPr>
              <w:rPr>
                <w:rFonts w:ascii="宋体"/>
                <w:vanish/>
              </w:rPr>
            </w:pPr>
          </w:p>
        </w:tc>
      </w:tr>
      <w:tr w:rsidR="00B626E7" w14:paraId="20ADFD0E" w14:textId="77777777">
        <w:tc>
          <w:tcPr>
            <w:tcW w:w="0" w:type="auto"/>
            <w:gridSpan w:val="3"/>
            <w:shd w:val="clear" w:color="auto" w:fill="auto"/>
            <w:tcMar>
              <w:top w:w="40" w:type="dxa"/>
              <w:left w:w="195" w:type="dxa"/>
              <w:bottom w:w="40" w:type="dxa"/>
              <w:right w:w="20" w:type="dxa"/>
            </w:tcMar>
          </w:tcPr>
          <w:p w14:paraId="20ADFD07" w14:textId="77777777" w:rsidR="00B626E7" w:rsidRDefault="00175C1D">
            <w:pPr>
              <w:textAlignment w:val="top"/>
            </w:pPr>
            <w:r>
              <w:rPr>
                <w:rFonts w:ascii="Arial" w:eastAsia="宋体" w:hAnsi="Arial" w:cs="Arial"/>
                <w:color w:val="333333"/>
                <w:sz w:val="18"/>
                <w:szCs w:val="18"/>
              </w:rPr>
              <w:t>Other current assets</w:t>
            </w:r>
          </w:p>
        </w:tc>
        <w:tc>
          <w:tcPr>
            <w:tcW w:w="0" w:type="auto"/>
            <w:gridSpan w:val="3"/>
            <w:shd w:val="clear" w:color="auto" w:fill="auto"/>
            <w:tcMar>
              <w:left w:w="20" w:type="dxa"/>
              <w:right w:w="20" w:type="dxa"/>
            </w:tcMar>
            <w:vAlign w:val="bottom"/>
          </w:tcPr>
          <w:p w14:paraId="20ADFD08"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D09" w14:textId="77777777" w:rsidR="00B626E7" w:rsidRDefault="00175C1D">
            <w:pPr>
              <w:jc w:val="right"/>
              <w:textAlignment w:val="bottom"/>
            </w:pPr>
            <w:r>
              <w:rPr>
                <w:rFonts w:ascii="Arial" w:eastAsia="宋体" w:hAnsi="Arial" w:cs="Arial"/>
                <w:color w:val="0071C5"/>
                <w:sz w:val="18"/>
                <w:szCs w:val="18"/>
              </w:rPr>
              <w:t>2,165 </w:t>
            </w:r>
          </w:p>
        </w:tc>
        <w:tc>
          <w:tcPr>
            <w:tcW w:w="0" w:type="auto"/>
            <w:shd w:val="clear" w:color="auto" w:fill="auto"/>
            <w:tcMar>
              <w:top w:w="40" w:type="dxa"/>
              <w:bottom w:w="40" w:type="dxa"/>
              <w:right w:w="20" w:type="dxa"/>
            </w:tcMar>
            <w:vAlign w:val="bottom"/>
          </w:tcPr>
          <w:p w14:paraId="20ADFD0A"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DFD0B"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D0C" w14:textId="77777777" w:rsidR="00B626E7" w:rsidRDefault="00175C1D">
            <w:pPr>
              <w:jc w:val="right"/>
              <w:textAlignment w:val="bottom"/>
            </w:pPr>
            <w:r>
              <w:rPr>
                <w:rFonts w:ascii="Arial" w:eastAsia="宋体" w:hAnsi="Arial" w:cs="Arial"/>
                <w:color w:val="333333"/>
                <w:sz w:val="18"/>
                <w:szCs w:val="18"/>
              </w:rPr>
              <w:t>1,713 </w:t>
            </w:r>
          </w:p>
        </w:tc>
        <w:tc>
          <w:tcPr>
            <w:tcW w:w="0" w:type="auto"/>
            <w:shd w:val="clear" w:color="auto" w:fill="auto"/>
            <w:tcMar>
              <w:top w:w="40" w:type="dxa"/>
              <w:bottom w:w="40" w:type="dxa"/>
              <w:right w:w="20" w:type="dxa"/>
            </w:tcMar>
            <w:vAlign w:val="bottom"/>
          </w:tcPr>
          <w:p w14:paraId="20ADFD0D" w14:textId="77777777" w:rsidR="00B626E7" w:rsidRDefault="00175C1D">
            <w:pPr>
              <w:jc w:val="right"/>
              <w:textAlignment w:val="bottom"/>
            </w:pPr>
            <w:r>
              <w:rPr>
                <w:rFonts w:ascii="Arial" w:eastAsia="宋体" w:hAnsi="Arial" w:cs="Arial"/>
                <w:color w:val="333333"/>
                <w:sz w:val="18"/>
                <w:szCs w:val="18"/>
              </w:rPr>
              <w:t> </w:t>
            </w:r>
          </w:p>
        </w:tc>
      </w:tr>
      <w:tr w:rsidR="00B626E7" w14:paraId="20ADFD16" w14:textId="77777777">
        <w:tc>
          <w:tcPr>
            <w:tcW w:w="0" w:type="auto"/>
            <w:gridSpan w:val="3"/>
            <w:shd w:val="clear" w:color="auto" w:fill="auto"/>
            <w:tcMar>
              <w:top w:w="40" w:type="dxa"/>
              <w:left w:w="20" w:type="dxa"/>
              <w:bottom w:w="40" w:type="dxa"/>
              <w:right w:w="20" w:type="dxa"/>
            </w:tcMar>
          </w:tcPr>
          <w:p w14:paraId="20ADFD0F" w14:textId="77777777" w:rsidR="00B626E7" w:rsidRDefault="00175C1D">
            <w:pPr>
              <w:ind w:hanging="180"/>
              <w:textAlignment w:val="top"/>
            </w:pPr>
            <w:r>
              <w:rPr>
                <w:rFonts w:ascii="Arial" w:eastAsia="宋体" w:hAnsi="Arial" w:cs="Arial"/>
                <w:b/>
                <w:bCs/>
                <w:color w:val="333333"/>
                <w:sz w:val="18"/>
                <w:szCs w:val="18"/>
              </w:rPr>
              <w:t>Total current assets</w:t>
            </w:r>
          </w:p>
        </w:tc>
        <w:tc>
          <w:tcPr>
            <w:tcW w:w="0" w:type="auto"/>
            <w:gridSpan w:val="3"/>
            <w:shd w:val="clear" w:color="auto" w:fill="auto"/>
            <w:tcMar>
              <w:left w:w="20" w:type="dxa"/>
              <w:right w:w="20" w:type="dxa"/>
            </w:tcMar>
            <w:vAlign w:val="bottom"/>
          </w:tcPr>
          <w:p w14:paraId="20ADFD10"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DFD11" w14:textId="77777777" w:rsidR="00B626E7" w:rsidRDefault="00175C1D">
            <w:pPr>
              <w:jc w:val="right"/>
              <w:textAlignment w:val="bottom"/>
            </w:pPr>
            <w:r>
              <w:rPr>
                <w:rFonts w:ascii="Arial" w:eastAsia="宋体" w:hAnsi="Arial" w:cs="Arial"/>
                <w:b/>
                <w:bCs/>
                <w:color w:val="0071C5"/>
                <w:sz w:val="18"/>
                <w:szCs w:val="18"/>
              </w:rPr>
              <w:t>44,390 </w:t>
            </w:r>
          </w:p>
        </w:tc>
        <w:tc>
          <w:tcPr>
            <w:tcW w:w="0" w:type="auto"/>
            <w:tcBorders>
              <w:top w:val="single" w:sz="8" w:space="0" w:color="333333"/>
            </w:tcBorders>
            <w:shd w:val="clear" w:color="auto" w:fill="auto"/>
            <w:tcMar>
              <w:top w:w="40" w:type="dxa"/>
              <w:bottom w:w="40" w:type="dxa"/>
              <w:right w:w="20" w:type="dxa"/>
            </w:tcMar>
            <w:vAlign w:val="bottom"/>
          </w:tcPr>
          <w:p w14:paraId="20ADFD12"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DFD13"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DFD14" w14:textId="77777777" w:rsidR="00B626E7" w:rsidRDefault="00175C1D">
            <w:pPr>
              <w:jc w:val="right"/>
              <w:textAlignment w:val="bottom"/>
            </w:pPr>
            <w:r>
              <w:rPr>
                <w:rFonts w:ascii="Arial" w:eastAsia="宋体" w:hAnsi="Arial" w:cs="Arial"/>
                <w:b/>
                <w:bCs/>
                <w:color w:val="333333"/>
                <w:sz w:val="18"/>
                <w:szCs w:val="18"/>
              </w:rPr>
              <w:t>31,239 </w:t>
            </w:r>
          </w:p>
        </w:tc>
        <w:tc>
          <w:tcPr>
            <w:tcW w:w="0" w:type="auto"/>
            <w:tcBorders>
              <w:top w:val="single" w:sz="8" w:space="0" w:color="333333"/>
            </w:tcBorders>
            <w:shd w:val="clear" w:color="auto" w:fill="auto"/>
            <w:tcMar>
              <w:top w:w="40" w:type="dxa"/>
              <w:bottom w:w="40" w:type="dxa"/>
              <w:right w:w="20" w:type="dxa"/>
            </w:tcMar>
            <w:vAlign w:val="bottom"/>
          </w:tcPr>
          <w:p w14:paraId="20ADFD15" w14:textId="77777777" w:rsidR="00B626E7" w:rsidRDefault="00175C1D">
            <w:pPr>
              <w:jc w:val="right"/>
              <w:textAlignment w:val="bottom"/>
            </w:pPr>
            <w:r>
              <w:rPr>
                <w:rFonts w:ascii="Arial" w:eastAsia="宋体" w:hAnsi="Arial" w:cs="Arial"/>
                <w:b/>
                <w:bCs/>
                <w:color w:val="333333"/>
                <w:sz w:val="18"/>
                <w:szCs w:val="18"/>
              </w:rPr>
              <w:t> </w:t>
            </w:r>
          </w:p>
        </w:tc>
      </w:tr>
      <w:tr w:rsidR="00B626E7" w14:paraId="20ADFD1C" w14:textId="77777777">
        <w:trPr>
          <w:hidden/>
        </w:trPr>
        <w:tc>
          <w:tcPr>
            <w:tcW w:w="0" w:type="auto"/>
            <w:gridSpan w:val="3"/>
            <w:shd w:val="clear" w:color="auto" w:fill="auto"/>
          </w:tcPr>
          <w:p w14:paraId="20ADFD17" w14:textId="77777777" w:rsidR="00B626E7" w:rsidRDefault="00B626E7">
            <w:pPr>
              <w:rPr>
                <w:rFonts w:ascii="宋体"/>
                <w:vanish/>
              </w:rPr>
            </w:pPr>
          </w:p>
        </w:tc>
        <w:tc>
          <w:tcPr>
            <w:tcW w:w="0" w:type="auto"/>
            <w:gridSpan w:val="3"/>
            <w:shd w:val="clear" w:color="auto" w:fill="auto"/>
          </w:tcPr>
          <w:p w14:paraId="20ADFD18" w14:textId="77777777" w:rsidR="00B626E7" w:rsidRDefault="00B626E7">
            <w:pPr>
              <w:rPr>
                <w:rFonts w:ascii="宋体"/>
                <w:vanish/>
              </w:rPr>
            </w:pPr>
          </w:p>
        </w:tc>
        <w:tc>
          <w:tcPr>
            <w:tcW w:w="0" w:type="auto"/>
            <w:gridSpan w:val="3"/>
            <w:shd w:val="clear" w:color="auto" w:fill="auto"/>
          </w:tcPr>
          <w:p w14:paraId="20ADFD19" w14:textId="77777777" w:rsidR="00B626E7" w:rsidRDefault="00B626E7">
            <w:pPr>
              <w:rPr>
                <w:rFonts w:ascii="宋体"/>
                <w:vanish/>
              </w:rPr>
            </w:pPr>
          </w:p>
        </w:tc>
        <w:tc>
          <w:tcPr>
            <w:tcW w:w="0" w:type="auto"/>
            <w:gridSpan w:val="3"/>
            <w:shd w:val="clear" w:color="auto" w:fill="auto"/>
          </w:tcPr>
          <w:p w14:paraId="20ADFD1A" w14:textId="77777777" w:rsidR="00B626E7" w:rsidRDefault="00B626E7">
            <w:pPr>
              <w:rPr>
                <w:rFonts w:ascii="宋体"/>
                <w:vanish/>
              </w:rPr>
            </w:pPr>
          </w:p>
        </w:tc>
        <w:tc>
          <w:tcPr>
            <w:tcW w:w="0" w:type="auto"/>
            <w:gridSpan w:val="3"/>
            <w:shd w:val="clear" w:color="auto" w:fill="auto"/>
          </w:tcPr>
          <w:p w14:paraId="20ADFD1B" w14:textId="77777777" w:rsidR="00B626E7" w:rsidRDefault="00B626E7">
            <w:pPr>
              <w:rPr>
                <w:rFonts w:ascii="宋体"/>
                <w:vanish/>
              </w:rPr>
            </w:pPr>
          </w:p>
        </w:tc>
      </w:tr>
      <w:tr w:rsidR="00B626E7" w14:paraId="20ADFD24" w14:textId="77777777">
        <w:tc>
          <w:tcPr>
            <w:tcW w:w="0" w:type="auto"/>
            <w:gridSpan w:val="3"/>
            <w:shd w:val="clear" w:color="auto" w:fill="auto"/>
            <w:tcMar>
              <w:top w:w="40" w:type="dxa"/>
              <w:left w:w="20" w:type="dxa"/>
              <w:bottom w:w="40" w:type="dxa"/>
              <w:right w:w="20" w:type="dxa"/>
            </w:tcMar>
          </w:tcPr>
          <w:p w14:paraId="20ADFD1D" w14:textId="77777777" w:rsidR="00B626E7" w:rsidRDefault="00175C1D">
            <w:pPr>
              <w:textAlignment w:val="top"/>
            </w:pPr>
            <w:r>
              <w:rPr>
                <w:rFonts w:ascii="Arial" w:eastAsia="宋体" w:hAnsi="Arial" w:cs="Arial"/>
                <w:b/>
                <w:bCs/>
                <w:color w:val="333333"/>
                <w:sz w:val="18"/>
                <w:szCs w:val="18"/>
              </w:rPr>
              <w:t>Property, plant and equipment, net of accumulated depreciation of $77,988 ($73,321 as of December 28, 2019)</w:t>
            </w:r>
          </w:p>
        </w:tc>
        <w:tc>
          <w:tcPr>
            <w:tcW w:w="0" w:type="auto"/>
            <w:gridSpan w:val="3"/>
            <w:shd w:val="clear" w:color="auto" w:fill="auto"/>
            <w:tcMar>
              <w:left w:w="20" w:type="dxa"/>
              <w:right w:w="20" w:type="dxa"/>
            </w:tcMar>
            <w:vAlign w:val="bottom"/>
          </w:tcPr>
          <w:p w14:paraId="20ADFD1E"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DFD1F" w14:textId="77777777" w:rsidR="00B626E7" w:rsidRDefault="00175C1D">
            <w:pPr>
              <w:jc w:val="right"/>
              <w:textAlignment w:val="bottom"/>
            </w:pPr>
            <w:r>
              <w:rPr>
                <w:rFonts w:ascii="Arial" w:eastAsia="宋体" w:hAnsi="Arial" w:cs="Arial"/>
                <w:b/>
                <w:bCs/>
                <w:color w:val="0071C5"/>
                <w:sz w:val="18"/>
                <w:szCs w:val="18"/>
              </w:rPr>
              <w:t>58,036 </w:t>
            </w:r>
          </w:p>
        </w:tc>
        <w:tc>
          <w:tcPr>
            <w:tcW w:w="0" w:type="auto"/>
            <w:tcBorders>
              <w:top w:val="single" w:sz="8" w:space="0" w:color="333333"/>
            </w:tcBorders>
            <w:shd w:val="clear" w:color="auto" w:fill="auto"/>
            <w:tcMar>
              <w:top w:w="40" w:type="dxa"/>
              <w:bottom w:w="40" w:type="dxa"/>
              <w:right w:w="20" w:type="dxa"/>
            </w:tcMar>
            <w:vAlign w:val="bottom"/>
          </w:tcPr>
          <w:p w14:paraId="20ADFD20"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DFD21"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DFD22" w14:textId="77777777" w:rsidR="00B626E7" w:rsidRDefault="00175C1D">
            <w:pPr>
              <w:jc w:val="right"/>
              <w:textAlignment w:val="bottom"/>
            </w:pPr>
            <w:r>
              <w:rPr>
                <w:rFonts w:ascii="Arial" w:eastAsia="宋体" w:hAnsi="Arial" w:cs="Arial"/>
                <w:b/>
                <w:bCs/>
                <w:color w:val="333333"/>
                <w:sz w:val="18"/>
                <w:szCs w:val="18"/>
              </w:rPr>
              <w:t>55,386 </w:t>
            </w:r>
          </w:p>
        </w:tc>
        <w:tc>
          <w:tcPr>
            <w:tcW w:w="0" w:type="auto"/>
            <w:tcBorders>
              <w:top w:val="single" w:sz="8" w:space="0" w:color="333333"/>
            </w:tcBorders>
            <w:shd w:val="clear" w:color="auto" w:fill="auto"/>
            <w:tcMar>
              <w:top w:w="40" w:type="dxa"/>
              <w:bottom w:w="40" w:type="dxa"/>
              <w:right w:w="20" w:type="dxa"/>
            </w:tcMar>
            <w:vAlign w:val="bottom"/>
          </w:tcPr>
          <w:p w14:paraId="20ADFD23" w14:textId="77777777" w:rsidR="00B626E7" w:rsidRDefault="00175C1D">
            <w:pPr>
              <w:jc w:val="right"/>
              <w:textAlignment w:val="bottom"/>
            </w:pPr>
            <w:r>
              <w:rPr>
                <w:rFonts w:ascii="Arial" w:eastAsia="宋体" w:hAnsi="Arial" w:cs="Arial"/>
                <w:b/>
                <w:bCs/>
                <w:color w:val="333333"/>
                <w:sz w:val="18"/>
                <w:szCs w:val="18"/>
              </w:rPr>
              <w:t> </w:t>
            </w:r>
          </w:p>
        </w:tc>
      </w:tr>
      <w:tr w:rsidR="00B626E7" w14:paraId="20ADFD2C" w14:textId="77777777">
        <w:tc>
          <w:tcPr>
            <w:tcW w:w="0" w:type="auto"/>
            <w:gridSpan w:val="3"/>
            <w:shd w:val="clear" w:color="auto" w:fill="auto"/>
            <w:tcMar>
              <w:top w:w="40" w:type="dxa"/>
              <w:left w:w="20" w:type="dxa"/>
              <w:bottom w:w="40" w:type="dxa"/>
              <w:right w:w="20" w:type="dxa"/>
            </w:tcMar>
          </w:tcPr>
          <w:p w14:paraId="20ADFD25" w14:textId="77777777" w:rsidR="00B626E7" w:rsidRDefault="00175C1D">
            <w:pPr>
              <w:textAlignment w:val="top"/>
            </w:pPr>
            <w:r>
              <w:rPr>
                <w:rFonts w:ascii="Arial" w:eastAsia="宋体" w:hAnsi="Arial" w:cs="Arial"/>
                <w:b/>
                <w:bCs/>
                <w:color w:val="333333"/>
                <w:sz w:val="18"/>
                <w:szCs w:val="18"/>
              </w:rPr>
              <w:t>Equity investments</w:t>
            </w:r>
          </w:p>
        </w:tc>
        <w:tc>
          <w:tcPr>
            <w:tcW w:w="0" w:type="auto"/>
            <w:gridSpan w:val="3"/>
            <w:shd w:val="clear" w:color="auto" w:fill="auto"/>
            <w:tcMar>
              <w:left w:w="20" w:type="dxa"/>
              <w:right w:w="20" w:type="dxa"/>
            </w:tcMar>
            <w:vAlign w:val="bottom"/>
          </w:tcPr>
          <w:p w14:paraId="20ADFD26"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D27" w14:textId="77777777" w:rsidR="00B626E7" w:rsidRDefault="00175C1D">
            <w:pPr>
              <w:jc w:val="right"/>
              <w:textAlignment w:val="bottom"/>
            </w:pPr>
            <w:r>
              <w:rPr>
                <w:rFonts w:ascii="Arial" w:eastAsia="宋体" w:hAnsi="Arial" w:cs="Arial"/>
                <w:b/>
                <w:bCs/>
                <w:color w:val="0071C5"/>
                <w:sz w:val="18"/>
                <w:szCs w:val="18"/>
              </w:rPr>
              <w:t>3,901 </w:t>
            </w:r>
          </w:p>
        </w:tc>
        <w:tc>
          <w:tcPr>
            <w:tcW w:w="0" w:type="auto"/>
            <w:shd w:val="clear" w:color="auto" w:fill="auto"/>
            <w:tcMar>
              <w:top w:w="40" w:type="dxa"/>
              <w:bottom w:w="40" w:type="dxa"/>
              <w:right w:w="20" w:type="dxa"/>
            </w:tcMar>
            <w:vAlign w:val="bottom"/>
          </w:tcPr>
          <w:p w14:paraId="20ADFD28"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DFD29"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D2A" w14:textId="77777777" w:rsidR="00B626E7" w:rsidRDefault="00175C1D">
            <w:pPr>
              <w:jc w:val="right"/>
              <w:textAlignment w:val="bottom"/>
            </w:pPr>
            <w:r>
              <w:rPr>
                <w:rFonts w:ascii="Arial" w:eastAsia="宋体" w:hAnsi="Arial" w:cs="Arial"/>
                <w:b/>
                <w:bCs/>
                <w:color w:val="333333"/>
                <w:sz w:val="18"/>
                <w:szCs w:val="18"/>
              </w:rPr>
              <w:t>3,967 </w:t>
            </w:r>
          </w:p>
        </w:tc>
        <w:tc>
          <w:tcPr>
            <w:tcW w:w="0" w:type="auto"/>
            <w:shd w:val="clear" w:color="auto" w:fill="auto"/>
            <w:tcMar>
              <w:top w:w="40" w:type="dxa"/>
              <w:bottom w:w="40" w:type="dxa"/>
              <w:right w:w="20" w:type="dxa"/>
            </w:tcMar>
            <w:vAlign w:val="bottom"/>
          </w:tcPr>
          <w:p w14:paraId="20ADFD2B" w14:textId="77777777" w:rsidR="00B626E7" w:rsidRDefault="00175C1D">
            <w:pPr>
              <w:jc w:val="right"/>
              <w:textAlignment w:val="bottom"/>
            </w:pPr>
            <w:r>
              <w:rPr>
                <w:rFonts w:ascii="Arial" w:eastAsia="宋体" w:hAnsi="Arial" w:cs="Arial"/>
                <w:b/>
                <w:bCs/>
                <w:color w:val="333333"/>
                <w:sz w:val="18"/>
                <w:szCs w:val="18"/>
              </w:rPr>
              <w:t> </w:t>
            </w:r>
          </w:p>
        </w:tc>
      </w:tr>
      <w:tr w:rsidR="00B626E7" w14:paraId="20ADFD34" w14:textId="77777777">
        <w:tc>
          <w:tcPr>
            <w:tcW w:w="0" w:type="auto"/>
            <w:gridSpan w:val="3"/>
            <w:shd w:val="clear" w:color="auto" w:fill="auto"/>
            <w:tcMar>
              <w:top w:w="40" w:type="dxa"/>
              <w:left w:w="20" w:type="dxa"/>
              <w:bottom w:w="40" w:type="dxa"/>
              <w:right w:w="20" w:type="dxa"/>
            </w:tcMar>
          </w:tcPr>
          <w:p w14:paraId="20ADFD2D" w14:textId="77777777" w:rsidR="00B626E7" w:rsidRDefault="00175C1D">
            <w:pPr>
              <w:textAlignment w:val="top"/>
            </w:pPr>
            <w:r>
              <w:rPr>
                <w:rFonts w:ascii="Arial" w:eastAsia="宋体" w:hAnsi="Arial" w:cs="Arial"/>
                <w:b/>
                <w:bCs/>
                <w:color w:val="333333"/>
                <w:sz w:val="18"/>
                <w:szCs w:val="18"/>
              </w:rPr>
              <w:t>Other long-term investments</w:t>
            </w:r>
          </w:p>
        </w:tc>
        <w:tc>
          <w:tcPr>
            <w:tcW w:w="0" w:type="auto"/>
            <w:gridSpan w:val="3"/>
            <w:shd w:val="clear" w:color="auto" w:fill="auto"/>
            <w:tcMar>
              <w:left w:w="20" w:type="dxa"/>
              <w:right w:w="20" w:type="dxa"/>
            </w:tcMar>
            <w:vAlign w:val="bottom"/>
          </w:tcPr>
          <w:p w14:paraId="20ADFD2E"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D2F" w14:textId="77777777" w:rsidR="00B626E7" w:rsidRDefault="00175C1D">
            <w:pPr>
              <w:jc w:val="right"/>
              <w:textAlignment w:val="bottom"/>
            </w:pPr>
            <w:r>
              <w:rPr>
                <w:rFonts w:ascii="Arial" w:eastAsia="宋体" w:hAnsi="Arial" w:cs="Arial"/>
                <w:b/>
                <w:bCs/>
                <w:color w:val="0071C5"/>
                <w:sz w:val="18"/>
                <w:szCs w:val="18"/>
              </w:rPr>
              <w:t>2,884 </w:t>
            </w:r>
          </w:p>
        </w:tc>
        <w:tc>
          <w:tcPr>
            <w:tcW w:w="0" w:type="auto"/>
            <w:shd w:val="clear" w:color="auto" w:fill="auto"/>
            <w:tcMar>
              <w:top w:w="40" w:type="dxa"/>
              <w:bottom w:w="40" w:type="dxa"/>
              <w:right w:w="20" w:type="dxa"/>
            </w:tcMar>
            <w:vAlign w:val="bottom"/>
          </w:tcPr>
          <w:p w14:paraId="20ADFD30"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DFD31"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D32" w14:textId="77777777" w:rsidR="00B626E7" w:rsidRDefault="00175C1D">
            <w:pPr>
              <w:jc w:val="right"/>
              <w:textAlignment w:val="bottom"/>
            </w:pPr>
            <w:r>
              <w:rPr>
                <w:rFonts w:ascii="Arial" w:eastAsia="宋体" w:hAnsi="Arial" w:cs="Arial"/>
                <w:b/>
                <w:bCs/>
                <w:color w:val="333333"/>
                <w:sz w:val="18"/>
                <w:szCs w:val="18"/>
              </w:rPr>
              <w:t>3,276 </w:t>
            </w:r>
          </w:p>
        </w:tc>
        <w:tc>
          <w:tcPr>
            <w:tcW w:w="0" w:type="auto"/>
            <w:shd w:val="clear" w:color="auto" w:fill="auto"/>
            <w:tcMar>
              <w:top w:w="40" w:type="dxa"/>
              <w:bottom w:w="40" w:type="dxa"/>
              <w:right w:w="20" w:type="dxa"/>
            </w:tcMar>
            <w:vAlign w:val="bottom"/>
          </w:tcPr>
          <w:p w14:paraId="20ADFD33" w14:textId="77777777" w:rsidR="00B626E7" w:rsidRDefault="00175C1D">
            <w:pPr>
              <w:jc w:val="right"/>
              <w:textAlignment w:val="bottom"/>
            </w:pPr>
            <w:r>
              <w:rPr>
                <w:rFonts w:ascii="Arial" w:eastAsia="宋体" w:hAnsi="Arial" w:cs="Arial"/>
                <w:b/>
                <w:bCs/>
                <w:color w:val="333333"/>
                <w:sz w:val="18"/>
                <w:szCs w:val="18"/>
              </w:rPr>
              <w:t> </w:t>
            </w:r>
          </w:p>
        </w:tc>
      </w:tr>
      <w:tr w:rsidR="00B626E7" w14:paraId="20ADFD3C" w14:textId="77777777">
        <w:tc>
          <w:tcPr>
            <w:tcW w:w="0" w:type="auto"/>
            <w:gridSpan w:val="3"/>
            <w:shd w:val="clear" w:color="auto" w:fill="auto"/>
            <w:tcMar>
              <w:top w:w="40" w:type="dxa"/>
              <w:left w:w="20" w:type="dxa"/>
              <w:bottom w:w="40" w:type="dxa"/>
              <w:right w:w="20" w:type="dxa"/>
            </w:tcMar>
          </w:tcPr>
          <w:p w14:paraId="20ADFD35" w14:textId="77777777" w:rsidR="00B626E7" w:rsidRDefault="00175C1D">
            <w:pPr>
              <w:textAlignment w:val="top"/>
            </w:pPr>
            <w:r>
              <w:rPr>
                <w:rFonts w:ascii="Arial" w:eastAsia="宋体" w:hAnsi="Arial" w:cs="Arial"/>
                <w:b/>
                <w:bCs/>
                <w:color w:val="333333"/>
                <w:sz w:val="18"/>
                <w:szCs w:val="18"/>
              </w:rPr>
              <w:t>Goodwill</w:t>
            </w:r>
          </w:p>
        </w:tc>
        <w:tc>
          <w:tcPr>
            <w:tcW w:w="0" w:type="auto"/>
            <w:gridSpan w:val="3"/>
            <w:shd w:val="clear" w:color="auto" w:fill="auto"/>
            <w:tcMar>
              <w:left w:w="20" w:type="dxa"/>
              <w:right w:w="20" w:type="dxa"/>
            </w:tcMar>
            <w:vAlign w:val="bottom"/>
          </w:tcPr>
          <w:p w14:paraId="20ADFD36"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D37" w14:textId="77777777" w:rsidR="00B626E7" w:rsidRDefault="00175C1D">
            <w:pPr>
              <w:jc w:val="right"/>
              <w:textAlignment w:val="bottom"/>
            </w:pPr>
            <w:r>
              <w:rPr>
                <w:rFonts w:ascii="Arial" w:eastAsia="宋体" w:hAnsi="Arial" w:cs="Arial"/>
                <w:b/>
                <w:bCs/>
                <w:color w:val="0071C5"/>
                <w:sz w:val="18"/>
                <w:szCs w:val="18"/>
              </w:rPr>
              <w:t>26,943 </w:t>
            </w:r>
          </w:p>
        </w:tc>
        <w:tc>
          <w:tcPr>
            <w:tcW w:w="0" w:type="auto"/>
            <w:shd w:val="clear" w:color="auto" w:fill="auto"/>
            <w:tcMar>
              <w:top w:w="40" w:type="dxa"/>
              <w:bottom w:w="40" w:type="dxa"/>
              <w:right w:w="20" w:type="dxa"/>
            </w:tcMar>
            <w:vAlign w:val="bottom"/>
          </w:tcPr>
          <w:p w14:paraId="20ADFD38"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DFD39"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D3A" w14:textId="77777777" w:rsidR="00B626E7" w:rsidRDefault="00175C1D">
            <w:pPr>
              <w:jc w:val="right"/>
              <w:textAlignment w:val="bottom"/>
            </w:pPr>
            <w:r>
              <w:rPr>
                <w:rFonts w:ascii="Arial" w:eastAsia="宋体" w:hAnsi="Arial" w:cs="Arial"/>
                <w:b/>
                <w:bCs/>
                <w:color w:val="333333"/>
                <w:sz w:val="18"/>
                <w:szCs w:val="18"/>
              </w:rPr>
              <w:t>26,276 </w:t>
            </w:r>
          </w:p>
        </w:tc>
        <w:tc>
          <w:tcPr>
            <w:tcW w:w="0" w:type="auto"/>
            <w:shd w:val="clear" w:color="auto" w:fill="auto"/>
            <w:tcMar>
              <w:top w:w="40" w:type="dxa"/>
              <w:bottom w:w="40" w:type="dxa"/>
              <w:right w:w="20" w:type="dxa"/>
            </w:tcMar>
            <w:vAlign w:val="bottom"/>
          </w:tcPr>
          <w:p w14:paraId="20ADFD3B" w14:textId="77777777" w:rsidR="00B626E7" w:rsidRDefault="00175C1D">
            <w:pPr>
              <w:jc w:val="right"/>
              <w:textAlignment w:val="bottom"/>
            </w:pPr>
            <w:r>
              <w:rPr>
                <w:rFonts w:ascii="Arial" w:eastAsia="宋体" w:hAnsi="Arial" w:cs="Arial"/>
                <w:b/>
                <w:bCs/>
                <w:color w:val="333333"/>
                <w:sz w:val="18"/>
                <w:szCs w:val="18"/>
              </w:rPr>
              <w:t> </w:t>
            </w:r>
          </w:p>
        </w:tc>
      </w:tr>
      <w:tr w:rsidR="00B626E7" w14:paraId="20ADFD44" w14:textId="77777777">
        <w:tc>
          <w:tcPr>
            <w:tcW w:w="0" w:type="auto"/>
            <w:gridSpan w:val="3"/>
            <w:shd w:val="clear" w:color="auto" w:fill="auto"/>
            <w:tcMar>
              <w:top w:w="40" w:type="dxa"/>
              <w:left w:w="20" w:type="dxa"/>
              <w:bottom w:w="40" w:type="dxa"/>
              <w:right w:w="20" w:type="dxa"/>
            </w:tcMar>
          </w:tcPr>
          <w:p w14:paraId="20ADFD3D" w14:textId="77777777" w:rsidR="00B626E7" w:rsidRDefault="00175C1D">
            <w:pPr>
              <w:textAlignment w:val="top"/>
            </w:pPr>
            <w:r>
              <w:rPr>
                <w:rFonts w:ascii="Arial" w:eastAsia="宋体" w:hAnsi="Arial" w:cs="Arial"/>
                <w:b/>
                <w:bCs/>
                <w:color w:val="333333"/>
                <w:sz w:val="18"/>
                <w:szCs w:val="18"/>
              </w:rPr>
              <w:t>Identified intangible assets, net</w:t>
            </w:r>
          </w:p>
        </w:tc>
        <w:tc>
          <w:tcPr>
            <w:tcW w:w="0" w:type="auto"/>
            <w:gridSpan w:val="3"/>
            <w:shd w:val="clear" w:color="auto" w:fill="auto"/>
            <w:tcMar>
              <w:left w:w="20" w:type="dxa"/>
              <w:right w:w="20" w:type="dxa"/>
            </w:tcMar>
            <w:vAlign w:val="bottom"/>
          </w:tcPr>
          <w:p w14:paraId="20ADFD3E"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D3F" w14:textId="77777777" w:rsidR="00B626E7" w:rsidRDefault="00175C1D">
            <w:pPr>
              <w:jc w:val="right"/>
              <w:textAlignment w:val="bottom"/>
            </w:pPr>
            <w:r>
              <w:rPr>
                <w:rFonts w:ascii="Arial" w:eastAsia="宋体" w:hAnsi="Arial" w:cs="Arial"/>
                <w:b/>
                <w:bCs/>
                <w:color w:val="0071C5"/>
                <w:sz w:val="18"/>
                <w:szCs w:val="18"/>
              </w:rPr>
              <w:t>10,303 </w:t>
            </w:r>
          </w:p>
        </w:tc>
        <w:tc>
          <w:tcPr>
            <w:tcW w:w="0" w:type="auto"/>
            <w:shd w:val="clear" w:color="auto" w:fill="auto"/>
            <w:tcMar>
              <w:top w:w="40" w:type="dxa"/>
              <w:bottom w:w="40" w:type="dxa"/>
              <w:right w:w="20" w:type="dxa"/>
            </w:tcMar>
            <w:vAlign w:val="bottom"/>
          </w:tcPr>
          <w:p w14:paraId="20ADFD40"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DFD41"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D42" w14:textId="77777777" w:rsidR="00B626E7" w:rsidRDefault="00175C1D">
            <w:pPr>
              <w:jc w:val="right"/>
              <w:textAlignment w:val="bottom"/>
            </w:pPr>
            <w:r>
              <w:rPr>
                <w:rFonts w:ascii="Arial" w:eastAsia="宋体" w:hAnsi="Arial" w:cs="Arial"/>
                <w:b/>
                <w:bCs/>
                <w:color w:val="333333"/>
                <w:sz w:val="18"/>
                <w:szCs w:val="18"/>
              </w:rPr>
              <w:t>10,827 </w:t>
            </w:r>
          </w:p>
        </w:tc>
        <w:tc>
          <w:tcPr>
            <w:tcW w:w="0" w:type="auto"/>
            <w:shd w:val="clear" w:color="auto" w:fill="auto"/>
            <w:tcMar>
              <w:top w:w="40" w:type="dxa"/>
              <w:bottom w:w="40" w:type="dxa"/>
              <w:right w:w="20" w:type="dxa"/>
            </w:tcMar>
            <w:vAlign w:val="bottom"/>
          </w:tcPr>
          <w:p w14:paraId="20ADFD43" w14:textId="77777777" w:rsidR="00B626E7" w:rsidRDefault="00175C1D">
            <w:pPr>
              <w:jc w:val="right"/>
              <w:textAlignment w:val="bottom"/>
            </w:pPr>
            <w:r>
              <w:rPr>
                <w:rFonts w:ascii="Arial" w:eastAsia="宋体" w:hAnsi="Arial" w:cs="Arial"/>
                <w:b/>
                <w:bCs/>
                <w:color w:val="333333"/>
                <w:sz w:val="18"/>
                <w:szCs w:val="18"/>
              </w:rPr>
              <w:t> </w:t>
            </w:r>
          </w:p>
        </w:tc>
      </w:tr>
      <w:tr w:rsidR="00B626E7" w14:paraId="20ADFD4C" w14:textId="77777777">
        <w:tc>
          <w:tcPr>
            <w:tcW w:w="0" w:type="auto"/>
            <w:gridSpan w:val="3"/>
            <w:shd w:val="clear" w:color="auto" w:fill="auto"/>
            <w:tcMar>
              <w:top w:w="40" w:type="dxa"/>
              <w:left w:w="20" w:type="dxa"/>
              <w:bottom w:w="40" w:type="dxa"/>
              <w:right w:w="20" w:type="dxa"/>
            </w:tcMar>
          </w:tcPr>
          <w:p w14:paraId="20ADFD45" w14:textId="77777777" w:rsidR="00B626E7" w:rsidRDefault="00175C1D">
            <w:pPr>
              <w:textAlignment w:val="top"/>
            </w:pPr>
            <w:r>
              <w:rPr>
                <w:rFonts w:ascii="Arial" w:eastAsia="宋体" w:hAnsi="Arial" w:cs="Arial"/>
                <w:b/>
                <w:bCs/>
                <w:color w:val="333333"/>
                <w:sz w:val="18"/>
                <w:szCs w:val="18"/>
              </w:rPr>
              <w:t>Other long-term assets</w:t>
            </w:r>
          </w:p>
        </w:tc>
        <w:tc>
          <w:tcPr>
            <w:tcW w:w="0" w:type="auto"/>
            <w:gridSpan w:val="3"/>
            <w:shd w:val="clear" w:color="auto" w:fill="auto"/>
            <w:tcMar>
              <w:left w:w="20" w:type="dxa"/>
              <w:right w:w="20" w:type="dxa"/>
            </w:tcMar>
            <w:vAlign w:val="bottom"/>
          </w:tcPr>
          <w:p w14:paraId="20ADFD46"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D47" w14:textId="77777777" w:rsidR="00B626E7" w:rsidRDefault="00175C1D">
            <w:pPr>
              <w:jc w:val="right"/>
              <w:textAlignment w:val="bottom"/>
            </w:pPr>
            <w:r>
              <w:rPr>
                <w:rFonts w:ascii="Arial" w:eastAsia="宋体" w:hAnsi="Arial" w:cs="Arial"/>
                <w:b/>
                <w:bCs/>
                <w:color w:val="0071C5"/>
                <w:sz w:val="18"/>
                <w:szCs w:val="18"/>
              </w:rPr>
              <w:t>6,082 </w:t>
            </w:r>
          </w:p>
        </w:tc>
        <w:tc>
          <w:tcPr>
            <w:tcW w:w="0" w:type="auto"/>
            <w:shd w:val="clear" w:color="auto" w:fill="auto"/>
            <w:tcMar>
              <w:top w:w="40" w:type="dxa"/>
              <w:bottom w:w="40" w:type="dxa"/>
              <w:right w:w="20" w:type="dxa"/>
            </w:tcMar>
            <w:vAlign w:val="bottom"/>
          </w:tcPr>
          <w:p w14:paraId="20ADFD48"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DFD49"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D4A" w14:textId="77777777" w:rsidR="00B626E7" w:rsidRDefault="00175C1D">
            <w:pPr>
              <w:jc w:val="right"/>
              <w:textAlignment w:val="bottom"/>
            </w:pPr>
            <w:r>
              <w:rPr>
                <w:rFonts w:ascii="Arial" w:eastAsia="宋体" w:hAnsi="Arial" w:cs="Arial"/>
                <w:b/>
                <w:bCs/>
                <w:color w:val="333333"/>
                <w:sz w:val="18"/>
                <w:szCs w:val="18"/>
              </w:rPr>
              <w:t>5,553 </w:t>
            </w:r>
          </w:p>
        </w:tc>
        <w:tc>
          <w:tcPr>
            <w:tcW w:w="0" w:type="auto"/>
            <w:shd w:val="clear" w:color="auto" w:fill="auto"/>
            <w:tcMar>
              <w:top w:w="40" w:type="dxa"/>
              <w:bottom w:w="40" w:type="dxa"/>
              <w:right w:w="20" w:type="dxa"/>
            </w:tcMar>
            <w:vAlign w:val="bottom"/>
          </w:tcPr>
          <w:p w14:paraId="20ADFD4B" w14:textId="77777777" w:rsidR="00B626E7" w:rsidRDefault="00175C1D">
            <w:pPr>
              <w:jc w:val="right"/>
              <w:textAlignment w:val="bottom"/>
            </w:pPr>
            <w:r>
              <w:rPr>
                <w:rFonts w:ascii="Arial" w:eastAsia="宋体" w:hAnsi="Arial" w:cs="Arial"/>
                <w:b/>
                <w:bCs/>
                <w:color w:val="333333"/>
                <w:sz w:val="18"/>
                <w:szCs w:val="18"/>
              </w:rPr>
              <w:t> </w:t>
            </w:r>
          </w:p>
        </w:tc>
      </w:tr>
      <w:tr w:rsidR="00B626E7" w14:paraId="20ADFD56" w14:textId="77777777">
        <w:tc>
          <w:tcPr>
            <w:tcW w:w="0" w:type="auto"/>
            <w:gridSpan w:val="3"/>
            <w:shd w:val="clear" w:color="auto" w:fill="auto"/>
            <w:tcMar>
              <w:top w:w="40" w:type="dxa"/>
              <w:left w:w="20" w:type="dxa"/>
              <w:bottom w:w="40" w:type="dxa"/>
              <w:right w:w="20" w:type="dxa"/>
            </w:tcMar>
          </w:tcPr>
          <w:p w14:paraId="20ADFD4D" w14:textId="77777777" w:rsidR="00B626E7" w:rsidRDefault="00175C1D">
            <w:pPr>
              <w:ind w:hanging="180"/>
              <w:textAlignment w:val="top"/>
            </w:pPr>
            <w:r>
              <w:rPr>
                <w:rFonts w:ascii="Arial" w:eastAsia="宋体" w:hAnsi="Arial" w:cs="Arial"/>
                <w:b/>
                <w:bCs/>
                <w:color w:val="333333"/>
                <w:sz w:val="18"/>
                <w:szCs w:val="18"/>
              </w:rPr>
              <w:t>Total assets</w:t>
            </w:r>
          </w:p>
        </w:tc>
        <w:tc>
          <w:tcPr>
            <w:tcW w:w="0" w:type="auto"/>
            <w:gridSpan w:val="3"/>
            <w:shd w:val="clear" w:color="auto" w:fill="auto"/>
            <w:tcMar>
              <w:left w:w="20" w:type="dxa"/>
              <w:right w:w="20" w:type="dxa"/>
            </w:tcMar>
            <w:vAlign w:val="bottom"/>
          </w:tcPr>
          <w:p w14:paraId="20ADFD4E" w14:textId="77777777" w:rsidR="00B626E7" w:rsidRDefault="00B626E7">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20ADFD4F" w14:textId="77777777" w:rsidR="00B626E7" w:rsidRDefault="00175C1D">
            <w:pPr>
              <w:textAlignment w:val="bottom"/>
            </w:pPr>
            <w:r>
              <w:rPr>
                <w:rFonts w:ascii="Arial" w:eastAsia="宋体" w:hAnsi="Arial" w:cs="Arial"/>
                <w:b/>
                <w:bCs/>
                <w:color w:val="0071C5"/>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20ADFD50" w14:textId="77777777" w:rsidR="00B626E7" w:rsidRDefault="00175C1D">
            <w:pPr>
              <w:jc w:val="right"/>
              <w:textAlignment w:val="bottom"/>
            </w:pPr>
            <w:r>
              <w:rPr>
                <w:rFonts w:ascii="Arial" w:eastAsia="宋体" w:hAnsi="Arial" w:cs="Arial"/>
                <w:b/>
                <w:bCs/>
                <w:color w:val="0071C5"/>
                <w:sz w:val="18"/>
                <w:szCs w:val="18"/>
              </w:rPr>
              <w:t>152,539 </w:t>
            </w:r>
          </w:p>
        </w:tc>
        <w:tc>
          <w:tcPr>
            <w:tcW w:w="0" w:type="auto"/>
            <w:tcBorders>
              <w:top w:val="single" w:sz="8" w:space="0" w:color="333333"/>
            </w:tcBorders>
            <w:shd w:val="clear" w:color="auto" w:fill="auto"/>
            <w:tcMar>
              <w:top w:w="40" w:type="dxa"/>
              <w:bottom w:w="40" w:type="dxa"/>
              <w:right w:w="20" w:type="dxa"/>
            </w:tcMar>
            <w:vAlign w:val="bottom"/>
          </w:tcPr>
          <w:p w14:paraId="20ADFD51"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DFD52" w14:textId="77777777" w:rsidR="00B626E7" w:rsidRDefault="00B626E7">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20ADFD53"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20ADFD54" w14:textId="77777777" w:rsidR="00B626E7" w:rsidRDefault="00175C1D">
            <w:pPr>
              <w:jc w:val="right"/>
              <w:textAlignment w:val="bottom"/>
            </w:pPr>
            <w:r>
              <w:rPr>
                <w:rFonts w:ascii="Arial" w:eastAsia="宋体" w:hAnsi="Arial" w:cs="Arial"/>
                <w:b/>
                <w:bCs/>
                <w:color w:val="333333"/>
                <w:sz w:val="18"/>
                <w:szCs w:val="18"/>
              </w:rPr>
              <w:t>136,524 </w:t>
            </w:r>
          </w:p>
        </w:tc>
        <w:tc>
          <w:tcPr>
            <w:tcW w:w="0" w:type="auto"/>
            <w:tcBorders>
              <w:top w:val="single" w:sz="8" w:space="0" w:color="333333"/>
            </w:tcBorders>
            <w:shd w:val="clear" w:color="auto" w:fill="auto"/>
            <w:tcMar>
              <w:top w:w="40" w:type="dxa"/>
              <w:bottom w:w="40" w:type="dxa"/>
              <w:right w:w="20" w:type="dxa"/>
            </w:tcMar>
            <w:vAlign w:val="bottom"/>
          </w:tcPr>
          <w:p w14:paraId="20ADFD55" w14:textId="77777777" w:rsidR="00B626E7" w:rsidRDefault="00175C1D">
            <w:pPr>
              <w:jc w:val="right"/>
              <w:textAlignment w:val="bottom"/>
            </w:pPr>
            <w:r>
              <w:rPr>
                <w:rFonts w:ascii="Arial" w:eastAsia="宋体" w:hAnsi="Arial" w:cs="Arial"/>
                <w:b/>
                <w:bCs/>
                <w:color w:val="333333"/>
                <w:sz w:val="18"/>
                <w:szCs w:val="18"/>
              </w:rPr>
              <w:t> </w:t>
            </w:r>
          </w:p>
        </w:tc>
      </w:tr>
      <w:tr w:rsidR="00B626E7" w14:paraId="20ADFD5C" w14:textId="77777777">
        <w:trPr>
          <w:trHeight w:val="60"/>
        </w:trPr>
        <w:tc>
          <w:tcPr>
            <w:tcW w:w="0" w:type="auto"/>
            <w:gridSpan w:val="3"/>
            <w:shd w:val="clear" w:color="auto" w:fill="auto"/>
            <w:tcMar>
              <w:left w:w="20" w:type="dxa"/>
              <w:right w:w="20" w:type="dxa"/>
            </w:tcMar>
            <w:vAlign w:val="bottom"/>
          </w:tcPr>
          <w:p w14:paraId="20ADFD57"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DFD58" w14:textId="77777777" w:rsidR="00B626E7" w:rsidRDefault="00B626E7">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20ADFD59"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DFD5A" w14:textId="77777777" w:rsidR="00B626E7" w:rsidRDefault="00B626E7">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20ADFD5B" w14:textId="77777777" w:rsidR="00B626E7" w:rsidRDefault="00B626E7">
            <w:pPr>
              <w:rPr>
                <w:rFonts w:ascii="宋体"/>
              </w:rPr>
            </w:pPr>
          </w:p>
        </w:tc>
      </w:tr>
      <w:tr w:rsidR="00B626E7" w14:paraId="20ADFD62" w14:textId="77777777">
        <w:tc>
          <w:tcPr>
            <w:tcW w:w="0" w:type="auto"/>
            <w:gridSpan w:val="3"/>
            <w:shd w:val="clear" w:color="auto" w:fill="auto"/>
            <w:tcMar>
              <w:top w:w="40" w:type="dxa"/>
              <w:left w:w="20" w:type="dxa"/>
              <w:bottom w:w="40" w:type="dxa"/>
              <w:right w:w="20" w:type="dxa"/>
            </w:tcMar>
          </w:tcPr>
          <w:p w14:paraId="20ADFD5D" w14:textId="77777777" w:rsidR="00B626E7" w:rsidRDefault="00175C1D">
            <w:pPr>
              <w:ind w:hanging="180"/>
              <w:textAlignment w:val="top"/>
            </w:pPr>
            <w:r>
              <w:rPr>
                <w:rFonts w:ascii="Arial" w:eastAsia="宋体" w:hAnsi="Arial" w:cs="Arial"/>
                <w:b/>
                <w:bCs/>
                <w:color w:val="333333"/>
                <w:sz w:val="18"/>
                <w:szCs w:val="18"/>
              </w:rPr>
              <w:t>Liabilities, temporary equity, and stockholders’ equity</w:t>
            </w:r>
          </w:p>
        </w:tc>
        <w:tc>
          <w:tcPr>
            <w:tcW w:w="0" w:type="auto"/>
            <w:gridSpan w:val="3"/>
            <w:shd w:val="clear" w:color="auto" w:fill="auto"/>
            <w:tcMar>
              <w:left w:w="20" w:type="dxa"/>
              <w:right w:w="20" w:type="dxa"/>
            </w:tcMar>
            <w:vAlign w:val="bottom"/>
          </w:tcPr>
          <w:p w14:paraId="20ADFD5E"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DFD5F"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DFD60"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DFD61" w14:textId="77777777" w:rsidR="00B626E7" w:rsidRDefault="00B626E7">
            <w:pPr>
              <w:rPr>
                <w:rFonts w:ascii="宋体"/>
              </w:rPr>
            </w:pPr>
          </w:p>
        </w:tc>
      </w:tr>
      <w:tr w:rsidR="00B626E7" w14:paraId="20ADFD68" w14:textId="77777777">
        <w:tc>
          <w:tcPr>
            <w:tcW w:w="0" w:type="auto"/>
            <w:gridSpan w:val="3"/>
            <w:shd w:val="clear" w:color="auto" w:fill="auto"/>
            <w:tcMar>
              <w:top w:w="40" w:type="dxa"/>
              <w:left w:w="20" w:type="dxa"/>
              <w:bottom w:w="40" w:type="dxa"/>
              <w:right w:w="20" w:type="dxa"/>
            </w:tcMar>
          </w:tcPr>
          <w:p w14:paraId="20ADFD63" w14:textId="77777777" w:rsidR="00B626E7" w:rsidRDefault="00175C1D">
            <w:pPr>
              <w:ind w:hanging="180"/>
              <w:textAlignment w:val="top"/>
            </w:pPr>
            <w:r>
              <w:rPr>
                <w:rFonts w:ascii="Arial" w:eastAsia="宋体" w:hAnsi="Arial" w:cs="Arial"/>
                <w:color w:val="333333"/>
                <w:sz w:val="18"/>
                <w:szCs w:val="18"/>
              </w:rPr>
              <w:t>Current liabilities:</w:t>
            </w:r>
          </w:p>
        </w:tc>
        <w:tc>
          <w:tcPr>
            <w:tcW w:w="0" w:type="auto"/>
            <w:gridSpan w:val="3"/>
            <w:shd w:val="clear" w:color="auto" w:fill="auto"/>
            <w:tcMar>
              <w:left w:w="20" w:type="dxa"/>
              <w:right w:w="20" w:type="dxa"/>
            </w:tcMar>
            <w:vAlign w:val="bottom"/>
          </w:tcPr>
          <w:p w14:paraId="20ADFD64"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DFD65"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DFD66"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DFD67" w14:textId="77777777" w:rsidR="00B626E7" w:rsidRDefault="00B626E7">
            <w:pPr>
              <w:rPr>
                <w:rFonts w:ascii="宋体"/>
              </w:rPr>
            </w:pPr>
          </w:p>
        </w:tc>
      </w:tr>
      <w:tr w:rsidR="00B626E7" w14:paraId="20ADFD72" w14:textId="77777777">
        <w:tc>
          <w:tcPr>
            <w:tcW w:w="0" w:type="auto"/>
            <w:gridSpan w:val="3"/>
            <w:shd w:val="clear" w:color="auto" w:fill="auto"/>
            <w:tcMar>
              <w:top w:w="40" w:type="dxa"/>
              <w:left w:w="195" w:type="dxa"/>
              <w:bottom w:w="40" w:type="dxa"/>
              <w:right w:w="20" w:type="dxa"/>
            </w:tcMar>
          </w:tcPr>
          <w:p w14:paraId="20ADFD69" w14:textId="77777777" w:rsidR="00B626E7" w:rsidRDefault="00175C1D">
            <w:pPr>
              <w:textAlignment w:val="top"/>
            </w:pPr>
            <w:r>
              <w:rPr>
                <w:rFonts w:ascii="Arial" w:eastAsia="宋体" w:hAnsi="Arial" w:cs="Arial"/>
                <w:color w:val="333333"/>
                <w:sz w:val="18"/>
                <w:szCs w:val="18"/>
              </w:rPr>
              <w:t>Short-term debt</w:t>
            </w:r>
          </w:p>
        </w:tc>
        <w:tc>
          <w:tcPr>
            <w:tcW w:w="0" w:type="auto"/>
            <w:gridSpan w:val="3"/>
            <w:shd w:val="clear" w:color="auto" w:fill="auto"/>
            <w:tcMar>
              <w:left w:w="20" w:type="dxa"/>
              <w:right w:w="20" w:type="dxa"/>
            </w:tcMar>
            <w:vAlign w:val="bottom"/>
          </w:tcPr>
          <w:p w14:paraId="20ADFD6A"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DFD6B" w14:textId="77777777" w:rsidR="00B626E7" w:rsidRDefault="00175C1D">
            <w:pPr>
              <w:textAlignment w:val="bottom"/>
            </w:pPr>
            <w:r>
              <w:rPr>
                <w:rFonts w:ascii="Arial" w:eastAsia="宋体" w:hAnsi="Arial" w:cs="Arial"/>
                <w:color w:val="0071C5"/>
                <w:sz w:val="18"/>
                <w:szCs w:val="18"/>
              </w:rPr>
              <w:t>$</w:t>
            </w:r>
          </w:p>
        </w:tc>
        <w:tc>
          <w:tcPr>
            <w:tcW w:w="0" w:type="auto"/>
            <w:shd w:val="clear" w:color="auto" w:fill="auto"/>
            <w:tcMar>
              <w:top w:w="40" w:type="dxa"/>
              <w:bottom w:w="40" w:type="dxa"/>
              <w:right w:w="0" w:type="dxa"/>
            </w:tcMar>
            <w:vAlign w:val="bottom"/>
          </w:tcPr>
          <w:p w14:paraId="20ADFD6C" w14:textId="77777777" w:rsidR="00B626E7" w:rsidRDefault="00175C1D">
            <w:pPr>
              <w:jc w:val="right"/>
              <w:textAlignment w:val="bottom"/>
            </w:pPr>
            <w:r>
              <w:rPr>
                <w:rFonts w:ascii="Arial" w:eastAsia="宋体" w:hAnsi="Arial" w:cs="Arial"/>
                <w:color w:val="0071C5"/>
                <w:sz w:val="18"/>
                <w:szCs w:val="18"/>
              </w:rPr>
              <w:t>2,254 </w:t>
            </w:r>
          </w:p>
        </w:tc>
        <w:tc>
          <w:tcPr>
            <w:tcW w:w="0" w:type="auto"/>
            <w:shd w:val="clear" w:color="auto" w:fill="auto"/>
            <w:tcMar>
              <w:top w:w="40" w:type="dxa"/>
              <w:bottom w:w="40" w:type="dxa"/>
              <w:right w:w="20" w:type="dxa"/>
            </w:tcMar>
            <w:vAlign w:val="bottom"/>
          </w:tcPr>
          <w:p w14:paraId="20ADFD6D"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DFD6E"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DFD6F" w14:textId="77777777" w:rsidR="00B626E7" w:rsidRDefault="00175C1D">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20ADFD70" w14:textId="77777777" w:rsidR="00B626E7" w:rsidRDefault="00175C1D">
            <w:pPr>
              <w:jc w:val="right"/>
              <w:textAlignment w:val="bottom"/>
            </w:pPr>
            <w:r>
              <w:rPr>
                <w:rFonts w:ascii="Arial" w:eastAsia="宋体" w:hAnsi="Arial" w:cs="Arial"/>
                <w:color w:val="333333"/>
                <w:sz w:val="18"/>
                <w:szCs w:val="18"/>
              </w:rPr>
              <w:t>3,693 </w:t>
            </w:r>
          </w:p>
        </w:tc>
        <w:tc>
          <w:tcPr>
            <w:tcW w:w="0" w:type="auto"/>
            <w:shd w:val="clear" w:color="auto" w:fill="auto"/>
            <w:tcMar>
              <w:top w:w="40" w:type="dxa"/>
              <w:bottom w:w="40" w:type="dxa"/>
              <w:right w:w="20" w:type="dxa"/>
            </w:tcMar>
            <w:vAlign w:val="bottom"/>
          </w:tcPr>
          <w:p w14:paraId="20ADFD71" w14:textId="77777777" w:rsidR="00B626E7" w:rsidRDefault="00175C1D">
            <w:pPr>
              <w:jc w:val="right"/>
              <w:textAlignment w:val="bottom"/>
            </w:pPr>
            <w:r>
              <w:rPr>
                <w:rFonts w:ascii="Arial" w:eastAsia="宋体" w:hAnsi="Arial" w:cs="Arial"/>
                <w:color w:val="333333"/>
                <w:sz w:val="18"/>
                <w:szCs w:val="18"/>
              </w:rPr>
              <w:t> </w:t>
            </w:r>
          </w:p>
        </w:tc>
      </w:tr>
      <w:tr w:rsidR="00B626E7" w14:paraId="20ADFD7A" w14:textId="77777777">
        <w:tc>
          <w:tcPr>
            <w:tcW w:w="0" w:type="auto"/>
            <w:gridSpan w:val="3"/>
            <w:shd w:val="clear" w:color="auto" w:fill="auto"/>
            <w:tcMar>
              <w:top w:w="40" w:type="dxa"/>
              <w:left w:w="195" w:type="dxa"/>
              <w:bottom w:w="40" w:type="dxa"/>
              <w:right w:w="20" w:type="dxa"/>
            </w:tcMar>
          </w:tcPr>
          <w:p w14:paraId="20ADFD73" w14:textId="77777777" w:rsidR="00B626E7" w:rsidRDefault="00175C1D">
            <w:pPr>
              <w:textAlignment w:val="top"/>
            </w:pPr>
            <w:r>
              <w:rPr>
                <w:rFonts w:ascii="Arial" w:eastAsia="宋体" w:hAnsi="Arial" w:cs="Arial"/>
                <w:color w:val="333333"/>
                <w:sz w:val="18"/>
                <w:szCs w:val="18"/>
              </w:rPr>
              <w:t>Accounts payable</w:t>
            </w:r>
          </w:p>
        </w:tc>
        <w:tc>
          <w:tcPr>
            <w:tcW w:w="0" w:type="auto"/>
            <w:gridSpan w:val="3"/>
            <w:shd w:val="clear" w:color="auto" w:fill="auto"/>
            <w:tcMar>
              <w:left w:w="20" w:type="dxa"/>
              <w:right w:w="20" w:type="dxa"/>
            </w:tcMar>
            <w:vAlign w:val="bottom"/>
          </w:tcPr>
          <w:p w14:paraId="20ADFD74"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D75" w14:textId="77777777" w:rsidR="00B626E7" w:rsidRDefault="00175C1D">
            <w:pPr>
              <w:jc w:val="right"/>
              <w:textAlignment w:val="bottom"/>
            </w:pPr>
            <w:r>
              <w:rPr>
                <w:rFonts w:ascii="Arial" w:eastAsia="宋体" w:hAnsi="Arial" w:cs="Arial"/>
                <w:color w:val="0071C5"/>
                <w:sz w:val="18"/>
                <w:szCs w:val="18"/>
              </w:rPr>
              <w:t>5,045 </w:t>
            </w:r>
          </w:p>
        </w:tc>
        <w:tc>
          <w:tcPr>
            <w:tcW w:w="0" w:type="auto"/>
            <w:shd w:val="clear" w:color="auto" w:fill="auto"/>
            <w:tcMar>
              <w:top w:w="40" w:type="dxa"/>
              <w:bottom w:w="40" w:type="dxa"/>
              <w:right w:w="20" w:type="dxa"/>
            </w:tcMar>
            <w:vAlign w:val="bottom"/>
          </w:tcPr>
          <w:p w14:paraId="20ADFD76"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DFD77"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D78" w14:textId="77777777" w:rsidR="00B626E7" w:rsidRDefault="00175C1D">
            <w:pPr>
              <w:jc w:val="right"/>
              <w:textAlignment w:val="bottom"/>
            </w:pPr>
            <w:r>
              <w:rPr>
                <w:rFonts w:ascii="Arial" w:eastAsia="宋体" w:hAnsi="Arial" w:cs="Arial"/>
                <w:color w:val="333333"/>
                <w:sz w:val="18"/>
                <w:szCs w:val="18"/>
              </w:rPr>
              <w:t>4,128 </w:t>
            </w:r>
          </w:p>
        </w:tc>
        <w:tc>
          <w:tcPr>
            <w:tcW w:w="0" w:type="auto"/>
            <w:shd w:val="clear" w:color="auto" w:fill="auto"/>
            <w:tcMar>
              <w:top w:w="40" w:type="dxa"/>
              <w:bottom w:w="40" w:type="dxa"/>
              <w:right w:w="20" w:type="dxa"/>
            </w:tcMar>
            <w:vAlign w:val="bottom"/>
          </w:tcPr>
          <w:p w14:paraId="20ADFD79" w14:textId="77777777" w:rsidR="00B626E7" w:rsidRDefault="00175C1D">
            <w:pPr>
              <w:jc w:val="right"/>
              <w:textAlignment w:val="bottom"/>
            </w:pPr>
            <w:r>
              <w:rPr>
                <w:rFonts w:ascii="Arial" w:eastAsia="宋体" w:hAnsi="Arial" w:cs="Arial"/>
                <w:color w:val="333333"/>
                <w:sz w:val="18"/>
                <w:szCs w:val="18"/>
              </w:rPr>
              <w:t> </w:t>
            </w:r>
          </w:p>
        </w:tc>
      </w:tr>
      <w:tr w:rsidR="00B626E7" w14:paraId="20ADFD82" w14:textId="77777777">
        <w:tc>
          <w:tcPr>
            <w:tcW w:w="0" w:type="auto"/>
            <w:gridSpan w:val="3"/>
            <w:shd w:val="clear" w:color="auto" w:fill="auto"/>
            <w:tcMar>
              <w:top w:w="40" w:type="dxa"/>
              <w:left w:w="195" w:type="dxa"/>
              <w:bottom w:w="40" w:type="dxa"/>
              <w:right w:w="20" w:type="dxa"/>
            </w:tcMar>
          </w:tcPr>
          <w:p w14:paraId="20ADFD7B" w14:textId="77777777" w:rsidR="00B626E7" w:rsidRDefault="00175C1D">
            <w:pPr>
              <w:textAlignment w:val="top"/>
            </w:pPr>
            <w:r>
              <w:rPr>
                <w:rFonts w:ascii="Arial" w:eastAsia="宋体" w:hAnsi="Arial" w:cs="Arial"/>
                <w:color w:val="333333"/>
                <w:sz w:val="18"/>
                <w:szCs w:val="18"/>
              </w:rPr>
              <w:t>Accrued compensation and benefits</w:t>
            </w:r>
          </w:p>
        </w:tc>
        <w:tc>
          <w:tcPr>
            <w:tcW w:w="0" w:type="auto"/>
            <w:gridSpan w:val="3"/>
            <w:shd w:val="clear" w:color="auto" w:fill="auto"/>
            <w:tcMar>
              <w:left w:w="20" w:type="dxa"/>
              <w:right w:w="20" w:type="dxa"/>
            </w:tcMar>
            <w:vAlign w:val="bottom"/>
          </w:tcPr>
          <w:p w14:paraId="20ADFD7C"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D7D" w14:textId="77777777" w:rsidR="00B626E7" w:rsidRDefault="00175C1D">
            <w:pPr>
              <w:jc w:val="right"/>
              <w:textAlignment w:val="bottom"/>
            </w:pPr>
            <w:r>
              <w:rPr>
                <w:rFonts w:ascii="Arial" w:eastAsia="宋体" w:hAnsi="Arial" w:cs="Arial"/>
                <w:color w:val="0071C5"/>
                <w:sz w:val="18"/>
                <w:szCs w:val="18"/>
              </w:rPr>
              <w:t>2,833 </w:t>
            </w:r>
          </w:p>
        </w:tc>
        <w:tc>
          <w:tcPr>
            <w:tcW w:w="0" w:type="auto"/>
            <w:shd w:val="clear" w:color="auto" w:fill="auto"/>
            <w:tcMar>
              <w:top w:w="40" w:type="dxa"/>
              <w:bottom w:w="40" w:type="dxa"/>
              <w:right w:w="20" w:type="dxa"/>
            </w:tcMar>
            <w:vAlign w:val="bottom"/>
          </w:tcPr>
          <w:p w14:paraId="20ADFD7E"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DFD7F"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D80" w14:textId="77777777" w:rsidR="00B626E7" w:rsidRDefault="00175C1D">
            <w:pPr>
              <w:jc w:val="right"/>
              <w:textAlignment w:val="bottom"/>
            </w:pPr>
            <w:r>
              <w:rPr>
                <w:rFonts w:ascii="Arial" w:eastAsia="宋体" w:hAnsi="Arial" w:cs="Arial"/>
                <w:color w:val="333333"/>
                <w:sz w:val="18"/>
                <w:szCs w:val="18"/>
              </w:rPr>
              <w:t>3,853 </w:t>
            </w:r>
          </w:p>
        </w:tc>
        <w:tc>
          <w:tcPr>
            <w:tcW w:w="0" w:type="auto"/>
            <w:shd w:val="clear" w:color="auto" w:fill="auto"/>
            <w:tcMar>
              <w:top w:w="40" w:type="dxa"/>
              <w:bottom w:w="40" w:type="dxa"/>
              <w:right w:w="20" w:type="dxa"/>
            </w:tcMar>
            <w:vAlign w:val="bottom"/>
          </w:tcPr>
          <w:p w14:paraId="20ADFD81" w14:textId="77777777" w:rsidR="00B626E7" w:rsidRDefault="00175C1D">
            <w:pPr>
              <w:jc w:val="right"/>
              <w:textAlignment w:val="bottom"/>
            </w:pPr>
            <w:r>
              <w:rPr>
                <w:rFonts w:ascii="Arial" w:eastAsia="宋体" w:hAnsi="Arial" w:cs="Arial"/>
                <w:color w:val="333333"/>
                <w:sz w:val="18"/>
                <w:szCs w:val="18"/>
              </w:rPr>
              <w:t> </w:t>
            </w:r>
          </w:p>
        </w:tc>
      </w:tr>
      <w:tr w:rsidR="00B626E7" w14:paraId="20ADFD88" w14:textId="77777777">
        <w:trPr>
          <w:hidden/>
        </w:trPr>
        <w:tc>
          <w:tcPr>
            <w:tcW w:w="0" w:type="auto"/>
            <w:gridSpan w:val="3"/>
            <w:shd w:val="clear" w:color="auto" w:fill="auto"/>
          </w:tcPr>
          <w:p w14:paraId="20ADFD83" w14:textId="77777777" w:rsidR="00B626E7" w:rsidRDefault="00B626E7">
            <w:pPr>
              <w:rPr>
                <w:rFonts w:ascii="宋体"/>
                <w:vanish/>
              </w:rPr>
            </w:pPr>
          </w:p>
        </w:tc>
        <w:tc>
          <w:tcPr>
            <w:tcW w:w="0" w:type="auto"/>
            <w:gridSpan w:val="3"/>
            <w:shd w:val="clear" w:color="auto" w:fill="auto"/>
          </w:tcPr>
          <w:p w14:paraId="20ADFD84" w14:textId="77777777" w:rsidR="00B626E7" w:rsidRDefault="00B626E7">
            <w:pPr>
              <w:rPr>
                <w:rFonts w:ascii="宋体"/>
                <w:vanish/>
              </w:rPr>
            </w:pPr>
          </w:p>
        </w:tc>
        <w:tc>
          <w:tcPr>
            <w:tcW w:w="0" w:type="auto"/>
            <w:gridSpan w:val="3"/>
            <w:shd w:val="clear" w:color="auto" w:fill="auto"/>
          </w:tcPr>
          <w:p w14:paraId="20ADFD85" w14:textId="77777777" w:rsidR="00B626E7" w:rsidRDefault="00B626E7">
            <w:pPr>
              <w:rPr>
                <w:rFonts w:ascii="宋体"/>
                <w:vanish/>
              </w:rPr>
            </w:pPr>
          </w:p>
        </w:tc>
        <w:tc>
          <w:tcPr>
            <w:tcW w:w="0" w:type="auto"/>
            <w:gridSpan w:val="3"/>
            <w:shd w:val="clear" w:color="auto" w:fill="auto"/>
          </w:tcPr>
          <w:p w14:paraId="20ADFD86" w14:textId="77777777" w:rsidR="00B626E7" w:rsidRDefault="00B626E7">
            <w:pPr>
              <w:rPr>
                <w:rFonts w:ascii="宋体"/>
                <w:vanish/>
              </w:rPr>
            </w:pPr>
          </w:p>
        </w:tc>
        <w:tc>
          <w:tcPr>
            <w:tcW w:w="0" w:type="auto"/>
            <w:gridSpan w:val="3"/>
            <w:shd w:val="clear" w:color="auto" w:fill="auto"/>
          </w:tcPr>
          <w:p w14:paraId="20ADFD87" w14:textId="77777777" w:rsidR="00B626E7" w:rsidRDefault="00B626E7">
            <w:pPr>
              <w:rPr>
                <w:rFonts w:ascii="宋体"/>
                <w:vanish/>
              </w:rPr>
            </w:pPr>
          </w:p>
        </w:tc>
      </w:tr>
      <w:tr w:rsidR="00B626E7" w14:paraId="20ADFD8E" w14:textId="77777777">
        <w:trPr>
          <w:hidden/>
        </w:trPr>
        <w:tc>
          <w:tcPr>
            <w:tcW w:w="0" w:type="auto"/>
            <w:gridSpan w:val="3"/>
            <w:shd w:val="clear" w:color="auto" w:fill="auto"/>
          </w:tcPr>
          <w:p w14:paraId="20ADFD89" w14:textId="77777777" w:rsidR="00B626E7" w:rsidRDefault="00B626E7">
            <w:pPr>
              <w:rPr>
                <w:rFonts w:ascii="宋体"/>
                <w:vanish/>
              </w:rPr>
            </w:pPr>
          </w:p>
        </w:tc>
        <w:tc>
          <w:tcPr>
            <w:tcW w:w="0" w:type="auto"/>
            <w:gridSpan w:val="3"/>
            <w:shd w:val="clear" w:color="auto" w:fill="auto"/>
          </w:tcPr>
          <w:p w14:paraId="20ADFD8A" w14:textId="77777777" w:rsidR="00B626E7" w:rsidRDefault="00B626E7">
            <w:pPr>
              <w:rPr>
                <w:rFonts w:ascii="宋体"/>
                <w:vanish/>
              </w:rPr>
            </w:pPr>
          </w:p>
        </w:tc>
        <w:tc>
          <w:tcPr>
            <w:tcW w:w="0" w:type="auto"/>
            <w:gridSpan w:val="3"/>
            <w:shd w:val="clear" w:color="auto" w:fill="auto"/>
          </w:tcPr>
          <w:p w14:paraId="20ADFD8B" w14:textId="77777777" w:rsidR="00B626E7" w:rsidRDefault="00B626E7">
            <w:pPr>
              <w:rPr>
                <w:rFonts w:ascii="宋体"/>
                <w:vanish/>
              </w:rPr>
            </w:pPr>
          </w:p>
        </w:tc>
        <w:tc>
          <w:tcPr>
            <w:tcW w:w="0" w:type="auto"/>
            <w:gridSpan w:val="3"/>
            <w:shd w:val="clear" w:color="auto" w:fill="auto"/>
          </w:tcPr>
          <w:p w14:paraId="20ADFD8C" w14:textId="77777777" w:rsidR="00B626E7" w:rsidRDefault="00B626E7">
            <w:pPr>
              <w:rPr>
                <w:rFonts w:ascii="宋体"/>
                <w:vanish/>
              </w:rPr>
            </w:pPr>
          </w:p>
        </w:tc>
        <w:tc>
          <w:tcPr>
            <w:tcW w:w="0" w:type="auto"/>
            <w:gridSpan w:val="3"/>
            <w:shd w:val="clear" w:color="auto" w:fill="auto"/>
          </w:tcPr>
          <w:p w14:paraId="20ADFD8D" w14:textId="77777777" w:rsidR="00B626E7" w:rsidRDefault="00B626E7">
            <w:pPr>
              <w:rPr>
                <w:rFonts w:ascii="宋体"/>
                <w:vanish/>
              </w:rPr>
            </w:pPr>
          </w:p>
        </w:tc>
      </w:tr>
      <w:tr w:rsidR="00B626E7" w14:paraId="20ADFD96" w14:textId="77777777">
        <w:tc>
          <w:tcPr>
            <w:tcW w:w="0" w:type="auto"/>
            <w:gridSpan w:val="3"/>
            <w:shd w:val="clear" w:color="auto" w:fill="auto"/>
            <w:tcMar>
              <w:top w:w="40" w:type="dxa"/>
              <w:left w:w="195" w:type="dxa"/>
              <w:bottom w:w="40" w:type="dxa"/>
              <w:right w:w="20" w:type="dxa"/>
            </w:tcMar>
          </w:tcPr>
          <w:p w14:paraId="20ADFD8F" w14:textId="77777777" w:rsidR="00B626E7" w:rsidRDefault="00175C1D">
            <w:pPr>
              <w:textAlignment w:val="top"/>
            </w:pPr>
            <w:r>
              <w:rPr>
                <w:rFonts w:ascii="Arial" w:eastAsia="宋体" w:hAnsi="Arial" w:cs="Arial"/>
                <w:color w:val="333333"/>
                <w:sz w:val="18"/>
                <w:szCs w:val="18"/>
              </w:rPr>
              <w:t>Other accrued liabilities</w:t>
            </w:r>
          </w:p>
        </w:tc>
        <w:tc>
          <w:tcPr>
            <w:tcW w:w="0" w:type="auto"/>
            <w:gridSpan w:val="3"/>
            <w:shd w:val="clear" w:color="auto" w:fill="auto"/>
            <w:tcMar>
              <w:left w:w="20" w:type="dxa"/>
              <w:right w:w="20" w:type="dxa"/>
            </w:tcMar>
            <w:vAlign w:val="bottom"/>
          </w:tcPr>
          <w:p w14:paraId="20ADFD90"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D91" w14:textId="77777777" w:rsidR="00B626E7" w:rsidRDefault="00175C1D">
            <w:pPr>
              <w:jc w:val="right"/>
              <w:textAlignment w:val="bottom"/>
            </w:pPr>
            <w:r>
              <w:rPr>
                <w:rFonts w:ascii="Arial" w:eastAsia="宋体" w:hAnsi="Arial" w:cs="Arial"/>
                <w:color w:val="0071C5"/>
                <w:sz w:val="18"/>
                <w:szCs w:val="18"/>
              </w:rPr>
              <w:t>12,349 </w:t>
            </w:r>
          </w:p>
        </w:tc>
        <w:tc>
          <w:tcPr>
            <w:tcW w:w="0" w:type="auto"/>
            <w:shd w:val="clear" w:color="auto" w:fill="auto"/>
            <w:tcMar>
              <w:top w:w="40" w:type="dxa"/>
              <w:bottom w:w="40" w:type="dxa"/>
              <w:right w:w="20" w:type="dxa"/>
            </w:tcMar>
            <w:vAlign w:val="bottom"/>
          </w:tcPr>
          <w:p w14:paraId="20ADFD92"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DFD93"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D94" w14:textId="77777777" w:rsidR="00B626E7" w:rsidRDefault="00175C1D">
            <w:pPr>
              <w:jc w:val="right"/>
              <w:textAlignment w:val="bottom"/>
            </w:pPr>
            <w:r>
              <w:rPr>
                <w:rFonts w:ascii="Arial" w:eastAsia="宋体" w:hAnsi="Arial" w:cs="Arial"/>
                <w:color w:val="333333"/>
                <w:sz w:val="18"/>
                <w:szCs w:val="18"/>
              </w:rPr>
              <w:t>10,636 </w:t>
            </w:r>
          </w:p>
        </w:tc>
        <w:tc>
          <w:tcPr>
            <w:tcW w:w="0" w:type="auto"/>
            <w:shd w:val="clear" w:color="auto" w:fill="auto"/>
            <w:tcMar>
              <w:top w:w="40" w:type="dxa"/>
              <w:bottom w:w="40" w:type="dxa"/>
              <w:right w:w="20" w:type="dxa"/>
            </w:tcMar>
            <w:vAlign w:val="bottom"/>
          </w:tcPr>
          <w:p w14:paraId="20ADFD95" w14:textId="77777777" w:rsidR="00B626E7" w:rsidRDefault="00175C1D">
            <w:pPr>
              <w:jc w:val="right"/>
              <w:textAlignment w:val="bottom"/>
            </w:pPr>
            <w:r>
              <w:rPr>
                <w:rFonts w:ascii="Arial" w:eastAsia="宋体" w:hAnsi="Arial" w:cs="Arial"/>
                <w:color w:val="333333"/>
                <w:sz w:val="18"/>
                <w:szCs w:val="18"/>
              </w:rPr>
              <w:t> </w:t>
            </w:r>
          </w:p>
        </w:tc>
      </w:tr>
      <w:tr w:rsidR="00B626E7" w14:paraId="20ADFD9E" w14:textId="77777777">
        <w:tc>
          <w:tcPr>
            <w:tcW w:w="0" w:type="auto"/>
            <w:gridSpan w:val="3"/>
            <w:shd w:val="clear" w:color="auto" w:fill="auto"/>
            <w:tcMar>
              <w:top w:w="40" w:type="dxa"/>
              <w:left w:w="20" w:type="dxa"/>
              <w:bottom w:w="40" w:type="dxa"/>
              <w:right w:w="20" w:type="dxa"/>
            </w:tcMar>
          </w:tcPr>
          <w:p w14:paraId="20ADFD97" w14:textId="77777777" w:rsidR="00B626E7" w:rsidRDefault="00175C1D">
            <w:pPr>
              <w:ind w:hanging="180"/>
              <w:textAlignment w:val="top"/>
            </w:pPr>
            <w:r>
              <w:rPr>
                <w:rFonts w:ascii="Arial" w:eastAsia="宋体" w:hAnsi="Arial" w:cs="Arial"/>
                <w:b/>
                <w:bCs/>
                <w:color w:val="333333"/>
                <w:sz w:val="18"/>
                <w:szCs w:val="18"/>
              </w:rPr>
              <w:t>Total current liabilities</w:t>
            </w:r>
          </w:p>
        </w:tc>
        <w:tc>
          <w:tcPr>
            <w:tcW w:w="0" w:type="auto"/>
            <w:gridSpan w:val="3"/>
            <w:shd w:val="clear" w:color="auto" w:fill="auto"/>
            <w:tcMar>
              <w:left w:w="20" w:type="dxa"/>
              <w:right w:w="20" w:type="dxa"/>
            </w:tcMar>
            <w:vAlign w:val="bottom"/>
          </w:tcPr>
          <w:p w14:paraId="20ADFD98"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DFD99" w14:textId="77777777" w:rsidR="00B626E7" w:rsidRDefault="00175C1D">
            <w:pPr>
              <w:jc w:val="right"/>
              <w:textAlignment w:val="bottom"/>
            </w:pPr>
            <w:r>
              <w:rPr>
                <w:rFonts w:ascii="Arial" w:eastAsia="宋体" w:hAnsi="Arial" w:cs="Arial"/>
                <w:b/>
                <w:bCs/>
                <w:color w:val="0071C5"/>
                <w:sz w:val="18"/>
                <w:szCs w:val="18"/>
              </w:rPr>
              <w:t>22,481 </w:t>
            </w:r>
          </w:p>
        </w:tc>
        <w:tc>
          <w:tcPr>
            <w:tcW w:w="0" w:type="auto"/>
            <w:tcBorders>
              <w:top w:val="single" w:sz="8" w:space="0" w:color="333333"/>
            </w:tcBorders>
            <w:shd w:val="clear" w:color="auto" w:fill="auto"/>
            <w:tcMar>
              <w:top w:w="40" w:type="dxa"/>
              <w:bottom w:w="40" w:type="dxa"/>
              <w:right w:w="20" w:type="dxa"/>
            </w:tcMar>
            <w:vAlign w:val="bottom"/>
          </w:tcPr>
          <w:p w14:paraId="20ADFD9A"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DFD9B"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DFD9C" w14:textId="77777777" w:rsidR="00B626E7" w:rsidRDefault="00175C1D">
            <w:pPr>
              <w:jc w:val="right"/>
              <w:textAlignment w:val="bottom"/>
            </w:pPr>
            <w:r>
              <w:rPr>
                <w:rFonts w:ascii="Arial" w:eastAsia="宋体" w:hAnsi="Arial" w:cs="Arial"/>
                <w:b/>
                <w:bCs/>
                <w:color w:val="333333"/>
                <w:sz w:val="18"/>
                <w:szCs w:val="18"/>
              </w:rPr>
              <w:t>22,310 </w:t>
            </w:r>
          </w:p>
        </w:tc>
        <w:tc>
          <w:tcPr>
            <w:tcW w:w="0" w:type="auto"/>
            <w:tcBorders>
              <w:top w:val="single" w:sz="8" w:space="0" w:color="333333"/>
            </w:tcBorders>
            <w:shd w:val="clear" w:color="auto" w:fill="auto"/>
            <w:tcMar>
              <w:top w:w="40" w:type="dxa"/>
              <w:bottom w:w="40" w:type="dxa"/>
              <w:right w:w="20" w:type="dxa"/>
            </w:tcMar>
            <w:vAlign w:val="bottom"/>
          </w:tcPr>
          <w:p w14:paraId="20ADFD9D" w14:textId="77777777" w:rsidR="00B626E7" w:rsidRDefault="00175C1D">
            <w:pPr>
              <w:jc w:val="right"/>
              <w:textAlignment w:val="bottom"/>
            </w:pPr>
            <w:r>
              <w:rPr>
                <w:rFonts w:ascii="Arial" w:eastAsia="宋体" w:hAnsi="Arial" w:cs="Arial"/>
                <w:b/>
                <w:bCs/>
                <w:color w:val="333333"/>
                <w:sz w:val="18"/>
                <w:szCs w:val="18"/>
              </w:rPr>
              <w:t> </w:t>
            </w:r>
          </w:p>
        </w:tc>
      </w:tr>
      <w:tr w:rsidR="00B626E7" w14:paraId="20ADFDA4" w14:textId="77777777">
        <w:trPr>
          <w:hidden/>
        </w:trPr>
        <w:tc>
          <w:tcPr>
            <w:tcW w:w="0" w:type="auto"/>
            <w:gridSpan w:val="3"/>
            <w:shd w:val="clear" w:color="auto" w:fill="auto"/>
          </w:tcPr>
          <w:p w14:paraId="20ADFD9F" w14:textId="77777777" w:rsidR="00B626E7" w:rsidRDefault="00B626E7">
            <w:pPr>
              <w:rPr>
                <w:rFonts w:ascii="宋体"/>
                <w:vanish/>
              </w:rPr>
            </w:pPr>
          </w:p>
        </w:tc>
        <w:tc>
          <w:tcPr>
            <w:tcW w:w="0" w:type="auto"/>
            <w:gridSpan w:val="3"/>
            <w:shd w:val="clear" w:color="auto" w:fill="auto"/>
          </w:tcPr>
          <w:p w14:paraId="20ADFDA0" w14:textId="77777777" w:rsidR="00B626E7" w:rsidRDefault="00B626E7">
            <w:pPr>
              <w:rPr>
                <w:rFonts w:ascii="宋体"/>
                <w:vanish/>
              </w:rPr>
            </w:pPr>
          </w:p>
        </w:tc>
        <w:tc>
          <w:tcPr>
            <w:tcW w:w="0" w:type="auto"/>
            <w:gridSpan w:val="3"/>
            <w:shd w:val="clear" w:color="auto" w:fill="auto"/>
          </w:tcPr>
          <w:p w14:paraId="20ADFDA1" w14:textId="77777777" w:rsidR="00B626E7" w:rsidRDefault="00B626E7">
            <w:pPr>
              <w:rPr>
                <w:rFonts w:ascii="宋体"/>
                <w:vanish/>
              </w:rPr>
            </w:pPr>
          </w:p>
        </w:tc>
        <w:tc>
          <w:tcPr>
            <w:tcW w:w="0" w:type="auto"/>
            <w:gridSpan w:val="3"/>
            <w:shd w:val="clear" w:color="auto" w:fill="auto"/>
          </w:tcPr>
          <w:p w14:paraId="20ADFDA2" w14:textId="77777777" w:rsidR="00B626E7" w:rsidRDefault="00B626E7">
            <w:pPr>
              <w:rPr>
                <w:rFonts w:ascii="宋体"/>
                <w:vanish/>
              </w:rPr>
            </w:pPr>
          </w:p>
        </w:tc>
        <w:tc>
          <w:tcPr>
            <w:tcW w:w="0" w:type="auto"/>
            <w:gridSpan w:val="3"/>
            <w:shd w:val="clear" w:color="auto" w:fill="auto"/>
          </w:tcPr>
          <w:p w14:paraId="20ADFDA3" w14:textId="77777777" w:rsidR="00B626E7" w:rsidRDefault="00B626E7">
            <w:pPr>
              <w:rPr>
                <w:rFonts w:ascii="宋体"/>
                <w:vanish/>
              </w:rPr>
            </w:pPr>
          </w:p>
        </w:tc>
      </w:tr>
      <w:tr w:rsidR="00B626E7" w14:paraId="20ADFDAC" w14:textId="77777777">
        <w:tc>
          <w:tcPr>
            <w:tcW w:w="0" w:type="auto"/>
            <w:gridSpan w:val="3"/>
            <w:shd w:val="clear" w:color="auto" w:fill="auto"/>
            <w:tcMar>
              <w:top w:w="40" w:type="dxa"/>
              <w:left w:w="20" w:type="dxa"/>
              <w:bottom w:w="40" w:type="dxa"/>
              <w:right w:w="20" w:type="dxa"/>
            </w:tcMar>
          </w:tcPr>
          <w:p w14:paraId="20ADFDA5" w14:textId="77777777" w:rsidR="00B626E7" w:rsidRDefault="00175C1D">
            <w:pPr>
              <w:textAlignment w:val="top"/>
            </w:pPr>
            <w:r>
              <w:rPr>
                <w:rFonts w:ascii="Arial" w:eastAsia="宋体" w:hAnsi="Arial" w:cs="Arial"/>
                <w:b/>
                <w:bCs/>
                <w:color w:val="333333"/>
                <w:sz w:val="18"/>
                <w:szCs w:val="18"/>
              </w:rPr>
              <w:t>Debt</w:t>
            </w:r>
          </w:p>
        </w:tc>
        <w:tc>
          <w:tcPr>
            <w:tcW w:w="0" w:type="auto"/>
            <w:gridSpan w:val="3"/>
            <w:shd w:val="clear" w:color="auto" w:fill="auto"/>
            <w:tcMar>
              <w:left w:w="20" w:type="dxa"/>
              <w:right w:w="20" w:type="dxa"/>
            </w:tcMar>
            <w:vAlign w:val="bottom"/>
          </w:tcPr>
          <w:p w14:paraId="20ADFDA6"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DFDA7" w14:textId="77777777" w:rsidR="00B626E7" w:rsidRDefault="00175C1D">
            <w:pPr>
              <w:jc w:val="right"/>
              <w:textAlignment w:val="bottom"/>
            </w:pPr>
            <w:r>
              <w:rPr>
                <w:rFonts w:ascii="Arial" w:eastAsia="宋体" w:hAnsi="Arial" w:cs="Arial"/>
                <w:b/>
                <w:bCs/>
                <w:color w:val="0071C5"/>
                <w:sz w:val="18"/>
                <w:szCs w:val="18"/>
              </w:rPr>
              <w:t>36,093 </w:t>
            </w:r>
          </w:p>
        </w:tc>
        <w:tc>
          <w:tcPr>
            <w:tcW w:w="0" w:type="auto"/>
            <w:tcBorders>
              <w:top w:val="single" w:sz="8" w:space="0" w:color="333333"/>
            </w:tcBorders>
            <w:shd w:val="clear" w:color="auto" w:fill="auto"/>
            <w:tcMar>
              <w:top w:w="40" w:type="dxa"/>
              <w:bottom w:w="40" w:type="dxa"/>
              <w:right w:w="20" w:type="dxa"/>
            </w:tcMar>
            <w:vAlign w:val="bottom"/>
          </w:tcPr>
          <w:p w14:paraId="20ADFDA8"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DFDA9"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DFDAA" w14:textId="77777777" w:rsidR="00B626E7" w:rsidRDefault="00175C1D">
            <w:pPr>
              <w:jc w:val="right"/>
              <w:textAlignment w:val="bottom"/>
            </w:pPr>
            <w:r>
              <w:rPr>
                <w:rFonts w:ascii="Arial" w:eastAsia="宋体" w:hAnsi="Arial" w:cs="Arial"/>
                <w:b/>
                <w:bCs/>
                <w:color w:val="333333"/>
                <w:sz w:val="18"/>
                <w:szCs w:val="18"/>
              </w:rPr>
              <w:t>25,308 </w:t>
            </w:r>
          </w:p>
        </w:tc>
        <w:tc>
          <w:tcPr>
            <w:tcW w:w="0" w:type="auto"/>
            <w:tcBorders>
              <w:top w:val="single" w:sz="8" w:space="0" w:color="333333"/>
            </w:tcBorders>
            <w:shd w:val="clear" w:color="auto" w:fill="auto"/>
            <w:tcMar>
              <w:top w:w="40" w:type="dxa"/>
              <w:bottom w:w="40" w:type="dxa"/>
              <w:right w:w="20" w:type="dxa"/>
            </w:tcMar>
            <w:vAlign w:val="bottom"/>
          </w:tcPr>
          <w:p w14:paraId="20ADFDAB" w14:textId="77777777" w:rsidR="00B626E7" w:rsidRDefault="00175C1D">
            <w:pPr>
              <w:jc w:val="right"/>
              <w:textAlignment w:val="bottom"/>
            </w:pPr>
            <w:r>
              <w:rPr>
                <w:rFonts w:ascii="Arial" w:eastAsia="宋体" w:hAnsi="Arial" w:cs="Arial"/>
                <w:b/>
                <w:bCs/>
                <w:color w:val="333333"/>
                <w:sz w:val="18"/>
                <w:szCs w:val="18"/>
              </w:rPr>
              <w:t> </w:t>
            </w:r>
          </w:p>
        </w:tc>
      </w:tr>
      <w:tr w:rsidR="00B626E7" w14:paraId="20ADFDB4" w14:textId="77777777">
        <w:tc>
          <w:tcPr>
            <w:tcW w:w="0" w:type="auto"/>
            <w:gridSpan w:val="3"/>
            <w:shd w:val="clear" w:color="auto" w:fill="auto"/>
            <w:tcMar>
              <w:top w:w="40" w:type="dxa"/>
              <w:left w:w="20" w:type="dxa"/>
              <w:bottom w:w="40" w:type="dxa"/>
              <w:right w:w="20" w:type="dxa"/>
            </w:tcMar>
          </w:tcPr>
          <w:p w14:paraId="20ADFDAD" w14:textId="77777777" w:rsidR="00B626E7" w:rsidRDefault="00175C1D">
            <w:pPr>
              <w:textAlignment w:val="top"/>
            </w:pPr>
            <w:r>
              <w:rPr>
                <w:rFonts w:ascii="Arial" w:eastAsia="宋体" w:hAnsi="Arial" w:cs="Arial"/>
                <w:b/>
                <w:bCs/>
                <w:color w:val="333333"/>
                <w:sz w:val="18"/>
                <w:szCs w:val="18"/>
              </w:rPr>
              <w:t xml:space="preserve">Contract liabilities </w:t>
            </w:r>
          </w:p>
        </w:tc>
        <w:tc>
          <w:tcPr>
            <w:tcW w:w="0" w:type="auto"/>
            <w:gridSpan w:val="3"/>
            <w:shd w:val="clear" w:color="auto" w:fill="auto"/>
            <w:tcMar>
              <w:left w:w="20" w:type="dxa"/>
              <w:right w:w="20" w:type="dxa"/>
            </w:tcMar>
            <w:vAlign w:val="bottom"/>
          </w:tcPr>
          <w:p w14:paraId="20ADFDAE"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DAF" w14:textId="77777777" w:rsidR="00B626E7" w:rsidRDefault="00175C1D">
            <w:pPr>
              <w:jc w:val="right"/>
              <w:textAlignment w:val="bottom"/>
            </w:pPr>
            <w:r>
              <w:rPr>
                <w:rFonts w:ascii="Arial" w:eastAsia="宋体" w:hAnsi="Arial" w:cs="Arial"/>
                <w:b/>
                <w:bCs/>
                <w:color w:val="0071C5"/>
                <w:sz w:val="18"/>
                <w:szCs w:val="18"/>
              </w:rPr>
              <w:t>1,329 </w:t>
            </w:r>
          </w:p>
        </w:tc>
        <w:tc>
          <w:tcPr>
            <w:tcW w:w="0" w:type="auto"/>
            <w:shd w:val="clear" w:color="auto" w:fill="auto"/>
            <w:tcMar>
              <w:top w:w="40" w:type="dxa"/>
              <w:bottom w:w="40" w:type="dxa"/>
              <w:right w:w="20" w:type="dxa"/>
            </w:tcMar>
            <w:vAlign w:val="bottom"/>
          </w:tcPr>
          <w:p w14:paraId="20ADFDB0"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DFDB1"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DB2" w14:textId="77777777" w:rsidR="00B626E7" w:rsidRDefault="00175C1D">
            <w:pPr>
              <w:jc w:val="right"/>
              <w:textAlignment w:val="bottom"/>
            </w:pPr>
            <w:r>
              <w:rPr>
                <w:rFonts w:ascii="Arial" w:eastAsia="宋体" w:hAnsi="Arial" w:cs="Arial"/>
                <w:b/>
                <w:bCs/>
                <w:color w:val="333333"/>
                <w:sz w:val="18"/>
                <w:szCs w:val="18"/>
              </w:rPr>
              <w:t>1,368 </w:t>
            </w:r>
          </w:p>
        </w:tc>
        <w:tc>
          <w:tcPr>
            <w:tcW w:w="0" w:type="auto"/>
            <w:shd w:val="clear" w:color="auto" w:fill="auto"/>
            <w:tcMar>
              <w:top w:w="40" w:type="dxa"/>
              <w:bottom w:w="40" w:type="dxa"/>
              <w:right w:w="20" w:type="dxa"/>
            </w:tcMar>
            <w:vAlign w:val="bottom"/>
          </w:tcPr>
          <w:p w14:paraId="20ADFDB3" w14:textId="77777777" w:rsidR="00B626E7" w:rsidRDefault="00175C1D">
            <w:pPr>
              <w:jc w:val="right"/>
              <w:textAlignment w:val="bottom"/>
            </w:pPr>
            <w:r>
              <w:rPr>
                <w:rFonts w:ascii="Arial" w:eastAsia="宋体" w:hAnsi="Arial" w:cs="Arial"/>
                <w:b/>
                <w:bCs/>
                <w:color w:val="333333"/>
                <w:sz w:val="18"/>
                <w:szCs w:val="18"/>
              </w:rPr>
              <w:t> </w:t>
            </w:r>
          </w:p>
        </w:tc>
      </w:tr>
      <w:tr w:rsidR="00B626E7" w14:paraId="20ADFDBC" w14:textId="77777777">
        <w:tc>
          <w:tcPr>
            <w:tcW w:w="0" w:type="auto"/>
            <w:gridSpan w:val="3"/>
            <w:shd w:val="clear" w:color="auto" w:fill="auto"/>
            <w:tcMar>
              <w:top w:w="40" w:type="dxa"/>
              <w:left w:w="20" w:type="dxa"/>
              <w:bottom w:w="40" w:type="dxa"/>
              <w:right w:w="20" w:type="dxa"/>
            </w:tcMar>
          </w:tcPr>
          <w:p w14:paraId="20ADFDB5" w14:textId="77777777" w:rsidR="00B626E7" w:rsidRDefault="00175C1D">
            <w:pPr>
              <w:textAlignment w:val="top"/>
            </w:pPr>
            <w:r>
              <w:rPr>
                <w:rFonts w:ascii="Arial" w:eastAsia="宋体" w:hAnsi="Arial" w:cs="Arial"/>
                <w:b/>
                <w:bCs/>
                <w:color w:val="333333"/>
                <w:sz w:val="18"/>
                <w:szCs w:val="18"/>
              </w:rPr>
              <w:t>Income taxes payable, non-current</w:t>
            </w:r>
          </w:p>
        </w:tc>
        <w:tc>
          <w:tcPr>
            <w:tcW w:w="0" w:type="auto"/>
            <w:gridSpan w:val="3"/>
            <w:shd w:val="clear" w:color="auto" w:fill="auto"/>
            <w:tcMar>
              <w:left w:w="20" w:type="dxa"/>
              <w:right w:w="20" w:type="dxa"/>
            </w:tcMar>
            <w:vAlign w:val="bottom"/>
          </w:tcPr>
          <w:p w14:paraId="20ADFDB6"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DB7" w14:textId="77777777" w:rsidR="00B626E7" w:rsidRDefault="00175C1D">
            <w:pPr>
              <w:jc w:val="right"/>
              <w:textAlignment w:val="bottom"/>
            </w:pPr>
            <w:r>
              <w:rPr>
                <w:rFonts w:ascii="Arial" w:eastAsia="宋体" w:hAnsi="Arial" w:cs="Arial"/>
                <w:b/>
                <w:bCs/>
                <w:color w:val="0071C5"/>
                <w:sz w:val="18"/>
                <w:szCs w:val="18"/>
              </w:rPr>
              <w:t>4,795 </w:t>
            </w:r>
          </w:p>
        </w:tc>
        <w:tc>
          <w:tcPr>
            <w:tcW w:w="0" w:type="auto"/>
            <w:shd w:val="clear" w:color="auto" w:fill="auto"/>
            <w:tcMar>
              <w:top w:w="40" w:type="dxa"/>
              <w:bottom w:w="40" w:type="dxa"/>
              <w:right w:w="20" w:type="dxa"/>
            </w:tcMar>
            <w:vAlign w:val="bottom"/>
          </w:tcPr>
          <w:p w14:paraId="20ADFDB8"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DFDB9"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DBA" w14:textId="77777777" w:rsidR="00B626E7" w:rsidRDefault="00175C1D">
            <w:pPr>
              <w:jc w:val="right"/>
              <w:textAlignment w:val="bottom"/>
            </w:pPr>
            <w:r>
              <w:rPr>
                <w:rFonts w:ascii="Arial" w:eastAsia="宋体" w:hAnsi="Arial" w:cs="Arial"/>
                <w:b/>
                <w:bCs/>
                <w:color w:val="333333"/>
                <w:sz w:val="18"/>
                <w:szCs w:val="18"/>
              </w:rPr>
              <w:t>4,919 </w:t>
            </w:r>
          </w:p>
        </w:tc>
        <w:tc>
          <w:tcPr>
            <w:tcW w:w="0" w:type="auto"/>
            <w:shd w:val="clear" w:color="auto" w:fill="auto"/>
            <w:tcMar>
              <w:top w:w="40" w:type="dxa"/>
              <w:bottom w:w="40" w:type="dxa"/>
              <w:right w:w="20" w:type="dxa"/>
            </w:tcMar>
            <w:vAlign w:val="bottom"/>
          </w:tcPr>
          <w:p w14:paraId="20ADFDBB" w14:textId="77777777" w:rsidR="00B626E7" w:rsidRDefault="00175C1D">
            <w:pPr>
              <w:jc w:val="right"/>
              <w:textAlignment w:val="bottom"/>
            </w:pPr>
            <w:r>
              <w:rPr>
                <w:rFonts w:ascii="Arial" w:eastAsia="宋体" w:hAnsi="Arial" w:cs="Arial"/>
                <w:b/>
                <w:bCs/>
                <w:color w:val="333333"/>
                <w:sz w:val="18"/>
                <w:szCs w:val="18"/>
              </w:rPr>
              <w:t> </w:t>
            </w:r>
          </w:p>
        </w:tc>
      </w:tr>
      <w:tr w:rsidR="00B626E7" w14:paraId="20ADFDC4" w14:textId="77777777">
        <w:tc>
          <w:tcPr>
            <w:tcW w:w="0" w:type="auto"/>
            <w:gridSpan w:val="3"/>
            <w:shd w:val="clear" w:color="auto" w:fill="auto"/>
            <w:tcMar>
              <w:top w:w="40" w:type="dxa"/>
              <w:left w:w="20" w:type="dxa"/>
              <w:bottom w:w="40" w:type="dxa"/>
              <w:right w:w="20" w:type="dxa"/>
            </w:tcMar>
          </w:tcPr>
          <w:p w14:paraId="20ADFDBD" w14:textId="77777777" w:rsidR="00B626E7" w:rsidRDefault="00175C1D">
            <w:pPr>
              <w:textAlignment w:val="top"/>
            </w:pPr>
            <w:r>
              <w:rPr>
                <w:rFonts w:ascii="Arial" w:eastAsia="宋体" w:hAnsi="Arial" w:cs="Arial"/>
                <w:b/>
                <w:bCs/>
                <w:color w:val="333333"/>
                <w:sz w:val="18"/>
                <w:szCs w:val="18"/>
              </w:rPr>
              <w:t xml:space="preserve">Deferred </w:t>
            </w:r>
            <w:r>
              <w:rPr>
                <w:rFonts w:ascii="Arial" w:eastAsia="宋体" w:hAnsi="Arial" w:cs="Arial"/>
                <w:b/>
                <w:bCs/>
                <w:color w:val="333333"/>
                <w:sz w:val="18"/>
                <w:szCs w:val="18"/>
              </w:rPr>
              <w:t>income taxes</w:t>
            </w:r>
          </w:p>
        </w:tc>
        <w:tc>
          <w:tcPr>
            <w:tcW w:w="0" w:type="auto"/>
            <w:gridSpan w:val="3"/>
            <w:shd w:val="clear" w:color="auto" w:fill="auto"/>
            <w:tcMar>
              <w:left w:w="20" w:type="dxa"/>
              <w:right w:w="20" w:type="dxa"/>
            </w:tcMar>
            <w:vAlign w:val="bottom"/>
          </w:tcPr>
          <w:p w14:paraId="20ADFDBE"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DBF" w14:textId="77777777" w:rsidR="00B626E7" w:rsidRDefault="00175C1D">
            <w:pPr>
              <w:jc w:val="right"/>
              <w:textAlignment w:val="bottom"/>
            </w:pPr>
            <w:r>
              <w:rPr>
                <w:rFonts w:ascii="Arial" w:eastAsia="宋体" w:hAnsi="Arial" w:cs="Arial"/>
                <w:b/>
                <w:bCs/>
                <w:color w:val="0071C5"/>
                <w:sz w:val="18"/>
                <w:szCs w:val="18"/>
              </w:rPr>
              <w:t>2,723 </w:t>
            </w:r>
          </w:p>
        </w:tc>
        <w:tc>
          <w:tcPr>
            <w:tcW w:w="0" w:type="auto"/>
            <w:shd w:val="clear" w:color="auto" w:fill="auto"/>
            <w:tcMar>
              <w:top w:w="40" w:type="dxa"/>
              <w:bottom w:w="40" w:type="dxa"/>
              <w:right w:w="20" w:type="dxa"/>
            </w:tcMar>
            <w:vAlign w:val="bottom"/>
          </w:tcPr>
          <w:p w14:paraId="20ADFDC0"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DFDC1"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DC2" w14:textId="77777777" w:rsidR="00B626E7" w:rsidRDefault="00175C1D">
            <w:pPr>
              <w:jc w:val="right"/>
              <w:textAlignment w:val="bottom"/>
            </w:pPr>
            <w:r>
              <w:rPr>
                <w:rFonts w:ascii="Arial" w:eastAsia="宋体" w:hAnsi="Arial" w:cs="Arial"/>
                <w:b/>
                <w:bCs/>
                <w:color w:val="333333"/>
                <w:sz w:val="18"/>
                <w:szCs w:val="18"/>
              </w:rPr>
              <w:t>2,044 </w:t>
            </w:r>
          </w:p>
        </w:tc>
        <w:tc>
          <w:tcPr>
            <w:tcW w:w="0" w:type="auto"/>
            <w:shd w:val="clear" w:color="auto" w:fill="auto"/>
            <w:tcMar>
              <w:top w:w="40" w:type="dxa"/>
              <w:bottom w:w="40" w:type="dxa"/>
              <w:right w:w="20" w:type="dxa"/>
            </w:tcMar>
            <w:vAlign w:val="bottom"/>
          </w:tcPr>
          <w:p w14:paraId="20ADFDC3" w14:textId="77777777" w:rsidR="00B626E7" w:rsidRDefault="00175C1D">
            <w:pPr>
              <w:jc w:val="right"/>
              <w:textAlignment w:val="bottom"/>
            </w:pPr>
            <w:r>
              <w:rPr>
                <w:rFonts w:ascii="Arial" w:eastAsia="宋体" w:hAnsi="Arial" w:cs="Arial"/>
                <w:b/>
                <w:bCs/>
                <w:color w:val="333333"/>
                <w:sz w:val="18"/>
                <w:szCs w:val="18"/>
              </w:rPr>
              <w:t> </w:t>
            </w:r>
          </w:p>
        </w:tc>
      </w:tr>
      <w:tr w:rsidR="00B626E7" w14:paraId="20ADFDCC" w14:textId="77777777">
        <w:tc>
          <w:tcPr>
            <w:tcW w:w="0" w:type="auto"/>
            <w:gridSpan w:val="3"/>
            <w:shd w:val="clear" w:color="auto" w:fill="auto"/>
            <w:tcMar>
              <w:top w:w="40" w:type="dxa"/>
              <w:left w:w="20" w:type="dxa"/>
              <w:bottom w:w="40" w:type="dxa"/>
              <w:right w:w="20" w:type="dxa"/>
            </w:tcMar>
          </w:tcPr>
          <w:p w14:paraId="20ADFDC5" w14:textId="77777777" w:rsidR="00B626E7" w:rsidRDefault="00175C1D">
            <w:pPr>
              <w:ind w:hanging="180"/>
              <w:textAlignment w:val="top"/>
            </w:pPr>
            <w:r>
              <w:rPr>
                <w:rFonts w:ascii="Arial" w:eastAsia="宋体" w:hAnsi="Arial" w:cs="Arial"/>
                <w:b/>
                <w:bCs/>
                <w:color w:val="333333"/>
                <w:sz w:val="18"/>
                <w:szCs w:val="18"/>
              </w:rPr>
              <w:t>Other long-term liabilities</w:t>
            </w:r>
          </w:p>
        </w:tc>
        <w:tc>
          <w:tcPr>
            <w:tcW w:w="0" w:type="auto"/>
            <w:gridSpan w:val="3"/>
            <w:shd w:val="clear" w:color="auto" w:fill="auto"/>
            <w:tcMar>
              <w:left w:w="20" w:type="dxa"/>
              <w:right w:w="20" w:type="dxa"/>
            </w:tcMar>
            <w:vAlign w:val="bottom"/>
          </w:tcPr>
          <w:p w14:paraId="20ADFDC6"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DC7" w14:textId="77777777" w:rsidR="00B626E7" w:rsidRDefault="00175C1D">
            <w:pPr>
              <w:jc w:val="right"/>
              <w:textAlignment w:val="bottom"/>
            </w:pPr>
            <w:r>
              <w:rPr>
                <w:rFonts w:ascii="Arial" w:eastAsia="宋体" w:hAnsi="Arial" w:cs="Arial"/>
                <w:b/>
                <w:bCs/>
                <w:color w:val="0071C5"/>
                <w:sz w:val="18"/>
                <w:szCs w:val="18"/>
              </w:rPr>
              <w:t>3,108 </w:t>
            </w:r>
          </w:p>
        </w:tc>
        <w:tc>
          <w:tcPr>
            <w:tcW w:w="0" w:type="auto"/>
            <w:shd w:val="clear" w:color="auto" w:fill="auto"/>
            <w:tcMar>
              <w:top w:w="40" w:type="dxa"/>
              <w:bottom w:w="40" w:type="dxa"/>
              <w:right w:w="20" w:type="dxa"/>
            </w:tcMar>
            <w:vAlign w:val="bottom"/>
          </w:tcPr>
          <w:p w14:paraId="20ADFDC8"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DFDC9"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DCA" w14:textId="77777777" w:rsidR="00B626E7" w:rsidRDefault="00175C1D">
            <w:pPr>
              <w:jc w:val="right"/>
              <w:textAlignment w:val="bottom"/>
            </w:pPr>
            <w:r>
              <w:rPr>
                <w:rFonts w:ascii="Arial" w:eastAsia="宋体" w:hAnsi="Arial" w:cs="Arial"/>
                <w:b/>
                <w:bCs/>
                <w:color w:val="333333"/>
                <w:sz w:val="18"/>
                <w:szCs w:val="18"/>
              </w:rPr>
              <w:t>2,916 </w:t>
            </w:r>
          </w:p>
        </w:tc>
        <w:tc>
          <w:tcPr>
            <w:tcW w:w="0" w:type="auto"/>
            <w:shd w:val="clear" w:color="auto" w:fill="auto"/>
            <w:tcMar>
              <w:top w:w="40" w:type="dxa"/>
              <w:bottom w:w="40" w:type="dxa"/>
              <w:right w:w="20" w:type="dxa"/>
            </w:tcMar>
            <w:vAlign w:val="bottom"/>
          </w:tcPr>
          <w:p w14:paraId="20ADFDCB" w14:textId="77777777" w:rsidR="00B626E7" w:rsidRDefault="00175C1D">
            <w:pPr>
              <w:jc w:val="right"/>
              <w:textAlignment w:val="bottom"/>
            </w:pPr>
            <w:r>
              <w:rPr>
                <w:rFonts w:ascii="Arial" w:eastAsia="宋体" w:hAnsi="Arial" w:cs="Arial"/>
                <w:b/>
                <w:bCs/>
                <w:color w:val="333333"/>
                <w:sz w:val="18"/>
                <w:szCs w:val="18"/>
              </w:rPr>
              <w:t> </w:t>
            </w:r>
          </w:p>
        </w:tc>
      </w:tr>
      <w:tr w:rsidR="00B626E7" w14:paraId="20ADFDD2" w14:textId="77777777">
        <w:tc>
          <w:tcPr>
            <w:tcW w:w="0" w:type="auto"/>
            <w:gridSpan w:val="3"/>
            <w:shd w:val="clear" w:color="auto" w:fill="auto"/>
            <w:tcMar>
              <w:top w:w="40" w:type="dxa"/>
              <w:left w:w="20" w:type="dxa"/>
              <w:bottom w:w="40" w:type="dxa"/>
              <w:right w:w="20" w:type="dxa"/>
            </w:tcMar>
          </w:tcPr>
          <w:p w14:paraId="20ADFDCD" w14:textId="77777777" w:rsidR="00B626E7" w:rsidRDefault="00175C1D">
            <w:pPr>
              <w:textAlignment w:val="top"/>
            </w:pPr>
            <w:r>
              <w:rPr>
                <w:rFonts w:ascii="Arial" w:eastAsia="宋体" w:hAnsi="Arial" w:cs="Arial"/>
                <w:b/>
                <w:bCs/>
                <w:color w:val="333333"/>
                <w:sz w:val="18"/>
                <w:szCs w:val="18"/>
              </w:rPr>
              <w:t>Contingencies (Note 13)</w:t>
            </w:r>
          </w:p>
        </w:tc>
        <w:tc>
          <w:tcPr>
            <w:tcW w:w="0" w:type="auto"/>
            <w:gridSpan w:val="3"/>
            <w:shd w:val="clear" w:color="auto" w:fill="auto"/>
            <w:tcMar>
              <w:left w:w="20" w:type="dxa"/>
              <w:right w:w="20" w:type="dxa"/>
            </w:tcMar>
            <w:vAlign w:val="bottom"/>
          </w:tcPr>
          <w:p w14:paraId="20ADFDCE"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DFDCF"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DFDD0"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DFDD1" w14:textId="77777777" w:rsidR="00B626E7" w:rsidRDefault="00B626E7">
            <w:pPr>
              <w:rPr>
                <w:rFonts w:ascii="宋体"/>
              </w:rPr>
            </w:pPr>
          </w:p>
        </w:tc>
      </w:tr>
      <w:tr w:rsidR="00B626E7" w14:paraId="20ADFDDA" w14:textId="77777777">
        <w:tc>
          <w:tcPr>
            <w:tcW w:w="0" w:type="auto"/>
            <w:gridSpan w:val="3"/>
            <w:shd w:val="clear" w:color="auto" w:fill="auto"/>
            <w:tcMar>
              <w:top w:w="40" w:type="dxa"/>
              <w:left w:w="20" w:type="dxa"/>
              <w:bottom w:w="40" w:type="dxa"/>
              <w:right w:w="20" w:type="dxa"/>
            </w:tcMar>
          </w:tcPr>
          <w:p w14:paraId="20ADFDD3" w14:textId="77777777" w:rsidR="00B626E7" w:rsidRDefault="00175C1D">
            <w:pPr>
              <w:ind w:hanging="180"/>
              <w:textAlignment w:val="top"/>
            </w:pPr>
            <w:r>
              <w:rPr>
                <w:rFonts w:ascii="Arial" w:eastAsia="宋体" w:hAnsi="Arial" w:cs="Arial"/>
                <w:b/>
                <w:bCs/>
                <w:color w:val="333333"/>
                <w:sz w:val="18"/>
                <w:szCs w:val="18"/>
              </w:rPr>
              <w:t>Temporary equity</w:t>
            </w:r>
          </w:p>
        </w:tc>
        <w:tc>
          <w:tcPr>
            <w:tcW w:w="0" w:type="auto"/>
            <w:gridSpan w:val="3"/>
            <w:shd w:val="clear" w:color="auto" w:fill="auto"/>
            <w:tcMar>
              <w:left w:w="20" w:type="dxa"/>
              <w:right w:w="20" w:type="dxa"/>
            </w:tcMar>
            <w:vAlign w:val="bottom"/>
          </w:tcPr>
          <w:p w14:paraId="20ADFDD4"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DD5" w14:textId="77777777" w:rsidR="00B626E7" w:rsidRDefault="00175C1D">
            <w:pPr>
              <w:jc w:val="right"/>
              <w:textAlignment w:val="bottom"/>
            </w:pPr>
            <w:r>
              <w:rPr>
                <w:rFonts w:ascii="Arial" w:eastAsia="宋体" w:hAnsi="Arial" w:cs="Arial"/>
                <w:b/>
                <w:bCs/>
                <w:color w:val="0071C5"/>
                <w:sz w:val="18"/>
                <w:szCs w:val="18"/>
              </w:rPr>
              <w:t>— </w:t>
            </w:r>
          </w:p>
        </w:tc>
        <w:tc>
          <w:tcPr>
            <w:tcW w:w="0" w:type="auto"/>
            <w:shd w:val="clear" w:color="auto" w:fill="auto"/>
            <w:tcMar>
              <w:top w:w="40" w:type="dxa"/>
              <w:bottom w:w="40" w:type="dxa"/>
              <w:right w:w="20" w:type="dxa"/>
            </w:tcMar>
            <w:vAlign w:val="bottom"/>
          </w:tcPr>
          <w:p w14:paraId="20ADFDD6"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DFDD7"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DD8" w14:textId="77777777" w:rsidR="00B626E7" w:rsidRDefault="00175C1D">
            <w:pPr>
              <w:jc w:val="right"/>
              <w:textAlignment w:val="bottom"/>
            </w:pPr>
            <w:r>
              <w:rPr>
                <w:rFonts w:ascii="Arial" w:eastAsia="宋体" w:hAnsi="Arial" w:cs="Arial"/>
                <w:b/>
                <w:bCs/>
                <w:color w:val="333333"/>
                <w:sz w:val="18"/>
                <w:szCs w:val="18"/>
              </w:rPr>
              <w:t>155 </w:t>
            </w:r>
          </w:p>
        </w:tc>
        <w:tc>
          <w:tcPr>
            <w:tcW w:w="0" w:type="auto"/>
            <w:shd w:val="clear" w:color="auto" w:fill="auto"/>
            <w:tcMar>
              <w:top w:w="40" w:type="dxa"/>
              <w:bottom w:w="40" w:type="dxa"/>
              <w:right w:w="20" w:type="dxa"/>
            </w:tcMar>
            <w:vAlign w:val="bottom"/>
          </w:tcPr>
          <w:p w14:paraId="20ADFDD9" w14:textId="77777777" w:rsidR="00B626E7" w:rsidRDefault="00175C1D">
            <w:pPr>
              <w:jc w:val="right"/>
              <w:textAlignment w:val="bottom"/>
            </w:pPr>
            <w:r>
              <w:rPr>
                <w:rFonts w:ascii="Arial" w:eastAsia="宋体" w:hAnsi="Arial" w:cs="Arial"/>
                <w:b/>
                <w:bCs/>
                <w:color w:val="333333"/>
                <w:sz w:val="18"/>
                <w:szCs w:val="18"/>
              </w:rPr>
              <w:t> </w:t>
            </w:r>
          </w:p>
        </w:tc>
      </w:tr>
      <w:tr w:rsidR="00B626E7" w14:paraId="20ADFDE0" w14:textId="77777777">
        <w:tc>
          <w:tcPr>
            <w:tcW w:w="0" w:type="auto"/>
            <w:gridSpan w:val="3"/>
            <w:shd w:val="clear" w:color="auto" w:fill="auto"/>
            <w:tcMar>
              <w:top w:w="40" w:type="dxa"/>
              <w:left w:w="20" w:type="dxa"/>
              <w:bottom w:w="40" w:type="dxa"/>
              <w:right w:w="20" w:type="dxa"/>
            </w:tcMar>
          </w:tcPr>
          <w:p w14:paraId="20ADFDDB" w14:textId="77777777" w:rsidR="00B626E7" w:rsidRDefault="00175C1D">
            <w:pPr>
              <w:ind w:hanging="180"/>
              <w:textAlignment w:val="top"/>
            </w:pPr>
            <w:r>
              <w:rPr>
                <w:rFonts w:ascii="Arial" w:eastAsia="宋体" w:hAnsi="Arial" w:cs="Arial"/>
                <w:color w:val="333333"/>
                <w:sz w:val="18"/>
                <w:szCs w:val="18"/>
              </w:rPr>
              <w:t>Stockholders’ equity:</w:t>
            </w:r>
          </w:p>
        </w:tc>
        <w:tc>
          <w:tcPr>
            <w:tcW w:w="0" w:type="auto"/>
            <w:gridSpan w:val="3"/>
            <w:shd w:val="clear" w:color="auto" w:fill="auto"/>
            <w:tcMar>
              <w:left w:w="20" w:type="dxa"/>
              <w:right w:w="20" w:type="dxa"/>
            </w:tcMar>
            <w:vAlign w:val="bottom"/>
          </w:tcPr>
          <w:p w14:paraId="20ADFDDC"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DFDDD"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DFDDE"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DFDDF" w14:textId="77777777" w:rsidR="00B626E7" w:rsidRDefault="00B626E7">
            <w:pPr>
              <w:rPr>
                <w:rFonts w:ascii="宋体"/>
              </w:rPr>
            </w:pPr>
          </w:p>
        </w:tc>
      </w:tr>
      <w:tr w:rsidR="00B626E7" w14:paraId="20ADFDE8" w14:textId="77777777">
        <w:tc>
          <w:tcPr>
            <w:tcW w:w="0" w:type="auto"/>
            <w:gridSpan w:val="3"/>
            <w:shd w:val="clear" w:color="auto" w:fill="auto"/>
            <w:tcMar>
              <w:top w:w="40" w:type="dxa"/>
              <w:left w:w="195" w:type="dxa"/>
              <w:bottom w:w="40" w:type="dxa"/>
              <w:right w:w="20" w:type="dxa"/>
            </w:tcMar>
          </w:tcPr>
          <w:p w14:paraId="20ADFDE1" w14:textId="77777777" w:rsidR="00B626E7" w:rsidRDefault="00175C1D">
            <w:pPr>
              <w:textAlignment w:val="top"/>
            </w:pPr>
            <w:r>
              <w:rPr>
                <w:rFonts w:ascii="Arial" w:eastAsia="宋体" w:hAnsi="Arial" w:cs="Arial"/>
                <w:color w:val="333333"/>
                <w:sz w:val="18"/>
                <w:szCs w:val="18"/>
              </w:rPr>
              <w:t>Preferred stock</w:t>
            </w:r>
          </w:p>
        </w:tc>
        <w:tc>
          <w:tcPr>
            <w:tcW w:w="0" w:type="auto"/>
            <w:gridSpan w:val="3"/>
            <w:shd w:val="clear" w:color="auto" w:fill="auto"/>
            <w:tcMar>
              <w:left w:w="20" w:type="dxa"/>
              <w:right w:w="20" w:type="dxa"/>
            </w:tcMar>
            <w:vAlign w:val="bottom"/>
          </w:tcPr>
          <w:p w14:paraId="20ADFDE2"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DE3"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20ADFDE4"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DFDE5"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DE6"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DFDE7" w14:textId="77777777" w:rsidR="00B626E7" w:rsidRDefault="00175C1D">
            <w:pPr>
              <w:jc w:val="right"/>
              <w:textAlignment w:val="bottom"/>
            </w:pPr>
            <w:r>
              <w:rPr>
                <w:rFonts w:ascii="Arial" w:eastAsia="宋体" w:hAnsi="Arial" w:cs="Arial"/>
                <w:color w:val="333333"/>
                <w:sz w:val="18"/>
                <w:szCs w:val="18"/>
              </w:rPr>
              <w:t> </w:t>
            </w:r>
          </w:p>
        </w:tc>
      </w:tr>
      <w:tr w:rsidR="00B626E7" w14:paraId="20ADFDF0" w14:textId="77777777">
        <w:tc>
          <w:tcPr>
            <w:tcW w:w="0" w:type="auto"/>
            <w:gridSpan w:val="3"/>
            <w:shd w:val="clear" w:color="auto" w:fill="auto"/>
            <w:tcMar>
              <w:top w:w="40" w:type="dxa"/>
              <w:left w:w="195" w:type="dxa"/>
              <w:bottom w:w="40" w:type="dxa"/>
              <w:right w:w="20" w:type="dxa"/>
            </w:tcMar>
          </w:tcPr>
          <w:p w14:paraId="20ADFDE9" w14:textId="77777777" w:rsidR="00B626E7" w:rsidRDefault="00175C1D">
            <w:pPr>
              <w:textAlignment w:val="top"/>
            </w:pPr>
            <w:r>
              <w:rPr>
                <w:rFonts w:ascii="Arial" w:eastAsia="宋体" w:hAnsi="Arial" w:cs="Arial"/>
                <w:color w:val="333333"/>
                <w:sz w:val="18"/>
                <w:szCs w:val="18"/>
              </w:rPr>
              <w:t xml:space="preserve">Common stock and capital in excess of par value, </w:t>
            </w:r>
            <w:r>
              <w:rPr>
                <w:rFonts w:ascii="Arial" w:eastAsia="宋体" w:hAnsi="Arial" w:cs="Arial"/>
                <w:color w:val="333333"/>
                <w:sz w:val="18"/>
                <w:szCs w:val="18"/>
              </w:rPr>
              <w:t>4,253 issued and outstanding (4,290 issued and outstanding as of December 28, 2019)</w:t>
            </w:r>
          </w:p>
        </w:tc>
        <w:tc>
          <w:tcPr>
            <w:tcW w:w="0" w:type="auto"/>
            <w:gridSpan w:val="3"/>
            <w:shd w:val="clear" w:color="auto" w:fill="auto"/>
            <w:tcMar>
              <w:left w:w="20" w:type="dxa"/>
              <w:right w:w="20" w:type="dxa"/>
            </w:tcMar>
            <w:vAlign w:val="bottom"/>
          </w:tcPr>
          <w:p w14:paraId="20ADFDEA"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DEB" w14:textId="77777777" w:rsidR="00B626E7" w:rsidRDefault="00175C1D">
            <w:pPr>
              <w:jc w:val="right"/>
              <w:textAlignment w:val="bottom"/>
            </w:pPr>
            <w:r>
              <w:rPr>
                <w:rFonts w:ascii="Arial" w:eastAsia="宋体" w:hAnsi="Arial" w:cs="Arial"/>
                <w:color w:val="0071C5"/>
                <w:sz w:val="18"/>
                <w:szCs w:val="18"/>
              </w:rPr>
              <w:t>25,516 </w:t>
            </w:r>
          </w:p>
        </w:tc>
        <w:tc>
          <w:tcPr>
            <w:tcW w:w="0" w:type="auto"/>
            <w:shd w:val="clear" w:color="auto" w:fill="auto"/>
            <w:tcMar>
              <w:top w:w="40" w:type="dxa"/>
              <w:bottom w:w="40" w:type="dxa"/>
              <w:right w:w="20" w:type="dxa"/>
            </w:tcMar>
            <w:vAlign w:val="bottom"/>
          </w:tcPr>
          <w:p w14:paraId="20ADFDEC"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DFDED"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DEE" w14:textId="77777777" w:rsidR="00B626E7" w:rsidRDefault="00175C1D">
            <w:pPr>
              <w:jc w:val="right"/>
              <w:textAlignment w:val="bottom"/>
            </w:pPr>
            <w:r>
              <w:rPr>
                <w:rFonts w:ascii="Arial" w:eastAsia="宋体" w:hAnsi="Arial" w:cs="Arial"/>
                <w:color w:val="333333"/>
                <w:sz w:val="18"/>
                <w:szCs w:val="18"/>
              </w:rPr>
              <w:t>25,261 </w:t>
            </w:r>
          </w:p>
        </w:tc>
        <w:tc>
          <w:tcPr>
            <w:tcW w:w="0" w:type="auto"/>
            <w:shd w:val="clear" w:color="auto" w:fill="auto"/>
            <w:tcMar>
              <w:top w:w="40" w:type="dxa"/>
              <w:bottom w:w="40" w:type="dxa"/>
              <w:right w:w="20" w:type="dxa"/>
            </w:tcMar>
            <w:vAlign w:val="bottom"/>
          </w:tcPr>
          <w:p w14:paraId="20ADFDEF" w14:textId="77777777" w:rsidR="00B626E7" w:rsidRDefault="00175C1D">
            <w:pPr>
              <w:jc w:val="right"/>
              <w:textAlignment w:val="bottom"/>
            </w:pPr>
            <w:r>
              <w:rPr>
                <w:rFonts w:ascii="Arial" w:eastAsia="宋体" w:hAnsi="Arial" w:cs="Arial"/>
                <w:color w:val="333333"/>
                <w:sz w:val="18"/>
                <w:szCs w:val="18"/>
              </w:rPr>
              <w:t> </w:t>
            </w:r>
          </w:p>
        </w:tc>
      </w:tr>
      <w:tr w:rsidR="00B626E7" w14:paraId="20ADFDF8" w14:textId="77777777">
        <w:tc>
          <w:tcPr>
            <w:tcW w:w="0" w:type="auto"/>
            <w:gridSpan w:val="3"/>
            <w:shd w:val="clear" w:color="auto" w:fill="auto"/>
            <w:tcMar>
              <w:top w:w="40" w:type="dxa"/>
              <w:left w:w="195" w:type="dxa"/>
              <w:bottom w:w="40" w:type="dxa"/>
              <w:right w:w="20" w:type="dxa"/>
            </w:tcMar>
          </w:tcPr>
          <w:p w14:paraId="20ADFDF1" w14:textId="77777777" w:rsidR="00B626E7" w:rsidRDefault="00175C1D">
            <w:pPr>
              <w:textAlignment w:val="top"/>
            </w:pPr>
            <w:r>
              <w:rPr>
                <w:rFonts w:ascii="Arial" w:eastAsia="宋体" w:hAnsi="Arial" w:cs="Arial"/>
                <w:color w:val="333333"/>
                <w:sz w:val="18"/>
                <w:szCs w:val="18"/>
              </w:rPr>
              <w:t>Accumulated other comprehensive income (loss)</w:t>
            </w:r>
          </w:p>
        </w:tc>
        <w:tc>
          <w:tcPr>
            <w:tcW w:w="0" w:type="auto"/>
            <w:gridSpan w:val="3"/>
            <w:shd w:val="clear" w:color="auto" w:fill="auto"/>
            <w:tcMar>
              <w:left w:w="20" w:type="dxa"/>
              <w:right w:w="20" w:type="dxa"/>
            </w:tcMar>
            <w:vAlign w:val="bottom"/>
          </w:tcPr>
          <w:p w14:paraId="20ADFDF2"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DF3" w14:textId="77777777" w:rsidR="00B626E7" w:rsidRDefault="00175C1D">
            <w:pPr>
              <w:jc w:val="right"/>
              <w:textAlignment w:val="bottom"/>
            </w:pPr>
            <w:r>
              <w:rPr>
                <w:rFonts w:ascii="Arial" w:eastAsia="宋体" w:hAnsi="Arial" w:cs="Arial"/>
                <w:color w:val="0071C5"/>
                <w:sz w:val="18"/>
                <w:szCs w:val="18"/>
              </w:rPr>
              <w:t>(1,152)</w:t>
            </w:r>
          </w:p>
        </w:tc>
        <w:tc>
          <w:tcPr>
            <w:tcW w:w="0" w:type="auto"/>
            <w:shd w:val="clear" w:color="auto" w:fill="auto"/>
            <w:tcMar>
              <w:top w:w="40" w:type="dxa"/>
              <w:bottom w:w="40" w:type="dxa"/>
              <w:right w:w="20" w:type="dxa"/>
            </w:tcMar>
            <w:vAlign w:val="bottom"/>
          </w:tcPr>
          <w:p w14:paraId="20ADFDF4"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DFDF5"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DF6" w14:textId="77777777" w:rsidR="00B626E7" w:rsidRDefault="00175C1D">
            <w:pPr>
              <w:jc w:val="right"/>
              <w:textAlignment w:val="bottom"/>
            </w:pPr>
            <w:r>
              <w:rPr>
                <w:rFonts w:ascii="Arial" w:eastAsia="宋体" w:hAnsi="Arial" w:cs="Arial"/>
                <w:color w:val="333333"/>
                <w:sz w:val="18"/>
                <w:szCs w:val="18"/>
              </w:rPr>
              <w:t>(1,280)</w:t>
            </w:r>
          </w:p>
        </w:tc>
        <w:tc>
          <w:tcPr>
            <w:tcW w:w="0" w:type="auto"/>
            <w:shd w:val="clear" w:color="auto" w:fill="auto"/>
            <w:tcMar>
              <w:top w:w="40" w:type="dxa"/>
              <w:bottom w:w="40" w:type="dxa"/>
              <w:right w:w="20" w:type="dxa"/>
            </w:tcMar>
            <w:vAlign w:val="bottom"/>
          </w:tcPr>
          <w:p w14:paraId="20ADFDF7" w14:textId="77777777" w:rsidR="00B626E7" w:rsidRDefault="00175C1D">
            <w:pPr>
              <w:jc w:val="right"/>
              <w:textAlignment w:val="bottom"/>
            </w:pPr>
            <w:r>
              <w:rPr>
                <w:rFonts w:ascii="Arial" w:eastAsia="宋体" w:hAnsi="Arial" w:cs="Arial"/>
                <w:color w:val="333333"/>
                <w:sz w:val="18"/>
                <w:szCs w:val="18"/>
              </w:rPr>
              <w:t> </w:t>
            </w:r>
          </w:p>
        </w:tc>
      </w:tr>
      <w:tr w:rsidR="00B626E7" w14:paraId="20ADFE00" w14:textId="77777777">
        <w:tc>
          <w:tcPr>
            <w:tcW w:w="0" w:type="auto"/>
            <w:gridSpan w:val="3"/>
            <w:shd w:val="clear" w:color="auto" w:fill="auto"/>
            <w:tcMar>
              <w:top w:w="40" w:type="dxa"/>
              <w:left w:w="195" w:type="dxa"/>
              <w:bottom w:w="40" w:type="dxa"/>
              <w:right w:w="20" w:type="dxa"/>
            </w:tcMar>
          </w:tcPr>
          <w:p w14:paraId="20ADFDF9" w14:textId="77777777" w:rsidR="00B626E7" w:rsidRDefault="00175C1D">
            <w:pPr>
              <w:textAlignment w:val="top"/>
            </w:pPr>
            <w:r>
              <w:rPr>
                <w:rFonts w:ascii="Arial" w:eastAsia="宋体" w:hAnsi="Arial" w:cs="Arial"/>
                <w:color w:val="333333"/>
                <w:sz w:val="18"/>
                <w:szCs w:val="18"/>
              </w:rPr>
              <w:t>Retained earnings</w:t>
            </w:r>
          </w:p>
        </w:tc>
        <w:tc>
          <w:tcPr>
            <w:tcW w:w="0" w:type="auto"/>
            <w:gridSpan w:val="3"/>
            <w:shd w:val="clear" w:color="auto" w:fill="auto"/>
            <w:tcMar>
              <w:left w:w="20" w:type="dxa"/>
              <w:right w:w="20" w:type="dxa"/>
            </w:tcMar>
            <w:vAlign w:val="bottom"/>
          </w:tcPr>
          <w:p w14:paraId="20ADFDFA"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DFB" w14:textId="77777777" w:rsidR="00B626E7" w:rsidRDefault="00175C1D">
            <w:pPr>
              <w:jc w:val="right"/>
              <w:textAlignment w:val="bottom"/>
            </w:pPr>
            <w:r>
              <w:rPr>
                <w:rFonts w:ascii="Arial" w:eastAsia="宋体" w:hAnsi="Arial" w:cs="Arial"/>
                <w:color w:val="0071C5"/>
                <w:sz w:val="18"/>
                <w:szCs w:val="18"/>
              </w:rPr>
              <w:t>57,646 </w:t>
            </w:r>
          </w:p>
        </w:tc>
        <w:tc>
          <w:tcPr>
            <w:tcW w:w="0" w:type="auto"/>
            <w:shd w:val="clear" w:color="auto" w:fill="auto"/>
            <w:tcMar>
              <w:top w:w="40" w:type="dxa"/>
              <w:bottom w:w="40" w:type="dxa"/>
              <w:right w:w="20" w:type="dxa"/>
            </w:tcMar>
            <w:vAlign w:val="bottom"/>
          </w:tcPr>
          <w:p w14:paraId="20ADFDFC"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DFDFD"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DFE" w14:textId="77777777" w:rsidR="00B626E7" w:rsidRDefault="00175C1D">
            <w:pPr>
              <w:jc w:val="right"/>
              <w:textAlignment w:val="bottom"/>
            </w:pPr>
            <w:r>
              <w:rPr>
                <w:rFonts w:ascii="Arial" w:eastAsia="宋体" w:hAnsi="Arial" w:cs="Arial"/>
                <w:color w:val="333333"/>
                <w:sz w:val="18"/>
                <w:szCs w:val="18"/>
              </w:rPr>
              <w:t>53,523 </w:t>
            </w:r>
          </w:p>
        </w:tc>
        <w:tc>
          <w:tcPr>
            <w:tcW w:w="0" w:type="auto"/>
            <w:shd w:val="clear" w:color="auto" w:fill="auto"/>
            <w:tcMar>
              <w:top w:w="40" w:type="dxa"/>
              <w:bottom w:w="40" w:type="dxa"/>
              <w:right w:w="20" w:type="dxa"/>
            </w:tcMar>
            <w:vAlign w:val="bottom"/>
          </w:tcPr>
          <w:p w14:paraId="20ADFDFF" w14:textId="77777777" w:rsidR="00B626E7" w:rsidRDefault="00175C1D">
            <w:pPr>
              <w:jc w:val="right"/>
              <w:textAlignment w:val="bottom"/>
            </w:pPr>
            <w:r>
              <w:rPr>
                <w:rFonts w:ascii="Arial" w:eastAsia="宋体" w:hAnsi="Arial" w:cs="Arial"/>
                <w:color w:val="333333"/>
                <w:sz w:val="18"/>
                <w:szCs w:val="18"/>
              </w:rPr>
              <w:t> </w:t>
            </w:r>
          </w:p>
        </w:tc>
      </w:tr>
      <w:tr w:rsidR="00B626E7" w14:paraId="20ADFE08" w14:textId="77777777">
        <w:tc>
          <w:tcPr>
            <w:tcW w:w="0" w:type="auto"/>
            <w:gridSpan w:val="3"/>
            <w:shd w:val="clear" w:color="auto" w:fill="auto"/>
            <w:tcMar>
              <w:top w:w="40" w:type="dxa"/>
              <w:left w:w="20" w:type="dxa"/>
              <w:bottom w:w="40" w:type="dxa"/>
              <w:right w:w="20" w:type="dxa"/>
            </w:tcMar>
          </w:tcPr>
          <w:p w14:paraId="20ADFE01" w14:textId="77777777" w:rsidR="00B626E7" w:rsidRDefault="00175C1D">
            <w:pPr>
              <w:ind w:hanging="180"/>
              <w:textAlignment w:val="top"/>
            </w:pPr>
            <w:r>
              <w:rPr>
                <w:rFonts w:ascii="Arial" w:eastAsia="宋体" w:hAnsi="Arial" w:cs="Arial"/>
                <w:b/>
                <w:bCs/>
                <w:color w:val="333333"/>
                <w:sz w:val="18"/>
                <w:szCs w:val="18"/>
              </w:rPr>
              <w:t>Total stockholders’ equity</w:t>
            </w:r>
          </w:p>
        </w:tc>
        <w:tc>
          <w:tcPr>
            <w:tcW w:w="0" w:type="auto"/>
            <w:gridSpan w:val="3"/>
            <w:shd w:val="clear" w:color="auto" w:fill="auto"/>
            <w:tcMar>
              <w:left w:w="20" w:type="dxa"/>
              <w:right w:w="20" w:type="dxa"/>
            </w:tcMar>
            <w:vAlign w:val="bottom"/>
          </w:tcPr>
          <w:p w14:paraId="20ADFE02"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DFE03" w14:textId="77777777" w:rsidR="00B626E7" w:rsidRDefault="00175C1D">
            <w:pPr>
              <w:jc w:val="right"/>
              <w:textAlignment w:val="bottom"/>
            </w:pPr>
            <w:r>
              <w:rPr>
                <w:rFonts w:ascii="Arial" w:eastAsia="宋体" w:hAnsi="Arial" w:cs="Arial"/>
                <w:b/>
                <w:bCs/>
                <w:color w:val="0071C5"/>
                <w:sz w:val="18"/>
                <w:szCs w:val="18"/>
              </w:rPr>
              <w:t>82,010 </w:t>
            </w:r>
          </w:p>
        </w:tc>
        <w:tc>
          <w:tcPr>
            <w:tcW w:w="0" w:type="auto"/>
            <w:tcBorders>
              <w:top w:val="single" w:sz="8" w:space="0" w:color="333333"/>
            </w:tcBorders>
            <w:shd w:val="clear" w:color="auto" w:fill="auto"/>
            <w:tcMar>
              <w:top w:w="40" w:type="dxa"/>
              <w:bottom w:w="40" w:type="dxa"/>
              <w:right w:w="20" w:type="dxa"/>
            </w:tcMar>
            <w:vAlign w:val="bottom"/>
          </w:tcPr>
          <w:p w14:paraId="20ADFE04"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DFE05"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DFE06" w14:textId="77777777" w:rsidR="00B626E7" w:rsidRDefault="00175C1D">
            <w:pPr>
              <w:jc w:val="right"/>
              <w:textAlignment w:val="bottom"/>
            </w:pPr>
            <w:r>
              <w:rPr>
                <w:rFonts w:ascii="Arial" w:eastAsia="宋体" w:hAnsi="Arial" w:cs="Arial"/>
                <w:b/>
                <w:bCs/>
                <w:color w:val="333333"/>
                <w:sz w:val="18"/>
                <w:szCs w:val="18"/>
              </w:rPr>
              <w:t>77,504 </w:t>
            </w:r>
          </w:p>
        </w:tc>
        <w:tc>
          <w:tcPr>
            <w:tcW w:w="0" w:type="auto"/>
            <w:tcBorders>
              <w:top w:val="single" w:sz="8" w:space="0" w:color="333333"/>
            </w:tcBorders>
            <w:shd w:val="clear" w:color="auto" w:fill="auto"/>
            <w:tcMar>
              <w:top w:w="40" w:type="dxa"/>
              <w:bottom w:w="40" w:type="dxa"/>
              <w:right w:w="20" w:type="dxa"/>
            </w:tcMar>
            <w:vAlign w:val="bottom"/>
          </w:tcPr>
          <w:p w14:paraId="20ADFE07" w14:textId="77777777" w:rsidR="00B626E7" w:rsidRDefault="00175C1D">
            <w:pPr>
              <w:jc w:val="right"/>
              <w:textAlignment w:val="bottom"/>
            </w:pPr>
            <w:r>
              <w:rPr>
                <w:rFonts w:ascii="Arial" w:eastAsia="宋体" w:hAnsi="Arial" w:cs="Arial"/>
                <w:b/>
                <w:bCs/>
                <w:color w:val="333333"/>
                <w:sz w:val="18"/>
                <w:szCs w:val="18"/>
              </w:rPr>
              <w:t> </w:t>
            </w:r>
          </w:p>
        </w:tc>
      </w:tr>
      <w:tr w:rsidR="00B626E7" w14:paraId="20ADFE12" w14:textId="77777777">
        <w:tc>
          <w:tcPr>
            <w:tcW w:w="0" w:type="auto"/>
            <w:gridSpan w:val="3"/>
            <w:shd w:val="clear" w:color="auto" w:fill="auto"/>
            <w:tcMar>
              <w:top w:w="40" w:type="dxa"/>
              <w:left w:w="20" w:type="dxa"/>
              <w:bottom w:w="40" w:type="dxa"/>
              <w:right w:w="20" w:type="dxa"/>
            </w:tcMar>
          </w:tcPr>
          <w:p w14:paraId="20ADFE09" w14:textId="77777777" w:rsidR="00B626E7" w:rsidRDefault="00175C1D">
            <w:pPr>
              <w:ind w:hanging="180"/>
              <w:textAlignment w:val="top"/>
            </w:pPr>
            <w:r>
              <w:rPr>
                <w:rFonts w:ascii="Arial" w:eastAsia="宋体" w:hAnsi="Arial" w:cs="Arial"/>
                <w:b/>
                <w:bCs/>
                <w:color w:val="333333"/>
                <w:sz w:val="18"/>
                <w:szCs w:val="18"/>
              </w:rPr>
              <w:t>Total liabilities, temporary equity, and stockholders’ equity</w:t>
            </w:r>
          </w:p>
        </w:tc>
        <w:tc>
          <w:tcPr>
            <w:tcW w:w="0" w:type="auto"/>
            <w:gridSpan w:val="3"/>
            <w:shd w:val="clear" w:color="auto" w:fill="auto"/>
            <w:tcMar>
              <w:left w:w="20" w:type="dxa"/>
              <w:right w:w="20" w:type="dxa"/>
            </w:tcMar>
            <w:vAlign w:val="bottom"/>
          </w:tcPr>
          <w:p w14:paraId="20ADFE0A"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DFE0B" w14:textId="77777777" w:rsidR="00B626E7" w:rsidRDefault="00175C1D">
            <w:pPr>
              <w:textAlignment w:val="bottom"/>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DFE0C" w14:textId="77777777" w:rsidR="00B626E7" w:rsidRDefault="00175C1D">
            <w:pPr>
              <w:jc w:val="right"/>
              <w:textAlignment w:val="bottom"/>
            </w:pPr>
            <w:r>
              <w:rPr>
                <w:rFonts w:ascii="Arial" w:eastAsia="宋体" w:hAnsi="Arial" w:cs="Arial"/>
                <w:b/>
                <w:bCs/>
                <w:color w:val="0071C5"/>
                <w:sz w:val="18"/>
                <w:szCs w:val="18"/>
              </w:rPr>
              <w:t>152,539 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DFE0D"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DFE0E"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DFE0F"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DFE10" w14:textId="77777777" w:rsidR="00B626E7" w:rsidRDefault="00175C1D">
            <w:pPr>
              <w:jc w:val="right"/>
              <w:textAlignment w:val="bottom"/>
            </w:pPr>
            <w:r>
              <w:rPr>
                <w:rFonts w:ascii="Arial" w:eastAsia="宋体" w:hAnsi="Arial" w:cs="Arial"/>
                <w:b/>
                <w:bCs/>
                <w:color w:val="333333"/>
                <w:sz w:val="18"/>
                <w:szCs w:val="18"/>
              </w:rPr>
              <w:t>136,524 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DFE11" w14:textId="77777777" w:rsidR="00B626E7" w:rsidRDefault="00175C1D">
            <w:pPr>
              <w:jc w:val="right"/>
              <w:textAlignment w:val="bottom"/>
            </w:pPr>
            <w:r>
              <w:rPr>
                <w:rFonts w:ascii="Arial" w:eastAsia="宋体" w:hAnsi="Arial" w:cs="Arial"/>
                <w:b/>
                <w:bCs/>
                <w:color w:val="333333"/>
                <w:sz w:val="18"/>
                <w:szCs w:val="18"/>
              </w:rPr>
              <w:t> </w:t>
            </w:r>
          </w:p>
        </w:tc>
      </w:tr>
    </w:tbl>
    <w:p w14:paraId="20ADFE13" w14:textId="77777777" w:rsidR="00B626E7" w:rsidRDefault="00175C1D">
      <w:pPr>
        <w:spacing w:before="180" w:after="180"/>
      </w:pPr>
      <w:r>
        <w:rPr>
          <w:rFonts w:ascii="Arial" w:eastAsia="宋体" w:hAnsi="Arial" w:cs="Arial"/>
          <w:i/>
          <w:iCs/>
          <w:color w:val="333333"/>
          <w:sz w:val="16"/>
          <w:szCs w:val="16"/>
        </w:rPr>
        <w:t>See accompanying notes.</w:t>
      </w:r>
    </w:p>
    <w:tbl>
      <w:tblPr>
        <w:tblW w:w="5000" w:type="pct"/>
        <w:tblCellMar>
          <w:top w:w="15" w:type="dxa"/>
          <w:left w:w="15" w:type="dxa"/>
          <w:bottom w:w="15" w:type="dxa"/>
          <w:right w:w="15" w:type="dxa"/>
        </w:tblCellMar>
        <w:tblLook w:val="04A0" w:firstRow="1" w:lastRow="0" w:firstColumn="1" w:lastColumn="0" w:noHBand="0" w:noVBand="1"/>
      </w:tblPr>
      <w:tblGrid>
        <w:gridCol w:w="84"/>
        <w:gridCol w:w="2423"/>
        <w:gridCol w:w="84"/>
        <w:gridCol w:w="83"/>
        <w:gridCol w:w="3471"/>
        <w:gridCol w:w="83"/>
        <w:gridCol w:w="83"/>
        <w:gridCol w:w="1942"/>
        <w:gridCol w:w="83"/>
      </w:tblGrid>
      <w:tr w:rsidR="00B626E7" w14:paraId="20ADFE1D" w14:textId="77777777">
        <w:tc>
          <w:tcPr>
            <w:tcW w:w="50" w:type="pct"/>
            <w:shd w:val="clear" w:color="auto" w:fill="auto"/>
            <w:vAlign w:val="bottom"/>
          </w:tcPr>
          <w:p w14:paraId="20ADFE14" w14:textId="77777777" w:rsidR="00B626E7" w:rsidRDefault="00B626E7">
            <w:pPr>
              <w:rPr>
                <w:rFonts w:ascii="宋体"/>
              </w:rPr>
            </w:pPr>
          </w:p>
        </w:tc>
        <w:tc>
          <w:tcPr>
            <w:tcW w:w="1452" w:type="pct"/>
            <w:shd w:val="clear" w:color="auto" w:fill="auto"/>
            <w:vAlign w:val="bottom"/>
          </w:tcPr>
          <w:p w14:paraId="20ADFE15" w14:textId="77777777" w:rsidR="00B626E7" w:rsidRDefault="00B626E7">
            <w:pPr>
              <w:rPr>
                <w:rFonts w:ascii="宋体"/>
              </w:rPr>
            </w:pPr>
          </w:p>
        </w:tc>
        <w:tc>
          <w:tcPr>
            <w:tcW w:w="50" w:type="pct"/>
            <w:shd w:val="clear" w:color="auto" w:fill="auto"/>
            <w:vAlign w:val="bottom"/>
          </w:tcPr>
          <w:p w14:paraId="20ADFE16" w14:textId="77777777" w:rsidR="00B626E7" w:rsidRDefault="00B626E7">
            <w:pPr>
              <w:rPr>
                <w:rFonts w:ascii="宋体"/>
              </w:rPr>
            </w:pPr>
          </w:p>
        </w:tc>
        <w:tc>
          <w:tcPr>
            <w:tcW w:w="50" w:type="pct"/>
            <w:shd w:val="clear" w:color="auto" w:fill="auto"/>
            <w:vAlign w:val="bottom"/>
          </w:tcPr>
          <w:p w14:paraId="20ADFE17" w14:textId="77777777" w:rsidR="00B626E7" w:rsidRDefault="00B626E7">
            <w:pPr>
              <w:rPr>
                <w:rFonts w:ascii="宋体"/>
              </w:rPr>
            </w:pPr>
          </w:p>
        </w:tc>
        <w:tc>
          <w:tcPr>
            <w:tcW w:w="2081" w:type="pct"/>
            <w:shd w:val="clear" w:color="auto" w:fill="auto"/>
            <w:vAlign w:val="bottom"/>
          </w:tcPr>
          <w:p w14:paraId="20ADFE18" w14:textId="77777777" w:rsidR="00B626E7" w:rsidRDefault="00B626E7">
            <w:pPr>
              <w:rPr>
                <w:rFonts w:ascii="宋体"/>
              </w:rPr>
            </w:pPr>
          </w:p>
        </w:tc>
        <w:tc>
          <w:tcPr>
            <w:tcW w:w="50" w:type="pct"/>
            <w:shd w:val="clear" w:color="auto" w:fill="auto"/>
            <w:vAlign w:val="bottom"/>
          </w:tcPr>
          <w:p w14:paraId="20ADFE19" w14:textId="77777777" w:rsidR="00B626E7" w:rsidRDefault="00B626E7">
            <w:pPr>
              <w:rPr>
                <w:rFonts w:ascii="宋体"/>
              </w:rPr>
            </w:pPr>
          </w:p>
        </w:tc>
        <w:tc>
          <w:tcPr>
            <w:tcW w:w="50" w:type="pct"/>
            <w:shd w:val="clear" w:color="auto" w:fill="auto"/>
            <w:vAlign w:val="bottom"/>
          </w:tcPr>
          <w:p w14:paraId="20ADFE1A" w14:textId="77777777" w:rsidR="00B626E7" w:rsidRDefault="00B626E7">
            <w:pPr>
              <w:rPr>
                <w:rFonts w:ascii="宋体"/>
              </w:rPr>
            </w:pPr>
          </w:p>
        </w:tc>
        <w:tc>
          <w:tcPr>
            <w:tcW w:w="1165" w:type="pct"/>
            <w:shd w:val="clear" w:color="auto" w:fill="auto"/>
            <w:vAlign w:val="bottom"/>
          </w:tcPr>
          <w:p w14:paraId="20ADFE1B" w14:textId="77777777" w:rsidR="00B626E7" w:rsidRDefault="00B626E7">
            <w:pPr>
              <w:rPr>
                <w:rFonts w:ascii="宋体"/>
              </w:rPr>
            </w:pPr>
          </w:p>
        </w:tc>
        <w:tc>
          <w:tcPr>
            <w:tcW w:w="50" w:type="pct"/>
            <w:shd w:val="clear" w:color="auto" w:fill="auto"/>
            <w:vAlign w:val="bottom"/>
          </w:tcPr>
          <w:p w14:paraId="20ADFE1C" w14:textId="77777777" w:rsidR="00B626E7" w:rsidRDefault="00B626E7">
            <w:pPr>
              <w:rPr>
                <w:rFonts w:ascii="宋体"/>
              </w:rPr>
            </w:pPr>
          </w:p>
        </w:tc>
      </w:tr>
      <w:tr w:rsidR="00B626E7" w14:paraId="20ADFE21" w14:textId="77777777">
        <w:tc>
          <w:tcPr>
            <w:tcW w:w="0" w:type="auto"/>
            <w:gridSpan w:val="3"/>
            <w:tcBorders>
              <w:top w:val="single" w:sz="8" w:space="0" w:color="0071C5"/>
            </w:tcBorders>
            <w:shd w:val="clear" w:color="auto" w:fill="auto"/>
            <w:tcMar>
              <w:top w:w="40" w:type="dxa"/>
              <w:left w:w="20" w:type="dxa"/>
              <w:bottom w:w="40" w:type="dxa"/>
              <w:right w:w="20" w:type="dxa"/>
            </w:tcMar>
            <w:vAlign w:val="center"/>
          </w:tcPr>
          <w:p w14:paraId="20ADFE1E" w14:textId="77777777" w:rsidR="00B626E7" w:rsidRDefault="00175C1D">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Viewer10_files/intc-20200627_g12.jpg"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2C" wp14:editId="20AE3C2D">
                  <wp:extent cx="304800" cy="304800"/>
                  <wp:effectExtent l="0" t="0" r="0" b="0"/>
                  <wp:docPr id="42" name="图片 53"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3" descr="IMG_26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Arial" w:eastAsia="宋体" w:hAnsi="Arial" w:cs="Arial"/>
                <w:color w:val="333333"/>
                <w:sz w:val="16"/>
                <w:szCs w:val="16"/>
              </w:rPr>
              <w:t>FINANCIAL STATEMENTS</w:t>
            </w:r>
          </w:p>
        </w:tc>
        <w:tc>
          <w:tcPr>
            <w:tcW w:w="0" w:type="auto"/>
            <w:gridSpan w:val="3"/>
            <w:tcBorders>
              <w:top w:val="single" w:sz="8" w:space="0" w:color="0071C5"/>
              <w:left w:val="single" w:sz="24" w:space="0" w:color="0071C5"/>
            </w:tcBorders>
            <w:shd w:val="clear" w:color="auto" w:fill="auto"/>
            <w:tcMar>
              <w:top w:w="40" w:type="dxa"/>
              <w:left w:w="20" w:type="dxa"/>
              <w:bottom w:w="40" w:type="dxa"/>
              <w:right w:w="20" w:type="dxa"/>
            </w:tcMar>
            <w:vAlign w:val="bottom"/>
          </w:tcPr>
          <w:p w14:paraId="20ADFE1F" w14:textId="77777777" w:rsidR="00B626E7" w:rsidRDefault="00175C1D">
            <w:pPr>
              <w:textAlignment w:val="bottom"/>
            </w:pPr>
            <w:r>
              <w:rPr>
                <w:rFonts w:ascii="Arial" w:eastAsia="宋体" w:hAnsi="Arial" w:cs="Arial"/>
                <w:color w:val="333333"/>
                <w:sz w:val="16"/>
                <w:szCs w:val="16"/>
              </w:rPr>
              <w:t>  Consolidated Condensed Balance Sheets</w:t>
            </w: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DFE20" w14:textId="77777777" w:rsidR="00B626E7" w:rsidRDefault="00175C1D">
            <w:pPr>
              <w:jc w:val="right"/>
              <w:textAlignment w:val="bottom"/>
            </w:pPr>
            <w:r>
              <w:rPr>
                <w:rFonts w:ascii="Arial" w:eastAsia="宋体" w:hAnsi="Arial" w:cs="Arial"/>
                <w:color w:val="333333"/>
                <w:sz w:val="16"/>
                <w:szCs w:val="16"/>
              </w:rPr>
              <w:t>7</w:t>
            </w:r>
          </w:p>
        </w:tc>
      </w:tr>
    </w:tbl>
    <w:p w14:paraId="20ADFE22" w14:textId="77777777" w:rsidR="00B626E7" w:rsidRDefault="00175C1D">
      <w:r>
        <w:pict w14:anchorId="20AE3C2E">
          <v:rect id="_x0000_i1033" style="width:415.3pt;height:1.5pt" o:hralign="center" o:hrstd="t" o:hr="t" fillcolor="#a0a0a0" stroked="f"/>
        </w:pict>
      </w:r>
    </w:p>
    <w:p w14:paraId="20ADFE23" w14:textId="77777777" w:rsidR="00B626E7" w:rsidRDefault="00175C1D">
      <w:pPr>
        <w:spacing w:after="180"/>
        <w:jc w:val="right"/>
      </w:pPr>
      <w:hyperlink r:id="rId35" w:anchor="ib035cc8759904e51927d703ec8414366_7" w:history="1">
        <w:r>
          <w:rPr>
            <w:rStyle w:val="a5"/>
            <w:rFonts w:ascii="Arial" w:eastAsia="宋体" w:hAnsi="Arial" w:cs="Arial"/>
            <w:b/>
            <w:bCs/>
            <w:sz w:val="16"/>
            <w:szCs w:val="16"/>
          </w:rPr>
          <w:t>Table of Contents</w:t>
        </w:r>
      </w:hyperlink>
    </w:p>
    <w:p w14:paraId="20ADFE24" w14:textId="77777777" w:rsidR="00B626E7" w:rsidRDefault="00B626E7">
      <w:pPr>
        <w:spacing w:after="180"/>
        <w:jc w:val="right"/>
      </w:pPr>
    </w:p>
    <w:tbl>
      <w:tblPr>
        <w:tblW w:w="5000" w:type="pct"/>
        <w:jc w:val="center"/>
        <w:tblCellMar>
          <w:top w:w="15" w:type="dxa"/>
          <w:left w:w="15" w:type="dxa"/>
          <w:bottom w:w="15" w:type="dxa"/>
          <w:right w:w="15" w:type="dxa"/>
        </w:tblCellMar>
        <w:tblLook w:val="04A0" w:firstRow="1" w:lastRow="0" w:firstColumn="1" w:lastColumn="0" w:noHBand="0" w:noVBand="1"/>
      </w:tblPr>
      <w:tblGrid>
        <w:gridCol w:w="84"/>
        <w:gridCol w:w="8169"/>
        <w:gridCol w:w="83"/>
      </w:tblGrid>
      <w:tr w:rsidR="00B626E7" w14:paraId="20ADFE28" w14:textId="77777777">
        <w:trPr>
          <w:jc w:val="center"/>
        </w:trPr>
        <w:tc>
          <w:tcPr>
            <w:tcW w:w="50" w:type="pct"/>
            <w:shd w:val="clear" w:color="auto" w:fill="auto"/>
          </w:tcPr>
          <w:p w14:paraId="20ADFE25" w14:textId="77777777" w:rsidR="00B626E7" w:rsidRDefault="00B626E7">
            <w:pPr>
              <w:rPr>
                <w:rFonts w:ascii="宋体"/>
              </w:rPr>
            </w:pPr>
          </w:p>
        </w:tc>
        <w:tc>
          <w:tcPr>
            <w:tcW w:w="4900" w:type="pct"/>
            <w:shd w:val="clear" w:color="auto" w:fill="auto"/>
          </w:tcPr>
          <w:p w14:paraId="20ADFE26" w14:textId="77777777" w:rsidR="00B626E7" w:rsidRDefault="00B626E7">
            <w:pPr>
              <w:rPr>
                <w:rFonts w:ascii="宋体"/>
              </w:rPr>
            </w:pPr>
          </w:p>
        </w:tc>
        <w:tc>
          <w:tcPr>
            <w:tcW w:w="50" w:type="pct"/>
            <w:shd w:val="clear" w:color="auto" w:fill="auto"/>
          </w:tcPr>
          <w:p w14:paraId="20ADFE27" w14:textId="77777777" w:rsidR="00B626E7" w:rsidRDefault="00B626E7">
            <w:pPr>
              <w:rPr>
                <w:rFonts w:ascii="宋体"/>
              </w:rPr>
            </w:pPr>
          </w:p>
        </w:tc>
      </w:tr>
      <w:tr w:rsidR="00B626E7" w14:paraId="20ADFE2A" w14:textId="77777777">
        <w:trPr>
          <w:jc w:val="center"/>
        </w:trPr>
        <w:tc>
          <w:tcPr>
            <w:tcW w:w="0" w:type="auto"/>
            <w:gridSpan w:val="3"/>
            <w:shd w:val="clear" w:color="auto" w:fill="0071C5"/>
            <w:tcMar>
              <w:top w:w="40" w:type="dxa"/>
              <w:left w:w="20" w:type="dxa"/>
              <w:bottom w:w="40" w:type="dxa"/>
              <w:right w:w="20" w:type="dxa"/>
            </w:tcMar>
            <w:vAlign w:val="bottom"/>
          </w:tcPr>
          <w:p w14:paraId="20ADFE29" w14:textId="77777777" w:rsidR="00B626E7" w:rsidRDefault="00175C1D">
            <w:pPr>
              <w:textAlignment w:val="bottom"/>
            </w:pPr>
            <w:r>
              <w:rPr>
                <w:rFonts w:ascii="Arial" w:eastAsia="宋体" w:hAnsi="Arial" w:cs="Arial"/>
                <w:b/>
                <w:bCs/>
                <w:color w:val="FFFFFF"/>
                <w:sz w:val="28"/>
                <w:szCs w:val="28"/>
              </w:rPr>
              <w:t>CONSOLIDATED CONDENSED STATEMENTS OF CASH FLOWS</w:t>
            </w:r>
          </w:p>
        </w:tc>
      </w:tr>
    </w:tbl>
    <w:p w14:paraId="20ADFE2B" w14:textId="77777777" w:rsidR="00B626E7" w:rsidRDefault="00B626E7">
      <w:pPr>
        <w:rPr>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9"/>
        <w:gridCol w:w="5884"/>
        <w:gridCol w:w="49"/>
        <w:gridCol w:w="36"/>
        <w:gridCol w:w="36"/>
        <w:gridCol w:w="36"/>
        <w:gridCol w:w="137"/>
        <w:gridCol w:w="738"/>
        <w:gridCol w:w="86"/>
        <w:gridCol w:w="36"/>
        <w:gridCol w:w="36"/>
        <w:gridCol w:w="36"/>
        <w:gridCol w:w="136"/>
        <w:gridCol w:w="739"/>
        <w:gridCol w:w="86"/>
        <w:gridCol w:w="36"/>
        <w:gridCol w:w="36"/>
        <w:gridCol w:w="36"/>
        <w:gridCol w:w="36"/>
        <w:gridCol w:w="36"/>
        <w:gridCol w:w="36"/>
      </w:tblGrid>
      <w:tr w:rsidR="00B626E7" w14:paraId="20ADFE3B" w14:textId="77777777">
        <w:trPr>
          <w:gridAfter w:val="6"/>
          <w:jc w:val="center"/>
        </w:trPr>
        <w:tc>
          <w:tcPr>
            <w:tcW w:w="50" w:type="pct"/>
            <w:shd w:val="clear" w:color="auto" w:fill="auto"/>
          </w:tcPr>
          <w:p w14:paraId="20ADFE2C" w14:textId="77777777" w:rsidR="00B626E7" w:rsidRDefault="00B626E7">
            <w:pPr>
              <w:rPr>
                <w:rFonts w:ascii="宋体"/>
              </w:rPr>
            </w:pPr>
          </w:p>
        </w:tc>
        <w:tc>
          <w:tcPr>
            <w:tcW w:w="3643" w:type="pct"/>
            <w:shd w:val="clear" w:color="auto" w:fill="auto"/>
          </w:tcPr>
          <w:p w14:paraId="20ADFE2D" w14:textId="77777777" w:rsidR="00B626E7" w:rsidRDefault="00B626E7">
            <w:pPr>
              <w:rPr>
                <w:rFonts w:ascii="宋体"/>
              </w:rPr>
            </w:pPr>
          </w:p>
        </w:tc>
        <w:tc>
          <w:tcPr>
            <w:tcW w:w="50" w:type="pct"/>
            <w:shd w:val="clear" w:color="auto" w:fill="auto"/>
          </w:tcPr>
          <w:p w14:paraId="20ADFE2E" w14:textId="77777777" w:rsidR="00B626E7" w:rsidRDefault="00B626E7">
            <w:pPr>
              <w:rPr>
                <w:rFonts w:ascii="宋体"/>
              </w:rPr>
            </w:pPr>
          </w:p>
        </w:tc>
        <w:tc>
          <w:tcPr>
            <w:tcW w:w="5" w:type="pct"/>
            <w:shd w:val="clear" w:color="auto" w:fill="auto"/>
          </w:tcPr>
          <w:p w14:paraId="20ADFE2F" w14:textId="77777777" w:rsidR="00B626E7" w:rsidRDefault="00B626E7">
            <w:pPr>
              <w:rPr>
                <w:rFonts w:ascii="宋体"/>
              </w:rPr>
            </w:pPr>
          </w:p>
        </w:tc>
        <w:tc>
          <w:tcPr>
            <w:tcW w:w="24" w:type="pct"/>
            <w:shd w:val="clear" w:color="auto" w:fill="auto"/>
          </w:tcPr>
          <w:p w14:paraId="20ADFE30" w14:textId="77777777" w:rsidR="00B626E7" w:rsidRDefault="00B626E7">
            <w:pPr>
              <w:rPr>
                <w:rFonts w:ascii="宋体"/>
              </w:rPr>
            </w:pPr>
          </w:p>
        </w:tc>
        <w:tc>
          <w:tcPr>
            <w:tcW w:w="5" w:type="pct"/>
            <w:shd w:val="clear" w:color="auto" w:fill="auto"/>
          </w:tcPr>
          <w:p w14:paraId="20ADFE31" w14:textId="77777777" w:rsidR="00B626E7" w:rsidRDefault="00B626E7">
            <w:pPr>
              <w:rPr>
                <w:rFonts w:ascii="宋体"/>
              </w:rPr>
            </w:pPr>
          </w:p>
        </w:tc>
        <w:tc>
          <w:tcPr>
            <w:tcW w:w="50" w:type="pct"/>
            <w:shd w:val="clear" w:color="auto" w:fill="auto"/>
          </w:tcPr>
          <w:p w14:paraId="20ADFE32" w14:textId="77777777" w:rsidR="00B626E7" w:rsidRDefault="00B626E7">
            <w:pPr>
              <w:rPr>
                <w:rFonts w:ascii="宋体"/>
              </w:rPr>
            </w:pPr>
          </w:p>
        </w:tc>
        <w:tc>
          <w:tcPr>
            <w:tcW w:w="494" w:type="pct"/>
            <w:shd w:val="clear" w:color="auto" w:fill="auto"/>
          </w:tcPr>
          <w:p w14:paraId="20ADFE33" w14:textId="77777777" w:rsidR="00B626E7" w:rsidRDefault="00B626E7">
            <w:pPr>
              <w:rPr>
                <w:rFonts w:ascii="宋体"/>
              </w:rPr>
            </w:pPr>
          </w:p>
        </w:tc>
        <w:tc>
          <w:tcPr>
            <w:tcW w:w="50" w:type="pct"/>
            <w:shd w:val="clear" w:color="auto" w:fill="auto"/>
          </w:tcPr>
          <w:p w14:paraId="20ADFE34" w14:textId="77777777" w:rsidR="00B626E7" w:rsidRDefault="00B626E7">
            <w:pPr>
              <w:rPr>
                <w:rFonts w:ascii="宋体"/>
              </w:rPr>
            </w:pPr>
          </w:p>
        </w:tc>
        <w:tc>
          <w:tcPr>
            <w:tcW w:w="5" w:type="pct"/>
            <w:shd w:val="clear" w:color="auto" w:fill="auto"/>
          </w:tcPr>
          <w:p w14:paraId="20ADFE35" w14:textId="77777777" w:rsidR="00B626E7" w:rsidRDefault="00B626E7">
            <w:pPr>
              <w:rPr>
                <w:rFonts w:ascii="宋体"/>
              </w:rPr>
            </w:pPr>
          </w:p>
        </w:tc>
        <w:tc>
          <w:tcPr>
            <w:tcW w:w="24" w:type="pct"/>
            <w:shd w:val="clear" w:color="auto" w:fill="auto"/>
          </w:tcPr>
          <w:p w14:paraId="20ADFE36" w14:textId="77777777" w:rsidR="00B626E7" w:rsidRDefault="00B626E7">
            <w:pPr>
              <w:rPr>
                <w:rFonts w:ascii="宋体"/>
              </w:rPr>
            </w:pPr>
          </w:p>
        </w:tc>
        <w:tc>
          <w:tcPr>
            <w:tcW w:w="5" w:type="pct"/>
            <w:shd w:val="clear" w:color="auto" w:fill="auto"/>
          </w:tcPr>
          <w:p w14:paraId="20ADFE37" w14:textId="77777777" w:rsidR="00B626E7" w:rsidRDefault="00B626E7">
            <w:pPr>
              <w:rPr>
                <w:rFonts w:ascii="宋体"/>
              </w:rPr>
            </w:pPr>
          </w:p>
        </w:tc>
        <w:tc>
          <w:tcPr>
            <w:tcW w:w="50" w:type="pct"/>
            <w:shd w:val="clear" w:color="auto" w:fill="auto"/>
          </w:tcPr>
          <w:p w14:paraId="20ADFE38" w14:textId="77777777" w:rsidR="00B626E7" w:rsidRDefault="00B626E7">
            <w:pPr>
              <w:rPr>
                <w:rFonts w:ascii="宋体"/>
              </w:rPr>
            </w:pPr>
          </w:p>
        </w:tc>
        <w:tc>
          <w:tcPr>
            <w:tcW w:w="494" w:type="pct"/>
            <w:shd w:val="clear" w:color="auto" w:fill="auto"/>
          </w:tcPr>
          <w:p w14:paraId="20ADFE39" w14:textId="77777777" w:rsidR="00B626E7" w:rsidRDefault="00B626E7">
            <w:pPr>
              <w:rPr>
                <w:rFonts w:ascii="宋体"/>
              </w:rPr>
            </w:pPr>
          </w:p>
        </w:tc>
        <w:tc>
          <w:tcPr>
            <w:tcW w:w="50" w:type="pct"/>
            <w:shd w:val="clear" w:color="auto" w:fill="auto"/>
          </w:tcPr>
          <w:p w14:paraId="20ADFE3A" w14:textId="77777777" w:rsidR="00B626E7" w:rsidRDefault="00B626E7">
            <w:pPr>
              <w:rPr>
                <w:rFonts w:ascii="宋体"/>
              </w:rPr>
            </w:pPr>
          </w:p>
        </w:tc>
      </w:tr>
      <w:tr w:rsidR="00B626E7" w14:paraId="20ADFE41" w14:textId="77777777">
        <w:trPr>
          <w:jc w:val="center"/>
        </w:trPr>
        <w:tc>
          <w:tcPr>
            <w:tcW w:w="0" w:type="auto"/>
            <w:gridSpan w:val="3"/>
            <w:shd w:val="clear" w:color="auto" w:fill="auto"/>
            <w:tcMar>
              <w:top w:w="40" w:type="dxa"/>
              <w:left w:w="20" w:type="dxa"/>
              <w:bottom w:w="40" w:type="dxa"/>
              <w:right w:w="20" w:type="dxa"/>
            </w:tcMar>
            <w:vAlign w:val="bottom"/>
          </w:tcPr>
          <w:p w14:paraId="20ADFE3C" w14:textId="77777777" w:rsidR="00B626E7" w:rsidRDefault="00175C1D">
            <w:pPr>
              <w:ind w:hanging="180"/>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DFE3D" w14:textId="77777777" w:rsidR="00B626E7" w:rsidRDefault="00B626E7">
            <w:pPr>
              <w:rPr>
                <w:rFonts w:ascii="宋体"/>
              </w:rPr>
            </w:pPr>
          </w:p>
        </w:tc>
        <w:tc>
          <w:tcPr>
            <w:tcW w:w="0" w:type="auto"/>
            <w:gridSpan w:val="9"/>
            <w:shd w:val="clear" w:color="auto" w:fill="auto"/>
            <w:tcMar>
              <w:top w:w="40" w:type="dxa"/>
              <w:left w:w="20" w:type="dxa"/>
              <w:bottom w:w="40" w:type="dxa"/>
              <w:right w:w="20" w:type="dxa"/>
            </w:tcMar>
            <w:vAlign w:val="bottom"/>
          </w:tcPr>
          <w:p w14:paraId="20ADFE3E" w14:textId="77777777" w:rsidR="00B626E7" w:rsidRDefault="00175C1D">
            <w:pPr>
              <w:jc w:val="center"/>
              <w:textAlignment w:val="bottom"/>
            </w:pPr>
            <w:r>
              <w:rPr>
                <w:rFonts w:ascii="Arial" w:eastAsia="宋体" w:hAnsi="Arial" w:cs="Arial"/>
                <w:b/>
                <w:bCs/>
                <w:color w:val="333333"/>
                <w:sz w:val="18"/>
                <w:szCs w:val="18"/>
              </w:rPr>
              <w:t xml:space="preserve">Six </w:t>
            </w:r>
            <w:r>
              <w:rPr>
                <w:rFonts w:ascii="Arial" w:eastAsia="宋体" w:hAnsi="Arial" w:cs="Arial"/>
                <w:b/>
                <w:bCs/>
                <w:color w:val="333333"/>
                <w:sz w:val="18"/>
                <w:szCs w:val="18"/>
              </w:rPr>
              <w:t>Months Ended</w:t>
            </w:r>
          </w:p>
        </w:tc>
        <w:tc>
          <w:tcPr>
            <w:tcW w:w="0" w:type="auto"/>
            <w:gridSpan w:val="3"/>
            <w:shd w:val="clear" w:color="auto" w:fill="auto"/>
          </w:tcPr>
          <w:p w14:paraId="20ADFE3F" w14:textId="77777777" w:rsidR="00B626E7" w:rsidRDefault="00B626E7">
            <w:pPr>
              <w:rPr>
                <w:rFonts w:ascii="宋体"/>
                <w:vanish/>
              </w:rPr>
            </w:pPr>
          </w:p>
        </w:tc>
        <w:tc>
          <w:tcPr>
            <w:tcW w:w="0" w:type="auto"/>
            <w:gridSpan w:val="3"/>
            <w:shd w:val="clear" w:color="auto" w:fill="auto"/>
          </w:tcPr>
          <w:p w14:paraId="20ADFE40" w14:textId="77777777" w:rsidR="00B626E7" w:rsidRDefault="00B626E7">
            <w:pPr>
              <w:rPr>
                <w:rFonts w:ascii="宋体"/>
                <w:vanish/>
              </w:rPr>
            </w:pPr>
          </w:p>
        </w:tc>
      </w:tr>
      <w:tr w:rsidR="00B626E7" w14:paraId="20ADFE4D" w14:textId="77777777">
        <w:trPr>
          <w:jc w:val="center"/>
        </w:trPr>
        <w:tc>
          <w:tcPr>
            <w:tcW w:w="0" w:type="auto"/>
            <w:gridSpan w:val="3"/>
            <w:shd w:val="clear" w:color="auto" w:fill="auto"/>
            <w:tcMar>
              <w:top w:w="40" w:type="dxa"/>
              <w:left w:w="20" w:type="dxa"/>
              <w:bottom w:w="40" w:type="dxa"/>
              <w:right w:w="20" w:type="dxa"/>
            </w:tcMar>
            <w:vAlign w:val="bottom"/>
          </w:tcPr>
          <w:p w14:paraId="20ADFE42" w14:textId="77777777" w:rsidR="00B626E7" w:rsidRDefault="00175C1D">
            <w:pPr>
              <w:ind w:hanging="180"/>
              <w:textAlignment w:val="bottom"/>
            </w:pPr>
            <w:r>
              <w:rPr>
                <w:rFonts w:ascii="Arial" w:eastAsia="宋体" w:hAnsi="Arial" w:cs="Arial"/>
                <w:b/>
                <w:bCs/>
                <w:color w:val="333333"/>
                <w:sz w:val="18"/>
                <w:szCs w:val="18"/>
              </w:rPr>
              <w:t>(In Millions; Unaudited)</w:t>
            </w:r>
          </w:p>
        </w:tc>
        <w:tc>
          <w:tcPr>
            <w:tcW w:w="0" w:type="auto"/>
            <w:gridSpan w:val="3"/>
            <w:shd w:val="clear" w:color="auto" w:fill="auto"/>
            <w:tcMar>
              <w:left w:w="20" w:type="dxa"/>
              <w:right w:w="20" w:type="dxa"/>
            </w:tcMar>
            <w:vAlign w:val="bottom"/>
          </w:tcPr>
          <w:p w14:paraId="20ADFE43"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DFE44" w14:textId="77777777" w:rsidR="00B626E7" w:rsidRDefault="00175C1D">
            <w:pPr>
              <w:jc w:val="center"/>
              <w:textAlignment w:val="bottom"/>
            </w:pPr>
            <w:r>
              <w:rPr>
                <w:rFonts w:ascii="Arial" w:eastAsia="宋体" w:hAnsi="Arial" w:cs="Arial"/>
                <w:b/>
                <w:bCs/>
                <w:color w:val="333333"/>
                <w:sz w:val="18"/>
                <w:szCs w:val="18"/>
              </w:rPr>
              <w:t>Jun 27, 2020</w:t>
            </w:r>
          </w:p>
        </w:tc>
        <w:tc>
          <w:tcPr>
            <w:tcW w:w="0" w:type="auto"/>
            <w:gridSpan w:val="3"/>
            <w:tcBorders>
              <w:top w:val="single" w:sz="8" w:space="0" w:color="0071C5"/>
            </w:tcBorders>
            <w:shd w:val="clear" w:color="auto" w:fill="auto"/>
            <w:tcMar>
              <w:left w:w="20" w:type="dxa"/>
              <w:right w:w="20" w:type="dxa"/>
            </w:tcMar>
            <w:vAlign w:val="bottom"/>
          </w:tcPr>
          <w:p w14:paraId="20ADFE45"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DFE46" w14:textId="77777777" w:rsidR="00B626E7" w:rsidRDefault="00175C1D">
            <w:pPr>
              <w:jc w:val="center"/>
              <w:textAlignment w:val="bottom"/>
            </w:pPr>
            <w:r>
              <w:rPr>
                <w:rFonts w:ascii="Arial" w:eastAsia="宋体" w:hAnsi="Arial" w:cs="Arial"/>
                <w:b/>
                <w:bCs/>
                <w:color w:val="333333"/>
                <w:sz w:val="18"/>
                <w:szCs w:val="18"/>
              </w:rPr>
              <w:t>Jun 29, 2019</w:t>
            </w:r>
          </w:p>
        </w:tc>
        <w:tc>
          <w:tcPr>
            <w:tcW w:w="0" w:type="auto"/>
            <w:shd w:val="clear" w:color="auto" w:fill="auto"/>
          </w:tcPr>
          <w:p w14:paraId="20ADFE47" w14:textId="77777777" w:rsidR="00B626E7" w:rsidRDefault="00B626E7">
            <w:pPr>
              <w:rPr>
                <w:rFonts w:ascii="宋体"/>
              </w:rPr>
            </w:pPr>
          </w:p>
        </w:tc>
        <w:tc>
          <w:tcPr>
            <w:tcW w:w="0" w:type="auto"/>
            <w:shd w:val="clear" w:color="auto" w:fill="auto"/>
          </w:tcPr>
          <w:p w14:paraId="20ADFE48" w14:textId="77777777" w:rsidR="00B626E7" w:rsidRDefault="00B626E7">
            <w:pPr>
              <w:rPr>
                <w:rFonts w:ascii="宋体"/>
              </w:rPr>
            </w:pPr>
          </w:p>
        </w:tc>
        <w:tc>
          <w:tcPr>
            <w:tcW w:w="0" w:type="auto"/>
            <w:shd w:val="clear" w:color="auto" w:fill="auto"/>
          </w:tcPr>
          <w:p w14:paraId="20ADFE49" w14:textId="77777777" w:rsidR="00B626E7" w:rsidRDefault="00B626E7">
            <w:pPr>
              <w:rPr>
                <w:rFonts w:ascii="宋体"/>
              </w:rPr>
            </w:pPr>
          </w:p>
        </w:tc>
        <w:tc>
          <w:tcPr>
            <w:tcW w:w="0" w:type="auto"/>
            <w:shd w:val="clear" w:color="auto" w:fill="auto"/>
          </w:tcPr>
          <w:p w14:paraId="20ADFE4A" w14:textId="77777777" w:rsidR="00B626E7" w:rsidRDefault="00B626E7">
            <w:pPr>
              <w:rPr>
                <w:rFonts w:ascii="宋体"/>
              </w:rPr>
            </w:pPr>
          </w:p>
        </w:tc>
        <w:tc>
          <w:tcPr>
            <w:tcW w:w="0" w:type="auto"/>
            <w:shd w:val="clear" w:color="auto" w:fill="auto"/>
          </w:tcPr>
          <w:p w14:paraId="20ADFE4B" w14:textId="77777777" w:rsidR="00B626E7" w:rsidRDefault="00B626E7">
            <w:pPr>
              <w:rPr>
                <w:rFonts w:ascii="宋体"/>
              </w:rPr>
            </w:pPr>
          </w:p>
        </w:tc>
        <w:tc>
          <w:tcPr>
            <w:tcW w:w="0" w:type="auto"/>
            <w:shd w:val="clear" w:color="auto" w:fill="auto"/>
          </w:tcPr>
          <w:p w14:paraId="20ADFE4C" w14:textId="77777777" w:rsidR="00B626E7" w:rsidRDefault="00B626E7">
            <w:pPr>
              <w:rPr>
                <w:rFonts w:ascii="宋体"/>
              </w:rPr>
            </w:pPr>
          </w:p>
        </w:tc>
      </w:tr>
      <w:tr w:rsidR="00B626E7" w14:paraId="20ADFE59" w14:textId="77777777">
        <w:trPr>
          <w:trHeight w:val="60"/>
          <w:jc w:val="center"/>
        </w:trPr>
        <w:tc>
          <w:tcPr>
            <w:tcW w:w="0" w:type="auto"/>
            <w:gridSpan w:val="3"/>
            <w:tcBorders>
              <w:top w:val="single" w:sz="8" w:space="0" w:color="0071C5"/>
            </w:tcBorders>
            <w:shd w:val="clear" w:color="auto" w:fill="auto"/>
            <w:tcMar>
              <w:left w:w="20" w:type="dxa"/>
              <w:right w:w="20" w:type="dxa"/>
            </w:tcMar>
            <w:vAlign w:val="bottom"/>
          </w:tcPr>
          <w:p w14:paraId="20ADFE4E"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DFE4F"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DFE50"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DFE51"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DFE52" w14:textId="77777777" w:rsidR="00B626E7" w:rsidRDefault="00B626E7">
            <w:pPr>
              <w:rPr>
                <w:rFonts w:ascii="宋体"/>
              </w:rPr>
            </w:pPr>
          </w:p>
        </w:tc>
        <w:tc>
          <w:tcPr>
            <w:tcW w:w="0" w:type="auto"/>
            <w:shd w:val="clear" w:color="auto" w:fill="auto"/>
          </w:tcPr>
          <w:p w14:paraId="20ADFE53" w14:textId="77777777" w:rsidR="00B626E7" w:rsidRDefault="00B626E7">
            <w:pPr>
              <w:rPr>
                <w:rFonts w:ascii="宋体"/>
              </w:rPr>
            </w:pPr>
          </w:p>
        </w:tc>
        <w:tc>
          <w:tcPr>
            <w:tcW w:w="0" w:type="auto"/>
            <w:shd w:val="clear" w:color="auto" w:fill="auto"/>
          </w:tcPr>
          <w:p w14:paraId="20ADFE54" w14:textId="77777777" w:rsidR="00B626E7" w:rsidRDefault="00B626E7">
            <w:pPr>
              <w:rPr>
                <w:rFonts w:ascii="宋体"/>
              </w:rPr>
            </w:pPr>
          </w:p>
        </w:tc>
        <w:tc>
          <w:tcPr>
            <w:tcW w:w="0" w:type="auto"/>
            <w:shd w:val="clear" w:color="auto" w:fill="auto"/>
          </w:tcPr>
          <w:p w14:paraId="20ADFE55" w14:textId="77777777" w:rsidR="00B626E7" w:rsidRDefault="00B626E7">
            <w:pPr>
              <w:rPr>
                <w:rFonts w:ascii="宋体"/>
              </w:rPr>
            </w:pPr>
          </w:p>
        </w:tc>
        <w:tc>
          <w:tcPr>
            <w:tcW w:w="0" w:type="auto"/>
            <w:shd w:val="clear" w:color="auto" w:fill="auto"/>
          </w:tcPr>
          <w:p w14:paraId="20ADFE56" w14:textId="77777777" w:rsidR="00B626E7" w:rsidRDefault="00B626E7">
            <w:pPr>
              <w:rPr>
                <w:rFonts w:ascii="宋体"/>
              </w:rPr>
            </w:pPr>
          </w:p>
        </w:tc>
        <w:tc>
          <w:tcPr>
            <w:tcW w:w="0" w:type="auto"/>
            <w:shd w:val="clear" w:color="auto" w:fill="auto"/>
          </w:tcPr>
          <w:p w14:paraId="20ADFE57" w14:textId="77777777" w:rsidR="00B626E7" w:rsidRDefault="00B626E7">
            <w:pPr>
              <w:rPr>
                <w:rFonts w:ascii="宋体"/>
              </w:rPr>
            </w:pPr>
          </w:p>
        </w:tc>
        <w:tc>
          <w:tcPr>
            <w:tcW w:w="0" w:type="auto"/>
            <w:shd w:val="clear" w:color="auto" w:fill="auto"/>
          </w:tcPr>
          <w:p w14:paraId="20ADFE58" w14:textId="77777777" w:rsidR="00B626E7" w:rsidRDefault="00B626E7">
            <w:pPr>
              <w:rPr>
                <w:rFonts w:ascii="宋体"/>
              </w:rPr>
            </w:pPr>
          </w:p>
        </w:tc>
      </w:tr>
      <w:tr w:rsidR="00B626E7" w14:paraId="20ADFE69" w14:textId="77777777">
        <w:trPr>
          <w:jc w:val="center"/>
        </w:trPr>
        <w:tc>
          <w:tcPr>
            <w:tcW w:w="0" w:type="auto"/>
            <w:gridSpan w:val="3"/>
            <w:shd w:val="clear" w:color="auto" w:fill="auto"/>
            <w:tcMar>
              <w:top w:w="40" w:type="dxa"/>
              <w:left w:w="20" w:type="dxa"/>
              <w:bottom w:w="40" w:type="dxa"/>
              <w:right w:w="20" w:type="dxa"/>
            </w:tcMar>
          </w:tcPr>
          <w:p w14:paraId="20ADFE5A" w14:textId="77777777" w:rsidR="00B626E7" w:rsidRDefault="00175C1D">
            <w:pPr>
              <w:textAlignment w:val="top"/>
            </w:pPr>
            <w:r>
              <w:rPr>
                <w:rFonts w:ascii="Arial" w:eastAsia="宋体" w:hAnsi="Arial" w:cs="Arial"/>
                <w:b/>
                <w:bCs/>
                <w:color w:val="333333"/>
                <w:sz w:val="18"/>
                <w:szCs w:val="18"/>
              </w:rPr>
              <w:t>Cash and cash equivalents, beginning of period</w:t>
            </w:r>
          </w:p>
        </w:tc>
        <w:tc>
          <w:tcPr>
            <w:tcW w:w="0" w:type="auto"/>
            <w:gridSpan w:val="3"/>
            <w:shd w:val="clear" w:color="auto" w:fill="auto"/>
            <w:tcMar>
              <w:left w:w="20" w:type="dxa"/>
              <w:right w:w="20" w:type="dxa"/>
            </w:tcMar>
            <w:vAlign w:val="bottom"/>
          </w:tcPr>
          <w:p w14:paraId="20ADFE5B"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DFE5C" w14:textId="77777777" w:rsidR="00B626E7" w:rsidRDefault="00175C1D">
            <w:pPr>
              <w:textAlignment w:val="bottom"/>
            </w:pPr>
            <w:r>
              <w:rPr>
                <w:rFonts w:ascii="Arial" w:eastAsia="宋体" w:hAnsi="Arial" w:cs="Arial"/>
                <w:b/>
                <w:bCs/>
                <w:color w:val="0071C5"/>
                <w:sz w:val="18"/>
                <w:szCs w:val="18"/>
              </w:rPr>
              <w:t>$</w:t>
            </w:r>
          </w:p>
        </w:tc>
        <w:tc>
          <w:tcPr>
            <w:tcW w:w="0" w:type="auto"/>
            <w:shd w:val="clear" w:color="auto" w:fill="auto"/>
            <w:tcMar>
              <w:top w:w="40" w:type="dxa"/>
              <w:bottom w:w="40" w:type="dxa"/>
              <w:right w:w="0" w:type="dxa"/>
            </w:tcMar>
            <w:vAlign w:val="bottom"/>
          </w:tcPr>
          <w:p w14:paraId="20ADFE5D" w14:textId="77777777" w:rsidR="00B626E7" w:rsidRDefault="00175C1D">
            <w:pPr>
              <w:jc w:val="right"/>
              <w:textAlignment w:val="bottom"/>
            </w:pPr>
            <w:r>
              <w:rPr>
                <w:rFonts w:ascii="Arial" w:eastAsia="宋体" w:hAnsi="Arial" w:cs="Arial"/>
                <w:b/>
                <w:bCs/>
                <w:color w:val="0071C5"/>
                <w:sz w:val="18"/>
                <w:szCs w:val="18"/>
              </w:rPr>
              <w:t>4,194 </w:t>
            </w:r>
          </w:p>
        </w:tc>
        <w:tc>
          <w:tcPr>
            <w:tcW w:w="0" w:type="auto"/>
            <w:shd w:val="clear" w:color="auto" w:fill="auto"/>
            <w:tcMar>
              <w:top w:w="40" w:type="dxa"/>
              <w:bottom w:w="40" w:type="dxa"/>
              <w:right w:w="20" w:type="dxa"/>
            </w:tcMar>
            <w:vAlign w:val="bottom"/>
          </w:tcPr>
          <w:p w14:paraId="20ADFE5E"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DFE5F"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DFE60" w14:textId="77777777" w:rsidR="00B626E7" w:rsidRDefault="00175C1D">
            <w:pPr>
              <w:textAlignment w:val="bottom"/>
            </w:pPr>
            <w:r>
              <w:rPr>
                <w:rFonts w:ascii="Arial" w:eastAsia="宋体" w:hAnsi="Arial" w:cs="Arial"/>
                <w:b/>
                <w:bCs/>
                <w:color w:val="333333"/>
                <w:sz w:val="18"/>
                <w:szCs w:val="18"/>
              </w:rPr>
              <w:t>$</w:t>
            </w:r>
          </w:p>
        </w:tc>
        <w:tc>
          <w:tcPr>
            <w:tcW w:w="0" w:type="auto"/>
            <w:shd w:val="clear" w:color="auto" w:fill="auto"/>
            <w:tcMar>
              <w:top w:w="40" w:type="dxa"/>
              <w:bottom w:w="40" w:type="dxa"/>
              <w:right w:w="0" w:type="dxa"/>
            </w:tcMar>
            <w:vAlign w:val="bottom"/>
          </w:tcPr>
          <w:p w14:paraId="20ADFE61" w14:textId="77777777" w:rsidR="00B626E7" w:rsidRDefault="00175C1D">
            <w:pPr>
              <w:jc w:val="right"/>
              <w:textAlignment w:val="bottom"/>
            </w:pPr>
            <w:r>
              <w:rPr>
                <w:rFonts w:ascii="Arial" w:eastAsia="宋体" w:hAnsi="Arial" w:cs="Arial"/>
                <w:b/>
                <w:bCs/>
                <w:color w:val="333333"/>
                <w:sz w:val="18"/>
                <w:szCs w:val="18"/>
              </w:rPr>
              <w:t>3,019 </w:t>
            </w:r>
          </w:p>
        </w:tc>
        <w:tc>
          <w:tcPr>
            <w:tcW w:w="0" w:type="auto"/>
            <w:shd w:val="clear" w:color="auto" w:fill="auto"/>
            <w:tcMar>
              <w:top w:w="40" w:type="dxa"/>
              <w:bottom w:w="40" w:type="dxa"/>
              <w:right w:w="20" w:type="dxa"/>
            </w:tcMar>
            <w:vAlign w:val="bottom"/>
          </w:tcPr>
          <w:p w14:paraId="20ADFE62"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DFE63" w14:textId="77777777" w:rsidR="00B626E7" w:rsidRDefault="00B626E7">
            <w:pPr>
              <w:rPr>
                <w:rFonts w:ascii="宋体"/>
              </w:rPr>
            </w:pPr>
          </w:p>
        </w:tc>
        <w:tc>
          <w:tcPr>
            <w:tcW w:w="0" w:type="auto"/>
            <w:shd w:val="clear" w:color="auto" w:fill="auto"/>
          </w:tcPr>
          <w:p w14:paraId="20ADFE64" w14:textId="77777777" w:rsidR="00B626E7" w:rsidRDefault="00B626E7">
            <w:pPr>
              <w:rPr>
                <w:rFonts w:ascii="宋体"/>
              </w:rPr>
            </w:pPr>
          </w:p>
        </w:tc>
        <w:tc>
          <w:tcPr>
            <w:tcW w:w="0" w:type="auto"/>
            <w:shd w:val="clear" w:color="auto" w:fill="auto"/>
          </w:tcPr>
          <w:p w14:paraId="20ADFE65" w14:textId="77777777" w:rsidR="00B626E7" w:rsidRDefault="00B626E7">
            <w:pPr>
              <w:rPr>
                <w:rFonts w:ascii="宋体"/>
              </w:rPr>
            </w:pPr>
          </w:p>
        </w:tc>
        <w:tc>
          <w:tcPr>
            <w:tcW w:w="0" w:type="auto"/>
            <w:shd w:val="clear" w:color="auto" w:fill="auto"/>
          </w:tcPr>
          <w:p w14:paraId="20ADFE66" w14:textId="77777777" w:rsidR="00B626E7" w:rsidRDefault="00B626E7">
            <w:pPr>
              <w:rPr>
                <w:rFonts w:ascii="宋体"/>
              </w:rPr>
            </w:pPr>
          </w:p>
        </w:tc>
        <w:tc>
          <w:tcPr>
            <w:tcW w:w="0" w:type="auto"/>
            <w:shd w:val="clear" w:color="auto" w:fill="auto"/>
          </w:tcPr>
          <w:p w14:paraId="20ADFE67" w14:textId="77777777" w:rsidR="00B626E7" w:rsidRDefault="00B626E7">
            <w:pPr>
              <w:rPr>
                <w:rFonts w:ascii="宋体"/>
              </w:rPr>
            </w:pPr>
          </w:p>
        </w:tc>
        <w:tc>
          <w:tcPr>
            <w:tcW w:w="0" w:type="auto"/>
            <w:shd w:val="clear" w:color="auto" w:fill="auto"/>
          </w:tcPr>
          <w:p w14:paraId="20ADFE68" w14:textId="77777777" w:rsidR="00B626E7" w:rsidRDefault="00B626E7">
            <w:pPr>
              <w:rPr>
                <w:rFonts w:ascii="宋体"/>
              </w:rPr>
            </w:pPr>
          </w:p>
        </w:tc>
      </w:tr>
      <w:tr w:rsidR="00B626E7" w14:paraId="20ADFE75" w14:textId="77777777">
        <w:trPr>
          <w:jc w:val="center"/>
        </w:trPr>
        <w:tc>
          <w:tcPr>
            <w:tcW w:w="0" w:type="auto"/>
            <w:gridSpan w:val="3"/>
            <w:shd w:val="clear" w:color="auto" w:fill="auto"/>
            <w:tcMar>
              <w:top w:w="40" w:type="dxa"/>
              <w:left w:w="20" w:type="dxa"/>
              <w:bottom w:w="40" w:type="dxa"/>
              <w:right w:w="20" w:type="dxa"/>
            </w:tcMar>
          </w:tcPr>
          <w:p w14:paraId="20ADFE6A" w14:textId="77777777" w:rsidR="00B626E7" w:rsidRDefault="00175C1D">
            <w:pPr>
              <w:textAlignment w:val="top"/>
            </w:pPr>
            <w:r>
              <w:rPr>
                <w:rFonts w:ascii="Arial" w:eastAsia="宋体" w:hAnsi="Arial" w:cs="Arial"/>
                <w:color w:val="333333"/>
                <w:sz w:val="18"/>
                <w:szCs w:val="18"/>
              </w:rPr>
              <w:t>Cash flows provided by (used for) operating activities:</w:t>
            </w:r>
          </w:p>
        </w:tc>
        <w:tc>
          <w:tcPr>
            <w:tcW w:w="0" w:type="auto"/>
            <w:gridSpan w:val="3"/>
            <w:shd w:val="clear" w:color="auto" w:fill="auto"/>
            <w:tcMar>
              <w:left w:w="20" w:type="dxa"/>
              <w:right w:w="20" w:type="dxa"/>
            </w:tcMar>
            <w:vAlign w:val="bottom"/>
          </w:tcPr>
          <w:p w14:paraId="20ADFE6B" w14:textId="77777777" w:rsidR="00B626E7" w:rsidRDefault="00B626E7">
            <w:pPr>
              <w:rPr>
                <w:rFonts w:ascii="宋体"/>
              </w:rPr>
            </w:pPr>
          </w:p>
        </w:tc>
        <w:tc>
          <w:tcPr>
            <w:tcW w:w="0" w:type="auto"/>
            <w:gridSpan w:val="3"/>
            <w:tcBorders>
              <w:top w:val="single" w:sz="8" w:space="0" w:color="333333"/>
            </w:tcBorders>
            <w:shd w:val="clear" w:color="auto" w:fill="auto"/>
            <w:tcMar>
              <w:left w:w="20" w:type="dxa"/>
              <w:right w:w="20" w:type="dxa"/>
            </w:tcMar>
            <w:vAlign w:val="bottom"/>
          </w:tcPr>
          <w:p w14:paraId="20ADFE6C"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DFE6D" w14:textId="77777777" w:rsidR="00B626E7" w:rsidRDefault="00B626E7">
            <w:pPr>
              <w:rPr>
                <w:rFonts w:ascii="宋体"/>
              </w:rPr>
            </w:pPr>
          </w:p>
        </w:tc>
        <w:tc>
          <w:tcPr>
            <w:tcW w:w="0" w:type="auto"/>
            <w:gridSpan w:val="3"/>
            <w:tcBorders>
              <w:top w:val="single" w:sz="8" w:space="0" w:color="333333"/>
            </w:tcBorders>
            <w:shd w:val="clear" w:color="auto" w:fill="auto"/>
            <w:tcMar>
              <w:left w:w="20" w:type="dxa"/>
              <w:right w:w="20" w:type="dxa"/>
            </w:tcMar>
            <w:vAlign w:val="bottom"/>
          </w:tcPr>
          <w:p w14:paraId="20ADFE6E" w14:textId="77777777" w:rsidR="00B626E7" w:rsidRDefault="00B626E7">
            <w:pPr>
              <w:rPr>
                <w:rFonts w:ascii="宋体"/>
              </w:rPr>
            </w:pPr>
          </w:p>
        </w:tc>
        <w:tc>
          <w:tcPr>
            <w:tcW w:w="0" w:type="auto"/>
            <w:shd w:val="clear" w:color="auto" w:fill="auto"/>
          </w:tcPr>
          <w:p w14:paraId="20ADFE6F" w14:textId="77777777" w:rsidR="00B626E7" w:rsidRDefault="00B626E7">
            <w:pPr>
              <w:rPr>
                <w:rFonts w:ascii="宋体"/>
              </w:rPr>
            </w:pPr>
          </w:p>
        </w:tc>
        <w:tc>
          <w:tcPr>
            <w:tcW w:w="0" w:type="auto"/>
            <w:shd w:val="clear" w:color="auto" w:fill="auto"/>
          </w:tcPr>
          <w:p w14:paraId="20ADFE70" w14:textId="77777777" w:rsidR="00B626E7" w:rsidRDefault="00B626E7">
            <w:pPr>
              <w:rPr>
                <w:rFonts w:ascii="宋体"/>
              </w:rPr>
            </w:pPr>
          </w:p>
        </w:tc>
        <w:tc>
          <w:tcPr>
            <w:tcW w:w="0" w:type="auto"/>
            <w:shd w:val="clear" w:color="auto" w:fill="auto"/>
          </w:tcPr>
          <w:p w14:paraId="20ADFE71" w14:textId="77777777" w:rsidR="00B626E7" w:rsidRDefault="00B626E7">
            <w:pPr>
              <w:rPr>
                <w:rFonts w:ascii="宋体"/>
              </w:rPr>
            </w:pPr>
          </w:p>
        </w:tc>
        <w:tc>
          <w:tcPr>
            <w:tcW w:w="0" w:type="auto"/>
            <w:shd w:val="clear" w:color="auto" w:fill="auto"/>
          </w:tcPr>
          <w:p w14:paraId="20ADFE72" w14:textId="77777777" w:rsidR="00B626E7" w:rsidRDefault="00B626E7">
            <w:pPr>
              <w:rPr>
                <w:rFonts w:ascii="宋体"/>
              </w:rPr>
            </w:pPr>
          </w:p>
        </w:tc>
        <w:tc>
          <w:tcPr>
            <w:tcW w:w="0" w:type="auto"/>
            <w:shd w:val="clear" w:color="auto" w:fill="auto"/>
          </w:tcPr>
          <w:p w14:paraId="20ADFE73" w14:textId="77777777" w:rsidR="00B626E7" w:rsidRDefault="00B626E7">
            <w:pPr>
              <w:rPr>
                <w:rFonts w:ascii="宋体"/>
              </w:rPr>
            </w:pPr>
          </w:p>
        </w:tc>
        <w:tc>
          <w:tcPr>
            <w:tcW w:w="0" w:type="auto"/>
            <w:shd w:val="clear" w:color="auto" w:fill="auto"/>
          </w:tcPr>
          <w:p w14:paraId="20ADFE74" w14:textId="77777777" w:rsidR="00B626E7" w:rsidRDefault="00B626E7">
            <w:pPr>
              <w:rPr>
                <w:rFonts w:ascii="宋体"/>
              </w:rPr>
            </w:pPr>
          </w:p>
        </w:tc>
      </w:tr>
      <w:tr w:rsidR="00B626E7" w14:paraId="20ADFE83" w14:textId="77777777">
        <w:trPr>
          <w:jc w:val="center"/>
        </w:trPr>
        <w:tc>
          <w:tcPr>
            <w:tcW w:w="0" w:type="auto"/>
            <w:gridSpan w:val="3"/>
            <w:shd w:val="clear" w:color="auto" w:fill="auto"/>
            <w:tcMar>
              <w:top w:w="40" w:type="dxa"/>
              <w:left w:w="75" w:type="dxa"/>
              <w:bottom w:w="40" w:type="dxa"/>
              <w:right w:w="20" w:type="dxa"/>
            </w:tcMar>
          </w:tcPr>
          <w:p w14:paraId="20ADFE76" w14:textId="77777777" w:rsidR="00B626E7" w:rsidRDefault="00175C1D">
            <w:pPr>
              <w:textAlignment w:val="top"/>
            </w:pPr>
            <w:r>
              <w:rPr>
                <w:rFonts w:ascii="Arial" w:eastAsia="宋体" w:hAnsi="Arial" w:cs="Arial"/>
                <w:color w:val="333333"/>
                <w:sz w:val="18"/>
                <w:szCs w:val="18"/>
              </w:rPr>
              <w:t>Net income</w:t>
            </w:r>
          </w:p>
        </w:tc>
        <w:tc>
          <w:tcPr>
            <w:tcW w:w="0" w:type="auto"/>
            <w:gridSpan w:val="3"/>
            <w:shd w:val="clear" w:color="auto" w:fill="auto"/>
            <w:tcMar>
              <w:left w:w="20" w:type="dxa"/>
              <w:right w:w="20" w:type="dxa"/>
            </w:tcMar>
            <w:vAlign w:val="bottom"/>
          </w:tcPr>
          <w:p w14:paraId="20ADFE77"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E78" w14:textId="77777777" w:rsidR="00B626E7" w:rsidRDefault="00175C1D">
            <w:pPr>
              <w:jc w:val="right"/>
              <w:textAlignment w:val="bottom"/>
            </w:pPr>
            <w:r>
              <w:rPr>
                <w:rFonts w:ascii="Arial" w:eastAsia="宋体" w:hAnsi="Arial" w:cs="Arial"/>
                <w:color w:val="0071C5"/>
                <w:sz w:val="18"/>
                <w:szCs w:val="18"/>
              </w:rPr>
              <w:t>10,766 </w:t>
            </w:r>
          </w:p>
        </w:tc>
        <w:tc>
          <w:tcPr>
            <w:tcW w:w="0" w:type="auto"/>
            <w:shd w:val="clear" w:color="auto" w:fill="auto"/>
            <w:tcMar>
              <w:top w:w="40" w:type="dxa"/>
              <w:bottom w:w="40" w:type="dxa"/>
              <w:right w:w="20" w:type="dxa"/>
            </w:tcMar>
            <w:vAlign w:val="bottom"/>
          </w:tcPr>
          <w:p w14:paraId="20ADFE79"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DFE7A"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E7B" w14:textId="77777777" w:rsidR="00B626E7" w:rsidRDefault="00175C1D">
            <w:pPr>
              <w:jc w:val="right"/>
              <w:textAlignment w:val="bottom"/>
            </w:pPr>
            <w:r>
              <w:rPr>
                <w:rFonts w:ascii="Arial" w:eastAsia="宋体" w:hAnsi="Arial" w:cs="Arial"/>
                <w:color w:val="333333"/>
                <w:sz w:val="18"/>
                <w:szCs w:val="18"/>
              </w:rPr>
              <w:t>8,153 </w:t>
            </w:r>
          </w:p>
        </w:tc>
        <w:tc>
          <w:tcPr>
            <w:tcW w:w="0" w:type="auto"/>
            <w:shd w:val="clear" w:color="auto" w:fill="auto"/>
            <w:tcMar>
              <w:top w:w="40" w:type="dxa"/>
              <w:bottom w:w="40" w:type="dxa"/>
              <w:right w:w="20" w:type="dxa"/>
            </w:tcMar>
            <w:vAlign w:val="bottom"/>
          </w:tcPr>
          <w:p w14:paraId="20ADFE7C"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DFE7D" w14:textId="77777777" w:rsidR="00B626E7" w:rsidRDefault="00B626E7">
            <w:pPr>
              <w:rPr>
                <w:rFonts w:ascii="宋体"/>
              </w:rPr>
            </w:pPr>
          </w:p>
        </w:tc>
        <w:tc>
          <w:tcPr>
            <w:tcW w:w="0" w:type="auto"/>
            <w:shd w:val="clear" w:color="auto" w:fill="auto"/>
          </w:tcPr>
          <w:p w14:paraId="20ADFE7E" w14:textId="77777777" w:rsidR="00B626E7" w:rsidRDefault="00B626E7">
            <w:pPr>
              <w:rPr>
                <w:rFonts w:ascii="宋体"/>
              </w:rPr>
            </w:pPr>
          </w:p>
        </w:tc>
        <w:tc>
          <w:tcPr>
            <w:tcW w:w="0" w:type="auto"/>
            <w:shd w:val="clear" w:color="auto" w:fill="auto"/>
          </w:tcPr>
          <w:p w14:paraId="20ADFE7F" w14:textId="77777777" w:rsidR="00B626E7" w:rsidRDefault="00B626E7">
            <w:pPr>
              <w:rPr>
                <w:rFonts w:ascii="宋体"/>
              </w:rPr>
            </w:pPr>
          </w:p>
        </w:tc>
        <w:tc>
          <w:tcPr>
            <w:tcW w:w="0" w:type="auto"/>
            <w:shd w:val="clear" w:color="auto" w:fill="auto"/>
          </w:tcPr>
          <w:p w14:paraId="20ADFE80" w14:textId="77777777" w:rsidR="00B626E7" w:rsidRDefault="00B626E7">
            <w:pPr>
              <w:rPr>
                <w:rFonts w:ascii="宋体"/>
              </w:rPr>
            </w:pPr>
          </w:p>
        </w:tc>
        <w:tc>
          <w:tcPr>
            <w:tcW w:w="0" w:type="auto"/>
            <w:shd w:val="clear" w:color="auto" w:fill="auto"/>
          </w:tcPr>
          <w:p w14:paraId="20ADFE81" w14:textId="77777777" w:rsidR="00B626E7" w:rsidRDefault="00B626E7">
            <w:pPr>
              <w:rPr>
                <w:rFonts w:ascii="宋体"/>
              </w:rPr>
            </w:pPr>
          </w:p>
        </w:tc>
        <w:tc>
          <w:tcPr>
            <w:tcW w:w="0" w:type="auto"/>
            <w:shd w:val="clear" w:color="auto" w:fill="auto"/>
          </w:tcPr>
          <w:p w14:paraId="20ADFE82" w14:textId="77777777" w:rsidR="00B626E7" w:rsidRDefault="00B626E7">
            <w:pPr>
              <w:rPr>
                <w:rFonts w:ascii="宋体"/>
              </w:rPr>
            </w:pPr>
          </w:p>
        </w:tc>
      </w:tr>
      <w:tr w:rsidR="00B626E7" w14:paraId="20ADFE8F" w14:textId="77777777">
        <w:trPr>
          <w:jc w:val="center"/>
        </w:trPr>
        <w:tc>
          <w:tcPr>
            <w:tcW w:w="0" w:type="auto"/>
            <w:gridSpan w:val="3"/>
            <w:shd w:val="clear" w:color="auto" w:fill="auto"/>
            <w:tcMar>
              <w:top w:w="40" w:type="dxa"/>
              <w:left w:w="75" w:type="dxa"/>
              <w:bottom w:w="40" w:type="dxa"/>
              <w:right w:w="20" w:type="dxa"/>
            </w:tcMar>
          </w:tcPr>
          <w:p w14:paraId="20ADFE84" w14:textId="77777777" w:rsidR="00B626E7" w:rsidRDefault="00175C1D">
            <w:pPr>
              <w:textAlignment w:val="top"/>
            </w:pPr>
            <w:r>
              <w:rPr>
                <w:rFonts w:ascii="Arial" w:eastAsia="宋体" w:hAnsi="Arial" w:cs="Arial"/>
                <w:color w:val="333333"/>
                <w:sz w:val="18"/>
                <w:szCs w:val="18"/>
              </w:rPr>
              <w:t>Adjustments to reconcile net income to net cash provided by operating activities:</w:t>
            </w:r>
          </w:p>
        </w:tc>
        <w:tc>
          <w:tcPr>
            <w:tcW w:w="0" w:type="auto"/>
            <w:gridSpan w:val="3"/>
            <w:shd w:val="clear" w:color="auto" w:fill="auto"/>
            <w:tcMar>
              <w:left w:w="20" w:type="dxa"/>
              <w:right w:w="20" w:type="dxa"/>
            </w:tcMar>
            <w:vAlign w:val="bottom"/>
          </w:tcPr>
          <w:p w14:paraId="20ADFE85"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DFE86"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DFE87"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DFE88" w14:textId="77777777" w:rsidR="00B626E7" w:rsidRDefault="00B626E7">
            <w:pPr>
              <w:rPr>
                <w:rFonts w:ascii="宋体"/>
              </w:rPr>
            </w:pPr>
          </w:p>
        </w:tc>
        <w:tc>
          <w:tcPr>
            <w:tcW w:w="0" w:type="auto"/>
            <w:shd w:val="clear" w:color="auto" w:fill="auto"/>
          </w:tcPr>
          <w:p w14:paraId="20ADFE89" w14:textId="77777777" w:rsidR="00B626E7" w:rsidRDefault="00B626E7">
            <w:pPr>
              <w:rPr>
                <w:rFonts w:ascii="宋体"/>
              </w:rPr>
            </w:pPr>
          </w:p>
        </w:tc>
        <w:tc>
          <w:tcPr>
            <w:tcW w:w="0" w:type="auto"/>
            <w:shd w:val="clear" w:color="auto" w:fill="auto"/>
          </w:tcPr>
          <w:p w14:paraId="20ADFE8A" w14:textId="77777777" w:rsidR="00B626E7" w:rsidRDefault="00B626E7">
            <w:pPr>
              <w:rPr>
                <w:rFonts w:ascii="宋体"/>
              </w:rPr>
            </w:pPr>
          </w:p>
        </w:tc>
        <w:tc>
          <w:tcPr>
            <w:tcW w:w="0" w:type="auto"/>
            <w:shd w:val="clear" w:color="auto" w:fill="auto"/>
          </w:tcPr>
          <w:p w14:paraId="20ADFE8B" w14:textId="77777777" w:rsidR="00B626E7" w:rsidRDefault="00B626E7">
            <w:pPr>
              <w:rPr>
                <w:rFonts w:ascii="宋体"/>
              </w:rPr>
            </w:pPr>
          </w:p>
        </w:tc>
        <w:tc>
          <w:tcPr>
            <w:tcW w:w="0" w:type="auto"/>
            <w:shd w:val="clear" w:color="auto" w:fill="auto"/>
          </w:tcPr>
          <w:p w14:paraId="20ADFE8C" w14:textId="77777777" w:rsidR="00B626E7" w:rsidRDefault="00B626E7">
            <w:pPr>
              <w:rPr>
                <w:rFonts w:ascii="宋体"/>
              </w:rPr>
            </w:pPr>
          </w:p>
        </w:tc>
        <w:tc>
          <w:tcPr>
            <w:tcW w:w="0" w:type="auto"/>
            <w:shd w:val="clear" w:color="auto" w:fill="auto"/>
          </w:tcPr>
          <w:p w14:paraId="20ADFE8D" w14:textId="77777777" w:rsidR="00B626E7" w:rsidRDefault="00B626E7">
            <w:pPr>
              <w:rPr>
                <w:rFonts w:ascii="宋体"/>
              </w:rPr>
            </w:pPr>
          </w:p>
        </w:tc>
        <w:tc>
          <w:tcPr>
            <w:tcW w:w="0" w:type="auto"/>
            <w:shd w:val="clear" w:color="auto" w:fill="auto"/>
          </w:tcPr>
          <w:p w14:paraId="20ADFE8E" w14:textId="77777777" w:rsidR="00B626E7" w:rsidRDefault="00B626E7">
            <w:pPr>
              <w:rPr>
                <w:rFonts w:ascii="宋体"/>
              </w:rPr>
            </w:pPr>
          </w:p>
        </w:tc>
      </w:tr>
      <w:tr w:rsidR="00B626E7" w14:paraId="20ADFE9D" w14:textId="77777777">
        <w:trPr>
          <w:jc w:val="center"/>
        </w:trPr>
        <w:tc>
          <w:tcPr>
            <w:tcW w:w="0" w:type="auto"/>
            <w:gridSpan w:val="3"/>
            <w:shd w:val="clear" w:color="auto" w:fill="auto"/>
            <w:tcMar>
              <w:top w:w="40" w:type="dxa"/>
              <w:left w:w="180" w:type="dxa"/>
              <w:bottom w:w="40" w:type="dxa"/>
              <w:right w:w="20" w:type="dxa"/>
            </w:tcMar>
          </w:tcPr>
          <w:p w14:paraId="20ADFE90" w14:textId="77777777" w:rsidR="00B626E7" w:rsidRDefault="00175C1D">
            <w:pPr>
              <w:textAlignment w:val="top"/>
            </w:pPr>
            <w:r>
              <w:rPr>
                <w:rFonts w:ascii="Arial" w:eastAsia="宋体" w:hAnsi="Arial" w:cs="Arial"/>
                <w:color w:val="333333"/>
                <w:sz w:val="18"/>
                <w:szCs w:val="18"/>
              </w:rPr>
              <w:t>Depreciation</w:t>
            </w:r>
          </w:p>
        </w:tc>
        <w:tc>
          <w:tcPr>
            <w:tcW w:w="0" w:type="auto"/>
            <w:gridSpan w:val="3"/>
            <w:shd w:val="clear" w:color="auto" w:fill="auto"/>
            <w:tcMar>
              <w:left w:w="20" w:type="dxa"/>
              <w:right w:w="20" w:type="dxa"/>
            </w:tcMar>
            <w:vAlign w:val="bottom"/>
          </w:tcPr>
          <w:p w14:paraId="20ADFE91"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E92" w14:textId="77777777" w:rsidR="00B626E7" w:rsidRDefault="00175C1D">
            <w:pPr>
              <w:jc w:val="right"/>
              <w:textAlignment w:val="bottom"/>
            </w:pPr>
            <w:r>
              <w:rPr>
                <w:rFonts w:ascii="Arial" w:eastAsia="宋体" w:hAnsi="Arial" w:cs="Arial"/>
                <w:color w:val="0071C5"/>
                <w:sz w:val="18"/>
                <w:szCs w:val="18"/>
              </w:rPr>
              <w:t>5,248 </w:t>
            </w:r>
          </w:p>
        </w:tc>
        <w:tc>
          <w:tcPr>
            <w:tcW w:w="0" w:type="auto"/>
            <w:shd w:val="clear" w:color="auto" w:fill="auto"/>
            <w:tcMar>
              <w:top w:w="40" w:type="dxa"/>
              <w:bottom w:w="40" w:type="dxa"/>
              <w:right w:w="20" w:type="dxa"/>
            </w:tcMar>
            <w:vAlign w:val="bottom"/>
          </w:tcPr>
          <w:p w14:paraId="20ADFE93"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DFE94"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E95" w14:textId="77777777" w:rsidR="00B626E7" w:rsidRDefault="00175C1D">
            <w:pPr>
              <w:jc w:val="right"/>
              <w:textAlignment w:val="bottom"/>
            </w:pPr>
            <w:r>
              <w:rPr>
                <w:rFonts w:ascii="Arial" w:eastAsia="宋体" w:hAnsi="Arial" w:cs="Arial"/>
                <w:color w:val="333333"/>
                <w:sz w:val="18"/>
                <w:szCs w:val="18"/>
              </w:rPr>
              <w:t>4,379 </w:t>
            </w:r>
          </w:p>
        </w:tc>
        <w:tc>
          <w:tcPr>
            <w:tcW w:w="0" w:type="auto"/>
            <w:shd w:val="clear" w:color="auto" w:fill="auto"/>
            <w:tcMar>
              <w:top w:w="40" w:type="dxa"/>
              <w:bottom w:w="40" w:type="dxa"/>
              <w:right w:w="20" w:type="dxa"/>
            </w:tcMar>
            <w:vAlign w:val="bottom"/>
          </w:tcPr>
          <w:p w14:paraId="20ADFE96"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DFE97" w14:textId="77777777" w:rsidR="00B626E7" w:rsidRDefault="00B626E7">
            <w:pPr>
              <w:rPr>
                <w:rFonts w:ascii="宋体"/>
              </w:rPr>
            </w:pPr>
          </w:p>
        </w:tc>
        <w:tc>
          <w:tcPr>
            <w:tcW w:w="0" w:type="auto"/>
            <w:shd w:val="clear" w:color="auto" w:fill="auto"/>
          </w:tcPr>
          <w:p w14:paraId="20ADFE98" w14:textId="77777777" w:rsidR="00B626E7" w:rsidRDefault="00B626E7">
            <w:pPr>
              <w:rPr>
                <w:rFonts w:ascii="宋体"/>
              </w:rPr>
            </w:pPr>
          </w:p>
        </w:tc>
        <w:tc>
          <w:tcPr>
            <w:tcW w:w="0" w:type="auto"/>
            <w:shd w:val="clear" w:color="auto" w:fill="auto"/>
          </w:tcPr>
          <w:p w14:paraId="20ADFE99" w14:textId="77777777" w:rsidR="00B626E7" w:rsidRDefault="00B626E7">
            <w:pPr>
              <w:rPr>
                <w:rFonts w:ascii="宋体"/>
              </w:rPr>
            </w:pPr>
          </w:p>
        </w:tc>
        <w:tc>
          <w:tcPr>
            <w:tcW w:w="0" w:type="auto"/>
            <w:shd w:val="clear" w:color="auto" w:fill="auto"/>
          </w:tcPr>
          <w:p w14:paraId="20ADFE9A" w14:textId="77777777" w:rsidR="00B626E7" w:rsidRDefault="00B626E7">
            <w:pPr>
              <w:rPr>
                <w:rFonts w:ascii="宋体"/>
              </w:rPr>
            </w:pPr>
          </w:p>
        </w:tc>
        <w:tc>
          <w:tcPr>
            <w:tcW w:w="0" w:type="auto"/>
            <w:shd w:val="clear" w:color="auto" w:fill="auto"/>
          </w:tcPr>
          <w:p w14:paraId="20ADFE9B" w14:textId="77777777" w:rsidR="00B626E7" w:rsidRDefault="00B626E7">
            <w:pPr>
              <w:rPr>
                <w:rFonts w:ascii="宋体"/>
              </w:rPr>
            </w:pPr>
          </w:p>
        </w:tc>
        <w:tc>
          <w:tcPr>
            <w:tcW w:w="0" w:type="auto"/>
            <w:shd w:val="clear" w:color="auto" w:fill="auto"/>
          </w:tcPr>
          <w:p w14:paraId="20ADFE9C" w14:textId="77777777" w:rsidR="00B626E7" w:rsidRDefault="00B626E7">
            <w:pPr>
              <w:rPr>
                <w:rFonts w:ascii="宋体"/>
              </w:rPr>
            </w:pPr>
          </w:p>
        </w:tc>
      </w:tr>
      <w:tr w:rsidR="00B626E7" w14:paraId="20ADFEAB" w14:textId="77777777">
        <w:trPr>
          <w:jc w:val="center"/>
        </w:trPr>
        <w:tc>
          <w:tcPr>
            <w:tcW w:w="0" w:type="auto"/>
            <w:gridSpan w:val="3"/>
            <w:shd w:val="clear" w:color="auto" w:fill="auto"/>
            <w:tcMar>
              <w:top w:w="40" w:type="dxa"/>
              <w:left w:w="180" w:type="dxa"/>
              <w:bottom w:w="40" w:type="dxa"/>
              <w:right w:w="20" w:type="dxa"/>
            </w:tcMar>
          </w:tcPr>
          <w:p w14:paraId="20ADFE9E" w14:textId="77777777" w:rsidR="00B626E7" w:rsidRDefault="00175C1D">
            <w:pPr>
              <w:textAlignment w:val="top"/>
            </w:pPr>
            <w:r>
              <w:rPr>
                <w:rFonts w:ascii="Arial" w:eastAsia="宋体" w:hAnsi="Arial" w:cs="Arial"/>
                <w:color w:val="333333"/>
                <w:sz w:val="18"/>
                <w:szCs w:val="18"/>
              </w:rPr>
              <w:t>Share-based compensation</w:t>
            </w:r>
          </w:p>
        </w:tc>
        <w:tc>
          <w:tcPr>
            <w:tcW w:w="0" w:type="auto"/>
            <w:gridSpan w:val="3"/>
            <w:shd w:val="clear" w:color="auto" w:fill="auto"/>
            <w:tcMar>
              <w:left w:w="20" w:type="dxa"/>
              <w:right w:w="20" w:type="dxa"/>
            </w:tcMar>
            <w:vAlign w:val="bottom"/>
          </w:tcPr>
          <w:p w14:paraId="20ADFE9F"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EA0" w14:textId="77777777" w:rsidR="00B626E7" w:rsidRDefault="00175C1D">
            <w:pPr>
              <w:jc w:val="right"/>
              <w:textAlignment w:val="bottom"/>
            </w:pPr>
            <w:r>
              <w:rPr>
                <w:rFonts w:ascii="Arial" w:eastAsia="宋体" w:hAnsi="Arial" w:cs="Arial"/>
                <w:color w:val="0071C5"/>
                <w:sz w:val="18"/>
                <w:szCs w:val="18"/>
              </w:rPr>
              <w:t>941 </w:t>
            </w:r>
          </w:p>
        </w:tc>
        <w:tc>
          <w:tcPr>
            <w:tcW w:w="0" w:type="auto"/>
            <w:shd w:val="clear" w:color="auto" w:fill="auto"/>
            <w:tcMar>
              <w:top w:w="40" w:type="dxa"/>
              <w:bottom w:w="40" w:type="dxa"/>
              <w:right w:w="20" w:type="dxa"/>
            </w:tcMar>
            <w:vAlign w:val="bottom"/>
          </w:tcPr>
          <w:p w14:paraId="20ADFEA1"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DFEA2"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EA3" w14:textId="77777777" w:rsidR="00B626E7" w:rsidRDefault="00175C1D">
            <w:pPr>
              <w:jc w:val="right"/>
              <w:textAlignment w:val="bottom"/>
            </w:pPr>
            <w:r>
              <w:rPr>
                <w:rFonts w:ascii="Arial" w:eastAsia="宋体" w:hAnsi="Arial" w:cs="Arial"/>
                <w:color w:val="333333"/>
                <w:sz w:val="18"/>
                <w:szCs w:val="18"/>
              </w:rPr>
              <w:t>859 </w:t>
            </w:r>
          </w:p>
        </w:tc>
        <w:tc>
          <w:tcPr>
            <w:tcW w:w="0" w:type="auto"/>
            <w:shd w:val="clear" w:color="auto" w:fill="auto"/>
            <w:tcMar>
              <w:top w:w="40" w:type="dxa"/>
              <w:bottom w:w="40" w:type="dxa"/>
              <w:right w:w="20" w:type="dxa"/>
            </w:tcMar>
            <w:vAlign w:val="bottom"/>
          </w:tcPr>
          <w:p w14:paraId="20ADFEA4"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DFEA5" w14:textId="77777777" w:rsidR="00B626E7" w:rsidRDefault="00B626E7">
            <w:pPr>
              <w:rPr>
                <w:rFonts w:ascii="宋体"/>
              </w:rPr>
            </w:pPr>
          </w:p>
        </w:tc>
        <w:tc>
          <w:tcPr>
            <w:tcW w:w="0" w:type="auto"/>
            <w:shd w:val="clear" w:color="auto" w:fill="auto"/>
          </w:tcPr>
          <w:p w14:paraId="20ADFEA6" w14:textId="77777777" w:rsidR="00B626E7" w:rsidRDefault="00B626E7">
            <w:pPr>
              <w:rPr>
                <w:rFonts w:ascii="宋体"/>
              </w:rPr>
            </w:pPr>
          </w:p>
        </w:tc>
        <w:tc>
          <w:tcPr>
            <w:tcW w:w="0" w:type="auto"/>
            <w:shd w:val="clear" w:color="auto" w:fill="auto"/>
          </w:tcPr>
          <w:p w14:paraId="20ADFEA7" w14:textId="77777777" w:rsidR="00B626E7" w:rsidRDefault="00B626E7">
            <w:pPr>
              <w:rPr>
                <w:rFonts w:ascii="宋体"/>
              </w:rPr>
            </w:pPr>
          </w:p>
        </w:tc>
        <w:tc>
          <w:tcPr>
            <w:tcW w:w="0" w:type="auto"/>
            <w:shd w:val="clear" w:color="auto" w:fill="auto"/>
          </w:tcPr>
          <w:p w14:paraId="20ADFEA8" w14:textId="77777777" w:rsidR="00B626E7" w:rsidRDefault="00B626E7">
            <w:pPr>
              <w:rPr>
                <w:rFonts w:ascii="宋体"/>
              </w:rPr>
            </w:pPr>
          </w:p>
        </w:tc>
        <w:tc>
          <w:tcPr>
            <w:tcW w:w="0" w:type="auto"/>
            <w:shd w:val="clear" w:color="auto" w:fill="auto"/>
          </w:tcPr>
          <w:p w14:paraId="20ADFEA9" w14:textId="77777777" w:rsidR="00B626E7" w:rsidRDefault="00B626E7">
            <w:pPr>
              <w:rPr>
                <w:rFonts w:ascii="宋体"/>
              </w:rPr>
            </w:pPr>
          </w:p>
        </w:tc>
        <w:tc>
          <w:tcPr>
            <w:tcW w:w="0" w:type="auto"/>
            <w:shd w:val="clear" w:color="auto" w:fill="auto"/>
          </w:tcPr>
          <w:p w14:paraId="20ADFEAA" w14:textId="77777777" w:rsidR="00B626E7" w:rsidRDefault="00B626E7">
            <w:pPr>
              <w:rPr>
                <w:rFonts w:ascii="宋体"/>
              </w:rPr>
            </w:pPr>
          </w:p>
        </w:tc>
      </w:tr>
      <w:tr w:rsidR="00B626E7" w14:paraId="20ADFEB7" w14:textId="77777777">
        <w:trPr>
          <w:jc w:val="center"/>
          <w:hidden/>
        </w:trPr>
        <w:tc>
          <w:tcPr>
            <w:tcW w:w="0" w:type="auto"/>
            <w:gridSpan w:val="3"/>
            <w:shd w:val="clear" w:color="auto" w:fill="auto"/>
          </w:tcPr>
          <w:p w14:paraId="20ADFEAC" w14:textId="77777777" w:rsidR="00B626E7" w:rsidRDefault="00B626E7">
            <w:pPr>
              <w:rPr>
                <w:rFonts w:ascii="宋体"/>
                <w:vanish/>
              </w:rPr>
            </w:pPr>
          </w:p>
        </w:tc>
        <w:tc>
          <w:tcPr>
            <w:tcW w:w="0" w:type="auto"/>
            <w:gridSpan w:val="3"/>
            <w:shd w:val="clear" w:color="auto" w:fill="auto"/>
          </w:tcPr>
          <w:p w14:paraId="20ADFEAD" w14:textId="77777777" w:rsidR="00B626E7" w:rsidRDefault="00B626E7">
            <w:pPr>
              <w:rPr>
                <w:rFonts w:ascii="宋体"/>
                <w:vanish/>
              </w:rPr>
            </w:pPr>
          </w:p>
        </w:tc>
        <w:tc>
          <w:tcPr>
            <w:tcW w:w="0" w:type="auto"/>
            <w:gridSpan w:val="3"/>
            <w:shd w:val="clear" w:color="auto" w:fill="auto"/>
          </w:tcPr>
          <w:p w14:paraId="20ADFEAE" w14:textId="77777777" w:rsidR="00B626E7" w:rsidRDefault="00B626E7">
            <w:pPr>
              <w:rPr>
                <w:rFonts w:ascii="宋体"/>
                <w:vanish/>
              </w:rPr>
            </w:pPr>
          </w:p>
        </w:tc>
        <w:tc>
          <w:tcPr>
            <w:tcW w:w="0" w:type="auto"/>
            <w:gridSpan w:val="3"/>
            <w:shd w:val="clear" w:color="auto" w:fill="auto"/>
          </w:tcPr>
          <w:p w14:paraId="20ADFEAF" w14:textId="77777777" w:rsidR="00B626E7" w:rsidRDefault="00B626E7">
            <w:pPr>
              <w:rPr>
                <w:rFonts w:ascii="宋体"/>
                <w:vanish/>
              </w:rPr>
            </w:pPr>
          </w:p>
        </w:tc>
        <w:tc>
          <w:tcPr>
            <w:tcW w:w="0" w:type="auto"/>
            <w:gridSpan w:val="3"/>
            <w:shd w:val="clear" w:color="auto" w:fill="auto"/>
          </w:tcPr>
          <w:p w14:paraId="20ADFEB0" w14:textId="77777777" w:rsidR="00B626E7" w:rsidRDefault="00B626E7">
            <w:pPr>
              <w:rPr>
                <w:rFonts w:ascii="宋体"/>
                <w:vanish/>
              </w:rPr>
            </w:pPr>
          </w:p>
        </w:tc>
        <w:tc>
          <w:tcPr>
            <w:tcW w:w="0" w:type="auto"/>
            <w:shd w:val="clear" w:color="auto" w:fill="auto"/>
          </w:tcPr>
          <w:p w14:paraId="20ADFEB1" w14:textId="77777777" w:rsidR="00B626E7" w:rsidRDefault="00B626E7">
            <w:pPr>
              <w:rPr>
                <w:rFonts w:ascii="宋体"/>
              </w:rPr>
            </w:pPr>
          </w:p>
        </w:tc>
        <w:tc>
          <w:tcPr>
            <w:tcW w:w="0" w:type="auto"/>
            <w:shd w:val="clear" w:color="auto" w:fill="auto"/>
          </w:tcPr>
          <w:p w14:paraId="20ADFEB2" w14:textId="77777777" w:rsidR="00B626E7" w:rsidRDefault="00B626E7">
            <w:pPr>
              <w:rPr>
                <w:rFonts w:ascii="宋体"/>
              </w:rPr>
            </w:pPr>
          </w:p>
        </w:tc>
        <w:tc>
          <w:tcPr>
            <w:tcW w:w="0" w:type="auto"/>
            <w:shd w:val="clear" w:color="auto" w:fill="auto"/>
          </w:tcPr>
          <w:p w14:paraId="20ADFEB3" w14:textId="77777777" w:rsidR="00B626E7" w:rsidRDefault="00B626E7">
            <w:pPr>
              <w:rPr>
                <w:rFonts w:ascii="宋体"/>
              </w:rPr>
            </w:pPr>
          </w:p>
        </w:tc>
        <w:tc>
          <w:tcPr>
            <w:tcW w:w="0" w:type="auto"/>
            <w:shd w:val="clear" w:color="auto" w:fill="auto"/>
          </w:tcPr>
          <w:p w14:paraId="20ADFEB4" w14:textId="77777777" w:rsidR="00B626E7" w:rsidRDefault="00B626E7">
            <w:pPr>
              <w:rPr>
                <w:rFonts w:ascii="宋体"/>
              </w:rPr>
            </w:pPr>
          </w:p>
        </w:tc>
        <w:tc>
          <w:tcPr>
            <w:tcW w:w="0" w:type="auto"/>
            <w:shd w:val="clear" w:color="auto" w:fill="auto"/>
          </w:tcPr>
          <w:p w14:paraId="20ADFEB5" w14:textId="77777777" w:rsidR="00B626E7" w:rsidRDefault="00B626E7">
            <w:pPr>
              <w:rPr>
                <w:rFonts w:ascii="宋体"/>
              </w:rPr>
            </w:pPr>
          </w:p>
        </w:tc>
        <w:tc>
          <w:tcPr>
            <w:tcW w:w="0" w:type="auto"/>
            <w:shd w:val="clear" w:color="auto" w:fill="auto"/>
          </w:tcPr>
          <w:p w14:paraId="20ADFEB6" w14:textId="77777777" w:rsidR="00B626E7" w:rsidRDefault="00B626E7">
            <w:pPr>
              <w:rPr>
                <w:rFonts w:ascii="宋体"/>
              </w:rPr>
            </w:pPr>
          </w:p>
        </w:tc>
      </w:tr>
      <w:tr w:rsidR="00B626E7" w14:paraId="20ADFEC3" w14:textId="77777777">
        <w:trPr>
          <w:jc w:val="center"/>
          <w:hidden/>
        </w:trPr>
        <w:tc>
          <w:tcPr>
            <w:tcW w:w="0" w:type="auto"/>
            <w:gridSpan w:val="3"/>
            <w:shd w:val="clear" w:color="auto" w:fill="auto"/>
          </w:tcPr>
          <w:p w14:paraId="20ADFEB8" w14:textId="77777777" w:rsidR="00B626E7" w:rsidRDefault="00B626E7">
            <w:pPr>
              <w:rPr>
                <w:rFonts w:ascii="宋体"/>
                <w:vanish/>
              </w:rPr>
            </w:pPr>
          </w:p>
        </w:tc>
        <w:tc>
          <w:tcPr>
            <w:tcW w:w="0" w:type="auto"/>
            <w:gridSpan w:val="3"/>
            <w:shd w:val="clear" w:color="auto" w:fill="auto"/>
          </w:tcPr>
          <w:p w14:paraId="20ADFEB9" w14:textId="77777777" w:rsidR="00B626E7" w:rsidRDefault="00B626E7">
            <w:pPr>
              <w:rPr>
                <w:rFonts w:ascii="宋体"/>
                <w:vanish/>
              </w:rPr>
            </w:pPr>
          </w:p>
        </w:tc>
        <w:tc>
          <w:tcPr>
            <w:tcW w:w="0" w:type="auto"/>
            <w:gridSpan w:val="3"/>
            <w:shd w:val="clear" w:color="auto" w:fill="auto"/>
          </w:tcPr>
          <w:p w14:paraId="20ADFEBA" w14:textId="77777777" w:rsidR="00B626E7" w:rsidRDefault="00B626E7">
            <w:pPr>
              <w:rPr>
                <w:rFonts w:ascii="宋体"/>
                <w:vanish/>
              </w:rPr>
            </w:pPr>
          </w:p>
        </w:tc>
        <w:tc>
          <w:tcPr>
            <w:tcW w:w="0" w:type="auto"/>
            <w:gridSpan w:val="3"/>
            <w:shd w:val="clear" w:color="auto" w:fill="auto"/>
          </w:tcPr>
          <w:p w14:paraId="20ADFEBB" w14:textId="77777777" w:rsidR="00B626E7" w:rsidRDefault="00B626E7">
            <w:pPr>
              <w:rPr>
                <w:rFonts w:ascii="宋体"/>
                <w:vanish/>
              </w:rPr>
            </w:pPr>
          </w:p>
        </w:tc>
        <w:tc>
          <w:tcPr>
            <w:tcW w:w="0" w:type="auto"/>
            <w:gridSpan w:val="3"/>
            <w:shd w:val="clear" w:color="auto" w:fill="auto"/>
          </w:tcPr>
          <w:p w14:paraId="20ADFEBC" w14:textId="77777777" w:rsidR="00B626E7" w:rsidRDefault="00B626E7">
            <w:pPr>
              <w:rPr>
                <w:rFonts w:ascii="宋体"/>
                <w:vanish/>
              </w:rPr>
            </w:pPr>
          </w:p>
        </w:tc>
        <w:tc>
          <w:tcPr>
            <w:tcW w:w="0" w:type="auto"/>
            <w:shd w:val="clear" w:color="auto" w:fill="auto"/>
          </w:tcPr>
          <w:p w14:paraId="20ADFEBD" w14:textId="77777777" w:rsidR="00B626E7" w:rsidRDefault="00B626E7">
            <w:pPr>
              <w:rPr>
                <w:rFonts w:ascii="宋体"/>
              </w:rPr>
            </w:pPr>
          </w:p>
        </w:tc>
        <w:tc>
          <w:tcPr>
            <w:tcW w:w="0" w:type="auto"/>
            <w:shd w:val="clear" w:color="auto" w:fill="auto"/>
          </w:tcPr>
          <w:p w14:paraId="20ADFEBE" w14:textId="77777777" w:rsidR="00B626E7" w:rsidRDefault="00B626E7">
            <w:pPr>
              <w:rPr>
                <w:rFonts w:ascii="宋体"/>
              </w:rPr>
            </w:pPr>
          </w:p>
        </w:tc>
        <w:tc>
          <w:tcPr>
            <w:tcW w:w="0" w:type="auto"/>
            <w:shd w:val="clear" w:color="auto" w:fill="auto"/>
          </w:tcPr>
          <w:p w14:paraId="20ADFEBF" w14:textId="77777777" w:rsidR="00B626E7" w:rsidRDefault="00B626E7">
            <w:pPr>
              <w:rPr>
                <w:rFonts w:ascii="宋体"/>
              </w:rPr>
            </w:pPr>
          </w:p>
        </w:tc>
        <w:tc>
          <w:tcPr>
            <w:tcW w:w="0" w:type="auto"/>
            <w:shd w:val="clear" w:color="auto" w:fill="auto"/>
          </w:tcPr>
          <w:p w14:paraId="20ADFEC0" w14:textId="77777777" w:rsidR="00B626E7" w:rsidRDefault="00B626E7">
            <w:pPr>
              <w:rPr>
                <w:rFonts w:ascii="宋体"/>
              </w:rPr>
            </w:pPr>
          </w:p>
        </w:tc>
        <w:tc>
          <w:tcPr>
            <w:tcW w:w="0" w:type="auto"/>
            <w:shd w:val="clear" w:color="auto" w:fill="auto"/>
          </w:tcPr>
          <w:p w14:paraId="20ADFEC1" w14:textId="77777777" w:rsidR="00B626E7" w:rsidRDefault="00B626E7">
            <w:pPr>
              <w:rPr>
                <w:rFonts w:ascii="宋体"/>
              </w:rPr>
            </w:pPr>
          </w:p>
        </w:tc>
        <w:tc>
          <w:tcPr>
            <w:tcW w:w="0" w:type="auto"/>
            <w:shd w:val="clear" w:color="auto" w:fill="auto"/>
          </w:tcPr>
          <w:p w14:paraId="20ADFEC2" w14:textId="77777777" w:rsidR="00B626E7" w:rsidRDefault="00B626E7">
            <w:pPr>
              <w:rPr>
                <w:rFonts w:ascii="宋体"/>
              </w:rPr>
            </w:pPr>
          </w:p>
        </w:tc>
      </w:tr>
      <w:tr w:rsidR="00B626E7" w14:paraId="20ADFED1" w14:textId="77777777">
        <w:trPr>
          <w:jc w:val="center"/>
        </w:trPr>
        <w:tc>
          <w:tcPr>
            <w:tcW w:w="0" w:type="auto"/>
            <w:gridSpan w:val="3"/>
            <w:shd w:val="clear" w:color="auto" w:fill="auto"/>
            <w:tcMar>
              <w:top w:w="40" w:type="dxa"/>
              <w:left w:w="180" w:type="dxa"/>
              <w:bottom w:w="40" w:type="dxa"/>
              <w:right w:w="20" w:type="dxa"/>
            </w:tcMar>
          </w:tcPr>
          <w:p w14:paraId="20ADFEC4" w14:textId="77777777" w:rsidR="00B626E7" w:rsidRDefault="00175C1D">
            <w:pPr>
              <w:textAlignment w:val="top"/>
            </w:pPr>
            <w:r>
              <w:rPr>
                <w:rFonts w:ascii="Arial" w:eastAsia="宋体" w:hAnsi="Arial" w:cs="Arial"/>
                <w:color w:val="333333"/>
                <w:sz w:val="18"/>
                <w:szCs w:val="18"/>
              </w:rPr>
              <w:t xml:space="preserve">Amortization of </w:t>
            </w:r>
            <w:r>
              <w:rPr>
                <w:rFonts w:ascii="Arial" w:eastAsia="宋体" w:hAnsi="Arial" w:cs="Arial"/>
                <w:color w:val="333333"/>
                <w:sz w:val="18"/>
                <w:szCs w:val="18"/>
              </w:rPr>
              <w:t>intangibles</w:t>
            </w:r>
          </w:p>
        </w:tc>
        <w:tc>
          <w:tcPr>
            <w:tcW w:w="0" w:type="auto"/>
            <w:gridSpan w:val="3"/>
            <w:shd w:val="clear" w:color="auto" w:fill="auto"/>
            <w:tcMar>
              <w:left w:w="20" w:type="dxa"/>
              <w:right w:w="20" w:type="dxa"/>
            </w:tcMar>
            <w:vAlign w:val="bottom"/>
          </w:tcPr>
          <w:p w14:paraId="20ADFEC5"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EC6" w14:textId="77777777" w:rsidR="00B626E7" w:rsidRDefault="00175C1D">
            <w:pPr>
              <w:jc w:val="right"/>
              <w:textAlignment w:val="bottom"/>
            </w:pPr>
            <w:r>
              <w:rPr>
                <w:rFonts w:ascii="Arial" w:eastAsia="宋体" w:hAnsi="Arial" w:cs="Arial"/>
                <w:color w:val="0071C5"/>
                <w:sz w:val="18"/>
                <w:szCs w:val="18"/>
              </w:rPr>
              <w:t>865 </w:t>
            </w:r>
          </w:p>
        </w:tc>
        <w:tc>
          <w:tcPr>
            <w:tcW w:w="0" w:type="auto"/>
            <w:shd w:val="clear" w:color="auto" w:fill="auto"/>
            <w:tcMar>
              <w:top w:w="40" w:type="dxa"/>
              <w:bottom w:w="40" w:type="dxa"/>
              <w:right w:w="20" w:type="dxa"/>
            </w:tcMar>
            <w:vAlign w:val="bottom"/>
          </w:tcPr>
          <w:p w14:paraId="20ADFEC7"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DFEC8"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EC9" w14:textId="77777777" w:rsidR="00B626E7" w:rsidRDefault="00175C1D">
            <w:pPr>
              <w:jc w:val="right"/>
              <w:textAlignment w:val="bottom"/>
            </w:pPr>
            <w:r>
              <w:rPr>
                <w:rFonts w:ascii="Arial" w:eastAsia="宋体" w:hAnsi="Arial" w:cs="Arial"/>
                <w:color w:val="333333"/>
                <w:sz w:val="18"/>
                <w:szCs w:val="18"/>
              </w:rPr>
              <w:t>800 </w:t>
            </w:r>
          </w:p>
        </w:tc>
        <w:tc>
          <w:tcPr>
            <w:tcW w:w="0" w:type="auto"/>
            <w:shd w:val="clear" w:color="auto" w:fill="auto"/>
            <w:tcMar>
              <w:top w:w="40" w:type="dxa"/>
              <w:bottom w:w="40" w:type="dxa"/>
              <w:right w:w="20" w:type="dxa"/>
            </w:tcMar>
            <w:vAlign w:val="bottom"/>
          </w:tcPr>
          <w:p w14:paraId="20ADFECA"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DFECB" w14:textId="77777777" w:rsidR="00B626E7" w:rsidRDefault="00B626E7">
            <w:pPr>
              <w:rPr>
                <w:rFonts w:ascii="宋体"/>
              </w:rPr>
            </w:pPr>
          </w:p>
        </w:tc>
        <w:tc>
          <w:tcPr>
            <w:tcW w:w="0" w:type="auto"/>
            <w:shd w:val="clear" w:color="auto" w:fill="auto"/>
          </w:tcPr>
          <w:p w14:paraId="20ADFECC" w14:textId="77777777" w:rsidR="00B626E7" w:rsidRDefault="00B626E7">
            <w:pPr>
              <w:rPr>
                <w:rFonts w:ascii="宋体"/>
              </w:rPr>
            </w:pPr>
          </w:p>
        </w:tc>
        <w:tc>
          <w:tcPr>
            <w:tcW w:w="0" w:type="auto"/>
            <w:shd w:val="clear" w:color="auto" w:fill="auto"/>
          </w:tcPr>
          <w:p w14:paraId="20ADFECD" w14:textId="77777777" w:rsidR="00B626E7" w:rsidRDefault="00B626E7">
            <w:pPr>
              <w:rPr>
                <w:rFonts w:ascii="宋体"/>
              </w:rPr>
            </w:pPr>
          </w:p>
        </w:tc>
        <w:tc>
          <w:tcPr>
            <w:tcW w:w="0" w:type="auto"/>
            <w:shd w:val="clear" w:color="auto" w:fill="auto"/>
          </w:tcPr>
          <w:p w14:paraId="20ADFECE" w14:textId="77777777" w:rsidR="00B626E7" w:rsidRDefault="00B626E7">
            <w:pPr>
              <w:rPr>
                <w:rFonts w:ascii="宋体"/>
              </w:rPr>
            </w:pPr>
          </w:p>
        </w:tc>
        <w:tc>
          <w:tcPr>
            <w:tcW w:w="0" w:type="auto"/>
            <w:shd w:val="clear" w:color="auto" w:fill="auto"/>
          </w:tcPr>
          <w:p w14:paraId="20ADFECF" w14:textId="77777777" w:rsidR="00B626E7" w:rsidRDefault="00B626E7">
            <w:pPr>
              <w:rPr>
                <w:rFonts w:ascii="宋体"/>
              </w:rPr>
            </w:pPr>
          </w:p>
        </w:tc>
        <w:tc>
          <w:tcPr>
            <w:tcW w:w="0" w:type="auto"/>
            <w:shd w:val="clear" w:color="auto" w:fill="auto"/>
          </w:tcPr>
          <w:p w14:paraId="20ADFED0" w14:textId="77777777" w:rsidR="00B626E7" w:rsidRDefault="00B626E7">
            <w:pPr>
              <w:rPr>
                <w:rFonts w:ascii="宋体"/>
              </w:rPr>
            </w:pPr>
          </w:p>
        </w:tc>
      </w:tr>
      <w:tr w:rsidR="00B626E7" w14:paraId="20ADFEDF" w14:textId="77777777">
        <w:trPr>
          <w:jc w:val="center"/>
        </w:trPr>
        <w:tc>
          <w:tcPr>
            <w:tcW w:w="0" w:type="auto"/>
            <w:gridSpan w:val="3"/>
            <w:shd w:val="clear" w:color="auto" w:fill="auto"/>
            <w:tcMar>
              <w:top w:w="40" w:type="dxa"/>
              <w:left w:w="180" w:type="dxa"/>
              <w:bottom w:w="40" w:type="dxa"/>
              <w:right w:w="20" w:type="dxa"/>
            </w:tcMar>
          </w:tcPr>
          <w:p w14:paraId="20ADFED2" w14:textId="77777777" w:rsidR="00B626E7" w:rsidRDefault="00175C1D">
            <w:pPr>
              <w:textAlignment w:val="top"/>
            </w:pPr>
            <w:r>
              <w:rPr>
                <w:rFonts w:ascii="Arial" w:eastAsia="宋体" w:hAnsi="Arial" w:cs="Arial"/>
                <w:color w:val="333333"/>
                <w:sz w:val="18"/>
                <w:szCs w:val="18"/>
              </w:rPr>
              <w:t>(Gains) losses on equity investments, net</w:t>
            </w:r>
          </w:p>
        </w:tc>
        <w:tc>
          <w:tcPr>
            <w:tcW w:w="0" w:type="auto"/>
            <w:gridSpan w:val="3"/>
            <w:shd w:val="clear" w:color="auto" w:fill="auto"/>
            <w:tcMar>
              <w:left w:w="20" w:type="dxa"/>
              <w:right w:w="20" w:type="dxa"/>
            </w:tcMar>
            <w:vAlign w:val="bottom"/>
          </w:tcPr>
          <w:p w14:paraId="20ADFED3"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ED4" w14:textId="77777777" w:rsidR="00B626E7" w:rsidRDefault="00175C1D">
            <w:pPr>
              <w:jc w:val="right"/>
              <w:textAlignment w:val="bottom"/>
            </w:pPr>
            <w:r>
              <w:rPr>
                <w:rFonts w:ascii="Arial" w:eastAsia="宋体" w:hAnsi="Arial" w:cs="Arial"/>
                <w:color w:val="0071C5"/>
                <w:sz w:val="18"/>
                <w:szCs w:val="18"/>
              </w:rPr>
              <w:t>(92)</w:t>
            </w:r>
          </w:p>
        </w:tc>
        <w:tc>
          <w:tcPr>
            <w:tcW w:w="0" w:type="auto"/>
            <w:shd w:val="clear" w:color="auto" w:fill="auto"/>
            <w:tcMar>
              <w:top w:w="40" w:type="dxa"/>
              <w:bottom w:w="40" w:type="dxa"/>
              <w:right w:w="20" w:type="dxa"/>
            </w:tcMar>
            <w:vAlign w:val="bottom"/>
          </w:tcPr>
          <w:p w14:paraId="20ADFED5"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DFED6"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ED7" w14:textId="77777777" w:rsidR="00B626E7" w:rsidRDefault="00175C1D">
            <w:pPr>
              <w:jc w:val="right"/>
              <w:textAlignment w:val="bottom"/>
            </w:pPr>
            <w:r>
              <w:rPr>
                <w:rFonts w:ascii="Arial" w:eastAsia="宋体" w:hAnsi="Arial" w:cs="Arial"/>
                <w:color w:val="333333"/>
                <w:sz w:val="18"/>
                <w:szCs w:val="18"/>
              </w:rPr>
              <w:t>(100)</w:t>
            </w:r>
          </w:p>
        </w:tc>
        <w:tc>
          <w:tcPr>
            <w:tcW w:w="0" w:type="auto"/>
            <w:shd w:val="clear" w:color="auto" w:fill="auto"/>
            <w:tcMar>
              <w:top w:w="40" w:type="dxa"/>
              <w:bottom w:w="40" w:type="dxa"/>
              <w:right w:w="20" w:type="dxa"/>
            </w:tcMar>
            <w:vAlign w:val="bottom"/>
          </w:tcPr>
          <w:p w14:paraId="20ADFED8"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DFED9" w14:textId="77777777" w:rsidR="00B626E7" w:rsidRDefault="00B626E7">
            <w:pPr>
              <w:rPr>
                <w:rFonts w:ascii="宋体"/>
              </w:rPr>
            </w:pPr>
          </w:p>
        </w:tc>
        <w:tc>
          <w:tcPr>
            <w:tcW w:w="0" w:type="auto"/>
            <w:shd w:val="clear" w:color="auto" w:fill="auto"/>
          </w:tcPr>
          <w:p w14:paraId="20ADFEDA" w14:textId="77777777" w:rsidR="00B626E7" w:rsidRDefault="00B626E7">
            <w:pPr>
              <w:rPr>
                <w:rFonts w:ascii="宋体"/>
              </w:rPr>
            </w:pPr>
          </w:p>
        </w:tc>
        <w:tc>
          <w:tcPr>
            <w:tcW w:w="0" w:type="auto"/>
            <w:shd w:val="clear" w:color="auto" w:fill="auto"/>
          </w:tcPr>
          <w:p w14:paraId="20ADFEDB" w14:textId="77777777" w:rsidR="00B626E7" w:rsidRDefault="00B626E7">
            <w:pPr>
              <w:rPr>
                <w:rFonts w:ascii="宋体"/>
              </w:rPr>
            </w:pPr>
          </w:p>
        </w:tc>
        <w:tc>
          <w:tcPr>
            <w:tcW w:w="0" w:type="auto"/>
            <w:shd w:val="clear" w:color="auto" w:fill="auto"/>
          </w:tcPr>
          <w:p w14:paraId="20ADFEDC" w14:textId="77777777" w:rsidR="00B626E7" w:rsidRDefault="00B626E7">
            <w:pPr>
              <w:rPr>
                <w:rFonts w:ascii="宋体"/>
              </w:rPr>
            </w:pPr>
          </w:p>
        </w:tc>
        <w:tc>
          <w:tcPr>
            <w:tcW w:w="0" w:type="auto"/>
            <w:shd w:val="clear" w:color="auto" w:fill="auto"/>
          </w:tcPr>
          <w:p w14:paraId="20ADFEDD" w14:textId="77777777" w:rsidR="00B626E7" w:rsidRDefault="00B626E7">
            <w:pPr>
              <w:rPr>
                <w:rFonts w:ascii="宋体"/>
              </w:rPr>
            </w:pPr>
          </w:p>
        </w:tc>
        <w:tc>
          <w:tcPr>
            <w:tcW w:w="0" w:type="auto"/>
            <w:shd w:val="clear" w:color="auto" w:fill="auto"/>
          </w:tcPr>
          <w:p w14:paraId="20ADFEDE" w14:textId="77777777" w:rsidR="00B626E7" w:rsidRDefault="00B626E7">
            <w:pPr>
              <w:rPr>
                <w:rFonts w:ascii="宋体"/>
              </w:rPr>
            </w:pPr>
          </w:p>
        </w:tc>
      </w:tr>
      <w:tr w:rsidR="00B626E7" w14:paraId="20ADFEEB" w14:textId="77777777">
        <w:trPr>
          <w:jc w:val="center"/>
          <w:hidden/>
        </w:trPr>
        <w:tc>
          <w:tcPr>
            <w:tcW w:w="0" w:type="auto"/>
            <w:gridSpan w:val="3"/>
            <w:shd w:val="clear" w:color="auto" w:fill="auto"/>
          </w:tcPr>
          <w:p w14:paraId="20ADFEE0" w14:textId="77777777" w:rsidR="00B626E7" w:rsidRDefault="00B626E7">
            <w:pPr>
              <w:rPr>
                <w:rFonts w:ascii="宋体"/>
                <w:vanish/>
              </w:rPr>
            </w:pPr>
          </w:p>
        </w:tc>
        <w:tc>
          <w:tcPr>
            <w:tcW w:w="0" w:type="auto"/>
            <w:gridSpan w:val="3"/>
            <w:shd w:val="clear" w:color="auto" w:fill="auto"/>
          </w:tcPr>
          <w:p w14:paraId="20ADFEE1" w14:textId="77777777" w:rsidR="00B626E7" w:rsidRDefault="00B626E7">
            <w:pPr>
              <w:rPr>
                <w:rFonts w:ascii="宋体"/>
                <w:vanish/>
              </w:rPr>
            </w:pPr>
          </w:p>
        </w:tc>
        <w:tc>
          <w:tcPr>
            <w:tcW w:w="0" w:type="auto"/>
            <w:gridSpan w:val="3"/>
            <w:shd w:val="clear" w:color="auto" w:fill="auto"/>
          </w:tcPr>
          <w:p w14:paraId="20ADFEE2" w14:textId="77777777" w:rsidR="00B626E7" w:rsidRDefault="00B626E7">
            <w:pPr>
              <w:rPr>
                <w:rFonts w:ascii="宋体"/>
                <w:vanish/>
              </w:rPr>
            </w:pPr>
          </w:p>
        </w:tc>
        <w:tc>
          <w:tcPr>
            <w:tcW w:w="0" w:type="auto"/>
            <w:gridSpan w:val="3"/>
            <w:shd w:val="clear" w:color="auto" w:fill="auto"/>
          </w:tcPr>
          <w:p w14:paraId="20ADFEE3" w14:textId="77777777" w:rsidR="00B626E7" w:rsidRDefault="00B626E7">
            <w:pPr>
              <w:rPr>
                <w:rFonts w:ascii="宋体"/>
                <w:vanish/>
              </w:rPr>
            </w:pPr>
          </w:p>
        </w:tc>
        <w:tc>
          <w:tcPr>
            <w:tcW w:w="0" w:type="auto"/>
            <w:gridSpan w:val="3"/>
            <w:shd w:val="clear" w:color="auto" w:fill="auto"/>
          </w:tcPr>
          <w:p w14:paraId="20ADFEE4" w14:textId="77777777" w:rsidR="00B626E7" w:rsidRDefault="00B626E7">
            <w:pPr>
              <w:rPr>
                <w:rFonts w:ascii="宋体"/>
                <w:vanish/>
              </w:rPr>
            </w:pPr>
          </w:p>
        </w:tc>
        <w:tc>
          <w:tcPr>
            <w:tcW w:w="0" w:type="auto"/>
            <w:shd w:val="clear" w:color="auto" w:fill="auto"/>
          </w:tcPr>
          <w:p w14:paraId="20ADFEE5" w14:textId="77777777" w:rsidR="00B626E7" w:rsidRDefault="00B626E7">
            <w:pPr>
              <w:rPr>
                <w:rFonts w:ascii="宋体"/>
              </w:rPr>
            </w:pPr>
          </w:p>
        </w:tc>
        <w:tc>
          <w:tcPr>
            <w:tcW w:w="0" w:type="auto"/>
            <w:shd w:val="clear" w:color="auto" w:fill="auto"/>
          </w:tcPr>
          <w:p w14:paraId="20ADFEE6" w14:textId="77777777" w:rsidR="00B626E7" w:rsidRDefault="00B626E7">
            <w:pPr>
              <w:rPr>
                <w:rFonts w:ascii="宋体"/>
              </w:rPr>
            </w:pPr>
          </w:p>
        </w:tc>
        <w:tc>
          <w:tcPr>
            <w:tcW w:w="0" w:type="auto"/>
            <w:shd w:val="clear" w:color="auto" w:fill="auto"/>
          </w:tcPr>
          <w:p w14:paraId="20ADFEE7" w14:textId="77777777" w:rsidR="00B626E7" w:rsidRDefault="00B626E7">
            <w:pPr>
              <w:rPr>
                <w:rFonts w:ascii="宋体"/>
              </w:rPr>
            </w:pPr>
          </w:p>
        </w:tc>
        <w:tc>
          <w:tcPr>
            <w:tcW w:w="0" w:type="auto"/>
            <w:shd w:val="clear" w:color="auto" w:fill="auto"/>
          </w:tcPr>
          <w:p w14:paraId="20ADFEE8" w14:textId="77777777" w:rsidR="00B626E7" w:rsidRDefault="00B626E7">
            <w:pPr>
              <w:rPr>
                <w:rFonts w:ascii="宋体"/>
              </w:rPr>
            </w:pPr>
          </w:p>
        </w:tc>
        <w:tc>
          <w:tcPr>
            <w:tcW w:w="0" w:type="auto"/>
            <w:shd w:val="clear" w:color="auto" w:fill="auto"/>
          </w:tcPr>
          <w:p w14:paraId="20ADFEE9" w14:textId="77777777" w:rsidR="00B626E7" w:rsidRDefault="00B626E7">
            <w:pPr>
              <w:rPr>
                <w:rFonts w:ascii="宋体"/>
              </w:rPr>
            </w:pPr>
          </w:p>
        </w:tc>
        <w:tc>
          <w:tcPr>
            <w:tcW w:w="0" w:type="auto"/>
            <w:shd w:val="clear" w:color="auto" w:fill="auto"/>
          </w:tcPr>
          <w:p w14:paraId="20ADFEEA" w14:textId="77777777" w:rsidR="00B626E7" w:rsidRDefault="00B626E7">
            <w:pPr>
              <w:rPr>
                <w:rFonts w:ascii="宋体"/>
              </w:rPr>
            </w:pPr>
          </w:p>
        </w:tc>
      </w:tr>
      <w:tr w:rsidR="00B626E7" w14:paraId="20ADFEF7" w14:textId="77777777">
        <w:trPr>
          <w:jc w:val="center"/>
          <w:hidden/>
        </w:trPr>
        <w:tc>
          <w:tcPr>
            <w:tcW w:w="0" w:type="auto"/>
            <w:gridSpan w:val="3"/>
            <w:shd w:val="clear" w:color="auto" w:fill="auto"/>
          </w:tcPr>
          <w:p w14:paraId="20ADFEEC" w14:textId="77777777" w:rsidR="00B626E7" w:rsidRDefault="00B626E7">
            <w:pPr>
              <w:rPr>
                <w:rFonts w:ascii="宋体"/>
                <w:vanish/>
              </w:rPr>
            </w:pPr>
          </w:p>
        </w:tc>
        <w:tc>
          <w:tcPr>
            <w:tcW w:w="0" w:type="auto"/>
            <w:gridSpan w:val="3"/>
            <w:shd w:val="clear" w:color="auto" w:fill="auto"/>
          </w:tcPr>
          <w:p w14:paraId="20ADFEED" w14:textId="77777777" w:rsidR="00B626E7" w:rsidRDefault="00B626E7">
            <w:pPr>
              <w:rPr>
                <w:rFonts w:ascii="宋体"/>
                <w:vanish/>
              </w:rPr>
            </w:pPr>
          </w:p>
        </w:tc>
        <w:tc>
          <w:tcPr>
            <w:tcW w:w="0" w:type="auto"/>
            <w:gridSpan w:val="3"/>
            <w:shd w:val="clear" w:color="auto" w:fill="auto"/>
          </w:tcPr>
          <w:p w14:paraId="20ADFEEE" w14:textId="77777777" w:rsidR="00B626E7" w:rsidRDefault="00B626E7">
            <w:pPr>
              <w:rPr>
                <w:rFonts w:ascii="宋体"/>
                <w:vanish/>
              </w:rPr>
            </w:pPr>
          </w:p>
        </w:tc>
        <w:tc>
          <w:tcPr>
            <w:tcW w:w="0" w:type="auto"/>
            <w:gridSpan w:val="3"/>
            <w:shd w:val="clear" w:color="auto" w:fill="auto"/>
          </w:tcPr>
          <w:p w14:paraId="20ADFEEF" w14:textId="77777777" w:rsidR="00B626E7" w:rsidRDefault="00B626E7">
            <w:pPr>
              <w:rPr>
                <w:rFonts w:ascii="宋体"/>
                <w:vanish/>
              </w:rPr>
            </w:pPr>
          </w:p>
        </w:tc>
        <w:tc>
          <w:tcPr>
            <w:tcW w:w="0" w:type="auto"/>
            <w:gridSpan w:val="3"/>
            <w:shd w:val="clear" w:color="auto" w:fill="auto"/>
          </w:tcPr>
          <w:p w14:paraId="20ADFEF0" w14:textId="77777777" w:rsidR="00B626E7" w:rsidRDefault="00B626E7">
            <w:pPr>
              <w:rPr>
                <w:rFonts w:ascii="宋体"/>
                <w:vanish/>
              </w:rPr>
            </w:pPr>
          </w:p>
        </w:tc>
        <w:tc>
          <w:tcPr>
            <w:tcW w:w="0" w:type="auto"/>
            <w:shd w:val="clear" w:color="auto" w:fill="auto"/>
          </w:tcPr>
          <w:p w14:paraId="20ADFEF1" w14:textId="77777777" w:rsidR="00B626E7" w:rsidRDefault="00B626E7">
            <w:pPr>
              <w:rPr>
                <w:rFonts w:ascii="宋体"/>
              </w:rPr>
            </w:pPr>
          </w:p>
        </w:tc>
        <w:tc>
          <w:tcPr>
            <w:tcW w:w="0" w:type="auto"/>
            <w:shd w:val="clear" w:color="auto" w:fill="auto"/>
          </w:tcPr>
          <w:p w14:paraId="20ADFEF2" w14:textId="77777777" w:rsidR="00B626E7" w:rsidRDefault="00B626E7">
            <w:pPr>
              <w:rPr>
                <w:rFonts w:ascii="宋体"/>
              </w:rPr>
            </w:pPr>
          </w:p>
        </w:tc>
        <w:tc>
          <w:tcPr>
            <w:tcW w:w="0" w:type="auto"/>
            <w:shd w:val="clear" w:color="auto" w:fill="auto"/>
          </w:tcPr>
          <w:p w14:paraId="20ADFEF3" w14:textId="77777777" w:rsidR="00B626E7" w:rsidRDefault="00B626E7">
            <w:pPr>
              <w:rPr>
                <w:rFonts w:ascii="宋体"/>
              </w:rPr>
            </w:pPr>
          </w:p>
        </w:tc>
        <w:tc>
          <w:tcPr>
            <w:tcW w:w="0" w:type="auto"/>
            <w:shd w:val="clear" w:color="auto" w:fill="auto"/>
          </w:tcPr>
          <w:p w14:paraId="20ADFEF4" w14:textId="77777777" w:rsidR="00B626E7" w:rsidRDefault="00B626E7">
            <w:pPr>
              <w:rPr>
                <w:rFonts w:ascii="宋体"/>
              </w:rPr>
            </w:pPr>
          </w:p>
        </w:tc>
        <w:tc>
          <w:tcPr>
            <w:tcW w:w="0" w:type="auto"/>
            <w:shd w:val="clear" w:color="auto" w:fill="auto"/>
          </w:tcPr>
          <w:p w14:paraId="20ADFEF5" w14:textId="77777777" w:rsidR="00B626E7" w:rsidRDefault="00B626E7">
            <w:pPr>
              <w:rPr>
                <w:rFonts w:ascii="宋体"/>
              </w:rPr>
            </w:pPr>
          </w:p>
        </w:tc>
        <w:tc>
          <w:tcPr>
            <w:tcW w:w="0" w:type="auto"/>
            <w:shd w:val="clear" w:color="auto" w:fill="auto"/>
          </w:tcPr>
          <w:p w14:paraId="20ADFEF6" w14:textId="77777777" w:rsidR="00B626E7" w:rsidRDefault="00B626E7">
            <w:pPr>
              <w:rPr>
                <w:rFonts w:ascii="宋体"/>
              </w:rPr>
            </w:pPr>
          </w:p>
        </w:tc>
      </w:tr>
      <w:tr w:rsidR="00B626E7" w14:paraId="20ADFF03" w14:textId="77777777">
        <w:trPr>
          <w:jc w:val="center"/>
          <w:hidden/>
        </w:trPr>
        <w:tc>
          <w:tcPr>
            <w:tcW w:w="0" w:type="auto"/>
            <w:gridSpan w:val="3"/>
            <w:shd w:val="clear" w:color="auto" w:fill="auto"/>
          </w:tcPr>
          <w:p w14:paraId="20ADFEF8" w14:textId="77777777" w:rsidR="00B626E7" w:rsidRDefault="00B626E7">
            <w:pPr>
              <w:rPr>
                <w:rFonts w:ascii="宋体"/>
                <w:vanish/>
              </w:rPr>
            </w:pPr>
          </w:p>
        </w:tc>
        <w:tc>
          <w:tcPr>
            <w:tcW w:w="0" w:type="auto"/>
            <w:gridSpan w:val="3"/>
            <w:shd w:val="clear" w:color="auto" w:fill="auto"/>
          </w:tcPr>
          <w:p w14:paraId="20ADFEF9" w14:textId="77777777" w:rsidR="00B626E7" w:rsidRDefault="00B626E7">
            <w:pPr>
              <w:rPr>
                <w:rFonts w:ascii="宋体"/>
                <w:vanish/>
              </w:rPr>
            </w:pPr>
          </w:p>
        </w:tc>
        <w:tc>
          <w:tcPr>
            <w:tcW w:w="0" w:type="auto"/>
            <w:gridSpan w:val="3"/>
            <w:shd w:val="clear" w:color="auto" w:fill="auto"/>
          </w:tcPr>
          <w:p w14:paraId="20ADFEFA" w14:textId="77777777" w:rsidR="00B626E7" w:rsidRDefault="00B626E7">
            <w:pPr>
              <w:rPr>
                <w:rFonts w:ascii="宋体"/>
                <w:vanish/>
              </w:rPr>
            </w:pPr>
          </w:p>
        </w:tc>
        <w:tc>
          <w:tcPr>
            <w:tcW w:w="0" w:type="auto"/>
            <w:gridSpan w:val="3"/>
            <w:shd w:val="clear" w:color="auto" w:fill="auto"/>
          </w:tcPr>
          <w:p w14:paraId="20ADFEFB" w14:textId="77777777" w:rsidR="00B626E7" w:rsidRDefault="00B626E7">
            <w:pPr>
              <w:rPr>
                <w:rFonts w:ascii="宋体"/>
                <w:vanish/>
              </w:rPr>
            </w:pPr>
          </w:p>
        </w:tc>
        <w:tc>
          <w:tcPr>
            <w:tcW w:w="0" w:type="auto"/>
            <w:gridSpan w:val="3"/>
            <w:shd w:val="clear" w:color="auto" w:fill="auto"/>
          </w:tcPr>
          <w:p w14:paraId="20ADFEFC" w14:textId="77777777" w:rsidR="00B626E7" w:rsidRDefault="00B626E7">
            <w:pPr>
              <w:rPr>
                <w:rFonts w:ascii="宋体"/>
                <w:vanish/>
              </w:rPr>
            </w:pPr>
          </w:p>
        </w:tc>
        <w:tc>
          <w:tcPr>
            <w:tcW w:w="0" w:type="auto"/>
            <w:shd w:val="clear" w:color="auto" w:fill="auto"/>
          </w:tcPr>
          <w:p w14:paraId="20ADFEFD" w14:textId="77777777" w:rsidR="00B626E7" w:rsidRDefault="00B626E7">
            <w:pPr>
              <w:rPr>
                <w:rFonts w:ascii="宋体"/>
              </w:rPr>
            </w:pPr>
          </w:p>
        </w:tc>
        <w:tc>
          <w:tcPr>
            <w:tcW w:w="0" w:type="auto"/>
            <w:shd w:val="clear" w:color="auto" w:fill="auto"/>
          </w:tcPr>
          <w:p w14:paraId="20ADFEFE" w14:textId="77777777" w:rsidR="00B626E7" w:rsidRDefault="00B626E7">
            <w:pPr>
              <w:rPr>
                <w:rFonts w:ascii="宋体"/>
              </w:rPr>
            </w:pPr>
          </w:p>
        </w:tc>
        <w:tc>
          <w:tcPr>
            <w:tcW w:w="0" w:type="auto"/>
            <w:shd w:val="clear" w:color="auto" w:fill="auto"/>
          </w:tcPr>
          <w:p w14:paraId="20ADFEFF" w14:textId="77777777" w:rsidR="00B626E7" w:rsidRDefault="00B626E7">
            <w:pPr>
              <w:rPr>
                <w:rFonts w:ascii="宋体"/>
              </w:rPr>
            </w:pPr>
          </w:p>
        </w:tc>
        <w:tc>
          <w:tcPr>
            <w:tcW w:w="0" w:type="auto"/>
            <w:shd w:val="clear" w:color="auto" w:fill="auto"/>
          </w:tcPr>
          <w:p w14:paraId="20ADFF00" w14:textId="77777777" w:rsidR="00B626E7" w:rsidRDefault="00B626E7">
            <w:pPr>
              <w:rPr>
                <w:rFonts w:ascii="宋体"/>
              </w:rPr>
            </w:pPr>
          </w:p>
        </w:tc>
        <w:tc>
          <w:tcPr>
            <w:tcW w:w="0" w:type="auto"/>
            <w:shd w:val="clear" w:color="auto" w:fill="auto"/>
          </w:tcPr>
          <w:p w14:paraId="20ADFF01" w14:textId="77777777" w:rsidR="00B626E7" w:rsidRDefault="00B626E7">
            <w:pPr>
              <w:rPr>
                <w:rFonts w:ascii="宋体"/>
              </w:rPr>
            </w:pPr>
          </w:p>
        </w:tc>
        <w:tc>
          <w:tcPr>
            <w:tcW w:w="0" w:type="auto"/>
            <w:shd w:val="clear" w:color="auto" w:fill="auto"/>
          </w:tcPr>
          <w:p w14:paraId="20ADFF02" w14:textId="77777777" w:rsidR="00B626E7" w:rsidRDefault="00B626E7">
            <w:pPr>
              <w:rPr>
                <w:rFonts w:ascii="宋体"/>
              </w:rPr>
            </w:pPr>
          </w:p>
        </w:tc>
      </w:tr>
      <w:tr w:rsidR="00B626E7" w14:paraId="20ADFF0F" w14:textId="77777777">
        <w:trPr>
          <w:jc w:val="center"/>
        </w:trPr>
        <w:tc>
          <w:tcPr>
            <w:tcW w:w="0" w:type="auto"/>
            <w:gridSpan w:val="3"/>
            <w:shd w:val="clear" w:color="auto" w:fill="auto"/>
            <w:tcMar>
              <w:top w:w="40" w:type="dxa"/>
              <w:left w:w="180" w:type="dxa"/>
              <w:bottom w:w="40" w:type="dxa"/>
              <w:right w:w="20" w:type="dxa"/>
            </w:tcMar>
          </w:tcPr>
          <w:p w14:paraId="20ADFF04" w14:textId="77777777" w:rsidR="00B626E7" w:rsidRDefault="00175C1D">
            <w:pPr>
              <w:textAlignment w:val="top"/>
            </w:pPr>
            <w:r>
              <w:rPr>
                <w:rFonts w:ascii="Arial" w:eastAsia="宋体" w:hAnsi="Arial" w:cs="Arial"/>
                <w:color w:val="333333"/>
                <w:sz w:val="18"/>
                <w:szCs w:val="18"/>
              </w:rPr>
              <w:t>Changes in assets and liabilities:</w:t>
            </w:r>
          </w:p>
        </w:tc>
        <w:tc>
          <w:tcPr>
            <w:tcW w:w="0" w:type="auto"/>
            <w:gridSpan w:val="3"/>
            <w:shd w:val="clear" w:color="auto" w:fill="auto"/>
            <w:tcMar>
              <w:left w:w="20" w:type="dxa"/>
              <w:right w:w="20" w:type="dxa"/>
            </w:tcMar>
            <w:vAlign w:val="bottom"/>
          </w:tcPr>
          <w:p w14:paraId="20ADFF05"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DFF06"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DFF07"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DFF08" w14:textId="77777777" w:rsidR="00B626E7" w:rsidRDefault="00B626E7">
            <w:pPr>
              <w:rPr>
                <w:rFonts w:ascii="宋体"/>
              </w:rPr>
            </w:pPr>
          </w:p>
        </w:tc>
        <w:tc>
          <w:tcPr>
            <w:tcW w:w="0" w:type="auto"/>
            <w:shd w:val="clear" w:color="auto" w:fill="auto"/>
          </w:tcPr>
          <w:p w14:paraId="20ADFF09" w14:textId="77777777" w:rsidR="00B626E7" w:rsidRDefault="00B626E7">
            <w:pPr>
              <w:rPr>
                <w:rFonts w:ascii="宋体"/>
              </w:rPr>
            </w:pPr>
          </w:p>
        </w:tc>
        <w:tc>
          <w:tcPr>
            <w:tcW w:w="0" w:type="auto"/>
            <w:shd w:val="clear" w:color="auto" w:fill="auto"/>
          </w:tcPr>
          <w:p w14:paraId="20ADFF0A" w14:textId="77777777" w:rsidR="00B626E7" w:rsidRDefault="00B626E7">
            <w:pPr>
              <w:rPr>
                <w:rFonts w:ascii="宋体"/>
              </w:rPr>
            </w:pPr>
          </w:p>
        </w:tc>
        <w:tc>
          <w:tcPr>
            <w:tcW w:w="0" w:type="auto"/>
            <w:shd w:val="clear" w:color="auto" w:fill="auto"/>
          </w:tcPr>
          <w:p w14:paraId="20ADFF0B" w14:textId="77777777" w:rsidR="00B626E7" w:rsidRDefault="00B626E7">
            <w:pPr>
              <w:rPr>
                <w:rFonts w:ascii="宋体"/>
              </w:rPr>
            </w:pPr>
          </w:p>
        </w:tc>
        <w:tc>
          <w:tcPr>
            <w:tcW w:w="0" w:type="auto"/>
            <w:shd w:val="clear" w:color="auto" w:fill="auto"/>
          </w:tcPr>
          <w:p w14:paraId="20ADFF0C" w14:textId="77777777" w:rsidR="00B626E7" w:rsidRDefault="00B626E7">
            <w:pPr>
              <w:rPr>
                <w:rFonts w:ascii="宋体"/>
              </w:rPr>
            </w:pPr>
          </w:p>
        </w:tc>
        <w:tc>
          <w:tcPr>
            <w:tcW w:w="0" w:type="auto"/>
            <w:shd w:val="clear" w:color="auto" w:fill="auto"/>
          </w:tcPr>
          <w:p w14:paraId="20ADFF0D" w14:textId="77777777" w:rsidR="00B626E7" w:rsidRDefault="00B626E7">
            <w:pPr>
              <w:rPr>
                <w:rFonts w:ascii="宋体"/>
              </w:rPr>
            </w:pPr>
          </w:p>
        </w:tc>
        <w:tc>
          <w:tcPr>
            <w:tcW w:w="0" w:type="auto"/>
            <w:shd w:val="clear" w:color="auto" w:fill="auto"/>
          </w:tcPr>
          <w:p w14:paraId="20ADFF0E" w14:textId="77777777" w:rsidR="00B626E7" w:rsidRDefault="00B626E7">
            <w:pPr>
              <w:rPr>
                <w:rFonts w:ascii="宋体"/>
              </w:rPr>
            </w:pPr>
          </w:p>
        </w:tc>
      </w:tr>
      <w:tr w:rsidR="00B626E7" w14:paraId="20ADFF1D" w14:textId="77777777">
        <w:trPr>
          <w:jc w:val="center"/>
        </w:trPr>
        <w:tc>
          <w:tcPr>
            <w:tcW w:w="0" w:type="auto"/>
            <w:gridSpan w:val="3"/>
            <w:shd w:val="clear" w:color="auto" w:fill="auto"/>
            <w:tcMar>
              <w:top w:w="40" w:type="dxa"/>
              <w:left w:w="405" w:type="dxa"/>
              <w:bottom w:w="40" w:type="dxa"/>
              <w:right w:w="20" w:type="dxa"/>
            </w:tcMar>
          </w:tcPr>
          <w:p w14:paraId="20ADFF10" w14:textId="77777777" w:rsidR="00B626E7" w:rsidRDefault="00175C1D">
            <w:pPr>
              <w:textAlignment w:val="top"/>
            </w:pPr>
            <w:r>
              <w:rPr>
                <w:rFonts w:ascii="Arial" w:eastAsia="宋体" w:hAnsi="Arial" w:cs="Arial"/>
                <w:color w:val="333333"/>
                <w:sz w:val="18"/>
                <w:szCs w:val="18"/>
              </w:rPr>
              <w:t>Accounts receivable</w:t>
            </w:r>
          </w:p>
        </w:tc>
        <w:tc>
          <w:tcPr>
            <w:tcW w:w="0" w:type="auto"/>
            <w:gridSpan w:val="3"/>
            <w:shd w:val="clear" w:color="auto" w:fill="auto"/>
            <w:tcMar>
              <w:left w:w="20" w:type="dxa"/>
              <w:right w:w="20" w:type="dxa"/>
            </w:tcMar>
            <w:vAlign w:val="bottom"/>
          </w:tcPr>
          <w:p w14:paraId="20ADFF11"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F12" w14:textId="77777777" w:rsidR="00B626E7" w:rsidRDefault="00175C1D">
            <w:pPr>
              <w:jc w:val="right"/>
              <w:textAlignment w:val="bottom"/>
            </w:pPr>
            <w:r>
              <w:rPr>
                <w:rFonts w:ascii="Arial" w:eastAsia="宋体" w:hAnsi="Arial" w:cs="Arial"/>
                <w:color w:val="0071C5"/>
                <w:sz w:val="18"/>
                <w:szCs w:val="18"/>
              </w:rPr>
              <w:t>224 </w:t>
            </w:r>
          </w:p>
        </w:tc>
        <w:tc>
          <w:tcPr>
            <w:tcW w:w="0" w:type="auto"/>
            <w:shd w:val="clear" w:color="auto" w:fill="auto"/>
            <w:tcMar>
              <w:top w:w="40" w:type="dxa"/>
              <w:bottom w:w="40" w:type="dxa"/>
              <w:right w:w="20" w:type="dxa"/>
            </w:tcMar>
            <w:vAlign w:val="bottom"/>
          </w:tcPr>
          <w:p w14:paraId="20ADFF13"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DFF14"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F15" w14:textId="77777777" w:rsidR="00B626E7" w:rsidRDefault="00175C1D">
            <w:pPr>
              <w:jc w:val="right"/>
              <w:textAlignment w:val="bottom"/>
            </w:pPr>
            <w:r>
              <w:rPr>
                <w:rFonts w:ascii="Arial" w:eastAsia="宋体" w:hAnsi="Arial" w:cs="Arial"/>
                <w:color w:val="333333"/>
                <w:sz w:val="18"/>
                <w:szCs w:val="18"/>
              </w:rPr>
              <w:t>490 </w:t>
            </w:r>
          </w:p>
        </w:tc>
        <w:tc>
          <w:tcPr>
            <w:tcW w:w="0" w:type="auto"/>
            <w:shd w:val="clear" w:color="auto" w:fill="auto"/>
            <w:tcMar>
              <w:top w:w="40" w:type="dxa"/>
              <w:bottom w:w="40" w:type="dxa"/>
              <w:right w:w="20" w:type="dxa"/>
            </w:tcMar>
            <w:vAlign w:val="bottom"/>
          </w:tcPr>
          <w:p w14:paraId="20ADFF16"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DFF17" w14:textId="77777777" w:rsidR="00B626E7" w:rsidRDefault="00B626E7">
            <w:pPr>
              <w:rPr>
                <w:rFonts w:ascii="宋体"/>
              </w:rPr>
            </w:pPr>
          </w:p>
        </w:tc>
        <w:tc>
          <w:tcPr>
            <w:tcW w:w="0" w:type="auto"/>
            <w:shd w:val="clear" w:color="auto" w:fill="auto"/>
          </w:tcPr>
          <w:p w14:paraId="20ADFF18" w14:textId="77777777" w:rsidR="00B626E7" w:rsidRDefault="00B626E7">
            <w:pPr>
              <w:rPr>
                <w:rFonts w:ascii="宋体"/>
              </w:rPr>
            </w:pPr>
          </w:p>
        </w:tc>
        <w:tc>
          <w:tcPr>
            <w:tcW w:w="0" w:type="auto"/>
            <w:shd w:val="clear" w:color="auto" w:fill="auto"/>
          </w:tcPr>
          <w:p w14:paraId="20ADFF19" w14:textId="77777777" w:rsidR="00B626E7" w:rsidRDefault="00B626E7">
            <w:pPr>
              <w:rPr>
                <w:rFonts w:ascii="宋体"/>
              </w:rPr>
            </w:pPr>
          </w:p>
        </w:tc>
        <w:tc>
          <w:tcPr>
            <w:tcW w:w="0" w:type="auto"/>
            <w:shd w:val="clear" w:color="auto" w:fill="auto"/>
          </w:tcPr>
          <w:p w14:paraId="20ADFF1A" w14:textId="77777777" w:rsidR="00B626E7" w:rsidRDefault="00B626E7">
            <w:pPr>
              <w:rPr>
                <w:rFonts w:ascii="宋体"/>
              </w:rPr>
            </w:pPr>
          </w:p>
        </w:tc>
        <w:tc>
          <w:tcPr>
            <w:tcW w:w="0" w:type="auto"/>
            <w:shd w:val="clear" w:color="auto" w:fill="auto"/>
          </w:tcPr>
          <w:p w14:paraId="20ADFF1B" w14:textId="77777777" w:rsidR="00B626E7" w:rsidRDefault="00B626E7">
            <w:pPr>
              <w:rPr>
                <w:rFonts w:ascii="宋体"/>
              </w:rPr>
            </w:pPr>
          </w:p>
        </w:tc>
        <w:tc>
          <w:tcPr>
            <w:tcW w:w="0" w:type="auto"/>
            <w:shd w:val="clear" w:color="auto" w:fill="auto"/>
          </w:tcPr>
          <w:p w14:paraId="20ADFF1C" w14:textId="77777777" w:rsidR="00B626E7" w:rsidRDefault="00B626E7">
            <w:pPr>
              <w:rPr>
                <w:rFonts w:ascii="宋体"/>
              </w:rPr>
            </w:pPr>
          </w:p>
        </w:tc>
      </w:tr>
      <w:tr w:rsidR="00B626E7" w14:paraId="20ADFF2B" w14:textId="77777777">
        <w:trPr>
          <w:jc w:val="center"/>
        </w:trPr>
        <w:tc>
          <w:tcPr>
            <w:tcW w:w="0" w:type="auto"/>
            <w:gridSpan w:val="3"/>
            <w:shd w:val="clear" w:color="auto" w:fill="auto"/>
            <w:tcMar>
              <w:top w:w="40" w:type="dxa"/>
              <w:left w:w="405" w:type="dxa"/>
              <w:bottom w:w="40" w:type="dxa"/>
              <w:right w:w="20" w:type="dxa"/>
            </w:tcMar>
          </w:tcPr>
          <w:p w14:paraId="20ADFF1E" w14:textId="77777777" w:rsidR="00B626E7" w:rsidRDefault="00175C1D">
            <w:pPr>
              <w:textAlignment w:val="top"/>
            </w:pPr>
            <w:r>
              <w:rPr>
                <w:rFonts w:ascii="Arial" w:eastAsia="宋体" w:hAnsi="Arial" w:cs="Arial"/>
                <w:color w:val="333333"/>
                <w:sz w:val="18"/>
                <w:szCs w:val="18"/>
              </w:rPr>
              <w:t>Inventories</w:t>
            </w:r>
          </w:p>
        </w:tc>
        <w:tc>
          <w:tcPr>
            <w:tcW w:w="0" w:type="auto"/>
            <w:gridSpan w:val="3"/>
            <w:shd w:val="clear" w:color="auto" w:fill="auto"/>
            <w:tcMar>
              <w:left w:w="20" w:type="dxa"/>
              <w:right w:w="20" w:type="dxa"/>
            </w:tcMar>
            <w:vAlign w:val="bottom"/>
          </w:tcPr>
          <w:p w14:paraId="20ADFF1F"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F20" w14:textId="77777777" w:rsidR="00B626E7" w:rsidRDefault="00175C1D">
            <w:pPr>
              <w:jc w:val="right"/>
              <w:textAlignment w:val="bottom"/>
            </w:pPr>
            <w:r>
              <w:rPr>
                <w:rFonts w:ascii="Arial" w:eastAsia="宋体" w:hAnsi="Arial" w:cs="Arial"/>
                <w:color w:val="0071C5"/>
                <w:sz w:val="18"/>
                <w:szCs w:val="18"/>
              </w:rPr>
              <w:t>(271)</w:t>
            </w:r>
          </w:p>
        </w:tc>
        <w:tc>
          <w:tcPr>
            <w:tcW w:w="0" w:type="auto"/>
            <w:shd w:val="clear" w:color="auto" w:fill="auto"/>
            <w:tcMar>
              <w:top w:w="40" w:type="dxa"/>
              <w:bottom w:w="40" w:type="dxa"/>
              <w:right w:w="20" w:type="dxa"/>
            </w:tcMar>
            <w:vAlign w:val="bottom"/>
          </w:tcPr>
          <w:p w14:paraId="20ADFF21"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DFF22"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F23" w14:textId="77777777" w:rsidR="00B626E7" w:rsidRDefault="00175C1D">
            <w:pPr>
              <w:jc w:val="right"/>
              <w:textAlignment w:val="bottom"/>
            </w:pPr>
            <w:r>
              <w:rPr>
                <w:rFonts w:ascii="Arial" w:eastAsia="宋体" w:hAnsi="Arial" w:cs="Arial"/>
                <w:color w:val="333333"/>
                <w:sz w:val="18"/>
                <w:szCs w:val="18"/>
              </w:rPr>
              <w:t>(1,443)</w:t>
            </w:r>
          </w:p>
        </w:tc>
        <w:tc>
          <w:tcPr>
            <w:tcW w:w="0" w:type="auto"/>
            <w:shd w:val="clear" w:color="auto" w:fill="auto"/>
            <w:tcMar>
              <w:top w:w="40" w:type="dxa"/>
              <w:bottom w:w="40" w:type="dxa"/>
              <w:right w:w="20" w:type="dxa"/>
            </w:tcMar>
            <w:vAlign w:val="bottom"/>
          </w:tcPr>
          <w:p w14:paraId="20ADFF24"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DFF25" w14:textId="77777777" w:rsidR="00B626E7" w:rsidRDefault="00B626E7">
            <w:pPr>
              <w:rPr>
                <w:rFonts w:ascii="宋体"/>
              </w:rPr>
            </w:pPr>
          </w:p>
        </w:tc>
        <w:tc>
          <w:tcPr>
            <w:tcW w:w="0" w:type="auto"/>
            <w:shd w:val="clear" w:color="auto" w:fill="auto"/>
          </w:tcPr>
          <w:p w14:paraId="20ADFF26" w14:textId="77777777" w:rsidR="00B626E7" w:rsidRDefault="00B626E7">
            <w:pPr>
              <w:rPr>
                <w:rFonts w:ascii="宋体"/>
              </w:rPr>
            </w:pPr>
          </w:p>
        </w:tc>
        <w:tc>
          <w:tcPr>
            <w:tcW w:w="0" w:type="auto"/>
            <w:shd w:val="clear" w:color="auto" w:fill="auto"/>
          </w:tcPr>
          <w:p w14:paraId="20ADFF27" w14:textId="77777777" w:rsidR="00B626E7" w:rsidRDefault="00B626E7">
            <w:pPr>
              <w:rPr>
                <w:rFonts w:ascii="宋体"/>
              </w:rPr>
            </w:pPr>
          </w:p>
        </w:tc>
        <w:tc>
          <w:tcPr>
            <w:tcW w:w="0" w:type="auto"/>
            <w:shd w:val="clear" w:color="auto" w:fill="auto"/>
          </w:tcPr>
          <w:p w14:paraId="20ADFF28" w14:textId="77777777" w:rsidR="00B626E7" w:rsidRDefault="00B626E7">
            <w:pPr>
              <w:rPr>
                <w:rFonts w:ascii="宋体"/>
              </w:rPr>
            </w:pPr>
          </w:p>
        </w:tc>
        <w:tc>
          <w:tcPr>
            <w:tcW w:w="0" w:type="auto"/>
            <w:shd w:val="clear" w:color="auto" w:fill="auto"/>
          </w:tcPr>
          <w:p w14:paraId="20ADFF29" w14:textId="77777777" w:rsidR="00B626E7" w:rsidRDefault="00B626E7">
            <w:pPr>
              <w:rPr>
                <w:rFonts w:ascii="宋体"/>
              </w:rPr>
            </w:pPr>
          </w:p>
        </w:tc>
        <w:tc>
          <w:tcPr>
            <w:tcW w:w="0" w:type="auto"/>
            <w:shd w:val="clear" w:color="auto" w:fill="auto"/>
          </w:tcPr>
          <w:p w14:paraId="20ADFF2A" w14:textId="77777777" w:rsidR="00B626E7" w:rsidRDefault="00B626E7">
            <w:pPr>
              <w:rPr>
                <w:rFonts w:ascii="宋体"/>
              </w:rPr>
            </w:pPr>
          </w:p>
        </w:tc>
      </w:tr>
      <w:tr w:rsidR="00B626E7" w14:paraId="20ADFF39" w14:textId="77777777">
        <w:trPr>
          <w:jc w:val="center"/>
        </w:trPr>
        <w:tc>
          <w:tcPr>
            <w:tcW w:w="0" w:type="auto"/>
            <w:gridSpan w:val="3"/>
            <w:shd w:val="clear" w:color="auto" w:fill="auto"/>
            <w:tcMar>
              <w:top w:w="40" w:type="dxa"/>
              <w:left w:w="405" w:type="dxa"/>
              <w:bottom w:w="40" w:type="dxa"/>
              <w:right w:w="20" w:type="dxa"/>
            </w:tcMar>
          </w:tcPr>
          <w:p w14:paraId="20ADFF2C" w14:textId="77777777" w:rsidR="00B626E7" w:rsidRDefault="00175C1D">
            <w:pPr>
              <w:textAlignment w:val="top"/>
            </w:pPr>
            <w:r>
              <w:rPr>
                <w:rFonts w:ascii="Arial" w:eastAsia="宋体" w:hAnsi="Arial" w:cs="Arial"/>
                <w:color w:val="333333"/>
                <w:sz w:val="18"/>
                <w:szCs w:val="18"/>
              </w:rPr>
              <w:t>Accounts payable</w:t>
            </w:r>
          </w:p>
        </w:tc>
        <w:tc>
          <w:tcPr>
            <w:tcW w:w="0" w:type="auto"/>
            <w:gridSpan w:val="3"/>
            <w:shd w:val="clear" w:color="auto" w:fill="auto"/>
            <w:tcMar>
              <w:left w:w="20" w:type="dxa"/>
              <w:right w:w="20" w:type="dxa"/>
            </w:tcMar>
            <w:vAlign w:val="bottom"/>
          </w:tcPr>
          <w:p w14:paraId="20ADFF2D"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F2E" w14:textId="77777777" w:rsidR="00B626E7" w:rsidRDefault="00175C1D">
            <w:pPr>
              <w:jc w:val="right"/>
              <w:textAlignment w:val="bottom"/>
            </w:pPr>
            <w:r>
              <w:rPr>
                <w:rFonts w:ascii="Arial" w:eastAsia="宋体" w:hAnsi="Arial" w:cs="Arial"/>
                <w:color w:val="0071C5"/>
                <w:sz w:val="18"/>
                <w:szCs w:val="18"/>
              </w:rPr>
              <w:t>208 </w:t>
            </w:r>
          </w:p>
        </w:tc>
        <w:tc>
          <w:tcPr>
            <w:tcW w:w="0" w:type="auto"/>
            <w:shd w:val="clear" w:color="auto" w:fill="auto"/>
            <w:tcMar>
              <w:top w:w="40" w:type="dxa"/>
              <w:bottom w:w="40" w:type="dxa"/>
              <w:right w:w="20" w:type="dxa"/>
            </w:tcMar>
            <w:vAlign w:val="bottom"/>
          </w:tcPr>
          <w:p w14:paraId="20ADFF2F"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DFF30"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F31" w14:textId="77777777" w:rsidR="00B626E7" w:rsidRDefault="00175C1D">
            <w:pPr>
              <w:jc w:val="right"/>
              <w:textAlignment w:val="bottom"/>
            </w:pPr>
            <w:r>
              <w:rPr>
                <w:rFonts w:ascii="Arial" w:eastAsia="宋体" w:hAnsi="Arial" w:cs="Arial"/>
                <w:color w:val="333333"/>
                <w:sz w:val="18"/>
                <w:szCs w:val="18"/>
              </w:rPr>
              <w:t>431 </w:t>
            </w:r>
          </w:p>
        </w:tc>
        <w:tc>
          <w:tcPr>
            <w:tcW w:w="0" w:type="auto"/>
            <w:shd w:val="clear" w:color="auto" w:fill="auto"/>
            <w:tcMar>
              <w:top w:w="40" w:type="dxa"/>
              <w:bottom w:w="40" w:type="dxa"/>
              <w:right w:w="20" w:type="dxa"/>
            </w:tcMar>
            <w:vAlign w:val="bottom"/>
          </w:tcPr>
          <w:p w14:paraId="20ADFF32"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DFF33" w14:textId="77777777" w:rsidR="00B626E7" w:rsidRDefault="00B626E7">
            <w:pPr>
              <w:rPr>
                <w:rFonts w:ascii="宋体"/>
              </w:rPr>
            </w:pPr>
          </w:p>
        </w:tc>
        <w:tc>
          <w:tcPr>
            <w:tcW w:w="0" w:type="auto"/>
            <w:shd w:val="clear" w:color="auto" w:fill="auto"/>
          </w:tcPr>
          <w:p w14:paraId="20ADFF34" w14:textId="77777777" w:rsidR="00B626E7" w:rsidRDefault="00B626E7">
            <w:pPr>
              <w:rPr>
                <w:rFonts w:ascii="宋体"/>
              </w:rPr>
            </w:pPr>
          </w:p>
        </w:tc>
        <w:tc>
          <w:tcPr>
            <w:tcW w:w="0" w:type="auto"/>
            <w:shd w:val="clear" w:color="auto" w:fill="auto"/>
          </w:tcPr>
          <w:p w14:paraId="20ADFF35" w14:textId="77777777" w:rsidR="00B626E7" w:rsidRDefault="00B626E7">
            <w:pPr>
              <w:rPr>
                <w:rFonts w:ascii="宋体"/>
              </w:rPr>
            </w:pPr>
          </w:p>
        </w:tc>
        <w:tc>
          <w:tcPr>
            <w:tcW w:w="0" w:type="auto"/>
            <w:shd w:val="clear" w:color="auto" w:fill="auto"/>
          </w:tcPr>
          <w:p w14:paraId="20ADFF36" w14:textId="77777777" w:rsidR="00B626E7" w:rsidRDefault="00B626E7">
            <w:pPr>
              <w:rPr>
                <w:rFonts w:ascii="宋体"/>
              </w:rPr>
            </w:pPr>
          </w:p>
        </w:tc>
        <w:tc>
          <w:tcPr>
            <w:tcW w:w="0" w:type="auto"/>
            <w:shd w:val="clear" w:color="auto" w:fill="auto"/>
          </w:tcPr>
          <w:p w14:paraId="20ADFF37" w14:textId="77777777" w:rsidR="00B626E7" w:rsidRDefault="00B626E7">
            <w:pPr>
              <w:rPr>
                <w:rFonts w:ascii="宋体"/>
              </w:rPr>
            </w:pPr>
          </w:p>
        </w:tc>
        <w:tc>
          <w:tcPr>
            <w:tcW w:w="0" w:type="auto"/>
            <w:shd w:val="clear" w:color="auto" w:fill="auto"/>
          </w:tcPr>
          <w:p w14:paraId="20ADFF38" w14:textId="77777777" w:rsidR="00B626E7" w:rsidRDefault="00B626E7">
            <w:pPr>
              <w:rPr>
                <w:rFonts w:ascii="宋体"/>
              </w:rPr>
            </w:pPr>
          </w:p>
        </w:tc>
      </w:tr>
      <w:tr w:rsidR="00B626E7" w14:paraId="20ADFF47" w14:textId="77777777">
        <w:trPr>
          <w:jc w:val="center"/>
        </w:trPr>
        <w:tc>
          <w:tcPr>
            <w:tcW w:w="0" w:type="auto"/>
            <w:gridSpan w:val="3"/>
            <w:shd w:val="clear" w:color="auto" w:fill="auto"/>
            <w:tcMar>
              <w:top w:w="40" w:type="dxa"/>
              <w:left w:w="405" w:type="dxa"/>
              <w:bottom w:w="40" w:type="dxa"/>
              <w:right w:w="20" w:type="dxa"/>
            </w:tcMar>
          </w:tcPr>
          <w:p w14:paraId="20ADFF3A" w14:textId="77777777" w:rsidR="00B626E7" w:rsidRDefault="00175C1D">
            <w:pPr>
              <w:textAlignment w:val="top"/>
            </w:pPr>
            <w:r>
              <w:rPr>
                <w:rFonts w:ascii="Arial" w:eastAsia="宋体" w:hAnsi="Arial" w:cs="Arial"/>
                <w:color w:val="333333"/>
                <w:sz w:val="18"/>
                <w:szCs w:val="18"/>
              </w:rPr>
              <w:t>Accrued compensation and benefits</w:t>
            </w:r>
          </w:p>
        </w:tc>
        <w:tc>
          <w:tcPr>
            <w:tcW w:w="0" w:type="auto"/>
            <w:gridSpan w:val="3"/>
            <w:shd w:val="clear" w:color="auto" w:fill="auto"/>
            <w:tcMar>
              <w:left w:w="20" w:type="dxa"/>
              <w:right w:w="20" w:type="dxa"/>
            </w:tcMar>
            <w:vAlign w:val="bottom"/>
          </w:tcPr>
          <w:p w14:paraId="20ADFF3B"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F3C" w14:textId="77777777" w:rsidR="00B626E7" w:rsidRDefault="00175C1D">
            <w:pPr>
              <w:jc w:val="right"/>
              <w:textAlignment w:val="bottom"/>
            </w:pPr>
            <w:r>
              <w:rPr>
                <w:rFonts w:ascii="Arial" w:eastAsia="宋体" w:hAnsi="Arial" w:cs="Arial"/>
                <w:color w:val="0071C5"/>
                <w:sz w:val="18"/>
                <w:szCs w:val="18"/>
              </w:rPr>
              <w:t>(919)</w:t>
            </w:r>
          </w:p>
        </w:tc>
        <w:tc>
          <w:tcPr>
            <w:tcW w:w="0" w:type="auto"/>
            <w:shd w:val="clear" w:color="auto" w:fill="auto"/>
            <w:tcMar>
              <w:top w:w="40" w:type="dxa"/>
              <w:bottom w:w="40" w:type="dxa"/>
              <w:right w:w="20" w:type="dxa"/>
            </w:tcMar>
            <w:vAlign w:val="bottom"/>
          </w:tcPr>
          <w:p w14:paraId="20ADFF3D"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DFF3E"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F3F" w14:textId="77777777" w:rsidR="00B626E7" w:rsidRDefault="00175C1D">
            <w:pPr>
              <w:jc w:val="right"/>
              <w:textAlignment w:val="bottom"/>
            </w:pPr>
            <w:r>
              <w:rPr>
                <w:rFonts w:ascii="Arial" w:eastAsia="宋体" w:hAnsi="Arial" w:cs="Arial"/>
                <w:color w:val="333333"/>
                <w:sz w:val="18"/>
                <w:szCs w:val="18"/>
              </w:rPr>
              <w:t>(1,012)</w:t>
            </w:r>
          </w:p>
        </w:tc>
        <w:tc>
          <w:tcPr>
            <w:tcW w:w="0" w:type="auto"/>
            <w:shd w:val="clear" w:color="auto" w:fill="auto"/>
            <w:tcMar>
              <w:top w:w="40" w:type="dxa"/>
              <w:bottom w:w="40" w:type="dxa"/>
              <w:right w:w="20" w:type="dxa"/>
            </w:tcMar>
            <w:vAlign w:val="bottom"/>
          </w:tcPr>
          <w:p w14:paraId="20ADFF40"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DFF41" w14:textId="77777777" w:rsidR="00B626E7" w:rsidRDefault="00B626E7">
            <w:pPr>
              <w:rPr>
                <w:rFonts w:ascii="宋体"/>
              </w:rPr>
            </w:pPr>
          </w:p>
        </w:tc>
        <w:tc>
          <w:tcPr>
            <w:tcW w:w="0" w:type="auto"/>
            <w:shd w:val="clear" w:color="auto" w:fill="auto"/>
          </w:tcPr>
          <w:p w14:paraId="20ADFF42" w14:textId="77777777" w:rsidR="00B626E7" w:rsidRDefault="00B626E7">
            <w:pPr>
              <w:rPr>
                <w:rFonts w:ascii="宋体"/>
              </w:rPr>
            </w:pPr>
          </w:p>
        </w:tc>
        <w:tc>
          <w:tcPr>
            <w:tcW w:w="0" w:type="auto"/>
            <w:shd w:val="clear" w:color="auto" w:fill="auto"/>
          </w:tcPr>
          <w:p w14:paraId="20ADFF43" w14:textId="77777777" w:rsidR="00B626E7" w:rsidRDefault="00B626E7">
            <w:pPr>
              <w:rPr>
                <w:rFonts w:ascii="宋体"/>
              </w:rPr>
            </w:pPr>
          </w:p>
        </w:tc>
        <w:tc>
          <w:tcPr>
            <w:tcW w:w="0" w:type="auto"/>
            <w:shd w:val="clear" w:color="auto" w:fill="auto"/>
          </w:tcPr>
          <w:p w14:paraId="20ADFF44" w14:textId="77777777" w:rsidR="00B626E7" w:rsidRDefault="00B626E7">
            <w:pPr>
              <w:rPr>
                <w:rFonts w:ascii="宋体"/>
              </w:rPr>
            </w:pPr>
          </w:p>
        </w:tc>
        <w:tc>
          <w:tcPr>
            <w:tcW w:w="0" w:type="auto"/>
            <w:shd w:val="clear" w:color="auto" w:fill="auto"/>
          </w:tcPr>
          <w:p w14:paraId="20ADFF45" w14:textId="77777777" w:rsidR="00B626E7" w:rsidRDefault="00B626E7">
            <w:pPr>
              <w:rPr>
                <w:rFonts w:ascii="宋体"/>
              </w:rPr>
            </w:pPr>
          </w:p>
        </w:tc>
        <w:tc>
          <w:tcPr>
            <w:tcW w:w="0" w:type="auto"/>
            <w:shd w:val="clear" w:color="auto" w:fill="auto"/>
          </w:tcPr>
          <w:p w14:paraId="20ADFF46" w14:textId="77777777" w:rsidR="00B626E7" w:rsidRDefault="00B626E7">
            <w:pPr>
              <w:rPr>
                <w:rFonts w:ascii="宋体"/>
              </w:rPr>
            </w:pPr>
          </w:p>
        </w:tc>
      </w:tr>
      <w:tr w:rsidR="00B626E7" w14:paraId="20ADFF55" w14:textId="77777777">
        <w:trPr>
          <w:jc w:val="center"/>
        </w:trPr>
        <w:tc>
          <w:tcPr>
            <w:tcW w:w="0" w:type="auto"/>
            <w:gridSpan w:val="3"/>
            <w:shd w:val="clear" w:color="auto" w:fill="auto"/>
            <w:tcMar>
              <w:top w:w="40" w:type="dxa"/>
              <w:left w:w="405" w:type="dxa"/>
              <w:bottom w:w="40" w:type="dxa"/>
              <w:right w:w="20" w:type="dxa"/>
            </w:tcMar>
          </w:tcPr>
          <w:p w14:paraId="20ADFF48" w14:textId="77777777" w:rsidR="00B626E7" w:rsidRDefault="00175C1D">
            <w:pPr>
              <w:textAlignment w:val="top"/>
            </w:pPr>
            <w:r>
              <w:rPr>
                <w:rFonts w:ascii="Arial" w:eastAsia="宋体" w:hAnsi="Arial" w:cs="Arial"/>
                <w:color w:val="333333"/>
                <w:sz w:val="18"/>
                <w:szCs w:val="18"/>
              </w:rPr>
              <w:t>Prepaid supply agreements</w:t>
            </w:r>
          </w:p>
        </w:tc>
        <w:tc>
          <w:tcPr>
            <w:tcW w:w="0" w:type="auto"/>
            <w:gridSpan w:val="3"/>
            <w:shd w:val="clear" w:color="auto" w:fill="auto"/>
            <w:tcMar>
              <w:left w:w="20" w:type="dxa"/>
              <w:right w:w="20" w:type="dxa"/>
            </w:tcMar>
            <w:vAlign w:val="bottom"/>
          </w:tcPr>
          <w:p w14:paraId="20ADFF49"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F4A" w14:textId="77777777" w:rsidR="00B626E7" w:rsidRDefault="00175C1D">
            <w:pPr>
              <w:jc w:val="right"/>
              <w:textAlignment w:val="bottom"/>
            </w:pPr>
            <w:r>
              <w:rPr>
                <w:rFonts w:ascii="Arial" w:eastAsia="宋体" w:hAnsi="Arial" w:cs="Arial"/>
                <w:color w:val="0071C5"/>
                <w:sz w:val="18"/>
                <w:szCs w:val="18"/>
              </w:rPr>
              <w:t>(161)</w:t>
            </w:r>
          </w:p>
        </w:tc>
        <w:tc>
          <w:tcPr>
            <w:tcW w:w="0" w:type="auto"/>
            <w:shd w:val="clear" w:color="auto" w:fill="auto"/>
            <w:tcMar>
              <w:top w:w="40" w:type="dxa"/>
              <w:bottom w:w="40" w:type="dxa"/>
              <w:right w:w="20" w:type="dxa"/>
            </w:tcMar>
            <w:vAlign w:val="bottom"/>
          </w:tcPr>
          <w:p w14:paraId="20ADFF4B"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DFF4C"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F4D" w14:textId="77777777" w:rsidR="00B626E7" w:rsidRDefault="00175C1D">
            <w:pPr>
              <w:jc w:val="right"/>
              <w:textAlignment w:val="bottom"/>
            </w:pPr>
            <w:r>
              <w:rPr>
                <w:rFonts w:ascii="Arial" w:eastAsia="宋体" w:hAnsi="Arial" w:cs="Arial"/>
                <w:color w:val="333333"/>
                <w:sz w:val="18"/>
                <w:szCs w:val="18"/>
              </w:rPr>
              <w:t>(444)</w:t>
            </w:r>
          </w:p>
        </w:tc>
        <w:tc>
          <w:tcPr>
            <w:tcW w:w="0" w:type="auto"/>
            <w:shd w:val="clear" w:color="auto" w:fill="auto"/>
            <w:tcMar>
              <w:top w:w="40" w:type="dxa"/>
              <w:bottom w:w="40" w:type="dxa"/>
              <w:right w:w="20" w:type="dxa"/>
            </w:tcMar>
            <w:vAlign w:val="bottom"/>
          </w:tcPr>
          <w:p w14:paraId="20ADFF4E"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DFF4F" w14:textId="77777777" w:rsidR="00B626E7" w:rsidRDefault="00B626E7">
            <w:pPr>
              <w:rPr>
                <w:rFonts w:ascii="宋体"/>
              </w:rPr>
            </w:pPr>
          </w:p>
        </w:tc>
        <w:tc>
          <w:tcPr>
            <w:tcW w:w="0" w:type="auto"/>
            <w:shd w:val="clear" w:color="auto" w:fill="auto"/>
          </w:tcPr>
          <w:p w14:paraId="20ADFF50" w14:textId="77777777" w:rsidR="00B626E7" w:rsidRDefault="00B626E7">
            <w:pPr>
              <w:rPr>
                <w:rFonts w:ascii="宋体"/>
              </w:rPr>
            </w:pPr>
          </w:p>
        </w:tc>
        <w:tc>
          <w:tcPr>
            <w:tcW w:w="0" w:type="auto"/>
            <w:shd w:val="clear" w:color="auto" w:fill="auto"/>
          </w:tcPr>
          <w:p w14:paraId="20ADFF51" w14:textId="77777777" w:rsidR="00B626E7" w:rsidRDefault="00B626E7">
            <w:pPr>
              <w:rPr>
                <w:rFonts w:ascii="宋体"/>
              </w:rPr>
            </w:pPr>
          </w:p>
        </w:tc>
        <w:tc>
          <w:tcPr>
            <w:tcW w:w="0" w:type="auto"/>
            <w:shd w:val="clear" w:color="auto" w:fill="auto"/>
          </w:tcPr>
          <w:p w14:paraId="20ADFF52" w14:textId="77777777" w:rsidR="00B626E7" w:rsidRDefault="00B626E7">
            <w:pPr>
              <w:rPr>
                <w:rFonts w:ascii="宋体"/>
              </w:rPr>
            </w:pPr>
          </w:p>
        </w:tc>
        <w:tc>
          <w:tcPr>
            <w:tcW w:w="0" w:type="auto"/>
            <w:shd w:val="clear" w:color="auto" w:fill="auto"/>
          </w:tcPr>
          <w:p w14:paraId="20ADFF53" w14:textId="77777777" w:rsidR="00B626E7" w:rsidRDefault="00B626E7">
            <w:pPr>
              <w:rPr>
                <w:rFonts w:ascii="宋体"/>
              </w:rPr>
            </w:pPr>
          </w:p>
        </w:tc>
        <w:tc>
          <w:tcPr>
            <w:tcW w:w="0" w:type="auto"/>
            <w:shd w:val="clear" w:color="auto" w:fill="auto"/>
          </w:tcPr>
          <w:p w14:paraId="20ADFF54" w14:textId="77777777" w:rsidR="00B626E7" w:rsidRDefault="00B626E7">
            <w:pPr>
              <w:rPr>
                <w:rFonts w:ascii="宋体"/>
              </w:rPr>
            </w:pPr>
          </w:p>
        </w:tc>
      </w:tr>
      <w:tr w:rsidR="00B626E7" w14:paraId="20ADFF63" w14:textId="77777777">
        <w:trPr>
          <w:jc w:val="center"/>
        </w:trPr>
        <w:tc>
          <w:tcPr>
            <w:tcW w:w="0" w:type="auto"/>
            <w:gridSpan w:val="3"/>
            <w:shd w:val="clear" w:color="auto" w:fill="auto"/>
            <w:tcMar>
              <w:top w:w="40" w:type="dxa"/>
              <w:left w:w="405" w:type="dxa"/>
              <w:bottom w:w="40" w:type="dxa"/>
              <w:right w:w="20" w:type="dxa"/>
            </w:tcMar>
          </w:tcPr>
          <w:p w14:paraId="20ADFF56" w14:textId="77777777" w:rsidR="00B626E7" w:rsidRDefault="00175C1D">
            <w:pPr>
              <w:textAlignment w:val="top"/>
            </w:pPr>
            <w:r>
              <w:rPr>
                <w:rFonts w:ascii="Arial" w:eastAsia="宋体" w:hAnsi="Arial" w:cs="Arial"/>
                <w:color w:val="333333"/>
                <w:sz w:val="18"/>
                <w:szCs w:val="18"/>
              </w:rPr>
              <w:t>Income taxes</w:t>
            </w:r>
          </w:p>
        </w:tc>
        <w:tc>
          <w:tcPr>
            <w:tcW w:w="0" w:type="auto"/>
            <w:gridSpan w:val="3"/>
            <w:shd w:val="clear" w:color="auto" w:fill="auto"/>
            <w:tcMar>
              <w:left w:w="20" w:type="dxa"/>
              <w:right w:w="20" w:type="dxa"/>
            </w:tcMar>
            <w:vAlign w:val="bottom"/>
          </w:tcPr>
          <w:p w14:paraId="20ADFF57"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F58" w14:textId="77777777" w:rsidR="00B626E7" w:rsidRDefault="00175C1D">
            <w:pPr>
              <w:jc w:val="right"/>
              <w:textAlignment w:val="bottom"/>
            </w:pPr>
            <w:r>
              <w:rPr>
                <w:rFonts w:ascii="Arial" w:eastAsia="宋体" w:hAnsi="Arial" w:cs="Arial"/>
                <w:color w:val="0071C5"/>
                <w:sz w:val="18"/>
                <w:szCs w:val="18"/>
              </w:rPr>
              <w:t>1,203 </w:t>
            </w:r>
          </w:p>
        </w:tc>
        <w:tc>
          <w:tcPr>
            <w:tcW w:w="0" w:type="auto"/>
            <w:shd w:val="clear" w:color="auto" w:fill="auto"/>
            <w:tcMar>
              <w:top w:w="40" w:type="dxa"/>
              <w:bottom w:w="40" w:type="dxa"/>
              <w:right w:w="20" w:type="dxa"/>
            </w:tcMar>
            <w:vAlign w:val="bottom"/>
          </w:tcPr>
          <w:p w14:paraId="20ADFF59"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DFF5A"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F5B" w14:textId="77777777" w:rsidR="00B626E7" w:rsidRDefault="00175C1D">
            <w:pPr>
              <w:jc w:val="right"/>
              <w:textAlignment w:val="bottom"/>
            </w:pPr>
            <w:r>
              <w:rPr>
                <w:rFonts w:ascii="Arial" w:eastAsia="宋体" w:hAnsi="Arial" w:cs="Arial"/>
                <w:color w:val="333333"/>
                <w:sz w:val="18"/>
                <w:szCs w:val="18"/>
              </w:rPr>
              <w:t>(15)</w:t>
            </w:r>
          </w:p>
        </w:tc>
        <w:tc>
          <w:tcPr>
            <w:tcW w:w="0" w:type="auto"/>
            <w:shd w:val="clear" w:color="auto" w:fill="auto"/>
            <w:tcMar>
              <w:top w:w="40" w:type="dxa"/>
              <w:bottom w:w="40" w:type="dxa"/>
              <w:right w:w="20" w:type="dxa"/>
            </w:tcMar>
            <w:vAlign w:val="bottom"/>
          </w:tcPr>
          <w:p w14:paraId="20ADFF5C"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DFF5D" w14:textId="77777777" w:rsidR="00B626E7" w:rsidRDefault="00B626E7">
            <w:pPr>
              <w:rPr>
                <w:rFonts w:ascii="宋体"/>
              </w:rPr>
            </w:pPr>
          </w:p>
        </w:tc>
        <w:tc>
          <w:tcPr>
            <w:tcW w:w="0" w:type="auto"/>
            <w:shd w:val="clear" w:color="auto" w:fill="auto"/>
          </w:tcPr>
          <w:p w14:paraId="20ADFF5E" w14:textId="77777777" w:rsidR="00B626E7" w:rsidRDefault="00B626E7">
            <w:pPr>
              <w:rPr>
                <w:rFonts w:ascii="宋体"/>
              </w:rPr>
            </w:pPr>
          </w:p>
        </w:tc>
        <w:tc>
          <w:tcPr>
            <w:tcW w:w="0" w:type="auto"/>
            <w:shd w:val="clear" w:color="auto" w:fill="auto"/>
          </w:tcPr>
          <w:p w14:paraId="20ADFF5F" w14:textId="77777777" w:rsidR="00B626E7" w:rsidRDefault="00B626E7">
            <w:pPr>
              <w:rPr>
                <w:rFonts w:ascii="宋体"/>
              </w:rPr>
            </w:pPr>
          </w:p>
        </w:tc>
        <w:tc>
          <w:tcPr>
            <w:tcW w:w="0" w:type="auto"/>
            <w:shd w:val="clear" w:color="auto" w:fill="auto"/>
          </w:tcPr>
          <w:p w14:paraId="20ADFF60" w14:textId="77777777" w:rsidR="00B626E7" w:rsidRDefault="00B626E7">
            <w:pPr>
              <w:rPr>
                <w:rFonts w:ascii="宋体"/>
              </w:rPr>
            </w:pPr>
          </w:p>
        </w:tc>
        <w:tc>
          <w:tcPr>
            <w:tcW w:w="0" w:type="auto"/>
            <w:shd w:val="clear" w:color="auto" w:fill="auto"/>
          </w:tcPr>
          <w:p w14:paraId="20ADFF61" w14:textId="77777777" w:rsidR="00B626E7" w:rsidRDefault="00B626E7">
            <w:pPr>
              <w:rPr>
                <w:rFonts w:ascii="宋体"/>
              </w:rPr>
            </w:pPr>
          </w:p>
        </w:tc>
        <w:tc>
          <w:tcPr>
            <w:tcW w:w="0" w:type="auto"/>
            <w:shd w:val="clear" w:color="auto" w:fill="auto"/>
          </w:tcPr>
          <w:p w14:paraId="20ADFF62" w14:textId="77777777" w:rsidR="00B626E7" w:rsidRDefault="00B626E7">
            <w:pPr>
              <w:rPr>
                <w:rFonts w:ascii="宋体"/>
              </w:rPr>
            </w:pPr>
          </w:p>
        </w:tc>
      </w:tr>
      <w:tr w:rsidR="00B626E7" w14:paraId="20ADFF71" w14:textId="77777777">
        <w:trPr>
          <w:jc w:val="center"/>
        </w:trPr>
        <w:tc>
          <w:tcPr>
            <w:tcW w:w="0" w:type="auto"/>
            <w:gridSpan w:val="3"/>
            <w:shd w:val="clear" w:color="auto" w:fill="auto"/>
            <w:tcMar>
              <w:top w:w="40" w:type="dxa"/>
              <w:left w:w="405" w:type="dxa"/>
              <w:bottom w:w="40" w:type="dxa"/>
              <w:right w:w="20" w:type="dxa"/>
            </w:tcMar>
          </w:tcPr>
          <w:p w14:paraId="20ADFF64" w14:textId="77777777" w:rsidR="00B626E7" w:rsidRDefault="00175C1D">
            <w:pPr>
              <w:textAlignment w:val="top"/>
            </w:pPr>
            <w:r>
              <w:rPr>
                <w:rFonts w:ascii="Arial" w:eastAsia="宋体" w:hAnsi="Arial" w:cs="Arial"/>
                <w:color w:val="333333"/>
                <w:sz w:val="18"/>
                <w:szCs w:val="18"/>
              </w:rPr>
              <w:t>Other assets and liabilities</w:t>
            </w:r>
          </w:p>
        </w:tc>
        <w:tc>
          <w:tcPr>
            <w:tcW w:w="0" w:type="auto"/>
            <w:gridSpan w:val="3"/>
            <w:shd w:val="clear" w:color="auto" w:fill="auto"/>
            <w:tcMar>
              <w:left w:w="20" w:type="dxa"/>
              <w:right w:w="20" w:type="dxa"/>
            </w:tcMar>
            <w:vAlign w:val="bottom"/>
          </w:tcPr>
          <w:p w14:paraId="20ADFF65"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F66" w14:textId="77777777" w:rsidR="00B626E7" w:rsidRDefault="00175C1D">
            <w:pPr>
              <w:jc w:val="right"/>
              <w:textAlignment w:val="bottom"/>
            </w:pPr>
            <w:r>
              <w:rPr>
                <w:rFonts w:ascii="Arial" w:eastAsia="宋体" w:hAnsi="Arial" w:cs="Arial"/>
                <w:color w:val="0071C5"/>
                <w:sz w:val="18"/>
                <w:szCs w:val="18"/>
              </w:rPr>
              <w:t>(697)</w:t>
            </w:r>
          </w:p>
        </w:tc>
        <w:tc>
          <w:tcPr>
            <w:tcW w:w="0" w:type="auto"/>
            <w:shd w:val="clear" w:color="auto" w:fill="auto"/>
            <w:tcMar>
              <w:top w:w="40" w:type="dxa"/>
              <w:bottom w:w="40" w:type="dxa"/>
              <w:right w:w="20" w:type="dxa"/>
            </w:tcMar>
            <w:vAlign w:val="bottom"/>
          </w:tcPr>
          <w:p w14:paraId="20ADFF67"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DFF68"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F69" w14:textId="77777777" w:rsidR="00B626E7" w:rsidRDefault="00175C1D">
            <w:pPr>
              <w:jc w:val="right"/>
              <w:textAlignment w:val="bottom"/>
            </w:pPr>
            <w:r>
              <w:rPr>
                <w:rFonts w:ascii="Arial" w:eastAsia="宋体" w:hAnsi="Arial" w:cs="Arial"/>
                <w:color w:val="333333"/>
                <w:sz w:val="18"/>
                <w:szCs w:val="18"/>
              </w:rPr>
              <w:t>448 </w:t>
            </w:r>
          </w:p>
        </w:tc>
        <w:tc>
          <w:tcPr>
            <w:tcW w:w="0" w:type="auto"/>
            <w:shd w:val="clear" w:color="auto" w:fill="auto"/>
            <w:tcMar>
              <w:top w:w="40" w:type="dxa"/>
              <w:bottom w:w="40" w:type="dxa"/>
              <w:right w:w="20" w:type="dxa"/>
            </w:tcMar>
            <w:vAlign w:val="bottom"/>
          </w:tcPr>
          <w:p w14:paraId="20ADFF6A"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DFF6B" w14:textId="77777777" w:rsidR="00B626E7" w:rsidRDefault="00B626E7">
            <w:pPr>
              <w:rPr>
                <w:rFonts w:ascii="宋体"/>
              </w:rPr>
            </w:pPr>
          </w:p>
        </w:tc>
        <w:tc>
          <w:tcPr>
            <w:tcW w:w="0" w:type="auto"/>
            <w:shd w:val="clear" w:color="auto" w:fill="auto"/>
          </w:tcPr>
          <w:p w14:paraId="20ADFF6C" w14:textId="77777777" w:rsidR="00B626E7" w:rsidRDefault="00B626E7">
            <w:pPr>
              <w:rPr>
                <w:rFonts w:ascii="宋体"/>
              </w:rPr>
            </w:pPr>
          </w:p>
        </w:tc>
        <w:tc>
          <w:tcPr>
            <w:tcW w:w="0" w:type="auto"/>
            <w:shd w:val="clear" w:color="auto" w:fill="auto"/>
          </w:tcPr>
          <w:p w14:paraId="20ADFF6D" w14:textId="77777777" w:rsidR="00B626E7" w:rsidRDefault="00B626E7">
            <w:pPr>
              <w:rPr>
                <w:rFonts w:ascii="宋体"/>
              </w:rPr>
            </w:pPr>
          </w:p>
        </w:tc>
        <w:tc>
          <w:tcPr>
            <w:tcW w:w="0" w:type="auto"/>
            <w:shd w:val="clear" w:color="auto" w:fill="auto"/>
          </w:tcPr>
          <w:p w14:paraId="20ADFF6E" w14:textId="77777777" w:rsidR="00B626E7" w:rsidRDefault="00B626E7">
            <w:pPr>
              <w:rPr>
                <w:rFonts w:ascii="宋体"/>
              </w:rPr>
            </w:pPr>
          </w:p>
        </w:tc>
        <w:tc>
          <w:tcPr>
            <w:tcW w:w="0" w:type="auto"/>
            <w:shd w:val="clear" w:color="auto" w:fill="auto"/>
          </w:tcPr>
          <w:p w14:paraId="20ADFF6F" w14:textId="77777777" w:rsidR="00B626E7" w:rsidRDefault="00B626E7">
            <w:pPr>
              <w:rPr>
                <w:rFonts w:ascii="宋体"/>
              </w:rPr>
            </w:pPr>
          </w:p>
        </w:tc>
        <w:tc>
          <w:tcPr>
            <w:tcW w:w="0" w:type="auto"/>
            <w:shd w:val="clear" w:color="auto" w:fill="auto"/>
          </w:tcPr>
          <w:p w14:paraId="20ADFF70" w14:textId="77777777" w:rsidR="00B626E7" w:rsidRDefault="00B626E7">
            <w:pPr>
              <w:rPr>
                <w:rFonts w:ascii="宋体"/>
              </w:rPr>
            </w:pPr>
          </w:p>
        </w:tc>
      </w:tr>
      <w:tr w:rsidR="00B626E7" w14:paraId="20ADFF7F" w14:textId="77777777">
        <w:trPr>
          <w:jc w:val="center"/>
        </w:trPr>
        <w:tc>
          <w:tcPr>
            <w:tcW w:w="0" w:type="auto"/>
            <w:gridSpan w:val="3"/>
            <w:shd w:val="clear" w:color="auto" w:fill="auto"/>
            <w:tcMar>
              <w:top w:w="40" w:type="dxa"/>
              <w:left w:w="120" w:type="dxa"/>
              <w:bottom w:w="40" w:type="dxa"/>
              <w:right w:w="20" w:type="dxa"/>
            </w:tcMar>
          </w:tcPr>
          <w:p w14:paraId="20ADFF72" w14:textId="77777777" w:rsidR="00B626E7" w:rsidRDefault="00175C1D">
            <w:pPr>
              <w:textAlignment w:val="top"/>
            </w:pPr>
            <w:r>
              <w:rPr>
                <w:rFonts w:ascii="Arial" w:eastAsia="宋体" w:hAnsi="Arial" w:cs="Arial"/>
                <w:color w:val="333333"/>
                <w:sz w:val="18"/>
                <w:szCs w:val="18"/>
              </w:rPr>
              <w:t>Total adjustments</w:t>
            </w:r>
          </w:p>
        </w:tc>
        <w:tc>
          <w:tcPr>
            <w:tcW w:w="0" w:type="auto"/>
            <w:gridSpan w:val="3"/>
            <w:shd w:val="clear" w:color="auto" w:fill="auto"/>
            <w:tcMar>
              <w:left w:w="20" w:type="dxa"/>
              <w:right w:w="20" w:type="dxa"/>
            </w:tcMar>
            <w:vAlign w:val="bottom"/>
          </w:tcPr>
          <w:p w14:paraId="20ADFF73"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DFF74" w14:textId="77777777" w:rsidR="00B626E7" w:rsidRDefault="00175C1D">
            <w:pPr>
              <w:jc w:val="right"/>
              <w:textAlignment w:val="bottom"/>
            </w:pPr>
            <w:r>
              <w:rPr>
                <w:rFonts w:ascii="Arial" w:eastAsia="宋体" w:hAnsi="Arial" w:cs="Arial"/>
                <w:color w:val="0071C5"/>
                <w:sz w:val="18"/>
                <w:szCs w:val="18"/>
              </w:rPr>
              <w:t>6,549 </w:t>
            </w:r>
          </w:p>
        </w:tc>
        <w:tc>
          <w:tcPr>
            <w:tcW w:w="0" w:type="auto"/>
            <w:tcBorders>
              <w:top w:val="single" w:sz="8" w:space="0" w:color="333333"/>
            </w:tcBorders>
            <w:shd w:val="clear" w:color="auto" w:fill="auto"/>
            <w:tcMar>
              <w:top w:w="40" w:type="dxa"/>
              <w:bottom w:w="40" w:type="dxa"/>
              <w:right w:w="20" w:type="dxa"/>
            </w:tcMar>
            <w:vAlign w:val="bottom"/>
          </w:tcPr>
          <w:p w14:paraId="20ADFF75"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DFF76"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DFF77" w14:textId="77777777" w:rsidR="00B626E7" w:rsidRDefault="00175C1D">
            <w:pPr>
              <w:jc w:val="right"/>
              <w:textAlignment w:val="bottom"/>
            </w:pPr>
            <w:r>
              <w:rPr>
                <w:rFonts w:ascii="Arial" w:eastAsia="宋体" w:hAnsi="Arial" w:cs="Arial"/>
                <w:color w:val="333333"/>
                <w:sz w:val="18"/>
                <w:szCs w:val="18"/>
              </w:rPr>
              <w:t>4,393 </w:t>
            </w:r>
          </w:p>
        </w:tc>
        <w:tc>
          <w:tcPr>
            <w:tcW w:w="0" w:type="auto"/>
            <w:tcBorders>
              <w:top w:val="single" w:sz="8" w:space="0" w:color="333333"/>
            </w:tcBorders>
            <w:shd w:val="clear" w:color="auto" w:fill="auto"/>
            <w:tcMar>
              <w:top w:w="40" w:type="dxa"/>
              <w:bottom w:w="40" w:type="dxa"/>
              <w:right w:w="20" w:type="dxa"/>
            </w:tcMar>
            <w:vAlign w:val="bottom"/>
          </w:tcPr>
          <w:p w14:paraId="20ADFF78"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DFF79" w14:textId="77777777" w:rsidR="00B626E7" w:rsidRDefault="00B626E7">
            <w:pPr>
              <w:rPr>
                <w:rFonts w:ascii="宋体"/>
              </w:rPr>
            </w:pPr>
          </w:p>
        </w:tc>
        <w:tc>
          <w:tcPr>
            <w:tcW w:w="0" w:type="auto"/>
            <w:shd w:val="clear" w:color="auto" w:fill="auto"/>
          </w:tcPr>
          <w:p w14:paraId="20ADFF7A" w14:textId="77777777" w:rsidR="00B626E7" w:rsidRDefault="00B626E7">
            <w:pPr>
              <w:rPr>
                <w:rFonts w:ascii="宋体"/>
              </w:rPr>
            </w:pPr>
          </w:p>
        </w:tc>
        <w:tc>
          <w:tcPr>
            <w:tcW w:w="0" w:type="auto"/>
            <w:shd w:val="clear" w:color="auto" w:fill="auto"/>
          </w:tcPr>
          <w:p w14:paraId="20ADFF7B" w14:textId="77777777" w:rsidR="00B626E7" w:rsidRDefault="00B626E7">
            <w:pPr>
              <w:rPr>
                <w:rFonts w:ascii="宋体"/>
              </w:rPr>
            </w:pPr>
          </w:p>
        </w:tc>
        <w:tc>
          <w:tcPr>
            <w:tcW w:w="0" w:type="auto"/>
            <w:shd w:val="clear" w:color="auto" w:fill="auto"/>
          </w:tcPr>
          <w:p w14:paraId="20ADFF7C" w14:textId="77777777" w:rsidR="00B626E7" w:rsidRDefault="00B626E7">
            <w:pPr>
              <w:rPr>
                <w:rFonts w:ascii="宋体"/>
              </w:rPr>
            </w:pPr>
          </w:p>
        </w:tc>
        <w:tc>
          <w:tcPr>
            <w:tcW w:w="0" w:type="auto"/>
            <w:shd w:val="clear" w:color="auto" w:fill="auto"/>
          </w:tcPr>
          <w:p w14:paraId="20ADFF7D" w14:textId="77777777" w:rsidR="00B626E7" w:rsidRDefault="00B626E7">
            <w:pPr>
              <w:rPr>
                <w:rFonts w:ascii="宋体"/>
              </w:rPr>
            </w:pPr>
          </w:p>
        </w:tc>
        <w:tc>
          <w:tcPr>
            <w:tcW w:w="0" w:type="auto"/>
            <w:shd w:val="clear" w:color="auto" w:fill="auto"/>
          </w:tcPr>
          <w:p w14:paraId="20ADFF7E" w14:textId="77777777" w:rsidR="00B626E7" w:rsidRDefault="00B626E7">
            <w:pPr>
              <w:rPr>
                <w:rFonts w:ascii="宋体"/>
              </w:rPr>
            </w:pPr>
          </w:p>
        </w:tc>
      </w:tr>
      <w:tr w:rsidR="00B626E7" w14:paraId="20ADFF8D" w14:textId="77777777">
        <w:trPr>
          <w:jc w:val="center"/>
        </w:trPr>
        <w:tc>
          <w:tcPr>
            <w:tcW w:w="0" w:type="auto"/>
            <w:gridSpan w:val="3"/>
            <w:shd w:val="clear" w:color="auto" w:fill="auto"/>
            <w:tcMar>
              <w:top w:w="40" w:type="dxa"/>
              <w:left w:w="20" w:type="dxa"/>
              <w:bottom w:w="40" w:type="dxa"/>
              <w:right w:w="20" w:type="dxa"/>
            </w:tcMar>
          </w:tcPr>
          <w:p w14:paraId="20ADFF80" w14:textId="77777777" w:rsidR="00B626E7" w:rsidRDefault="00175C1D">
            <w:pPr>
              <w:textAlignment w:val="top"/>
            </w:pPr>
            <w:r>
              <w:rPr>
                <w:rFonts w:ascii="Arial" w:eastAsia="宋体" w:hAnsi="Arial" w:cs="Arial"/>
                <w:b/>
                <w:bCs/>
                <w:color w:val="333333"/>
                <w:sz w:val="18"/>
                <w:szCs w:val="18"/>
              </w:rPr>
              <w:t>Net cash provided by operating activities</w:t>
            </w:r>
          </w:p>
        </w:tc>
        <w:tc>
          <w:tcPr>
            <w:tcW w:w="0" w:type="auto"/>
            <w:gridSpan w:val="3"/>
            <w:shd w:val="clear" w:color="auto" w:fill="auto"/>
            <w:tcMar>
              <w:left w:w="20" w:type="dxa"/>
              <w:right w:w="20" w:type="dxa"/>
            </w:tcMar>
            <w:vAlign w:val="bottom"/>
          </w:tcPr>
          <w:p w14:paraId="20ADFF81"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DFF82" w14:textId="77777777" w:rsidR="00B626E7" w:rsidRDefault="00175C1D">
            <w:pPr>
              <w:jc w:val="right"/>
              <w:textAlignment w:val="bottom"/>
            </w:pPr>
            <w:r>
              <w:rPr>
                <w:rFonts w:ascii="Arial" w:eastAsia="宋体" w:hAnsi="Arial" w:cs="Arial"/>
                <w:b/>
                <w:bCs/>
                <w:color w:val="0071C5"/>
                <w:sz w:val="18"/>
                <w:szCs w:val="18"/>
              </w:rPr>
              <w:t>17,315 </w:t>
            </w:r>
          </w:p>
        </w:tc>
        <w:tc>
          <w:tcPr>
            <w:tcW w:w="0" w:type="auto"/>
            <w:tcBorders>
              <w:top w:val="single" w:sz="8" w:space="0" w:color="333333"/>
            </w:tcBorders>
            <w:shd w:val="clear" w:color="auto" w:fill="auto"/>
            <w:tcMar>
              <w:top w:w="40" w:type="dxa"/>
              <w:bottom w:w="40" w:type="dxa"/>
              <w:right w:w="20" w:type="dxa"/>
            </w:tcMar>
            <w:vAlign w:val="bottom"/>
          </w:tcPr>
          <w:p w14:paraId="20ADFF83"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DFF84"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DFF85" w14:textId="77777777" w:rsidR="00B626E7" w:rsidRDefault="00175C1D">
            <w:pPr>
              <w:jc w:val="right"/>
              <w:textAlignment w:val="bottom"/>
            </w:pPr>
            <w:r>
              <w:rPr>
                <w:rFonts w:ascii="Arial" w:eastAsia="宋体" w:hAnsi="Arial" w:cs="Arial"/>
                <w:b/>
                <w:bCs/>
                <w:color w:val="333333"/>
                <w:sz w:val="18"/>
                <w:szCs w:val="18"/>
              </w:rPr>
              <w:t>12,546 </w:t>
            </w:r>
          </w:p>
        </w:tc>
        <w:tc>
          <w:tcPr>
            <w:tcW w:w="0" w:type="auto"/>
            <w:tcBorders>
              <w:top w:val="single" w:sz="8" w:space="0" w:color="333333"/>
            </w:tcBorders>
            <w:shd w:val="clear" w:color="auto" w:fill="auto"/>
            <w:tcMar>
              <w:top w:w="40" w:type="dxa"/>
              <w:bottom w:w="40" w:type="dxa"/>
              <w:right w:w="20" w:type="dxa"/>
            </w:tcMar>
            <w:vAlign w:val="bottom"/>
          </w:tcPr>
          <w:p w14:paraId="20ADFF86"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DFF87" w14:textId="77777777" w:rsidR="00B626E7" w:rsidRDefault="00B626E7">
            <w:pPr>
              <w:rPr>
                <w:rFonts w:ascii="宋体"/>
              </w:rPr>
            </w:pPr>
          </w:p>
        </w:tc>
        <w:tc>
          <w:tcPr>
            <w:tcW w:w="0" w:type="auto"/>
            <w:shd w:val="clear" w:color="auto" w:fill="auto"/>
          </w:tcPr>
          <w:p w14:paraId="20ADFF88" w14:textId="77777777" w:rsidR="00B626E7" w:rsidRDefault="00B626E7">
            <w:pPr>
              <w:rPr>
                <w:rFonts w:ascii="宋体"/>
              </w:rPr>
            </w:pPr>
          </w:p>
        </w:tc>
        <w:tc>
          <w:tcPr>
            <w:tcW w:w="0" w:type="auto"/>
            <w:shd w:val="clear" w:color="auto" w:fill="auto"/>
          </w:tcPr>
          <w:p w14:paraId="20ADFF89" w14:textId="77777777" w:rsidR="00B626E7" w:rsidRDefault="00B626E7">
            <w:pPr>
              <w:rPr>
                <w:rFonts w:ascii="宋体"/>
              </w:rPr>
            </w:pPr>
          </w:p>
        </w:tc>
        <w:tc>
          <w:tcPr>
            <w:tcW w:w="0" w:type="auto"/>
            <w:shd w:val="clear" w:color="auto" w:fill="auto"/>
          </w:tcPr>
          <w:p w14:paraId="20ADFF8A" w14:textId="77777777" w:rsidR="00B626E7" w:rsidRDefault="00B626E7">
            <w:pPr>
              <w:rPr>
                <w:rFonts w:ascii="宋体"/>
              </w:rPr>
            </w:pPr>
          </w:p>
        </w:tc>
        <w:tc>
          <w:tcPr>
            <w:tcW w:w="0" w:type="auto"/>
            <w:shd w:val="clear" w:color="auto" w:fill="auto"/>
          </w:tcPr>
          <w:p w14:paraId="20ADFF8B" w14:textId="77777777" w:rsidR="00B626E7" w:rsidRDefault="00B626E7">
            <w:pPr>
              <w:rPr>
                <w:rFonts w:ascii="宋体"/>
              </w:rPr>
            </w:pPr>
          </w:p>
        </w:tc>
        <w:tc>
          <w:tcPr>
            <w:tcW w:w="0" w:type="auto"/>
            <w:shd w:val="clear" w:color="auto" w:fill="auto"/>
          </w:tcPr>
          <w:p w14:paraId="20ADFF8C" w14:textId="77777777" w:rsidR="00B626E7" w:rsidRDefault="00B626E7">
            <w:pPr>
              <w:rPr>
                <w:rFonts w:ascii="宋体"/>
              </w:rPr>
            </w:pPr>
          </w:p>
        </w:tc>
      </w:tr>
      <w:tr w:rsidR="00B626E7" w14:paraId="20ADFF99" w14:textId="77777777">
        <w:trPr>
          <w:jc w:val="center"/>
        </w:trPr>
        <w:tc>
          <w:tcPr>
            <w:tcW w:w="0" w:type="auto"/>
            <w:gridSpan w:val="3"/>
            <w:shd w:val="clear" w:color="auto" w:fill="auto"/>
            <w:tcMar>
              <w:top w:w="40" w:type="dxa"/>
              <w:left w:w="20" w:type="dxa"/>
              <w:bottom w:w="40" w:type="dxa"/>
              <w:right w:w="20" w:type="dxa"/>
            </w:tcMar>
          </w:tcPr>
          <w:p w14:paraId="20ADFF8E" w14:textId="77777777" w:rsidR="00B626E7" w:rsidRDefault="00175C1D">
            <w:pPr>
              <w:textAlignment w:val="top"/>
            </w:pPr>
            <w:r>
              <w:rPr>
                <w:rFonts w:ascii="Arial" w:eastAsia="宋体" w:hAnsi="Arial" w:cs="Arial"/>
                <w:color w:val="333333"/>
                <w:sz w:val="18"/>
                <w:szCs w:val="18"/>
              </w:rPr>
              <w:t>Cash flows provided by (used for) investing activities:</w:t>
            </w:r>
          </w:p>
        </w:tc>
        <w:tc>
          <w:tcPr>
            <w:tcW w:w="0" w:type="auto"/>
            <w:gridSpan w:val="3"/>
            <w:shd w:val="clear" w:color="auto" w:fill="auto"/>
            <w:tcMar>
              <w:left w:w="20" w:type="dxa"/>
              <w:right w:w="20" w:type="dxa"/>
            </w:tcMar>
            <w:vAlign w:val="bottom"/>
          </w:tcPr>
          <w:p w14:paraId="20ADFF8F" w14:textId="77777777" w:rsidR="00B626E7" w:rsidRDefault="00B626E7">
            <w:pPr>
              <w:rPr>
                <w:rFonts w:ascii="宋体"/>
              </w:rPr>
            </w:pPr>
          </w:p>
        </w:tc>
        <w:tc>
          <w:tcPr>
            <w:tcW w:w="0" w:type="auto"/>
            <w:gridSpan w:val="3"/>
            <w:tcBorders>
              <w:top w:val="single" w:sz="8" w:space="0" w:color="333333"/>
            </w:tcBorders>
            <w:shd w:val="clear" w:color="auto" w:fill="auto"/>
            <w:tcMar>
              <w:left w:w="20" w:type="dxa"/>
              <w:right w:w="20" w:type="dxa"/>
            </w:tcMar>
            <w:vAlign w:val="bottom"/>
          </w:tcPr>
          <w:p w14:paraId="20ADFF90"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DFF91" w14:textId="77777777" w:rsidR="00B626E7" w:rsidRDefault="00B626E7">
            <w:pPr>
              <w:rPr>
                <w:rFonts w:ascii="宋体"/>
              </w:rPr>
            </w:pPr>
          </w:p>
        </w:tc>
        <w:tc>
          <w:tcPr>
            <w:tcW w:w="0" w:type="auto"/>
            <w:gridSpan w:val="3"/>
            <w:tcBorders>
              <w:top w:val="single" w:sz="8" w:space="0" w:color="333333"/>
            </w:tcBorders>
            <w:shd w:val="clear" w:color="auto" w:fill="auto"/>
            <w:tcMar>
              <w:left w:w="20" w:type="dxa"/>
              <w:right w:w="20" w:type="dxa"/>
            </w:tcMar>
            <w:vAlign w:val="bottom"/>
          </w:tcPr>
          <w:p w14:paraId="20ADFF92" w14:textId="77777777" w:rsidR="00B626E7" w:rsidRDefault="00B626E7">
            <w:pPr>
              <w:rPr>
                <w:rFonts w:ascii="宋体"/>
              </w:rPr>
            </w:pPr>
          </w:p>
        </w:tc>
        <w:tc>
          <w:tcPr>
            <w:tcW w:w="0" w:type="auto"/>
            <w:shd w:val="clear" w:color="auto" w:fill="auto"/>
          </w:tcPr>
          <w:p w14:paraId="20ADFF93" w14:textId="77777777" w:rsidR="00B626E7" w:rsidRDefault="00B626E7">
            <w:pPr>
              <w:rPr>
                <w:rFonts w:ascii="宋体"/>
              </w:rPr>
            </w:pPr>
          </w:p>
        </w:tc>
        <w:tc>
          <w:tcPr>
            <w:tcW w:w="0" w:type="auto"/>
            <w:shd w:val="clear" w:color="auto" w:fill="auto"/>
          </w:tcPr>
          <w:p w14:paraId="20ADFF94" w14:textId="77777777" w:rsidR="00B626E7" w:rsidRDefault="00B626E7">
            <w:pPr>
              <w:rPr>
                <w:rFonts w:ascii="宋体"/>
              </w:rPr>
            </w:pPr>
          </w:p>
        </w:tc>
        <w:tc>
          <w:tcPr>
            <w:tcW w:w="0" w:type="auto"/>
            <w:shd w:val="clear" w:color="auto" w:fill="auto"/>
          </w:tcPr>
          <w:p w14:paraId="20ADFF95" w14:textId="77777777" w:rsidR="00B626E7" w:rsidRDefault="00B626E7">
            <w:pPr>
              <w:rPr>
                <w:rFonts w:ascii="宋体"/>
              </w:rPr>
            </w:pPr>
          </w:p>
        </w:tc>
        <w:tc>
          <w:tcPr>
            <w:tcW w:w="0" w:type="auto"/>
            <w:shd w:val="clear" w:color="auto" w:fill="auto"/>
          </w:tcPr>
          <w:p w14:paraId="20ADFF96" w14:textId="77777777" w:rsidR="00B626E7" w:rsidRDefault="00B626E7">
            <w:pPr>
              <w:rPr>
                <w:rFonts w:ascii="宋体"/>
              </w:rPr>
            </w:pPr>
          </w:p>
        </w:tc>
        <w:tc>
          <w:tcPr>
            <w:tcW w:w="0" w:type="auto"/>
            <w:shd w:val="clear" w:color="auto" w:fill="auto"/>
          </w:tcPr>
          <w:p w14:paraId="20ADFF97" w14:textId="77777777" w:rsidR="00B626E7" w:rsidRDefault="00B626E7">
            <w:pPr>
              <w:rPr>
                <w:rFonts w:ascii="宋体"/>
              </w:rPr>
            </w:pPr>
          </w:p>
        </w:tc>
        <w:tc>
          <w:tcPr>
            <w:tcW w:w="0" w:type="auto"/>
            <w:shd w:val="clear" w:color="auto" w:fill="auto"/>
          </w:tcPr>
          <w:p w14:paraId="20ADFF98" w14:textId="77777777" w:rsidR="00B626E7" w:rsidRDefault="00B626E7">
            <w:pPr>
              <w:rPr>
                <w:rFonts w:ascii="宋体"/>
              </w:rPr>
            </w:pPr>
          </w:p>
        </w:tc>
      </w:tr>
      <w:tr w:rsidR="00B626E7" w14:paraId="20ADFFA7" w14:textId="77777777">
        <w:trPr>
          <w:jc w:val="center"/>
        </w:trPr>
        <w:tc>
          <w:tcPr>
            <w:tcW w:w="0" w:type="auto"/>
            <w:gridSpan w:val="3"/>
            <w:shd w:val="clear" w:color="auto" w:fill="auto"/>
            <w:tcMar>
              <w:top w:w="40" w:type="dxa"/>
              <w:left w:w="195" w:type="dxa"/>
              <w:bottom w:w="40" w:type="dxa"/>
              <w:right w:w="20" w:type="dxa"/>
            </w:tcMar>
          </w:tcPr>
          <w:p w14:paraId="20ADFF9A" w14:textId="77777777" w:rsidR="00B626E7" w:rsidRDefault="00175C1D">
            <w:pPr>
              <w:textAlignment w:val="top"/>
            </w:pPr>
            <w:r>
              <w:rPr>
                <w:rFonts w:ascii="Arial" w:eastAsia="宋体" w:hAnsi="Arial" w:cs="Arial"/>
                <w:color w:val="333333"/>
                <w:sz w:val="18"/>
                <w:szCs w:val="18"/>
              </w:rPr>
              <w:t>Additions to property, plant and equipment</w:t>
            </w:r>
          </w:p>
        </w:tc>
        <w:tc>
          <w:tcPr>
            <w:tcW w:w="0" w:type="auto"/>
            <w:gridSpan w:val="3"/>
            <w:shd w:val="clear" w:color="auto" w:fill="auto"/>
            <w:tcMar>
              <w:left w:w="20" w:type="dxa"/>
              <w:right w:w="20" w:type="dxa"/>
            </w:tcMar>
            <w:vAlign w:val="bottom"/>
          </w:tcPr>
          <w:p w14:paraId="20ADFF9B"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F9C" w14:textId="77777777" w:rsidR="00B626E7" w:rsidRDefault="00175C1D">
            <w:pPr>
              <w:jc w:val="right"/>
              <w:textAlignment w:val="bottom"/>
            </w:pPr>
            <w:r>
              <w:rPr>
                <w:rFonts w:ascii="Arial" w:eastAsia="宋体" w:hAnsi="Arial" w:cs="Arial"/>
                <w:color w:val="0071C5"/>
                <w:sz w:val="18"/>
                <w:szCs w:val="18"/>
              </w:rPr>
              <w:t>(6,676)</w:t>
            </w:r>
          </w:p>
        </w:tc>
        <w:tc>
          <w:tcPr>
            <w:tcW w:w="0" w:type="auto"/>
            <w:shd w:val="clear" w:color="auto" w:fill="auto"/>
            <w:tcMar>
              <w:top w:w="40" w:type="dxa"/>
              <w:bottom w:w="40" w:type="dxa"/>
              <w:right w:w="20" w:type="dxa"/>
            </w:tcMar>
            <w:vAlign w:val="bottom"/>
          </w:tcPr>
          <w:p w14:paraId="20ADFF9D"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DFF9E"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F9F" w14:textId="77777777" w:rsidR="00B626E7" w:rsidRDefault="00175C1D">
            <w:pPr>
              <w:jc w:val="right"/>
              <w:textAlignment w:val="bottom"/>
            </w:pPr>
            <w:r>
              <w:rPr>
                <w:rFonts w:ascii="Arial" w:eastAsia="宋体" w:hAnsi="Arial" w:cs="Arial"/>
                <w:color w:val="333333"/>
                <w:sz w:val="18"/>
                <w:szCs w:val="18"/>
              </w:rPr>
              <w:t>(6,875)</w:t>
            </w:r>
          </w:p>
        </w:tc>
        <w:tc>
          <w:tcPr>
            <w:tcW w:w="0" w:type="auto"/>
            <w:shd w:val="clear" w:color="auto" w:fill="auto"/>
            <w:tcMar>
              <w:top w:w="40" w:type="dxa"/>
              <w:bottom w:w="40" w:type="dxa"/>
              <w:right w:w="20" w:type="dxa"/>
            </w:tcMar>
            <w:vAlign w:val="bottom"/>
          </w:tcPr>
          <w:p w14:paraId="20ADFFA0"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DFFA1" w14:textId="77777777" w:rsidR="00B626E7" w:rsidRDefault="00B626E7">
            <w:pPr>
              <w:rPr>
                <w:rFonts w:ascii="宋体"/>
              </w:rPr>
            </w:pPr>
          </w:p>
        </w:tc>
        <w:tc>
          <w:tcPr>
            <w:tcW w:w="0" w:type="auto"/>
            <w:shd w:val="clear" w:color="auto" w:fill="auto"/>
          </w:tcPr>
          <w:p w14:paraId="20ADFFA2" w14:textId="77777777" w:rsidR="00B626E7" w:rsidRDefault="00B626E7">
            <w:pPr>
              <w:rPr>
                <w:rFonts w:ascii="宋体"/>
              </w:rPr>
            </w:pPr>
          </w:p>
        </w:tc>
        <w:tc>
          <w:tcPr>
            <w:tcW w:w="0" w:type="auto"/>
            <w:shd w:val="clear" w:color="auto" w:fill="auto"/>
          </w:tcPr>
          <w:p w14:paraId="20ADFFA3" w14:textId="77777777" w:rsidR="00B626E7" w:rsidRDefault="00B626E7">
            <w:pPr>
              <w:rPr>
                <w:rFonts w:ascii="宋体"/>
              </w:rPr>
            </w:pPr>
          </w:p>
        </w:tc>
        <w:tc>
          <w:tcPr>
            <w:tcW w:w="0" w:type="auto"/>
            <w:shd w:val="clear" w:color="auto" w:fill="auto"/>
          </w:tcPr>
          <w:p w14:paraId="20ADFFA4" w14:textId="77777777" w:rsidR="00B626E7" w:rsidRDefault="00B626E7">
            <w:pPr>
              <w:rPr>
                <w:rFonts w:ascii="宋体"/>
              </w:rPr>
            </w:pPr>
          </w:p>
        </w:tc>
        <w:tc>
          <w:tcPr>
            <w:tcW w:w="0" w:type="auto"/>
            <w:shd w:val="clear" w:color="auto" w:fill="auto"/>
          </w:tcPr>
          <w:p w14:paraId="20ADFFA5" w14:textId="77777777" w:rsidR="00B626E7" w:rsidRDefault="00B626E7">
            <w:pPr>
              <w:rPr>
                <w:rFonts w:ascii="宋体"/>
              </w:rPr>
            </w:pPr>
          </w:p>
        </w:tc>
        <w:tc>
          <w:tcPr>
            <w:tcW w:w="0" w:type="auto"/>
            <w:shd w:val="clear" w:color="auto" w:fill="auto"/>
          </w:tcPr>
          <w:p w14:paraId="20ADFFA6" w14:textId="77777777" w:rsidR="00B626E7" w:rsidRDefault="00B626E7">
            <w:pPr>
              <w:rPr>
                <w:rFonts w:ascii="宋体"/>
              </w:rPr>
            </w:pPr>
          </w:p>
        </w:tc>
      </w:tr>
      <w:tr w:rsidR="00B626E7" w14:paraId="20ADFFB3" w14:textId="77777777">
        <w:trPr>
          <w:jc w:val="center"/>
          <w:hidden/>
        </w:trPr>
        <w:tc>
          <w:tcPr>
            <w:tcW w:w="0" w:type="auto"/>
            <w:gridSpan w:val="3"/>
            <w:shd w:val="clear" w:color="auto" w:fill="auto"/>
          </w:tcPr>
          <w:p w14:paraId="20ADFFA8" w14:textId="77777777" w:rsidR="00B626E7" w:rsidRDefault="00B626E7">
            <w:pPr>
              <w:rPr>
                <w:rFonts w:ascii="宋体"/>
                <w:vanish/>
              </w:rPr>
            </w:pPr>
          </w:p>
        </w:tc>
        <w:tc>
          <w:tcPr>
            <w:tcW w:w="0" w:type="auto"/>
            <w:gridSpan w:val="3"/>
            <w:shd w:val="clear" w:color="auto" w:fill="auto"/>
          </w:tcPr>
          <w:p w14:paraId="20ADFFA9" w14:textId="77777777" w:rsidR="00B626E7" w:rsidRDefault="00B626E7">
            <w:pPr>
              <w:rPr>
                <w:rFonts w:ascii="宋体"/>
                <w:vanish/>
              </w:rPr>
            </w:pPr>
          </w:p>
        </w:tc>
        <w:tc>
          <w:tcPr>
            <w:tcW w:w="0" w:type="auto"/>
            <w:gridSpan w:val="3"/>
            <w:shd w:val="clear" w:color="auto" w:fill="auto"/>
          </w:tcPr>
          <w:p w14:paraId="20ADFFAA" w14:textId="77777777" w:rsidR="00B626E7" w:rsidRDefault="00B626E7">
            <w:pPr>
              <w:rPr>
                <w:rFonts w:ascii="宋体"/>
                <w:vanish/>
              </w:rPr>
            </w:pPr>
          </w:p>
        </w:tc>
        <w:tc>
          <w:tcPr>
            <w:tcW w:w="0" w:type="auto"/>
            <w:gridSpan w:val="3"/>
            <w:shd w:val="clear" w:color="auto" w:fill="auto"/>
          </w:tcPr>
          <w:p w14:paraId="20ADFFAB" w14:textId="77777777" w:rsidR="00B626E7" w:rsidRDefault="00B626E7">
            <w:pPr>
              <w:rPr>
                <w:rFonts w:ascii="宋体"/>
                <w:vanish/>
              </w:rPr>
            </w:pPr>
          </w:p>
        </w:tc>
        <w:tc>
          <w:tcPr>
            <w:tcW w:w="0" w:type="auto"/>
            <w:gridSpan w:val="3"/>
            <w:shd w:val="clear" w:color="auto" w:fill="auto"/>
          </w:tcPr>
          <w:p w14:paraId="20ADFFAC" w14:textId="77777777" w:rsidR="00B626E7" w:rsidRDefault="00B626E7">
            <w:pPr>
              <w:rPr>
                <w:rFonts w:ascii="宋体"/>
                <w:vanish/>
              </w:rPr>
            </w:pPr>
          </w:p>
        </w:tc>
        <w:tc>
          <w:tcPr>
            <w:tcW w:w="0" w:type="auto"/>
            <w:shd w:val="clear" w:color="auto" w:fill="auto"/>
          </w:tcPr>
          <w:p w14:paraId="20ADFFAD" w14:textId="77777777" w:rsidR="00B626E7" w:rsidRDefault="00B626E7">
            <w:pPr>
              <w:rPr>
                <w:rFonts w:ascii="宋体"/>
              </w:rPr>
            </w:pPr>
          </w:p>
        </w:tc>
        <w:tc>
          <w:tcPr>
            <w:tcW w:w="0" w:type="auto"/>
            <w:shd w:val="clear" w:color="auto" w:fill="auto"/>
          </w:tcPr>
          <w:p w14:paraId="20ADFFAE" w14:textId="77777777" w:rsidR="00B626E7" w:rsidRDefault="00B626E7">
            <w:pPr>
              <w:rPr>
                <w:rFonts w:ascii="宋体"/>
              </w:rPr>
            </w:pPr>
          </w:p>
        </w:tc>
        <w:tc>
          <w:tcPr>
            <w:tcW w:w="0" w:type="auto"/>
            <w:shd w:val="clear" w:color="auto" w:fill="auto"/>
          </w:tcPr>
          <w:p w14:paraId="20ADFFAF" w14:textId="77777777" w:rsidR="00B626E7" w:rsidRDefault="00B626E7">
            <w:pPr>
              <w:rPr>
                <w:rFonts w:ascii="宋体"/>
              </w:rPr>
            </w:pPr>
          </w:p>
        </w:tc>
        <w:tc>
          <w:tcPr>
            <w:tcW w:w="0" w:type="auto"/>
            <w:shd w:val="clear" w:color="auto" w:fill="auto"/>
          </w:tcPr>
          <w:p w14:paraId="20ADFFB0" w14:textId="77777777" w:rsidR="00B626E7" w:rsidRDefault="00B626E7">
            <w:pPr>
              <w:rPr>
                <w:rFonts w:ascii="宋体"/>
              </w:rPr>
            </w:pPr>
          </w:p>
        </w:tc>
        <w:tc>
          <w:tcPr>
            <w:tcW w:w="0" w:type="auto"/>
            <w:shd w:val="clear" w:color="auto" w:fill="auto"/>
          </w:tcPr>
          <w:p w14:paraId="20ADFFB1" w14:textId="77777777" w:rsidR="00B626E7" w:rsidRDefault="00B626E7">
            <w:pPr>
              <w:rPr>
                <w:rFonts w:ascii="宋体"/>
              </w:rPr>
            </w:pPr>
          </w:p>
        </w:tc>
        <w:tc>
          <w:tcPr>
            <w:tcW w:w="0" w:type="auto"/>
            <w:shd w:val="clear" w:color="auto" w:fill="auto"/>
          </w:tcPr>
          <w:p w14:paraId="20ADFFB2" w14:textId="77777777" w:rsidR="00B626E7" w:rsidRDefault="00B626E7">
            <w:pPr>
              <w:rPr>
                <w:rFonts w:ascii="宋体"/>
              </w:rPr>
            </w:pPr>
          </w:p>
        </w:tc>
      </w:tr>
      <w:tr w:rsidR="00B626E7" w14:paraId="20ADFFC1" w14:textId="77777777">
        <w:trPr>
          <w:jc w:val="center"/>
        </w:trPr>
        <w:tc>
          <w:tcPr>
            <w:tcW w:w="0" w:type="auto"/>
            <w:gridSpan w:val="3"/>
            <w:shd w:val="clear" w:color="auto" w:fill="auto"/>
            <w:tcMar>
              <w:top w:w="40" w:type="dxa"/>
              <w:left w:w="195" w:type="dxa"/>
              <w:bottom w:w="40" w:type="dxa"/>
              <w:right w:w="20" w:type="dxa"/>
            </w:tcMar>
          </w:tcPr>
          <w:p w14:paraId="20ADFFB4" w14:textId="77777777" w:rsidR="00B626E7" w:rsidRDefault="00175C1D">
            <w:pPr>
              <w:textAlignment w:val="top"/>
            </w:pPr>
            <w:r>
              <w:rPr>
                <w:rFonts w:ascii="Arial" w:eastAsia="宋体" w:hAnsi="Arial" w:cs="Arial"/>
                <w:color w:val="333333"/>
                <w:sz w:val="18"/>
                <w:szCs w:val="18"/>
              </w:rPr>
              <w:t>Purchases of available-for-sale debt investments</w:t>
            </w:r>
          </w:p>
        </w:tc>
        <w:tc>
          <w:tcPr>
            <w:tcW w:w="0" w:type="auto"/>
            <w:gridSpan w:val="3"/>
            <w:shd w:val="clear" w:color="auto" w:fill="auto"/>
            <w:tcMar>
              <w:left w:w="20" w:type="dxa"/>
              <w:right w:w="20" w:type="dxa"/>
            </w:tcMar>
            <w:vAlign w:val="bottom"/>
          </w:tcPr>
          <w:p w14:paraId="20ADFFB5"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FB6" w14:textId="77777777" w:rsidR="00B626E7" w:rsidRDefault="00175C1D">
            <w:pPr>
              <w:jc w:val="right"/>
              <w:textAlignment w:val="bottom"/>
            </w:pPr>
            <w:r>
              <w:rPr>
                <w:rFonts w:ascii="Arial" w:eastAsia="宋体" w:hAnsi="Arial" w:cs="Arial"/>
                <w:color w:val="0071C5"/>
                <w:sz w:val="18"/>
                <w:szCs w:val="18"/>
              </w:rPr>
              <w:t>(4,558)</w:t>
            </w:r>
          </w:p>
        </w:tc>
        <w:tc>
          <w:tcPr>
            <w:tcW w:w="0" w:type="auto"/>
            <w:shd w:val="clear" w:color="auto" w:fill="auto"/>
            <w:tcMar>
              <w:top w:w="40" w:type="dxa"/>
              <w:bottom w:w="40" w:type="dxa"/>
              <w:right w:w="20" w:type="dxa"/>
            </w:tcMar>
            <w:vAlign w:val="bottom"/>
          </w:tcPr>
          <w:p w14:paraId="20ADFFB7"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DFFB8"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FB9" w14:textId="77777777" w:rsidR="00B626E7" w:rsidRDefault="00175C1D">
            <w:pPr>
              <w:jc w:val="right"/>
              <w:textAlignment w:val="bottom"/>
            </w:pPr>
            <w:r>
              <w:rPr>
                <w:rFonts w:ascii="Arial" w:eastAsia="宋体" w:hAnsi="Arial" w:cs="Arial"/>
                <w:color w:val="333333"/>
                <w:sz w:val="18"/>
                <w:szCs w:val="18"/>
              </w:rPr>
              <w:t>(1,721)</w:t>
            </w:r>
          </w:p>
        </w:tc>
        <w:tc>
          <w:tcPr>
            <w:tcW w:w="0" w:type="auto"/>
            <w:shd w:val="clear" w:color="auto" w:fill="auto"/>
            <w:tcMar>
              <w:top w:w="40" w:type="dxa"/>
              <w:bottom w:w="40" w:type="dxa"/>
              <w:right w:w="20" w:type="dxa"/>
            </w:tcMar>
            <w:vAlign w:val="bottom"/>
          </w:tcPr>
          <w:p w14:paraId="20ADFFBA"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DFFBB" w14:textId="77777777" w:rsidR="00B626E7" w:rsidRDefault="00B626E7">
            <w:pPr>
              <w:rPr>
                <w:rFonts w:ascii="宋体"/>
              </w:rPr>
            </w:pPr>
          </w:p>
        </w:tc>
        <w:tc>
          <w:tcPr>
            <w:tcW w:w="0" w:type="auto"/>
            <w:shd w:val="clear" w:color="auto" w:fill="auto"/>
          </w:tcPr>
          <w:p w14:paraId="20ADFFBC" w14:textId="77777777" w:rsidR="00B626E7" w:rsidRDefault="00B626E7">
            <w:pPr>
              <w:rPr>
                <w:rFonts w:ascii="宋体"/>
              </w:rPr>
            </w:pPr>
          </w:p>
        </w:tc>
        <w:tc>
          <w:tcPr>
            <w:tcW w:w="0" w:type="auto"/>
            <w:shd w:val="clear" w:color="auto" w:fill="auto"/>
          </w:tcPr>
          <w:p w14:paraId="20ADFFBD" w14:textId="77777777" w:rsidR="00B626E7" w:rsidRDefault="00B626E7">
            <w:pPr>
              <w:rPr>
                <w:rFonts w:ascii="宋体"/>
              </w:rPr>
            </w:pPr>
          </w:p>
        </w:tc>
        <w:tc>
          <w:tcPr>
            <w:tcW w:w="0" w:type="auto"/>
            <w:shd w:val="clear" w:color="auto" w:fill="auto"/>
          </w:tcPr>
          <w:p w14:paraId="20ADFFBE" w14:textId="77777777" w:rsidR="00B626E7" w:rsidRDefault="00B626E7">
            <w:pPr>
              <w:rPr>
                <w:rFonts w:ascii="宋体"/>
              </w:rPr>
            </w:pPr>
          </w:p>
        </w:tc>
        <w:tc>
          <w:tcPr>
            <w:tcW w:w="0" w:type="auto"/>
            <w:shd w:val="clear" w:color="auto" w:fill="auto"/>
          </w:tcPr>
          <w:p w14:paraId="20ADFFBF" w14:textId="77777777" w:rsidR="00B626E7" w:rsidRDefault="00B626E7">
            <w:pPr>
              <w:rPr>
                <w:rFonts w:ascii="宋体"/>
              </w:rPr>
            </w:pPr>
          </w:p>
        </w:tc>
        <w:tc>
          <w:tcPr>
            <w:tcW w:w="0" w:type="auto"/>
            <w:shd w:val="clear" w:color="auto" w:fill="auto"/>
          </w:tcPr>
          <w:p w14:paraId="20ADFFC0" w14:textId="77777777" w:rsidR="00B626E7" w:rsidRDefault="00B626E7">
            <w:pPr>
              <w:rPr>
                <w:rFonts w:ascii="宋体"/>
              </w:rPr>
            </w:pPr>
          </w:p>
        </w:tc>
      </w:tr>
      <w:tr w:rsidR="00B626E7" w14:paraId="20ADFFCD" w14:textId="77777777">
        <w:trPr>
          <w:jc w:val="center"/>
          <w:hidden/>
        </w:trPr>
        <w:tc>
          <w:tcPr>
            <w:tcW w:w="0" w:type="auto"/>
            <w:gridSpan w:val="3"/>
            <w:shd w:val="clear" w:color="auto" w:fill="auto"/>
          </w:tcPr>
          <w:p w14:paraId="20ADFFC2" w14:textId="77777777" w:rsidR="00B626E7" w:rsidRDefault="00B626E7">
            <w:pPr>
              <w:rPr>
                <w:rFonts w:ascii="宋体"/>
                <w:vanish/>
              </w:rPr>
            </w:pPr>
          </w:p>
        </w:tc>
        <w:tc>
          <w:tcPr>
            <w:tcW w:w="0" w:type="auto"/>
            <w:gridSpan w:val="3"/>
            <w:shd w:val="clear" w:color="auto" w:fill="auto"/>
          </w:tcPr>
          <w:p w14:paraId="20ADFFC3" w14:textId="77777777" w:rsidR="00B626E7" w:rsidRDefault="00B626E7">
            <w:pPr>
              <w:rPr>
                <w:rFonts w:ascii="宋体"/>
                <w:vanish/>
              </w:rPr>
            </w:pPr>
          </w:p>
        </w:tc>
        <w:tc>
          <w:tcPr>
            <w:tcW w:w="0" w:type="auto"/>
            <w:gridSpan w:val="3"/>
            <w:shd w:val="clear" w:color="auto" w:fill="auto"/>
          </w:tcPr>
          <w:p w14:paraId="20ADFFC4" w14:textId="77777777" w:rsidR="00B626E7" w:rsidRDefault="00B626E7">
            <w:pPr>
              <w:rPr>
                <w:rFonts w:ascii="宋体"/>
                <w:vanish/>
              </w:rPr>
            </w:pPr>
          </w:p>
        </w:tc>
        <w:tc>
          <w:tcPr>
            <w:tcW w:w="0" w:type="auto"/>
            <w:gridSpan w:val="3"/>
            <w:shd w:val="clear" w:color="auto" w:fill="auto"/>
          </w:tcPr>
          <w:p w14:paraId="20ADFFC5" w14:textId="77777777" w:rsidR="00B626E7" w:rsidRDefault="00B626E7">
            <w:pPr>
              <w:rPr>
                <w:rFonts w:ascii="宋体"/>
                <w:vanish/>
              </w:rPr>
            </w:pPr>
          </w:p>
        </w:tc>
        <w:tc>
          <w:tcPr>
            <w:tcW w:w="0" w:type="auto"/>
            <w:gridSpan w:val="3"/>
            <w:shd w:val="clear" w:color="auto" w:fill="auto"/>
          </w:tcPr>
          <w:p w14:paraId="20ADFFC6" w14:textId="77777777" w:rsidR="00B626E7" w:rsidRDefault="00B626E7">
            <w:pPr>
              <w:rPr>
                <w:rFonts w:ascii="宋体"/>
                <w:vanish/>
              </w:rPr>
            </w:pPr>
          </w:p>
        </w:tc>
        <w:tc>
          <w:tcPr>
            <w:tcW w:w="0" w:type="auto"/>
            <w:shd w:val="clear" w:color="auto" w:fill="auto"/>
          </w:tcPr>
          <w:p w14:paraId="20ADFFC7" w14:textId="77777777" w:rsidR="00B626E7" w:rsidRDefault="00B626E7">
            <w:pPr>
              <w:rPr>
                <w:rFonts w:ascii="宋体"/>
              </w:rPr>
            </w:pPr>
          </w:p>
        </w:tc>
        <w:tc>
          <w:tcPr>
            <w:tcW w:w="0" w:type="auto"/>
            <w:shd w:val="clear" w:color="auto" w:fill="auto"/>
          </w:tcPr>
          <w:p w14:paraId="20ADFFC8" w14:textId="77777777" w:rsidR="00B626E7" w:rsidRDefault="00B626E7">
            <w:pPr>
              <w:rPr>
                <w:rFonts w:ascii="宋体"/>
              </w:rPr>
            </w:pPr>
          </w:p>
        </w:tc>
        <w:tc>
          <w:tcPr>
            <w:tcW w:w="0" w:type="auto"/>
            <w:shd w:val="clear" w:color="auto" w:fill="auto"/>
          </w:tcPr>
          <w:p w14:paraId="20ADFFC9" w14:textId="77777777" w:rsidR="00B626E7" w:rsidRDefault="00B626E7">
            <w:pPr>
              <w:rPr>
                <w:rFonts w:ascii="宋体"/>
              </w:rPr>
            </w:pPr>
          </w:p>
        </w:tc>
        <w:tc>
          <w:tcPr>
            <w:tcW w:w="0" w:type="auto"/>
            <w:shd w:val="clear" w:color="auto" w:fill="auto"/>
          </w:tcPr>
          <w:p w14:paraId="20ADFFCA" w14:textId="77777777" w:rsidR="00B626E7" w:rsidRDefault="00B626E7">
            <w:pPr>
              <w:rPr>
                <w:rFonts w:ascii="宋体"/>
              </w:rPr>
            </w:pPr>
          </w:p>
        </w:tc>
        <w:tc>
          <w:tcPr>
            <w:tcW w:w="0" w:type="auto"/>
            <w:shd w:val="clear" w:color="auto" w:fill="auto"/>
          </w:tcPr>
          <w:p w14:paraId="20ADFFCB" w14:textId="77777777" w:rsidR="00B626E7" w:rsidRDefault="00B626E7">
            <w:pPr>
              <w:rPr>
                <w:rFonts w:ascii="宋体"/>
              </w:rPr>
            </w:pPr>
          </w:p>
        </w:tc>
        <w:tc>
          <w:tcPr>
            <w:tcW w:w="0" w:type="auto"/>
            <w:shd w:val="clear" w:color="auto" w:fill="auto"/>
          </w:tcPr>
          <w:p w14:paraId="20ADFFCC" w14:textId="77777777" w:rsidR="00B626E7" w:rsidRDefault="00B626E7">
            <w:pPr>
              <w:rPr>
                <w:rFonts w:ascii="宋体"/>
              </w:rPr>
            </w:pPr>
          </w:p>
        </w:tc>
      </w:tr>
      <w:tr w:rsidR="00B626E7" w14:paraId="20ADFFDB" w14:textId="77777777">
        <w:trPr>
          <w:jc w:val="center"/>
        </w:trPr>
        <w:tc>
          <w:tcPr>
            <w:tcW w:w="0" w:type="auto"/>
            <w:gridSpan w:val="3"/>
            <w:shd w:val="clear" w:color="auto" w:fill="auto"/>
            <w:tcMar>
              <w:top w:w="40" w:type="dxa"/>
              <w:left w:w="195" w:type="dxa"/>
              <w:bottom w:w="40" w:type="dxa"/>
              <w:right w:w="20" w:type="dxa"/>
            </w:tcMar>
          </w:tcPr>
          <w:p w14:paraId="20ADFFCE" w14:textId="77777777" w:rsidR="00B626E7" w:rsidRDefault="00175C1D">
            <w:pPr>
              <w:textAlignment w:val="top"/>
            </w:pPr>
            <w:r>
              <w:rPr>
                <w:rFonts w:ascii="Arial" w:eastAsia="宋体" w:hAnsi="Arial" w:cs="Arial"/>
                <w:color w:val="333333"/>
                <w:sz w:val="18"/>
                <w:szCs w:val="18"/>
              </w:rPr>
              <w:t>Maturities and sales of available-for-sale debt investments</w:t>
            </w:r>
          </w:p>
        </w:tc>
        <w:tc>
          <w:tcPr>
            <w:tcW w:w="0" w:type="auto"/>
            <w:gridSpan w:val="3"/>
            <w:shd w:val="clear" w:color="auto" w:fill="auto"/>
            <w:tcMar>
              <w:left w:w="20" w:type="dxa"/>
              <w:right w:w="20" w:type="dxa"/>
            </w:tcMar>
            <w:vAlign w:val="bottom"/>
          </w:tcPr>
          <w:p w14:paraId="20ADFFCF"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FD0" w14:textId="77777777" w:rsidR="00B626E7" w:rsidRDefault="00175C1D">
            <w:pPr>
              <w:jc w:val="right"/>
              <w:textAlignment w:val="bottom"/>
            </w:pPr>
            <w:r>
              <w:rPr>
                <w:rFonts w:ascii="Arial" w:eastAsia="宋体" w:hAnsi="Arial" w:cs="Arial"/>
                <w:color w:val="0071C5"/>
                <w:sz w:val="18"/>
                <w:szCs w:val="18"/>
              </w:rPr>
              <w:t>1,303 </w:t>
            </w:r>
          </w:p>
        </w:tc>
        <w:tc>
          <w:tcPr>
            <w:tcW w:w="0" w:type="auto"/>
            <w:shd w:val="clear" w:color="auto" w:fill="auto"/>
            <w:tcMar>
              <w:top w:w="40" w:type="dxa"/>
              <w:bottom w:w="40" w:type="dxa"/>
              <w:right w:w="20" w:type="dxa"/>
            </w:tcMar>
            <w:vAlign w:val="bottom"/>
          </w:tcPr>
          <w:p w14:paraId="20ADFFD1"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DFFD2"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FD3" w14:textId="77777777" w:rsidR="00B626E7" w:rsidRDefault="00175C1D">
            <w:pPr>
              <w:jc w:val="right"/>
              <w:textAlignment w:val="bottom"/>
            </w:pPr>
            <w:r>
              <w:rPr>
                <w:rFonts w:ascii="Arial" w:eastAsia="宋体" w:hAnsi="Arial" w:cs="Arial"/>
                <w:color w:val="333333"/>
                <w:sz w:val="18"/>
                <w:szCs w:val="18"/>
              </w:rPr>
              <w:t>2,031 </w:t>
            </w:r>
          </w:p>
        </w:tc>
        <w:tc>
          <w:tcPr>
            <w:tcW w:w="0" w:type="auto"/>
            <w:shd w:val="clear" w:color="auto" w:fill="auto"/>
            <w:tcMar>
              <w:top w:w="40" w:type="dxa"/>
              <w:bottom w:w="40" w:type="dxa"/>
              <w:right w:w="20" w:type="dxa"/>
            </w:tcMar>
            <w:vAlign w:val="bottom"/>
          </w:tcPr>
          <w:p w14:paraId="20ADFFD4"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DFFD5" w14:textId="77777777" w:rsidR="00B626E7" w:rsidRDefault="00B626E7">
            <w:pPr>
              <w:rPr>
                <w:rFonts w:ascii="宋体"/>
              </w:rPr>
            </w:pPr>
          </w:p>
        </w:tc>
        <w:tc>
          <w:tcPr>
            <w:tcW w:w="0" w:type="auto"/>
            <w:shd w:val="clear" w:color="auto" w:fill="auto"/>
          </w:tcPr>
          <w:p w14:paraId="20ADFFD6" w14:textId="77777777" w:rsidR="00B626E7" w:rsidRDefault="00B626E7">
            <w:pPr>
              <w:rPr>
                <w:rFonts w:ascii="宋体"/>
              </w:rPr>
            </w:pPr>
          </w:p>
        </w:tc>
        <w:tc>
          <w:tcPr>
            <w:tcW w:w="0" w:type="auto"/>
            <w:shd w:val="clear" w:color="auto" w:fill="auto"/>
          </w:tcPr>
          <w:p w14:paraId="20ADFFD7" w14:textId="77777777" w:rsidR="00B626E7" w:rsidRDefault="00B626E7">
            <w:pPr>
              <w:rPr>
                <w:rFonts w:ascii="宋体"/>
              </w:rPr>
            </w:pPr>
          </w:p>
        </w:tc>
        <w:tc>
          <w:tcPr>
            <w:tcW w:w="0" w:type="auto"/>
            <w:shd w:val="clear" w:color="auto" w:fill="auto"/>
          </w:tcPr>
          <w:p w14:paraId="20ADFFD8" w14:textId="77777777" w:rsidR="00B626E7" w:rsidRDefault="00B626E7">
            <w:pPr>
              <w:rPr>
                <w:rFonts w:ascii="宋体"/>
              </w:rPr>
            </w:pPr>
          </w:p>
        </w:tc>
        <w:tc>
          <w:tcPr>
            <w:tcW w:w="0" w:type="auto"/>
            <w:shd w:val="clear" w:color="auto" w:fill="auto"/>
          </w:tcPr>
          <w:p w14:paraId="20ADFFD9" w14:textId="77777777" w:rsidR="00B626E7" w:rsidRDefault="00B626E7">
            <w:pPr>
              <w:rPr>
                <w:rFonts w:ascii="宋体"/>
              </w:rPr>
            </w:pPr>
          </w:p>
        </w:tc>
        <w:tc>
          <w:tcPr>
            <w:tcW w:w="0" w:type="auto"/>
            <w:shd w:val="clear" w:color="auto" w:fill="auto"/>
          </w:tcPr>
          <w:p w14:paraId="20ADFFDA" w14:textId="77777777" w:rsidR="00B626E7" w:rsidRDefault="00B626E7">
            <w:pPr>
              <w:rPr>
                <w:rFonts w:ascii="宋体"/>
              </w:rPr>
            </w:pPr>
          </w:p>
        </w:tc>
      </w:tr>
      <w:tr w:rsidR="00B626E7" w14:paraId="20ADFFE9" w14:textId="77777777">
        <w:trPr>
          <w:jc w:val="center"/>
        </w:trPr>
        <w:tc>
          <w:tcPr>
            <w:tcW w:w="0" w:type="auto"/>
            <w:gridSpan w:val="3"/>
            <w:shd w:val="clear" w:color="auto" w:fill="auto"/>
            <w:tcMar>
              <w:top w:w="40" w:type="dxa"/>
              <w:left w:w="195" w:type="dxa"/>
              <w:bottom w:w="40" w:type="dxa"/>
              <w:right w:w="20" w:type="dxa"/>
            </w:tcMar>
          </w:tcPr>
          <w:p w14:paraId="20ADFFDC" w14:textId="77777777" w:rsidR="00B626E7" w:rsidRDefault="00175C1D">
            <w:pPr>
              <w:textAlignment w:val="top"/>
            </w:pPr>
            <w:r>
              <w:rPr>
                <w:rFonts w:ascii="Arial" w:eastAsia="宋体" w:hAnsi="Arial" w:cs="Arial"/>
                <w:color w:val="333333"/>
                <w:sz w:val="18"/>
                <w:szCs w:val="18"/>
              </w:rPr>
              <w:t>Purchases of trading assets</w:t>
            </w:r>
          </w:p>
        </w:tc>
        <w:tc>
          <w:tcPr>
            <w:tcW w:w="0" w:type="auto"/>
            <w:gridSpan w:val="3"/>
            <w:shd w:val="clear" w:color="auto" w:fill="auto"/>
            <w:tcMar>
              <w:left w:w="20" w:type="dxa"/>
              <w:right w:w="20" w:type="dxa"/>
            </w:tcMar>
            <w:vAlign w:val="bottom"/>
          </w:tcPr>
          <w:p w14:paraId="20ADFFDD"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FDE" w14:textId="77777777" w:rsidR="00B626E7" w:rsidRDefault="00175C1D">
            <w:pPr>
              <w:jc w:val="right"/>
              <w:textAlignment w:val="bottom"/>
            </w:pPr>
            <w:r>
              <w:rPr>
                <w:rFonts w:ascii="Arial" w:eastAsia="宋体" w:hAnsi="Arial" w:cs="Arial"/>
                <w:color w:val="0071C5"/>
                <w:sz w:val="18"/>
                <w:szCs w:val="18"/>
              </w:rPr>
              <w:t>(11,429)</w:t>
            </w:r>
          </w:p>
        </w:tc>
        <w:tc>
          <w:tcPr>
            <w:tcW w:w="0" w:type="auto"/>
            <w:shd w:val="clear" w:color="auto" w:fill="auto"/>
            <w:tcMar>
              <w:top w:w="40" w:type="dxa"/>
              <w:bottom w:w="40" w:type="dxa"/>
              <w:right w:w="20" w:type="dxa"/>
            </w:tcMar>
            <w:vAlign w:val="bottom"/>
          </w:tcPr>
          <w:p w14:paraId="20ADFFDF"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DFFE0"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FE1" w14:textId="77777777" w:rsidR="00B626E7" w:rsidRDefault="00175C1D">
            <w:pPr>
              <w:jc w:val="right"/>
              <w:textAlignment w:val="bottom"/>
            </w:pPr>
            <w:r>
              <w:rPr>
                <w:rFonts w:ascii="Arial" w:eastAsia="宋体" w:hAnsi="Arial" w:cs="Arial"/>
                <w:color w:val="333333"/>
                <w:sz w:val="18"/>
                <w:szCs w:val="18"/>
              </w:rPr>
              <w:t>(4,498)</w:t>
            </w:r>
          </w:p>
        </w:tc>
        <w:tc>
          <w:tcPr>
            <w:tcW w:w="0" w:type="auto"/>
            <w:shd w:val="clear" w:color="auto" w:fill="auto"/>
            <w:tcMar>
              <w:top w:w="40" w:type="dxa"/>
              <w:bottom w:w="40" w:type="dxa"/>
              <w:right w:w="20" w:type="dxa"/>
            </w:tcMar>
            <w:vAlign w:val="bottom"/>
          </w:tcPr>
          <w:p w14:paraId="20ADFFE2"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DFFE3" w14:textId="77777777" w:rsidR="00B626E7" w:rsidRDefault="00B626E7">
            <w:pPr>
              <w:rPr>
                <w:rFonts w:ascii="宋体"/>
              </w:rPr>
            </w:pPr>
          </w:p>
        </w:tc>
        <w:tc>
          <w:tcPr>
            <w:tcW w:w="0" w:type="auto"/>
            <w:shd w:val="clear" w:color="auto" w:fill="auto"/>
          </w:tcPr>
          <w:p w14:paraId="20ADFFE4" w14:textId="77777777" w:rsidR="00B626E7" w:rsidRDefault="00B626E7">
            <w:pPr>
              <w:rPr>
                <w:rFonts w:ascii="宋体"/>
              </w:rPr>
            </w:pPr>
          </w:p>
        </w:tc>
        <w:tc>
          <w:tcPr>
            <w:tcW w:w="0" w:type="auto"/>
            <w:shd w:val="clear" w:color="auto" w:fill="auto"/>
          </w:tcPr>
          <w:p w14:paraId="20ADFFE5" w14:textId="77777777" w:rsidR="00B626E7" w:rsidRDefault="00B626E7">
            <w:pPr>
              <w:rPr>
                <w:rFonts w:ascii="宋体"/>
              </w:rPr>
            </w:pPr>
          </w:p>
        </w:tc>
        <w:tc>
          <w:tcPr>
            <w:tcW w:w="0" w:type="auto"/>
            <w:shd w:val="clear" w:color="auto" w:fill="auto"/>
          </w:tcPr>
          <w:p w14:paraId="20ADFFE6" w14:textId="77777777" w:rsidR="00B626E7" w:rsidRDefault="00B626E7">
            <w:pPr>
              <w:rPr>
                <w:rFonts w:ascii="宋体"/>
              </w:rPr>
            </w:pPr>
          </w:p>
        </w:tc>
        <w:tc>
          <w:tcPr>
            <w:tcW w:w="0" w:type="auto"/>
            <w:shd w:val="clear" w:color="auto" w:fill="auto"/>
          </w:tcPr>
          <w:p w14:paraId="20ADFFE7" w14:textId="77777777" w:rsidR="00B626E7" w:rsidRDefault="00B626E7">
            <w:pPr>
              <w:rPr>
                <w:rFonts w:ascii="宋体"/>
              </w:rPr>
            </w:pPr>
          </w:p>
        </w:tc>
        <w:tc>
          <w:tcPr>
            <w:tcW w:w="0" w:type="auto"/>
            <w:shd w:val="clear" w:color="auto" w:fill="auto"/>
          </w:tcPr>
          <w:p w14:paraId="20ADFFE8" w14:textId="77777777" w:rsidR="00B626E7" w:rsidRDefault="00B626E7">
            <w:pPr>
              <w:rPr>
                <w:rFonts w:ascii="宋体"/>
              </w:rPr>
            </w:pPr>
          </w:p>
        </w:tc>
      </w:tr>
      <w:tr w:rsidR="00B626E7" w14:paraId="20ADFFF7" w14:textId="77777777">
        <w:trPr>
          <w:jc w:val="center"/>
        </w:trPr>
        <w:tc>
          <w:tcPr>
            <w:tcW w:w="0" w:type="auto"/>
            <w:gridSpan w:val="3"/>
            <w:shd w:val="clear" w:color="auto" w:fill="auto"/>
            <w:tcMar>
              <w:top w:w="40" w:type="dxa"/>
              <w:left w:w="195" w:type="dxa"/>
              <w:bottom w:w="40" w:type="dxa"/>
              <w:right w:w="20" w:type="dxa"/>
            </w:tcMar>
          </w:tcPr>
          <w:p w14:paraId="20ADFFEA" w14:textId="77777777" w:rsidR="00B626E7" w:rsidRDefault="00175C1D">
            <w:pPr>
              <w:textAlignment w:val="top"/>
            </w:pPr>
            <w:r>
              <w:rPr>
                <w:rFonts w:ascii="Arial" w:eastAsia="宋体" w:hAnsi="Arial" w:cs="Arial"/>
                <w:color w:val="333333"/>
                <w:sz w:val="18"/>
                <w:szCs w:val="18"/>
              </w:rPr>
              <w:t>Maturities and sales of trading assets</w:t>
            </w:r>
          </w:p>
        </w:tc>
        <w:tc>
          <w:tcPr>
            <w:tcW w:w="0" w:type="auto"/>
            <w:gridSpan w:val="3"/>
            <w:shd w:val="clear" w:color="auto" w:fill="auto"/>
            <w:tcMar>
              <w:left w:w="20" w:type="dxa"/>
              <w:right w:w="20" w:type="dxa"/>
            </w:tcMar>
            <w:vAlign w:val="bottom"/>
          </w:tcPr>
          <w:p w14:paraId="20ADFFEB"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FEC" w14:textId="77777777" w:rsidR="00B626E7" w:rsidRDefault="00175C1D">
            <w:pPr>
              <w:jc w:val="right"/>
              <w:textAlignment w:val="bottom"/>
            </w:pPr>
            <w:r>
              <w:rPr>
                <w:rFonts w:ascii="Arial" w:eastAsia="宋体" w:hAnsi="Arial" w:cs="Arial"/>
                <w:color w:val="0071C5"/>
                <w:sz w:val="18"/>
                <w:szCs w:val="18"/>
              </w:rPr>
              <w:t>7,430 </w:t>
            </w:r>
          </w:p>
        </w:tc>
        <w:tc>
          <w:tcPr>
            <w:tcW w:w="0" w:type="auto"/>
            <w:shd w:val="clear" w:color="auto" w:fill="auto"/>
            <w:tcMar>
              <w:top w:w="40" w:type="dxa"/>
              <w:bottom w:w="40" w:type="dxa"/>
              <w:right w:w="20" w:type="dxa"/>
            </w:tcMar>
            <w:vAlign w:val="bottom"/>
          </w:tcPr>
          <w:p w14:paraId="20ADFFED"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DFFEE"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DFFEF" w14:textId="77777777" w:rsidR="00B626E7" w:rsidRDefault="00175C1D">
            <w:pPr>
              <w:jc w:val="right"/>
              <w:textAlignment w:val="bottom"/>
            </w:pPr>
            <w:r>
              <w:rPr>
                <w:rFonts w:ascii="Arial" w:eastAsia="宋体" w:hAnsi="Arial" w:cs="Arial"/>
                <w:color w:val="333333"/>
                <w:sz w:val="18"/>
                <w:szCs w:val="18"/>
              </w:rPr>
              <w:t>3,808 </w:t>
            </w:r>
          </w:p>
        </w:tc>
        <w:tc>
          <w:tcPr>
            <w:tcW w:w="0" w:type="auto"/>
            <w:shd w:val="clear" w:color="auto" w:fill="auto"/>
            <w:tcMar>
              <w:top w:w="40" w:type="dxa"/>
              <w:bottom w:w="40" w:type="dxa"/>
              <w:right w:w="20" w:type="dxa"/>
            </w:tcMar>
            <w:vAlign w:val="bottom"/>
          </w:tcPr>
          <w:p w14:paraId="20ADFFF0"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DFFF1" w14:textId="77777777" w:rsidR="00B626E7" w:rsidRDefault="00B626E7">
            <w:pPr>
              <w:rPr>
                <w:rFonts w:ascii="宋体"/>
              </w:rPr>
            </w:pPr>
          </w:p>
        </w:tc>
        <w:tc>
          <w:tcPr>
            <w:tcW w:w="0" w:type="auto"/>
            <w:shd w:val="clear" w:color="auto" w:fill="auto"/>
          </w:tcPr>
          <w:p w14:paraId="20ADFFF2" w14:textId="77777777" w:rsidR="00B626E7" w:rsidRDefault="00B626E7">
            <w:pPr>
              <w:rPr>
                <w:rFonts w:ascii="宋体"/>
              </w:rPr>
            </w:pPr>
          </w:p>
        </w:tc>
        <w:tc>
          <w:tcPr>
            <w:tcW w:w="0" w:type="auto"/>
            <w:shd w:val="clear" w:color="auto" w:fill="auto"/>
          </w:tcPr>
          <w:p w14:paraId="20ADFFF3" w14:textId="77777777" w:rsidR="00B626E7" w:rsidRDefault="00B626E7">
            <w:pPr>
              <w:rPr>
                <w:rFonts w:ascii="宋体"/>
              </w:rPr>
            </w:pPr>
          </w:p>
        </w:tc>
        <w:tc>
          <w:tcPr>
            <w:tcW w:w="0" w:type="auto"/>
            <w:shd w:val="clear" w:color="auto" w:fill="auto"/>
          </w:tcPr>
          <w:p w14:paraId="20ADFFF4" w14:textId="77777777" w:rsidR="00B626E7" w:rsidRDefault="00B626E7">
            <w:pPr>
              <w:rPr>
                <w:rFonts w:ascii="宋体"/>
              </w:rPr>
            </w:pPr>
          </w:p>
        </w:tc>
        <w:tc>
          <w:tcPr>
            <w:tcW w:w="0" w:type="auto"/>
            <w:shd w:val="clear" w:color="auto" w:fill="auto"/>
          </w:tcPr>
          <w:p w14:paraId="20ADFFF5" w14:textId="77777777" w:rsidR="00B626E7" w:rsidRDefault="00B626E7">
            <w:pPr>
              <w:rPr>
                <w:rFonts w:ascii="宋体"/>
              </w:rPr>
            </w:pPr>
          </w:p>
        </w:tc>
        <w:tc>
          <w:tcPr>
            <w:tcW w:w="0" w:type="auto"/>
            <w:shd w:val="clear" w:color="auto" w:fill="auto"/>
          </w:tcPr>
          <w:p w14:paraId="20ADFFF6" w14:textId="77777777" w:rsidR="00B626E7" w:rsidRDefault="00B626E7">
            <w:pPr>
              <w:rPr>
                <w:rFonts w:ascii="宋体"/>
              </w:rPr>
            </w:pPr>
          </w:p>
        </w:tc>
      </w:tr>
      <w:tr w:rsidR="00B626E7" w14:paraId="20AE0003" w14:textId="77777777">
        <w:trPr>
          <w:jc w:val="center"/>
          <w:hidden/>
        </w:trPr>
        <w:tc>
          <w:tcPr>
            <w:tcW w:w="0" w:type="auto"/>
            <w:gridSpan w:val="3"/>
            <w:shd w:val="clear" w:color="auto" w:fill="auto"/>
          </w:tcPr>
          <w:p w14:paraId="20ADFFF8" w14:textId="77777777" w:rsidR="00B626E7" w:rsidRDefault="00B626E7">
            <w:pPr>
              <w:rPr>
                <w:rFonts w:ascii="宋体"/>
                <w:vanish/>
              </w:rPr>
            </w:pPr>
          </w:p>
        </w:tc>
        <w:tc>
          <w:tcPr>
            <w:tcW w:w="0" w:type="auto"/>
            <w:gridSpan w:val="3"/>
            <w:shd w:val="clear" w:color="auto" w:fill="auto"/>
          </w:tcPr>
          <w:p w14:paraId="20ADFFF9" w14:textId="77777777" w:rsidR="00B626E7" w:rsidRDefault="00B626E7">
            <w:pPr>
              <w:rPr>
                <w:rFonts w:ascii="宋体"/>
                <w:vanish/>
              </w:rPr>
            </w:pPr>
          </w:p>
        </w:tc>
        <w:tc>
          <w:tcPr>
            <w:tcW w:w="0" w:type="auto"/>
            <w:gridSpan w:val="3"/>
            <w:shd w:val="clear" w:color="auto" w:fill="auto"/>
          </w:tcPr>
          <w:p w14:paraId="20ADFFFA" w14:textId="77777777" w:rsidR="00B626E7" w:rsidRDefault="00B626E7">
            <w:pPr>
              <w:rPr>
                <w:rFonts w:ascii="宋体"/>
                <w:vanish/>
              </w:rPr>
            </w:pPr>
          </w:p>
        </w:tc>
        <w:tc>
          <w:tcPr>
            <w:tcW w:w="0" w:type="auto"/>
            <w:gridSpan w:val="3"/>
            <w:shd w:val="clear" w:color="auto" w:fill="auto"/>
          </w:tcPr>
          <w:p w14:paraId="20ADFFFB" w14:textId="77777777" w:rsidR="00B626E7" w:rsidRDefault="00B626E7">
            <w:pPr>
              <w:rPr>
                <w:rFonts w:ascii="宋体"/>
                <w:vanish/>
              </w:rPr>
            </w:pPr>
          </w:p>
        </w:tc>
        <w:tc>
          <w:tcPr>
            <w:tcW w:w="0" w:type="auto"/>
            <w:gridSpan w:val="3"/>
            <w:shd w:val="clear" w:color="auto" w:fill="auto"/>
          </w:tcPr>
          <w:p w14:paraId="20ADFFFC" w14:textId="77777777" w:rsidR="00B626E7" w:rsidRDefault="00B626E7">
            <w:pPr>
              <w:rPr>
                <w:rFonts w:ascii="宋体"/>
                <w:vanish/>
              </w:rPr>
            </w:pPr>
          </w:p>
        </w:tc>
        <w:tc>
          <w:tcPr>
            <w:tcW w:w="0" w:type="auto"/>
            <w:shd w:val="clear" w:color="auto" w:fill="auto"/>
          </w:tcPr>
          <w:p w14:paraId="20ADFFFD" w14:textId="77777777" w:rsidR="00B626E7" w:rsidRDefault="00B626E7">
            <w:pPr>
              <w:rPr>
                <w:rFonts w:ascii="宋体"/>
              </w:rPr>
            </w:pPr>
          </w:p>
        </w:tc>
        <w:tc>
          <w:tcPr>
            <w:tcW w:w="0" w:type="auto"/>
            <w:shd w:val="clear" w:color="auto" w:fill="auto"/>
          </w:tcPr>
          <w:p w14:paraId="20ADFFFE" w14:textId="77777777" w:rsidR="00B626E7" w:rsidRDefault="00B626E7">
            <w:pPr>
              <w:rPr>
                <w:rFonts w:ascii="宋体"/>
              </w:rPr>
            </w:pPr>
          </w:p>
        </w:tc>
        <w:tc>
          <w:tcPr>
            <w:tcW w:w="0" w:type="auto"/>
            <w:shd w:val="clear" w:color="auto" w:fill="auto"/>
          </w:tcPr>
          <w:p w14:paraId="20ADFFFF" w14:textId="77777777" w:rsidR="00B626E7" w:rsidRDefault="00B626E7">
            <w:pPr>
              <w:rPr>
                <w:rFonts w:ascii="宋体"/>
              </w:rPr>
            </w:pPr>
          </w:p>
        </w:tc>
        <w:tc>
          <w:tcPr>
            <w:tcW w:w="0" w:type="auto"/>
            <w:shd w:val="clear" w:color="auto" w:fill="auto"/>
          </w:tcPr>
          <w:p w14:paraId="20AE0000" w14:textId="77777777" w:rsidR="00B626E7" w:rsidRDefault="00B626E7">
            <w:pPr>
              <w:rPr>
                <w:rFonts w:ascii="宋体"/>
              </w:rPr>
            </w:pPr>
          </w:p>
        </w:tc>
        <w:tc>
          <w:tcPr>
            <w:tcW w:w="0" w:type="auto"/>
            <w:shd w:val="clear" w:color="auto" w:fill="auto"/>
          </w:tcPr>
          <w:p w14:paraId="20AE0001" w14:textId="77777777" w:rsidR="00B626E7" w:rsidRDefault="00B626E7">
            <w:pPr>
              <w:rPr>
                <w:rFonts w:ascii="宋体"/>
              </w:rPr>
            </w:pPr>
          </w:p>
        </w:tc>
        <w:tc>
          <w:tcPr>
            <w:tcW w:w="0" w:type="auto"/>
            <w:shd w:val="clear" w:color="auto" w:fill="auto"/>
          </w:tcPr>
          <w:p w14:paraId="20AE0002" w14:textId="77777777" w:rsidR="00B626E7" w:rsidRDefault="00B626E7">
            <w:pPr>
              <w:rPr>
                <w:rFonts w:ascii="宋体"/>
              </w:rPr>
            </w:pPr>
          </w:p>
        </w:tc>
      </w:tr>
      <w:tr w:rsidR="00B626E7" w14:paraId="20AE000F" w14:textId="77777777">
        <w:trPr>
          <w:jc w:val="center"/>
          <w:hidden/>
        </w:trPr>
        <w:tc>
          <w:tcPr>
            <w:tcW w:w="0" w:type="auto"/>
            <w:gridSpan w:val="3"/>
            <w:shd w:val="clear" w:color="auto" w:fill="auto"/>
          </w:tcPr>
          <w:p w14:paraId="20AE0004" w14:textId="77777777" w:rsidR="00B626E7" w:rsidRDefault="00B626E7">
            <w:pPr>
              <w:rPr>
                <w:rFonts w:ascii="宋体"/>
                <w:vanish/>
              </w:rPr>
            </w:pPr>
          </w:p>
        </w:tc>
        <w:tc>
          <w:tcPr>
            <w:tcW w:w="0" w:type="auto"/>
            <w:gridSpan w:val="3"/>
            <w:shd w:val="clear" w:color="auto" w:fill="auto"/>
          </w:tcPr>
          <w:p w14:paraId="20AE0005" w14:textId="77777777" w:rsidR="00B626E7" w:rsidRDefault="00B626E7">
            <w:pPr>
              <w:rPr>
                <w:rFonts w:ascii="宋体"/>
                <w:vanish/>
              </w:rPr>
            </w:pPr>
          </w:p>
        </w:tc>
        <w:tc>
          <w:tcPr>
            <w:tcW w:w="0" w:type="auto"/>
            <w:gridSpan w:val="3"/>
            <w:shd w:val="clear" w:color="auto" w:fill="auto"/>
          </w:tcPr>
          <w:p w14:paraId="20AE0006" w14:textId="77777777" w:rsidR="00B626E7" w:rsidRDefault="00B626E7">
            <w:pPr>
              <w:rPr>
                <w:rFonts w:ascii="宋体"/>
                <w:vanish/>
              </w:rPr>
            </w:pPr>
          </w:p>
        </w:tc>
        <w:tc>
          <w:tcPr>
            <w:tcW w:w="0" w:type="auto"/>
            <w:gridSpan w:val="3"/>
            <w:shd w:val="clear" w:color="auto" w:fill="auto"/>
          </w:tcPr>
          <w:p w14:paraId="20AE0007" w14:textId="77777777" w:rsidR="00B626E7" w:rsidRDefault="00B626E7">
            <w:pPr>
              <w:rPr>
                <w:rFonts w:ascii="宋体"/>
                <w:vanish/>
              </w:rPr>
            </w:pPr>
          </w:p>
        </w:tc>
        <w:tc>
          <w:tcPr>
            <w:tcW w:w="0" w:type="auto"/>
            <w:gridSpan w:val="3"/>
            <w:shd w:val="clear" w:color="auto" w:fill="auto"/>
          </w:tcPr>
          <w:p w14:paraId="20AE0008" w14:textId="77777777" w:rsidR="00B626E7" w:rsidRDefault="00B626E7">
            <w:pPr>
              <w:rPr>
                <w:rFonts w:ascii="宋体"/>
                <w:vanish/>
              </w:rPr>
            </w:pPr>
          </w:p>
        </w:tc>
        <w:tc>
          <w:tcPr>
            <w:tcW w:w="0" w:type="auto"/>
            <w:shd w:val="clear" w:color="auto" w:fill="auto"/>
          </w:tcPr>
          <w:p w14:paraId="20AE0009" w14:textId="77777777" w:rsidR="00B626E7" w:rsidRDefault="00B626E7">
            <w:pPr>
              <w:rPr>
                <w:rFonts w:ascii="宋体"/>
              </w:rPr>
            </w:pPr>
          </w:p>
        </w:tc>
        <w:tc>
          <w:tcPr>
            <w:tcW w:w="0" w:type="auto"/>
            <w:shd w:val="clear" w:color="auto" w:fill="auto"/>
          </w:tcPr>
          <w:p w14:paraId="20AE000A" w14:textId="77777777" w:rsidR="00B626E7" w:rsidRDefault="00B626E7">
            <w:pPr>
              <w:rPr>
                <w:rFonts w:ascii="宋体"/>
              </w:rPr>
            </w:pPr>
          </w:p>
        </w:tc>
        <w:tc>
          <w:tcPr>
            <w:tcW w:w="0" w:type="auto"/>
            <w:shd w:val="clear" w:color="auto" w:fill="auto"/>
          </w:tcPr>
          <w:p w14:paraId="20AE000B" w14:textId="77777777" w:rsidR="00B626E7" w:rsidRDefault="00B626E7">
            <w:pPr>
              <w:rPr>
                <w:rFonts w:ascii="宋体"/>
              </w:rPr>
            </w:pPr>
          </w:p>
        </w:tc>
        <w:tc>
          <w:tcPr>
            <w:tcW w:w="0" w:type="auto"/>
            <w:shd w:val="clear" w:color="auto" w:fill="auto"/>
          </w:tcPr>
          <w:p w14:paraId="20AE000C" w14:textId="77777777" w:rsidR="00B626E7" w:rsidRDefault="00B626E7">
            <w:pPr>
              <w:rPr>
                <w:rFonts w:ascii="宋体"/>
              </w:rPr>
            </w:pPr>
          </w:p>
        </w:tc>
        <w:tc>
          <w:tcPr>
            <w:tcW w:w="0" w:type="auto"/>
            <w:shd w:val="clear" w:color="auto" w:fill="auto"/>
          </w:tcPr>
          <w:p w14:paraId="20AE000D" w14:textId="77777777" w:rsidR="00B626E7" w:rsidRDefault="00B626E7">
            <w:pPr>
              <w:rPr>
                <w:rFonts w:ascii="宋体"/>
              </w:rPr>
            </w:pPr>
          </w:p>
        </w:tc>
        <w:tc>
          <w:tcPr>
            <w:tcW w:w="0" w:type="auto"/>
            <w:shd w:val="clear" w:color="auto" w:fill="auto"/>
          </w:tcPr>
          <w:p w14:paraId="20AE000E" w14:textId="77777777" w:rsidR="00B626E7" w:rsidRDefault="00B626E7">
            <w:pPr>
              <w:rPr>
                <w:rFonts w:ascii="宋体"/>
              </w:rPr>
            </w:pPr>
          </w:p>
        </w:tc>
      </w:tr>
      <w:tr w:rsidR="00B626E7" w14:paraId="20AE001B" w14:textId="77777777">
        <w:trPr>
          <w:jc w:val="center"/>
          <w:hidden/>
        </w:trPr>
        <w:tc>
          <w:tcPr>
            <w:tcW w:w="0" w:type="auto"/>
            <w:gridSpan w:val="3"/>
            <w:shd w:val="clear" w:color="auto" w:fill="auto"/>
          </w:tcPr>
          <w:p w14:paraId="20AE0010" w14:textId="77777777" w:rsidR="00B626E7" w:rsidRDefault="00B626E7">
            <w:pPr>
              <w:rPr>
                <w:rFonts w:ascii="宋体"/>
                <w:vanish/>
              </w:rPr>
            </w:pPr>
          </w:p>
        </w:tc>
        <w:tc>
          <w:tcPr>
            <w:tcW w:w="0" w:type="auto"/>
            <w:gridSpan w:val="3"/>
            <w:shd w:val="clear" w:color="auto" w:fill="auto"/>
          </w:tcPr>
          <w:p w14:paraId="20AE0011" w14:textId="77777777" w:rsidR="00B626E7" w:rsidRDefault="00B626E7">
            <w:pPr>
              <w:rPr>
                <w:rFonts w:ascii="宋体"/>
                <w:vanish/>
              </w:rPr>
            </w:pPr>
          </w:p>
        </w:tc>
        <w:tc>
          <w:tcPr>
            <w:tcW w:w="0" w:type="auto"/>
            <w:gridSpan w:val="3"/>
            <w:shd w:val="clear" w:color="auto" w:fill="auto"/>
          </w:tcPr>
          <w:p w14:paraId="20AE0012" w14:textId="77777777" w:rsidR="00B626E7" w:rsidRDefault="00B626E7">
            <w:pPr>
              <w:rPr>
                <w:rFonts w:ascii="宋体"/>
                <w:vanish/>
              </w:rPr>
            </w:pPr>
          </w:p>
        </w:tc>
        <w:tc>
          <w:tcPr>
            <w:tcW w:w="0" w:type="auto"/>
            <w:gridSpan w:val="3"/>
            <w:shd w:val="clear" w:color="auto" w:fill="auto"/>
          </w:tcPr>
          <w:p w14:paraId="20AE0013" w14:textId="77777777" w:rsidR="00B626E7" w:rsidRDefault="00B626E7">
            <w:pPr>
              <w:rPr>
                <w:rFonts w:ascii="宋体"/>
                <w:vanish/>
              </w:rPr>
            </w:pPr>
          </w:p>
        </w:tc>
        <w:tc>
          <w:tcPr>
            <w:tcW w:w="0" w:type="auto"/>
            <w:gridSpan w:val="3"/>
            <w:shd w:val="clear" w:color="auto" w:fill="auto"/>
          </w:tcPr>
          <w:p w14:paraId="20AE0014" w14:textId="77777777" w:rsidR="00B626E7" w:rsidRDefault="00B626E7">
            <w:pPr>
              <w:rPr>
                <w:rFonts w:ascii="宋体"/>
                <w:vanish/>
              </w:rPr>
            </w:pPr>
          </w:p>
        </w:tc>
        <w:tc>
          <w:tcPr>
            <w:tcW w:w="0" w:type="auto"/>
            <w:shd w:val="clear" w:color="auto" w:fill="auto"/>
          </w:tcPr>
          <w:p w14:paraId="20AE0015" w14:textId="77777777" w:rsidR="00B626E7" w:rsidRDefault="00B626E7">
            <w:pPr>
              <w:rPr>
                <w:rFonts w:ascii="宋体"/>
              </w:rPr>
            </w:pPr>
          </w:p>
        </w:tc>
        <w:tc>
          <w:tcPr>
            <w:tcW w:w="0" w:type="auto"/>
            <w:shd w:val="clear" w:color="auto" w:fill="auto"/>
          </w:tcPr>
          <w:p w14:paraId="20AE0016" w14:textId="77777777" w:rsidR="00B626E7" w:rsidRDefault="00B626E7">
            <w:pPr>
              <w:rPr>
                <w:rFonts w:ascii="宋体"/>
              </w:rPr>
            </w:pPr>
          </w:p>
        </w:tc>
        <w:tc>
          <w:tcPr>
            <w:tcW w:w="0" w:type="auto"/>
            <w:shd w:val="clear" w:color="auto" w:fill="auto"/>
          </w:tcPr>
          <w:p w14:paraId="20AE0017" w14:textId="77777777" w:rsidR="00B626E7" w:rsidRDefault="00B626E7">
            <w:pPr>
              <w:rPr>
                <w:rFonts w:ascii="宋体"/>
              </w:rPr>
            </w:pPr>
          </w:p>
        </w:tc>
        <w:tc>
          <w:tcPr>
            <w:tcW w:w="0" w:type="auto"/>
            <w:shd w:val="clear" w:color="auto" w:fill="auto"/>
          </w:tcPr>
          <w:p w14:paraId="20AE0018" w14:textId="77777777" w:rsidR="00B626E7" w:rsidRDefault="00B626E7">
            <w:pPr>
              <w:rPr>
                <w:rFonts w:ascii="宋体"/>
              </w:rPr>
            </w:pPr>
          </w:p>
        </w:tc>
        <w:tc>
          <w:tcPr>
            <w:tcW w:w="0" w:type="auto"/>
            <w:shd w:val="clear" w:color="auto" w:fill="auto"/>
          </w:tcPr>
          <w:p w14:paraId="20AE0019" w14:textId="77777777" w:rsidR="00B626E7" w:rsidRDefault="00B626E7">
            <w:pPr>
              <w:rPr>
                <w:rFonts w:ascii="宋体"/>
              </w:rPr>
            </w:pPr>
          </w:p>
        </w:tc>
        <w:tc>
          <w:tcPr>
            <w:tcW w:w="0" w:type="auto"/>
            <w:shd w:val="clear" w:color="auto" w:fill="auto"/>
          </w:tcPr>
          <w:p w14:paraId="20AE001A" w14:textId="77777777" w:rsidR="00B626E7" w:rsidRDefault="00B626E7">
            <w:pPr>
              <w:rPr>
                <w:rFonts w:ascii="宋体"/>
              </w:rPr>
            </w:pPr>
          </w:p>
        </w:tc>
      </w:tr>
      <w:tr w:rsidR="00B626E7" w14:paraId="20AE0029" w14:textId="77777777">
        <w:trPr>
          <w:jc w:val="center"/>
        </w:trPr>
        <w:tc>
          <w:tcPr>
            <w:tcW w:w="0" w:type="auto"/>
            <w:gridSpan w:val="3"/>
            <w:shd w:val="clear" w:color="auto" w:fill="auto"/>
            <w:tcMar>
              <w:top w:w="40" w:type="dxa"/>
              <w:left w:w="195" w:type="dxa"/>
              <w:bottom w:w="40" w:type="dxa"/>
              <w:right w:w="20" w:type="dxa"/>
            </w:tcMar>
          </w:tcPr>
          <w:p w14:paraId="20AE001C" w14:textId="77777777" w:rsidR="00B626E7" w:rsidRDefault="00175C1D">
            <w:pPr>
              <w:textAlignment w:val="top"/>
            </w:pPr>
            <w:r>
              <w:rPr>
                <w:rFonts w:ascii="Arial" w:eastAsia="宋体" w:hAnsi="Arial" w:cs="Arial"/>
                <w:color w:val="333333"/>
                <w:sz w:val="18"/>
                <w:szCs w:val="18"/>
              </w:rPr>
              <w:t>Sales of equity investments</w:t>
            </w:r>
          </w:p>
        </w:tc>
        <w:tc>
          <w:tcPr>
            <w:tcW w:w="0" w:type="auto"/>
            <w:gridSpan w:val="3"/>
            <w:shd w:val="clear" w:color="auto" w:fill="auto"/>
            <w:tcMar>
              <w:left w:w="20" w:type="dxa"/>
              <w:right w:w="20" w:type="dxa"/>
            </w:tcMar>
            <w:vAlign w:val="bottom"/>
          </w:tcPr>
          <w:p w14:paraId="20AE001D"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01E" w14:textId="77777777" w:rsidR="00B626E7" w:rsidRDefault="00175C1D">
            <w:pPr>
              <w:jc w:val="right"/>
              <w:textAlignment w:val="bottom"/>
            </w:pPr>
            <w:r>
              <w:rPr>
                <w:rFonts w:ascii="Arial" w:eastAsia="宋体" w:hAnsi="Arial" w:cs="Arial"/>
                <w:color w:val="0071C5"/>
                <w:sz w:val="18"/>
                <w:szCs w:val="18"/>
              </w:rPr>
              <w:t>186 </w:t>
            </w:r>
          </w:p>
        </w:tc>
        <w:tc>
          <w:tcPr>
            <w:tcW w:w="0" w:type="auto"/>
            <w:shd w:val="clear" w:color="auto" w:fill="auto"/>
            <w:tcMar>
              <w:top w:w="40" w:type="dxa"/>
              <w:bottom w:w="40" w:type="dxa"/>
              <w:right w:w="20" w:type="dxa"/>
            </w:tcMar>
            <w:vAlign w:val="bottom"/>
          </w:tcPr>
          <w:p w14:paraId="20AE001F"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020"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021" w14:textId="77777777" w:rsidR="00B626E7" w:rsidRDefault="00175C1D">
            <w:pPr>
              <w:jc w:val="right"/>
              <w:textAlignment w:val="bottom"/>
            </w:pPr>
            <w:r>
              <w:rPr>
                <w:rFonts w:ascii="Arial" w:eastAsia="宋体" w:hAnsi="Arial" w:cs="Arial"/>
                <w:color w:val="333333"/>
                <w:sz w:val="18"/>
                <w:szCs w:val="18"/>
              </w:rPr>
              <w:t>1,331 </w:t>
            </w:r>
          </w:p>
        </w:tc>
        <w:tc>
          <w:tcPr>
            <w:tcW w:w="0" w:type="auto"/>
            <w:shd w:val="clear" w:color="auto" w:fill="auto"/>
            <w:tcMar>
              <w:top w:w="40" w:type="dxa"/>
              <w:bottom w:w="40" w:type="dxa"/>
              <w:right w:w="20" w:type="dxa"/>
            </w:tcMar>
            <w:vAlign w:val="bottom"/>
          </w:tcPr>
          <w:p w14:paraId="20AE0022"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0023" w14:textId="77777777" w:rsidR="00B626E7" w:rsidRDefault="00B626E7">
            <w:pPr>
              <w:rPr>
                <w:rFonts w:ascii="宋体"/>
              </w:rPr>
            </w:pPr>
          </w:p>
        </w:tc>
        <w:tc>
          <w:tcPr>
            <w:tcW w:w="0" w:type="auto"/>
            <w:shd w:val="clear" w:color="auto" w:fill="auto"/>
          </w:tcPr>
          <w:p w14:paraId="20AE0024" w14:textId="77777777" w:rsidR="00B626E7" w:rsidRDefault="00B626E7">
            <w:pPr>
              <w:rPr>
                <w:rFonts w:ascii="宋体"/>
              </w:rPr>
            </w:pPr>
          </w:p>
        </w:tc>
        <w:tc>
          <w:tcPr>
            <w:tcW w:w="0" w:type="auto"/>
            <w:shd w:val="clear" w:color="auto" w:fill="auto"/>
          </w:tcPr>
          <w:p w14:paraId="20AE0025" w14:textId="77777777" w:rsidR="00B626E7" w:rsidRDefault="00B626E7">
            <w:pPr>
              <w:rPr>
                <w:rFonts w:ascii="宋体"/>
              </w:rPr>
            </w:pPr>
          </w:p>
        </w:tc>
        <w:tc>
          <w:tcPr>
            <w:tcW w:w="0" w:type="auto"/>
            <w:shd w:val="clear" w:color="auto" w:fill="auto"/>
          </w:tcPr>
          <w:p w14:paraId="20AE0026" w14:textId="77777777" w:rsidR="00B626E7" w:rsidRDefault="00B626E7">
            <w:pPr>
              <w:rPr>
                <w:rFonts w:ascii="宋体"/>
              </w:rPr>
            </w:pPr>
          </w:p>
        </w:tc>
        <w:tc>
          <w:tcPr>
            <w:tcW w:w="0" w:type="auto"/>
            <w:shd w:val="clear" w:color="auto" w:fill="auto"/>
          </w:tcPr>
          <w:p w14:paraId="20AE0027" w14:textId="77777777" w:rsidR="00B626E7" w:rsidRDefault="00B626E7">
            <w:pPr>
              <w:rPr>
                <w:rFonts w:ascii="宋体"/>
              </w:rPr>
            </w:pPr>
          </w:p>
        </w:tc>
        <w:tc>
          <w:tcPr>
            <w:tcW w:w="0" w:type="auto"/>
            <w:shd w:val="clear" w:color="auto" w:fill="auto"/>
          </w:tcPr>
          <w:p w14:paraId="20AE0028" w14:textId="77777777" w:rsidR="00B626E7" w:rsidRDefault="00B626E7">
            <w:pPr>
              <w:rPr>
                <w:rFonts w:ascii="宋体"/>
              </w:rPr>
            </w:pPr>
          </w:p>
        </w:tc>
      </w:tr>
      <w:tr w:rsidR="00B626E7" w14:paraId="20AE0035" w14:textId="77777777">
        <w:trPr>
          <w:jc w:val="center"/>
          <w:hidden/>
        </w:trPr>
        <w:tc>
          <w:tcPr>
            <w:tcW w:w="0" w:type="auto"/>
            <w:gridSpan w:val="3"/>
            <w:shd w:val="clear" w:color="auto" w:fill="auto"/>
          </w:tcPr>
          <w:p w14:paraId="20AE002A" w14:textId="77777777" w:rsidR="00B626E7" w:rsidRDefault="00B626E7">
            <w:pPr>
              <w:rPr>
                <w:rFonts w:ascii="宋体"/>
                <w:vanish/>
              </w:rPr>
            </w:pPr>
          </w:p>
        </w:tc>
        <w:tc>
          <w:tcPr>
            <w:tcW w:w="0" w:type="auto"/>
            <w:gridSpan w:val="3"/>
            <w:shd w:val="clear" w:color="auto" w:fill="auto"/>
          </w:tcPr>
          <w:p w14:paraId="20AE002B" w14:textId="77777777" w:rsidR="00B626E7" w:rsidRDefault="00B626E7">
            <w:pPr>
              <w:rPr>
                <w:rFonts w:ascii="宋体"/>
                <w:vanish/>
              </w:rPr>
            </w:pPr>
          </w:p>
        </w:tc>
        <w:tc>
          <w:tcPr>
            <w:tcW w:w="0" w:type="auto"/>
            <w:gridSpan w:val="3"/>
            <w:shd w:val="clear" w:color="auto" w:fill="auto"/>
          </w:tcPr>
          <w:p w14:paraId="20AE002C" w14:textId="77777777" w:rsidR="00B626E7" w:rsidRDefault="00B626E7">
            <w:pPr>
              <w:rPr>
                <w:rFonts w:ascii="宋体"/>
                <w:vanish/>
              </w:rPr>
            </w:pPr>
          </w:p>
        </w:tc>
        <w:tc>
          <w:tcPr>
            <w:tcW w:w="0" w:type="auto"/>
            <w:gridSpan w:val="3"/>
            <w:shd w:val="clear" w:color="auto" w:fill="auto"/>
          </w:tcPr>
          <w:p w14:paraId="20AE002D" w14:textId="77777777" w:rsidR="00B626E7" w:rsidRDefault="00B626E7">
            <w:pPr>
              <w:rPr>
                <w:rFonts w:ascii="宋体"/>
                <w:vanish/>
              </w:rPr>
            </w:pPr>
          </w:p>
        </w:tc>
        <w:tc>
          <w:tcPr>
            <w:tcW w:w="0" w:type="auto"/>
            <w:gridSpan w:val="3"/>
            <w:shd w:val="clear" w:color="auto" w:fill="auto"/>
          </w:tcPr>
          <w:p w14:paraId="20AE002E" w14:textId="77777777" w:rsidR="00B626E7" w:rsidRDefault="00B626E7">
            <w:pPr>
              <w:rPr>
                <w:rFonts w:ascii="宋体"/>
                <w:vanish/>
              </w:rPr>
            </w:pPr>
          </w:p>
        </w:tc>
        <w:tc>
          <w:tcPr>
            <w:tcW w:w="0" w:type="auto"/>
            <w:shd w:val="clear" w:color="auto" w:fill="auto"/>
          </w:tcPr>
          <w:p w14:paraId="20AE002F" w14:textId="77777777" w:rsidR="00B626E7" w:rsidRDefault="00B626E7">
            <w:pPr>
              <w:rPr>
                <w:rFonts w:ascii="宋体"/>
              </w:rPr>
            </w:pPr>
          </w:p>
        </w:tc>
        <w:tc>
          <w:tcPr>
            <w:tcW w:w="0" w:type="auto"/>
            <w:shd w:val="clear" w:color="auto" w:fill="auto"/>
          </w:tcPr>
          <w:p w14:paraId="20AE0030" w14:textId="77777777" w:rsidR="00B626E7" w:rsidRDefault="00B626E7">
            <w:pPr>
              <w:rPr>
                <w:rFonts w:ascii="宋体"/>
              </w:rPr>
            </w:pPr>
          </w:p>
        </w:tc>
        <w:tc>
          <w:tcPr>
            <w:tcW w:w="0" w:type="auto"/>
            <w:shd w:val="clear" w:color="auto" w:fill="auto"/>
          </w:tcPr>
          <w:p w14:paraId="20AE0031" w14:textId="77777777" w:rsidR="00B626E7" w:rsidRDefault="00B626E7">
            <w:pPr>
              <w:rPr>
                <w:rFonts w:ascii="宋体"/>
              </w:rPr>
            </w:pPr>
          </w:p>
        </w:tc>
        <w:tc>
          <w:tcPr>
            <w:tcW w:w="0" w:type="auto"/>
            <w:shd w:val="clear" w:color="auto" w:fill="auto"/>
          </w:tcPr>
          <w:p w14:paraId="20AE0032" w14:textId="77777777" w:rsidR="00B626E7" w:rsidRDefault="00B626E7">
            <w:pPr>
              <w:rPr>
                <w:rFonts w:ascii="宋体"/>
              </w:rPr>
            </w:pPr>
          </w:p>
        </w:tc>
        <w:tc>
          <w:tcPr>
            <w:tcW w:w="0" w:type="auto"/>
            <w:shd w:val="clear" w:color="auto" w:fill="auto"/>
          </w:tcPr>
          <w:p w14:paraId="20AE0033" w14:textId="77777777" w:rsidR="00B626E7" w:rsidRDefault="00B626E7">
            <w:pPr>
              <w:rPr>
                <w:rFonts w:ascii="宋体"/>
              </w:rPr>
            </w:pPr>
          </w:p>
        </w:tc>
        <w:tc>
          <w:tcPr>
            <w:tcW w:w="0" w:type="auto"/>
            <w:shd w:val="clear" w:color="auto" w:fill="auto"/>
          </w:tcPr>
          <w:p w14:paraId="20AE0034" w14:textId="77777777" w:rsidR="00B626E7" w:rsidRDefault="00B626E7">
            <w:pPr>
              <w:rPr>
                <w:rFonts w:ascii="宋体"/>
              </w:rPr>
            </w:pPr>
          </w:p>
        </w:tc>
      </w:tr>
      <w:tr w:rsidR="00B626E7" w14:paraId="20AE0041" w14:textId="77777777">
        <w:trPr>
          <w:jc w:val="center"/>
          <w:hidden/>
        </w:trPr>
        <w:tc>
          <w:tcPr>
            <w:tcW w:w="0" w:type="auto"/>
            <w:gridSpan w:val="3"/>
            <w:shd w:val="clear" w:color="auto" w:fill="auto"/>
          </w:tcPr>
          <w:p w14:paraId="20AE0036" w14:textId="77777777" w:rsidR="00B626E7" w:rsidRDefault="00B626E7">
            <w:pPr>
              <w:rPr>
                <w:rFonts w:ascii="宋体"/>
                <w:vanish/>
              </w:rPr>
            </w:pPr>
          </w:p>
        </w:tc>
        <w:tc>
          <w:tcPr>
            <w:tcW w:w="0" w:type="auto"/>
            <w:gridSpan w:val="3"/>
            <w:shd w:val="clear" w:color="auto" w:fill="auto"/>
          </w:tcPr>
          <w:p w14:paraId="20AE0037" w14:textId="77777777" w:rsidR="00B626E7" w:rsidRDefault="00B626E7">
            <w:pPr>
              <w:rPr>
                <w:rFonts w:ascii="宋体"/>
                <w:vanish/>
              </w:rPr>
            </w:pPr>
          </w:p>
        </w:tc>
        <w:tc>
          <w:tcPr>
            <w:tcW w:w="0" w:type="auto"/>
            <w:gridSpan w:val="3"/>
            <w:shd w:val="clear" w:color="auto" w:fill="auto"/>
          </w:tcPr>
          <w:p w14:paraId="20AE0038" w14:textId="77777777" w:rsidR="00B626E7" w:rsidRDefault="00B626E7">
            <w:pPr>
              <w:rPr>
                <w:rFonts w:ascii="宋体"/>
                <w:vanish/>
              </w:rPr>
            </w:pPr>
          </w:p>
        </w:tc>
        <w:tc>
          <w:tcPr>
            <w:tcW w:w="0" w:type="auto"/>
            <w:gridSpan w:val="3"/>
            <w:shd w:val="clear" w:color="auto" w:fill="auto"/>
          </w:tcPr>
          <w:p w14:paraId="20AE0039" w14:textId="77777777" w:rsidR="00B626E7" w:rsidRDefault="00B626E7">
            <w:pPr>
              <w:rPr>
                <w:rFonts w:ascii="宋体"/>
                <w:vanish/>
              </w:rPr>
            </w:pPr>
          </w:p>
        </w:tc>
        <w:tc>
          <w:tcPr>
            <w:tcW w:w="0" w:type="auto"/>
            <w:gridSpan w:val="3"/>
            <w:shd w:val="clear" w:color="auto" w:fill="auto"/>
          </w:tcPr>
          <w:p w14:paraId="20AE003A" w14:textId="77777777" w:rsidR="00B626E7" w:rsidRDefault="00B626E7">
            <w:pPr>
              <w:rPr>
                <w:rFonts w:ascii="宋体"/>
                <w:vanish/>
              </w:rPr>
            </w:pPr>
          </w:p>
        </w:tc>
        <w:tc>
          <w:tcPr>
            <w:tcW w:w="0" w:type="auto"/>
            <w:shd w:val="clear" w:color="auto" w:fill="auto"/>
          </w:tcPr>
          <w:p w14:paraId="20AE003B" w14:textId="77777777" w:rsidR="00B626E7" w:rsidRDefault="00B626E7">
            <w:pPr>
              <w:rPr>
                <w:rFonts w:ascii="宋体"/>
              </w:rPr>
            </w:pPr>
          </w:p>
        </w:tc>
        <w:tc>
          <w:tcPr>
            <w:tcW w:w="0" w:type="auto"/>
            <w:shd w:val="clear" w:color="auto" w:fill="auto"/>
          </w:tcPr>
          <w:p w14:paraId="20AE003C" w14:textId="77777777" w:rsidR="00B626E7" w:rsidRDefault="00B626E7">
            <w:pPr>
              <w:rPr>
                <w:rFonts w:ascii="宋体"/>
              </w:rPr>
            </w:pPr>
          </w:p>
        </w:tc>
        <w:tc>
          <w:tcPr>
            <w:tcW w:w="0" w:type="auto"/>
            <w:shd w:val="clear" w:color="auto" w:fill="auto"/>
          </w:tcPr>
          <w:p w14:paraId="20AE003D" w14:textId="77777777" w:rsidR="00B626E7" w:rsidRDefault="00B626E7">
            <w:pPr>
              <w:rPr>
                <w:rFonts w:ascii="宋体"/>
              </w:rPr>
            </w:pPr>
          </w:p>
        </w:tc>
        <w:tc>
          <w:tcPr>
            <w:tcW w:w="0" w:type="auto"/>
            <w:shd w:val="clear" w:color="auto" w:fill="auto"/>
          </w:tcPr>
          <w:p w14:paraId="20AE003E" w14:textId="77777777" w:rsidR="00B626E7" w:rsidRDefault="00B626E7">
            <w:pPr>
              <w:rPr>
                <w:rFonts w:ascii="宋体"/>
              </w:rPr>
            </w:pPr>
          </w:p>
        </w:tc>
        <w:tc>
          <w:tcPr>
            <w:tcW w:w="0" w:type="auto"/>
            <w:shd w:val="clear" w:color="auto" w:fill="auto"/>
          </w:tcPr>
          <w:p w14:paraId="20AE003F" w14:textId="77777777" w:rsidR="00B626E7" w:rsidRDefault="00B626E7">
            <w:pPr>
              <w:rPr>
                <w:rFonts w:ascii="宋体"/>
              </w:rPr>
            </w:pPr>
          </w:p>
        </w:tc>
        <w:tc>
          <w:tcPr>
            <w:tcW w:w="0" w:type="auto"/>
            <w:shd w:val="clear" w:color="auto" w:fill="auto"/>
          </w:tcPr>
          <w:p w14:paraId="20AE0040" w14:textId="77777777" w:rsidR="00B626E7" w:rsidRDefault="00B626E7">
            <w:pPr>
              <w:rPr>
                <w:rFonts w:ascii="宋体"/>
              </w:rPr>
            </w:pPr>
          </w:p>
        </w:tc>
      </w:tr>
      <w:tr w:rsidR="00B626E7" w14:paraId="20AE004D" w14:textId="77777777">
        <w:trPr>
          <w:jc w:val="center"/>
          <w:hidden/>
        </w:trPr>
        <w:tc>
          <w:tcPr>
            <w:tcW w:w="0" w:type="auto"/>
            <w:gridSpan w:val="3"/>
            <w:shd w:val="clear" w:color="auto" w:fill="auto"/>
          </w:tcPr>
          <w:p w14:paraId="20AE0042" w14:textId="77777777" w:rsidR="00B626E7" w:rsidRDefault="00B626E7">
            <w:pPr>
              <w:rPr>
                <w:rFonts w:ascii="宋体"/>
                <w:vanish/>
              </w:rPr>
            </w:pPr>
          </w:p>
        </w:tc>
        <w:tc>
          <w:tcPr>
            <w:tcW w:w="0" w:type="auto"/>
            <w:gridSpan w:val="3"/>
            <w:shd w:val="clear" w:color="auto" w:fill="auto"/>
          </w:tcPr>
          <w:p w14:paraId="20AE0043" w14:textId="77777777" w:rsidR="00B626E7" w:rsidRDefault="00B626E7">
            <w:pPr>
              <w:rPr>
                <w:rFonts w:ascii="宋体"/>
                <w:vanish/>
              </w:rPr>
            </w:pPr>
          </w:p>
        </w:tc>
        <w:tc>
          <w:tcPr>
            <w:tcW w:w="0" w:type="auto"/>
            <w:gridSpan w:val="3"/>
            <w:shd w:val="clear" w:color="auto" w:fill="auto"/>
          </w:tcPr>
          <w:p w14:paraId="20AE0044" w14:textId="77777777" w:rsidR="00B626E7" w:rsidRDefault="00B626E7">
            <w:pPr>
              <w:rPr>
                <w:rFonts w:ascii="宋体"/>
                <w:vanish/>
              </w:rPr>
            </w:pPr>
          </w:p>
        </w:tc>
        <w:tc>
          <w:tcPr>
            <w:tcW w:w="0" w:type="auto"/>
            <w:gridSpan w:val="3"/>
            <w:shd w:val="clear" w:color="auto" w:fill="auto"/>
          </w:tcPr>
          <w:p w14:paraId="20AE0045" w14:textId="77777777" w:rsidR="00B626E7" w:rsidRDefault="00B626E7">
            <w:pPr>
              <w:rPr>
                <w:rFonts w:ascii="宋体"/>
                <w:vanish/>
              </w:rPr>
            </w:pPr>
          </w:p>
        </w:tc>
        <w:tc>
          <w:tcPr>
            <w:tcW w:w="0" w:type="auto"/>
            <w:gridSpan w:val="3"/>
            <w:shd w:val="clear" w:color="auto" w:fill="auto"/>
          </w:tcPr>
          <w:p w14:paraId="20AE0046" w14:textId="77777777" w:rsidR="00B626E7" w:rsidRDefault="00B626E7">
            <w:pPr>
              <w:rPr>
                <w:rFonts w:ascii="宋体"/>
                <w:vanish/>
              </w:rPr>
            </w:pPr>
          </w:p>
        </w:tc>
        <w:tc>
          <w:tcPr>
            <w:tcW w:w="0" w:type="auto"/>
            <w:shd w:val="clear" w:color="auto" w:fill="auto"/>
          </w:tcPr>
          <w:p w14:paraId="20AE0047" w14:textId="77777777" w:rsidR="00B626E7" w:rsidRDefault="00B626E7">
            <w:pPr>
              <w:rPr>
                <w:rFonts w:ascii="宋体"/>
              </w:rPr>
            </w:pPr>
          </w:p>
        </w:tc>
        <w:tc>
          <w:tcPr>
            <w:tcW w:w="0" w:type="auto"/>
            <w:shd w:val="clear" w:color="auto" w:fill="auto"/>
          </w:tcPr>
          <w:p w14:paraId="20AE0048" w14:textId="77777777" w:rsidR="00B626E7" w:rsidRDefault="00B626E7">
            <w:pPr>
              <w:rPr>
                <w:rFonts w:ascii="宋体"/>
              </w:rPr>
            </w:pPr>
          </w:p>
        </w:tc>
        <w:tc>
          <w:tcPr>
            <w:tcW w:w="0" w:type="auto"/>
            <w:shd w:val="clear" w:color="auto" w:fill="auto"/>
          </w:tcPr>
          <w:p w14:paraId="20AE0049" w14:textId="77777777" w:rsidR="00B626E7" w:rsidRDefault="00B626E7">
            <w:pPr>
              <w:rPr>
                <w:rFonts w:ascii="宋体"/>
              </w:rPr>
            </w:pPr>
          </w:p>
        </w:tc>
        <w:tc>
          <w:tcPr>
            <w:tcW w:w="0" w:type="auto"/>
            <w:shd w:val="clear" w:color="auto" w:fill="auto"/>
          </w:tcPr>
          <w:p w14:paraId="20AE004A" w14:textId="77777777" w:rsidR="00B626E7" w:rsidRDefault="00B626E7">
            <w:pPr>
              <w:rPr>
                <w:rFonts w:ascii="宋体"/>
              </w:rPr>
            </w:pPr>
          </w:p>
        </w:tc>
        <w:tc>
          <w:tcPr>
            <w:tcW w:w="0" w:type="auto"/>
            <w:shd w:val="clear" w:color="auto" w:fill="auto"/>
          </w:tcPr>
          <w:p w14:paraId="20AE004B" w14:textId="77777777" w:rsidR="00B626E7" w:rsidRDefault="00B626E7">
            <w:pPr>
              <w:rPr>
                <w:rFonts w:ascii="宋体"/>
              </w:rPr>
            </w:pPr>
          </w:p>
        </w:tc>
        <w:tc>
          <w:tcPr>
            <w:tcW w:w="0" w:type="auto"/>
            <w:shd w:val="clear" w:color="auto" w:fill="auto"/>
          </w:tcPr>
          <w:p w14:paraId="20AE004C" w14:textId="77777777" w:rsidR="00B626E7" w:rsidRDefault="00B626E7">
            <w:pPr>
              <w:rPr>
                <w:rFonts w:ascii="宋体"/>
              </w:rPr>
            </w:pPr>
          </w:p>
        </w:tc>
      </w:tr>
      <w:tr w:rsidR="00B626E7" w14:paraId="20AE005B" w14:textId="77777777">
        <w:trPr>
          <w:jc w:val="center"/>
        </w:trPr>
        <w:tc>
          <w:tcPr>
            <w:tcW w:w="0" w:type="auto"/>
            <w:gridSpan w:val="3"/>
            <w:shd w:val="clear" w:color="auto" w:fill="auto"/>
            <w:tcMar>
              <w:top w:w="40" w:type="dxa"/>
              <w:left w:w="195" w:type="dxa"/>
              <w:bottom w:w="40" w:type="dxa"/>
              <w:right w:w="20" w:type="dxa"/>
            </w:tcMar>
          </w:tcPr>
          <w:p w14:paraId="20AE004E" w14:textId="77777777" w:rsidR="00B626E7" w:rsidRDefault="00175C1D">
            <w:pPr>
              <w:textAlignment w:val="top"/>
            </w:pPr>
            <w:r>
              <w:rPr>
                <w:rFonts w:ascii="Arial" w:eastAsia="宋体" w:hAnsi="Arial" w:cs="Arial"/>
                <w:color w:val="333333"/>
                <w:sz w:val="18"/>
                <w:szCs w:val="18"/>
              </w:rPr>
              <w:t>Other investing</w:t>
            </w:r>
          </w:p>
        </w:tc>
        <w:tc>
          <w:tcPr>
            <w:tcW w:w="0" w:type="auto"/>
            <w:gridSpan w:val="3"/>
            <w:shd w:val="clear" w:color="auto" w:fill="auto"/>
            <w:tcMar>
              <w:left w:w="20" w:type="dxa"/>
              <w:right w:w="20" w:type="dxa"/>
            </w:tcMar>
            <w:vAlign w:val="bottom"/>
          </w:tcPr>
          <w:p w14:paraId="20AE004F"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050" w14:textId="77777777" w:rsidR="00B626E7" w:rsidRDefault="00175C1D">
            <w:pPr>
              <w:jc w:val="right"/>
              <w:textAlignment w:val="bottom"/>
            </w:pPr>
            <w:r>
              <w:rPr>
                <w:rFonts w:ascii="Arial" w:eastAsia="宋体" w:hAnsi="Arial" w:cs="Arial"/>
                <w:color w:val="0071C5"/>
                <w:sz w:val="18"/>
                <w:szCs w:val="18"/>
              </w:rPr>
              <w:t>(602)</w:t>
            </w:r>
          </w:p>
        </w:tc>
        <w:tc>
          <w:tcPr>
            <w:tcW w:w="0" w:type="auto"/>
            <w:shd w:val="clear" w:color="auto" w:fill="auto"/>
            <w:tcMar>
              <w:top w:w="40" w:type="dxa"/>
              <w:bottom w:w="40" w:type="dxa"/>
              <w:right w:w="20" w:type="dxa"/>
            </w:tcMar>
            <w:vAlign w:val="bottom"/>
          </w:tcPr>
          <w:p w14:paraId="20AE0051"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052"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053" w14:textId="77777777" w:rsidR="00B626E7" w:rsidRDefault="00175C1D">
            <w:pPr>
              <w:jc w:val="right"/>
              <w:textAlignment w:val="bottom"/>
            </w:pPr>
            <w:r>
              <w:rPr>
                <w:rFonts w:ascii="Arial" w:eastAsia="宋体" w:hAnsi="Arial" w:cs="Arial"/>
                <w:color w:val="333333"/>
                <w:sz w:val="18"/>
                <w:szCs w:val="18"/>
              </w:rPr>
              <w:t>(86)</w:t>
            </w:r>
          </w:p>
        </w:tc>
        <w:tc>
          <w:tcPr>
            <w:tcW w:w="0" w:type="auto"/>
            <w:shd w:val="clear" w:color="auto" w:fill="auto"/>
            <w:tcMar>
              <w:top w:w="40" w:type="dxa"/>
              <w:bottom w:w="40" w:type="dxa"/>
              <w:right w:w="20" w:type="dxa"/>
            </w:tcMar>
            <w:vAlign w:val="bottom"/>
          </w:tcPr>
          <w:p w14:paraId="20AE0054"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0055" w14:textId="77777777" w:rsidR="00B626E7" w:rsidRDefault="00B626E7">
            <w:pPr>
              <w:rPr>
                <w:rFonts w:ascii="宋体"/>
              </w:rPr>
            </w:pPr>
          </w:p>
        </w:tc>
        <w:tc>
          <w:tcPr>
            <w:tcW w:w="0" w:type="auto"/>
            <w:shd w:val="clear" w:color="auto" w:fill="auto"/>
          </w:tcPr>
          <w:p w14:paraId="20AE0056" w14:textId="77777777" w:rsidR="00B626E7" w:rsidRDefault="00B626E7">
            <w:pPr>
              <w:rPr>
                <w:rFonts w:ascii="宋体"/>
              </w:rPr>
            </w:pPr>
          </w:p>
        </w:tc>
        <w:tc>
          <w:tcPr>
            <w:tcW w:w="0" w:type="auto"/>
            <w:shd w:val="clear" w:color="auto" w:fill="auto"/>
          </w:tcPr>
          <w:p w14:paraId="20AE0057" w14:textId="77777777" w:rsidR="00B626E7" w:rsidRDefault="00B626E7">
            <w:pPr>
              <w:rPr>
                <w:rFonts w:ascii="宋体"/>
              </w:rPr>
            </w:pPr>
          </w:p>
        </w:tc>
        <w:tc>
          <w:tcPr>
            <w:tcW w:w="0" w:type="auto"/>
            <w:shd w:val="clear" w:color="auto" w:fill="auto"/>
          </w:tcPr>
          <w:p w14:paraId="20AE0058" w14:textId="77777777" w:rsidR="00B626E7" w:rsidRDefault="00B626E7">
            <w:pPr>
              <w:rPr>
                <w:rFonts w:ascii="宋体"/>
              </w:rPr>
            </w:pPr>
          </w:p>
        </w:tc>
        <w:tc>
          <w:tcPr>
            <w:tcW w:w="0" w:type="auto"/>
            <w:shd w:val="clear" w:color="auto" w:fill="auto"/>
          </w:tcPr>
          <w:p w14:paraId="20AE0059" w14:textId="77777777" w:rsidR="00B626E7" w:rsidRDefault="00B626E7">
            <w:pPr>
              <w:rPr>
                <w:rFonts w:ascii="宋体"/>
              </w:rPr>
            </w:pPr>
          </w:p>
        </w:tc>
        <w:tc>
          <w:tcPr>
            <w:tcW w:w="0" w:type="auto"/>
            <w:shd w:val="clear" w:color="auto" w:fill="auto"/>
          </w:tcPr>
          <w:p w14:paraId="20AE005A" w14:textId="77777777" w:rsidR="00B626E7" w:rsidRDefault="00B626E7">
            <w:pPr>
              <w:rPr>
                <w:rFonts w:ascii="宋体"/>
              </w:rPr>
            </w:pPr>
          </w:p>
        </w:tc>
      </w:tr>
      <w:tr w:rsidR="00B626E7" w14:paraId="20AE0069" w14:textId="77777777">
        <w:trPr>
          <w:jc w:val="center"/>
        </w:trPr>
        <w:tc>
          <w:tcPr>
            <w:tcW w:w="0" w:type="auto"/>
            <w:gridSpan w:val="3"/>
            <w:shd w:val="clear" w:color="auto" w:fill="auto"/>
            <w:tcMar>
              <w:top w:w="40" w:type="dxa"/>
              <w:left w:w="20" w:type="dxa"/>
              <w:bottom w:w="40" w:type="dxa"/>
              <w:right w:w="20" w:type="dxa"/>
            </w:tcMar>
          </w:tcPr>
          <w:p w14:paraId="20AE005C" w14:textId="77777777" w:rsidR="00B626E7" w:rsidRDefault="00175C1D">
            <w:pPr>
              <w:textAlignment w:val="top"/>
            </w:pPr>
            <w:r>
              <w:rPr>
                <w:rFonts w:ascii="Arial" w:eastAsia="宋体" w:hAnsi="Arial" w:cs="Arial"/>
                <w:b/>
                <w:bCs/>
                <w:color w:val="333333"/>
                <w:sz w:val="18"/>
                <w:szCs w:val="18"/>
              </w:rPr>
              <w:t xml:space="preserve">Net </w:t>
            </w:r>
            <w:r>
              <w:rPr>
                <w:rFonts w:ascii="Arial" w:eastAsia="宋体" w:hAnsi="Arial" w:cs="Arial"/>
                <w:b/>
                <w:bCs/>
                <w:color w:val="333333"/>
                <w:sz w:val="18"/>
                <w:szCs w:val="18"/>
              </w:rPr>
              <w:t>cash used for investing activities</w:t>
            </w:r>
          </w:p>
        </w:tc>
        <w:tc>
          <w:tcPr>
            <w:tcW w:w="0" w:type="auto"/>
            <w:gridSpan w:val="3"/>
            <w:shd w:val="clear" w:color="auto" w:fill="auto"/>
            <w:tcMar>
              <w:left w:w="20" w:type="dxa"/>
              <w:right w:w="20" w:type="dxa"/>
            </w:tcMar>
            <w:vAlign w:val="bottom"/>
          </w:tcPr>
          <w:p w14:paraId="20AE005D"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005E" w14:textId="77777777" w:rsidR="00B626E7" w:rsidRDefault="00175C1D">
            <w:pPr>
              <w:jc w:val="right"/>
              <w:textAlignment w:val="bottom"/>
            </w:pPr>
            <w:r>
              <w:rPr>
                <w:rFonts w:ascii="Arial" w:eastAsia="宋体" w:hAnsi="Arial" w:cs="Arial"/>
                <w:b/>
                <w:bCs/>
                <w:color w:val="0071C5"/>
                <w:sz w:val="18"/>
                <w:szCs w:val="18"/>
              </w:rPr>
              <w:t>(14,346)</w:t>
            </w:r>
          </w:p>
        </w:tc>
        <w:tc>
          <w:tcPr>
            <w:tcW w:w="0" w:type="auto"/>
            <w:tcBorders>
              <w:top w:val="single" w:sz="8" w:space="0" w:color="333333"/>
            </w:tcBorders>
            <w:shd w:val="clear" w:color="auto" w:fill="auto"/>
            <w:tcMar>
              <w:top w:w="40" w:type="dxa"/>
              <w:bottom w:w="40" w:type="dxa"/>
              <w:right w:w="20" w:type="dxa"/>
            </w:tcMar>
            <w:vAlign w:val="bottom"/>
          </w:tcPr>
          <w:p w14:paraId="20AE005F"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0060"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0061" w14:textId="77777777" w:rsidR="00B626E7" w:rsidRDefault="00175C1D">
            <w:pPr>
              <w:jc w:val="right"/>
              <w:textAlignment w:val="bottom"/>
            </w:pPr>
            <w:r>
              <w:rPr>
                <w:rFonts w:ascii="Arial" w:eastAsia="宋体" w:hAnsi="Arial" w:cs="Arial"/>
                <w:b/>
                <w:bCs/>
                <w:color w:val="333333"/>
                <w:sz w:val="18"/>
                <w:szCs w:val="18"/>
              </w:rPr>
              <w:t>(6,010)</w:t>
            </w:r>
          </w:p>
        </w:tc>
        <w:tc>
          <w:tcPr>
            <w:tcW w:w="0" w:type="auto"/>
            <w:tcBorders>
              <w:top w:val="single" w:sz="8" w:space="0" w:color="333333"/>
            </w:tcBorders>
            <w:shd w:val="clear" w:color="auto" w:fill="auto"/>
            <w:tcMar>
              <w:top w:w="40" w:type="dxa"/>
              <w:bottom w:w="40" w:type="dxa"/>
              <w:right w:w="20" w:type="dxa"/>
            </w:tcMar>
            <w:vAlign w:val="bottom"/>
          </w:tcPr>
          <w:p w14:paraId="20AE0062"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E0063" w14:textId="77777777" w:rsidR="00B626E7" w:rsidRDefault="00B626E7">
            <w:pPr>
              <w:rPr>
                <w:rFonts w:ascii="宋体"/>
              </w:rPr>
            </w:pPr>
          </w:p>
        </w:tc>
        <w:tc>
          <w:tcPr>
            <w:tcW w:w="0" w:type="auto"/>
            <w:shd w:val="clear" w:color="auto" w:fill="auto"/>
          </w:tcPr>
          <w:p w14:paraId="20AE0064" w14:textId="77777777" w:rsidR="00B626E7" w:rsidRDefault="00B626E7">
            <w:pPr>
              <w:rPr>
                <w:rFonts w:ascii="宋体"/>
              </w:rPr>
            </w:pPr>
          </w:p>
        </w:tc>
        <w:tc>
          <w:tcPr>
            <w:tcW w:w="0" w:type="auto"/>
            <w:shd w:val="clear" w:color="auto" w:fill="auto"/>
          </w:tcPr>
          <w:p w14:paraId="20AE0065" w14:textId="77777777" w:rsidR="00B626E7" w:rsidRDefault="00B626E7">
            <w:pPr>
              <w:rPr>
                <w:rFonts w:ascii="宋体"/>
              </w:rPr>
            </w:pPr>
          </w:p>
        </w:tc>
        <w:tc>
          <w:tcPr>
            <w:tcW w:w="0" w:type="auto"/>
            <w:shd w:val="clear" w:color="auto" w:fill="auto"/>
          </w:tcPr>
          <w:p w14:paraId="20AE0066" w14:textId="77777777" w:rsidR="00B626E7" w:rsidRDefault="00B626E7">
            <w:pPr>
              <w:rPr>
                <w:rFonts w:ascii="宋体"/>
              </w:rPr>
            </w:pPr>
          </w:p>
        </w:tc>
        <w:tc>
          <w:tcPr>
            <w:tcW w:w="0" w:type="auto"/>
            <w:shd w:val="clear" w:color="auto" w:fill="auto"/>
          </w:tcPr>
          <w:p w14:paraId="20AE0067" w14:textId="77777777" w:rsidR="00B626E7" w:rsidRDefault="00B626E7">
            <w:pPr>
              <w:rPr>
                <w:rFonts w:ascii="宋体"/>
              </w:rPr>
            </w:pPr>
          </w:p>
        </w:tc>
        <w:tc>
          <w:tcPr>
            <w:tcW w:w="0" w:type="auto"/>
            <w:shd w:val="clear" w:color="auto" w:fill="auto"/>
          </w:tcPr>
          <w:p w14:paraId="20AE0068" w14:textId="77777777" w:rsidR="00B626E7" w:rsidRDefault="00B626E7">
            <w:pPr>
              <w:rPr>
                <w:rFonts w:ascii="宋体"/>
              </w:rPr>
            </w:pPr>
          </w:p>
        </w:tc>
      </w:tr>
      <w:tr w:rsidR="00B626E7" w14:paraId="20AE0075" w14:textId="77777777">
        <w:trPr>
          <w:jc w:val="center"/>
        </w:trPr>
        <w:tc>
          <w:tcPr>
            <w:tcW w:w="0" w:type="auto"/>
            <w:gridSpan w:val="3"/>
            <w:shd w:val="clear" w:color="auto" w:fill="auto"/>
            <w:tcMar>
              <w:top w:w="40" w:type="dxa"/>
              <w:left w:w="20" w:type="dxa"/>
              <w:bottom w:w="40" w:type="dxa"/>
              <w:right w:w="20" w:type="dxa"/>
            </w:tcMar>
          </w:tcPr>
          <w:p w14:paraId="20AE006A" w14:textId="77777777" w:rsidR="00B626E7" w:rsidRDefault="00175C1D">
            <w:pPr>
              <w:textAlignment w:val="top"/>
            </w:pPr>
            <w:r>
              <w:rPr>
                <w:rFonts w:ascii="Arial" w:eastAsia="宋体" w:hAnsi="Arial" w:cs="Arial"/>
                <w:color w:val="333333"/>
                <w:sz w:val="18"/>
                <w:szCs w:val="18"/>
              </w:rPr>
              <w:t>Cash flows provided by (used for) financing activities:</w:t>
            </w:r>
          </w:p>
        </w:tc>
        <w:tc>
          <w:tcPr>
            <w:tcW w:w="0" w:type="auto"/>
            <w:gridSpan w:val="3"/>
            <w:shd w:val="clear" w:color="auto" w:fill="auto"/>
            <w:tcMar>
              <w:left w:w="20" w:type="dxa"/>
              <w:right w:w="20" w:type="dxa"/>
            </w:tcMar>
            <w:vAlign w:val="bottom"/>
          </w:tcPr>
          <w:p w14:paraId="20AE006B" w14:textId="77777777" w:rsidR="00B626E7" w:rsidRDefault="00B626E7">
            <w:pPr>
              <w:rPr>
                <w:rFonts w:ascii="宋体"/>
              </w:rPr>
            </w:pPr>
          </w:p>
        </w:tc>
        <w:tc>
          <w:tcPr>
            <w:tcW w:w="0" w:type="auto"/>
            <w:gridSpan w:val="3"/>
            <w:tcBorders>
              <w:top w:val="single" w:sz="8" w:space="0" w:color="333333"/>
            </w:tcBorders>
            <w:shd w:val="clear" w:color="auto" w:fill="auto"/>
            <w:tcMar>
              <w:left w:w="20" w:type="dxa"/>
              <w:right w:w="20" w:type="dxa"/>
            </w:tcMar>
            <w:vAlign w:val="bottom"/>
          </w:tcPr>
          <w:p w14:paraId="20AE006C"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06D" w14:textId="77777777" w:rsidR="00B626E7" w:rsidRDefault="00B626E7">
            <w:pPr>
              <w:rPr>
                <w:rFonts w:ascii="宋体"/>
              </w:rPr>
            </w:pPr>
          </w:p>
        </w:tc>
        <w:tc>
          <w:tcPr>
            <w:tcW w:w="0" w:type="auto"/>
            <w:gridSpan w:val="3"/>
            <w:tcBorders>
              <w:top w:val="single" w:sz="8" w:space="0" w:color="333333"/>
            </w:tcBorders>
            <w:shd w:val="clear" w:color="auto" w:fill="auto"/>
            <w:tcMar>
              <w:left w:w="20" w:type="dxa"/>
              <w:right w:w="20" w:type="dxa"/>
            </w:tcMar>
            <w:vAlign w:val="bottom"/>
          </w:tcPr>
          <w:p w14:paraId="20AE006E" w14:textId="77777777" w:rsidR="00B626E7" w:rsidRDefault="00B626E7">
            <w:pPr>
              <w:rPr>
                <w:rFonts w:ascii="宋体"/>
              </w:rPr>
            </w:pPr>
          </w:p>
        </w:tc>
        <w:tc>
          <w:tcPr>
            <w:tcW w:w="0" w:type="auto"/>
            <w:shd w:val="clear" w:color="auto" w:fill="auto"/>
          </w:tcPr>
          <w:p w14:paraId="20AE006F" w14:textId="77777777" w:rsidR="00B626E7" w:rsidRDefault="00B626E7">
            <w:pPr>
              <w:rPr>
                <w:rFonts w:ascii="宋体"/>
              </w:rPr>
            </w:pPr>
          </w:p>
        </w:tc>
        <w:tc>
          <w:tcPr>
            <w:tcW w:w="0" w:type="auto"/>
            <w:shd w:val="clear" w:color="auto" w:fill="auto"/>
          </w:tcPr>
          <w:p w14:paraId="20AE0070" w14:textId="77777777" w:rsidR="00B626E7" w:rsidRDefault="00B626E7">
            <w:pPr>
              <w:rPr>
                <w:rFonts w:ascii="宋体"/>
              </w:rPr>
            </w:pPr>
          </w:p>
        </w:tc>
        <w:tc>
          <w:tcPr>
            <w:tcW w:w="0" w:type="auto"/>
            <w:shd w:val="clear" w:color="auto" w:fill="auto"/>
          </w:tcPr>
          <w:p w14:paraId="20AE0071" w14:textId="77777777" w:rsidR="00B626E7" w:rsidRDefault="00B626E7">
            <w:pPr>
              <w:rPr>
                <w:rFonts w:ascii="宋体"/>
              </w:rPr>
            </w:pPr>
          </w:p>
        </w:tc>
        <w:tc>
          <w:tcPr>
            <w:tcW w:w="0" w:type="auto"/>
            <w:shd w:val="clear" w:color="auto" w:fill="auto"/>
          </w:tcPr>
          <w:p w14:paraId="20AE0072" w14:textId="77777777" w:rsidR="00B626E7" w:rsidRDefault="00B626E7">
            <w:pPr>
              <w:rPr>
                <w:rFonts w:ascii="宋体"/>
              </w:rPr>
            </w:pPr>
          </w:p>
        </w:tc>
        <w:tc>
          <w:tcPr>
            <w:tcW w:w="0" w:type="auto"/>
            <w:shd w:val="clear" w:color="auto" w:fill="auto"/>
          </w:tcPr>
          <w:p w14:paraId="20AE0073" w14:textId="77777777" w:rsidR="00B626E7" w:rsidRDefault="00B626E7">
            <w:pPr>
              <w:rPr>
                <w:rFonts w:ascii="宋体"/>
              </w:rPr>
            </w:pPr>
          </w:p>
        </w:tc>
        <w:tc>
          <w:tcPr>
            <w:tcW w:w="0" w:type="auto"/>
            <w:shd w:val="clear" w:color="auto" w:fill="auto"/>
          </w:tcPr>
          <w:p w14:paraId="20AE0074" w14:textId="77777777" w:rsidR="00B626E7" w:rsidRDefault="00B626E7">
            <w:pPr>
              <w:rPr>
                <w:rFonts w:ascii="宋体"/>
              </w:rPr>
            </w:pPr>
          </w:p>
        </w:tc>
      </w:tr>
      <w:tr w:rsidR="00B626E7" w14:paraId="20AE0083" w14:textId="77777777">
        <w:trPr>
          <w:jc w:val="center"/>
        </w:trPr>
        <w:tc>
          <w:tcPr>
            <w:tcW w:w="0" w:type="auto"/>
            <w:gridSpan w:val="3"/>
            <w:shd w:val="clear" w:color="auto" w:fill="auto"/>
            <w:tcMar>
              <w:top w:w="40" w:type="dxa"/>
              <w:left w:w="195" w:type="dxa"/>
              <w:bottom w:w="40" w:type="dxa"/>
              <w:right w:w="20" w:type="dxa"/>
            </w:tcMar>
          </w:tcPr>
          <w:p w14:paraId="20AE0076" w14:textId="77777777" w:rsidR="00B626E7" w:rsidRDefault="00175C1D">
            <w:pPr>
              <w:textAlignment w:val="top"/>
            </w:pPr>
            <w:r>
              <w:rPr>
                <w:rFonts w:ascii="Arial" w:eastAsia="宋体" w:hAnsi="Arial" w:cs="Arial"/>
                <w:color w:val="333333"/>
                <w:sz w:val="18"/>
                <w:szCs w:val="18"/>
              </w:rPr>
              <w:t>Increase (decrease) in short-term debt, net</w:t>
            </w:r>
          </w:p>
        </w:tc>
        <w:tc>
          <w:tcPr>
            <w:tcW w:w="0" w:type="auto"/>
            <w:gridSpan w:val="3"/>
            <w:shd w:val="clear" w:color="auto" w:fill="auto"/>
            <w:tcMar>
              <w:left w:w="20" w:type="dxa"/>
              <w:right w:w="20" w:type="dxa"/>
            </w:tcMar>
            <w:vAlign w:val="bottom"/>
          </w:tcPr>
          <w:p w14:paraId="20AE0077"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078"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20AE0079"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07A"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07B" w14:textId="77777777" w:rsidR="00B626E7" w:rsidRDefault="00175C1D">
            <w:pPr>
              <w:jc w:val="right"/>
              <w:textAlignment w:val="bottom"/>
            </w:pPr>
            <w:r>
              <w:rPr>
                <w:rFonts w:ascii="Arial" w:eastAsia="宋体" w:hAnsi="Arial" w:cs="Arial"/>
                <w:color w:val="333333"/>
                <w:sz w:val="18"/>
                <w:szCs w:val="18"/>
              </w:rPr>
              <w:t>996 </w:t>
            </w:r>
          </w:p>
        </w:tc>
        <w:tc>
          <w:tcPr>
            <w:tcW w:w="0" w:type="auto"/>
            <w:shd w:val="clear" w:color="auto" w:fill="auto"/>
            <w:tcMar>
              <w:top w:w="40" w:type="dxa"/>
              <w:bottom w:w="40" w:type="dxa"/>
              <w:right w:w="20" w:type="dxa"/>
            </w:tcMar>
            <w:vAlign w:val="bottom"/>
          </w:tcPr>
          <w:p w14:paraId="20AE007C"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007D" w14:textId="77777777" w:rsidR="00B626E7" w:rsidRDefault="00B626E7">
            <w:pPr>
              <w:rPr>
                <w:rFonts w:ascii="宋体"/>
              </w:rPr>
            </w:pPr>
          </w:p>
        </w:tc>
        <w:tc>
          <w:tcPr>
            <w:tcW w:w="0" w:type="auto"/>
            <w:shd w:val="clear" w:color="auto" w:fill="auto"/>
          </w:tcPr>
          <w:p w14:paraId="20AE007E" w14:textId="77777777" w:rsidR="00B626E7" w:rsidRDefault="00B626E7">
            <w:pPr>
              <w:rPr>
                <w:rFonts w:ascii="宋体"/>
              </w:rPr>
            </w:pPr>
          </w:p>
        </w:tc>
        <w:tc>
          <w:tcPr>
            <w:tcW w:w="0" w:type="auto"/>
            <w:shd w:val="clear" w:color="auto" w:fill="auto"/>
          </w:tcPr>
          <w:p w14:paraId="20AE007F" w14:textId="77777777" w:rsidR="00B626E7" w:rsidRDefault="00B626E7">
            <w:pPr>
              <w:rPr>
                <w:rFonts w:ascii="宋体"/>
              </w:rPr>
            </w:pPr>
          </w:p>
        </w:tc>
        <w:tc>
          <w:tcPr>
            <w:tcW w:w="0" w:type="auto"/>
            <w:shd w:val="clear" w:color="auto" w:fill="auto"/>
          </w:tcPr>
          <w:p w14:paraId="20AE0080" w14:textId="77777777" w:rsidR="00B626E7" w:rsidRDefault="00B626E7">
            <w:pPr>
              <w:rPr>
                <w:rFonts w:ascii="宋体"/>
              </w:rPr>
            </w:pPr>
          </w:p>
        </w:tc>
        <w:tc>
          <w:tcPr>
            <w:tcW w:w="0" w:type="auto"/>
            <w:shd w:val="clear" w:color="auto" w:fill="auto"/>
          </w:tcPr>
          <w:p w14:paraId="20AE0081" w14:textId="77777777" w:rsidR="00B626E7" w:rsidRDefault="00B626E7">
            <w:pPr>
              <w:rPr>
                <w:rFonts w:ascii="宋体"/>
              </w:rPr>
            </w:pPr>
          </w:p>
        </w:tc>
        <w:tc>
          <w:tcPr>
            <w:tcW w:w="0" w:type="auto"/>
            <w:shd w:val="clear" w:color="auto" w:fill="auto"/>
          </w:tcPr>
          <w:p w14:paraId="20AE0082" w14:textId="77777777" w:rsidR="00B626E7" w:rsidRDefault="00B626E7">
            <w:pPr>
              <w:rPr>
                <w:rFonts w:ascii="宋体"/>
              </w:rPr>
            </w:pPr>
          </w:p>
        </w:tc>
      </w:tr>
      <w:tr w:rsidR="00B626E7" w14:paraId="20AE008F" w14:textId="77777777">
        <w:trPr>
          <w:jc w:val="center"/>
          <w:hidden/>
        </w:trPr>
        <w:tc>
          <w:tcPr>
            <w:tcW w:w="0" w:type="auto"/>
            <w:gridSpan w:val="3"/>
            <w:shd w:val="clear" w:color="auto" w:fill="auto"/>
          </w:tcPr>
          <w:p w14:paraId="20AE0084" w14:textId="77777777" w:rsidR="00B626E7" w:rsidRDefault="00B626E7">
            <w:pPr>
              <w:rPr>
                <w:rFonts w:ascii="宋体"/>
                <w:vanish/>
              </w:rPr>
            </w:pPr>
          </w:p>
        </w:tc>
        <w:tc>
          <w:tcPr>
            <w:tcW w:w="0" w:type="auto"/>
            <w:gridSpan w:val="3"/>
            <w:shd w:val="clear" w:color="auto" w:fill="auto"/>
          </w:tcPr>
          <w:p w14:paraId="20AE0085" w14:textId="77777777" w:rsidR="00B626E7" w:rsidRDefault="00B626E7">
            <w:pPr>
              <w:rPr>
                <w:rFonts w:ascii="宋体"/>
                <w:vanish/>
              </w:rPr>
            </w:pPr>
          </w:p>
        </w:tc>
        <w:tc>
          <w:tcPr>
            <w:tcW w:w="0" w:type="auto"/>
            <w:gridSpan w:val="3"/>
            <w:shd w:val="clear" w:color="auto" w:fill="auto"/>
          </w:tcPr>
          <w:p w14:paraId="20AE0086" w14:textId="77777777" w:rsidR="00B626E7" w:rsidRDefault="00B626E7">
            <w:pPr>
              <w:rPr>
                <w:rFonts w:ascii="宋体"/>
                <w:vanish/>
              </w:rPr>
            </w:pPr>
          </w:p>
        </w:tc>
        <w:tc>
          <w:tcPr>
            <w:tcW w:w="0" w:type="auto"/>
            <w:gridSpan w:val="3"/>
            <w:shd w:val="clear" w:color="auto" w:fill="auto"/>
          </w:tcPr>
          <w:p w14:paraId="20AE0087" w14:textId="77777777" w:rsidR="00B626E7" w:rsidRDefault="00B626E7">
            <w:pPr>
              <w:rPr>
                <w:rFonts w:ascii="宋体"/>
                <w:vanish/>
              </w:rPr>
            </w:pPr>
          </w:p>
        </w:tc>
        <w:tc>
          <w:tcPr>
            <w:tcW w:w="0" w:type="auto"/>
            <w:gridSpan w:val="3"/>
            <w:shd w:val="clear" w:color="auto" w:fill="auto"/>
          </w:tcPr>
          <w:p w14:paraId="20AE0088" w14:textId="77777777" w:rsidR="00B626E7" w:rsidRDefault="00B626E7">
            <w:pPr>
              <w:rPr>
                <w:rFonts w:ascii="宋体"/>
                <w:vanish/>
              </w:rPr>
            </w:pPr>
          </w:p>
        </w:tc>
        <w:tc>
          <w:tcPr>
            <w:tcW w:w="0" w:type="auto"/>
            <w:shd w:val="clear" w:color="auto" w:fill="auto"/>
          </w:tcPr>
          <w:p w14:paraId="20AE0089" w14:textId="77777777" w:rsidR="00B626E7" w:rsidRDefault="00B626E7">
            <w:pPr>
              <w:rPr>
                <w:rFonts w:ascii="宋体"/>
              </w:rPr>
            </w:pPr>
          </w:p>
        </w:tc>
        <w:tc>
          <w:tcPr>
            <w:tcW w:w="0" w:type="auto"/>
            <w:shd w:val="clear" w:color="auto" w:fill="auto"/>
          </w:tcPr>
          <w:p w14:paraId="20AE008A" w14:textId="77777777" w:rsidR="00B626E7" w:rsidRDefault="00B626E7">
            <w:pPr>
              <w:rPr>
                <w:rFonts w:ascii="宋体"/>
              </w:rPr>
            </w:pPr>
          </w:p>
        </w:tc>
        <w:tc>
          <w:tcPr>
            <w:tcW w:w="0" w:type="auto"/>
            <w:shd w:val="clear" w:color="auto" w:fill="auto"/>
          </w:tcPr>
          <w:p w14:paraId="20AE008B" w14:textId="77777777" w:rsidR="00B626E7" w:rsidRDefault="00B626E7">
            <w:pPr>
              <w:rPr>
                <w:rFonts w:ascii="宋体"/>
              </w:rPr>
            </w:pPr>
          </w:p>
        </w:tc>
        <w:tc>
          <w:tcPr>
            <w:tcW w:w="0" w:type="auto"/>
            <w:shd w:val="clear" w:color="auto" w:fill="auto"/>
          </w:tcPr>
          <w:p w14:paraId="20AE008C" w14:textId="77777777" w:rsidR="00B626E7" w:rsidRDefault="00B626E7">
            <w:pPr>
              <w:rPr>
                <w:rFonts w:ascii="宋体"/>
              </w:rPr>
            </w:pPr>
          </w:p>
        </w:tc>
        <w:tc>
          <w:tcPr>
            <w:tcW w:w="0" w:type="auto"/>
            <w:shd w:val="clear" w:color="auto" w:fill="auto"/>
          </w:tcPr>
          <w:p w14:paraId="20AE008D" w14:textId="77777777" w:rsidR="00B626E7" w:rsidRDefault="00B626E7">
            <w:pPr>
              <w:rPr>
                <w:rFonts w:ascii="宋体"/>
              </w:rPr>
            </w:pPr>
          </w:p>
        </w:tc>
        <w:tc>
          <w:tcPr>
            <w:tcW w:w="0" w:type="auto"/>
            <w:shd w:val="clear" w:color="auto" w:fill="auto"/>
          </w:tcPr>
          <w:p w14:paraId="20AE008E" w14:textId="77777777" w:rsidR="00B626E7" w:rsidRDefault="00B626E7">
            <w:pPr>
              <w:rPr>
                <w:rFonts w:ascii="宋体"/>
              </w:rPr>
            </w:pPr>
          </w:p>
        </w:tc>
      </w:tr>
      <w:tr w:rsidR="00B626E7" w14:paraId="20AE009B" w14:textId="77777777">
        <w:trPr>
          <w:jc w:val="center"/>
          <w:hidden/>
        </w:trPr>
        <w:tc>
          <w:tcPr>
            <w:tcW w:w="0" w:type="auto"/>
            <w:gridSpan w:val="3"/>
            <w:shd w:val="clear" w:color="auto" w:fill="auto"/>
          </w:tcPr>
          <w:p w14:paraId="20AE0090" w14:textId="77777777" w:rsidR="00B626E7" w:rsidRDefault="00B626E7">
            <w:pPr>
              <w:rPr>
                <w:rFonts w:ascii="宋体"/>
                <w:vanish/>
              </w:rPr>
            </w:pPr>
          </w:p>
        </w:tc>
        <w:tc>
          <w:tcPr>
            <w:tcW w:w="0" w:type="auto"/>
            <w:gridSpan w:val="3"/>
            <w:shd w:val="clear" w:color="auto" w:fill="auto"/>
          </w:tcPr>
          <w:p w14:paraId="20AE0091" w14:textId="77777777" w:rsidR="00B626E7" w:rsidRDefault="00B626E7">
            <w:pPr>
              <w:rPr>
                <w:rFonts w:ascii="宋体"/>
                <w:vanish/>
              </w:rPr>
            </w:pPr>
          </w:p>
        </w:tc>
        <w:tc>
          <w:tcPr>
            <w:tcW w:w="0" w:type="auto"/>
            <w:gridSpan w:val="3"/>
            <w:shd w:val="clear" w:color="auto" w:fill="auto"/>
          </w:tcPr>
          <w:p w14:paraId="20AE0092" w14:textId="77777777" w:rsidR="00B626E7" w:rsidRDefault="00B626E7">
            <w:pPr>
              <w:rPr>
                <w:rFonts w:ascii="宋体"/>
                <w:vanish/>
              </w:rPr>
            </w:pPr>
          </w:p>
        </w:tc>
        <w:tc>
          <w:tcPr>
            <w:tcW w:w="0" w:type="auto"/>
            <w:gridSpan w:val="3"/>
            <w:shd w:val="clear" w:color="auto" w:fill="auto"/>
          </w:tcPr>
          <w:p w14:paraId="20AE0093" w14:textId="77777777" w:rsidR="00B626E7" w:rsidRDefault="00B626E7">
            <w:pPr>
              <w:rPr>
                <w:rFonts w:ascii="宋体"/>
                <w:vanish/>
              </w:rPr>
            </w:pPr>
          </w:p>
        </w:tc>
        <w:tc>
          <w:tcPr>
            <w:tcW w:w="0" w:type="auto"/>
            <w:gridSpan w:val="3"/>
            <w:shd w:val="clear" w:color="auto" w:fill="auto"/>
          </w:tcPr>
          <w:p w14:paraId="20AE0094" w14:textId="77777777" w:rsidR="00B626E7" w:rsidRDefault="00B626E7">
            <w:pPr>
              <w:rPr>
                <w:rFonts w:ascii="宋体"/>
                <w:vanish/>
              </w:rPr>
            </w:pPr>
          </w:p>
        </w:tc>
        <w:tc>
          <w:tcPr>
            <w:tcW w:w="0" w:type="auto"/>
            <w:shd w:val="clear" w:color="auto" w:fill="auto"/>
          </w:tcPr>
          <w:p w14:paraId="20AE0095" w14:textId="77777777" w:rsidR="00B626E7" w:rsidRDefault="00B626E7">
            <w:pPr>
              <w:rPr>
                <w:rFonts w:ascii="宋体"/>
              </w:rPr>
            </w:pPr>
          </w:p>
        </w:tc>
        <w:tc>
          <w:tcPr>
            <w:tcW w:w="0" w:type="auto"/>
            <w:shd w:val="clear" w:color="auto" w:fill="auto"/>
          </w:tcPr>
          <w:p w14:paraId="20AE0096" w14:textId="77777777" w:rsidR="00B626E7" w:rsidRDefault="00B626E7">
            <w:pPr>
              <w:rPr>
                <w:rFonts w:ascii="宋体"/>
              </w:rPr>
            </w:pPr>
          </w:p>
        </w:tc>
        <w:tc>
          <w:tcPr>
            <w:tcW w:w="0" w:type="auto"/>
            <w:shd w:val="clear" w:color="auto" w:fill="auto"/>
          </w:tcPr>
          <w:p w14:paraId="20AE0097" w14:textId="77777777" w:rsidR="00B626E7" w:rsidRDefault="00B626E7">
            <w:pPr>
              <w:rPr>
                <w:rFonts w:ascii="宋体"/>
              </w:rPr>
            </w:pPr>
          </w:p>
        </w:tc>
        <w:tc>
          <w:tcPr>
            <w:tcW w:w="0" w:type="auto"/>
            <w:shd w:val="clear" w:color="auto" w:fill="auto"/>
          </w:tcPr>
          <w:p w14:paraId="20AE0098" w14:textId="77777777" w:rsidR="00B626E7" w:rsidRDefault="00B626E7">
            <w:pPr>
              <w:rPr>
                <w:rFonts w:ascii="宋体"/>
              </w:rPr>
            </w:pPr>
          </w:p>
        </w:tc>
        <w:tc>
          <w:tcPr>
            <w:tcW w:w="0" w:type="auto"/>
            <w:shd w:val="clear" w:color="auto" w:fill="auto"/>
          </w:tcPr>
          <w:p w14:paraId="20AE0099" w14:textId="77777777" w:rsidR="00B626E7" w:rsidRDefault="00B626E7">
            <w:pPr>
              <w:rPr>
                <w:rFonts w:ascii="宋体"/>
              </w:rPr>
            </w:pPr>
          </w:p>
        </w:tc>
        <w:tc>
          <w:tcPr>
            <w:tcW w:w="0" w:type="auto"/>
            <w:shd w:val="clear" w:color="auto" w:fill="auto"/>
          </w:tcPr>
          <w:p w14:paraId="20AE009A" w14:textId="77777777" w:rsidR="00B626E7" w:rsidRDefault="00B626E7">
            <w:pPr>
              <w:rPr>
                <w:rFonts w:ascii="宋体"/>
              </w:rPr>
            </w:pPr>
          </w:p>
        </w:tc>
      </w:tr>
      <w:tr w:rsidR="00B626E7" w14:paraId="20AE00A9" w14:textId="77777777">
        <w:trPr>
          <w:jc w:val="center"/>
        </w:trPr>
        <w:tc>
          <w:tcPr>
            <w:tcW w:w="0" w:type="auto"/>
            <w:gridSpan w:val="3"/>
            <w:shd w:val="clear" w:color="auto" w:fill="auto"/>
            <w:tcMar>
              <w:top w:w="40" w:type="dxa"/>
              <w:left w:w="195" w:type="dxa"/>
              <w:bottom w:w="40" w:type="dxa"/>
              <w:right w:w="20" w:type="dxa"/>
            </w:tcMar>
          </w:tcPr>
          <w:p w14:paraId="20AE009C" w14:textId="77777777" w:rsidR="00B626E7" w:rsidRDefault="00175C1D">
            <w:pPr>
              <w:textAlignment w:val="top"/>
            </w:pPr>
            <w:r>
              <w:rPr>
                <w:rFonts w:ascii="Arial" w:eastAsia="宋体" w:hAnsi="Arial" w:cs="Arial"/>
                <w:color w:val="333333"/>
                <w:sz w:val="18"/>
                <w:szCs w:val="18"/>
              </w:rPr>
              <w:t xml:space="preserve">Issuance of long-term debt, net </w:t>
            </w:r>
            <w:r>
              <w:rPr>
                <w:rFonts w:ascii="Arial" w:eastAsia="宋体" w:hAnsi="Arial" w:cs="Arial"/>
                <w:color w:val="333333"/>
                <w:sz w:val="18"/>
                <w:szCs w:val="18"/>
              </w:rPr>
              <w:t>of issuance costs</w:t>
            </w:r>
          </w:p>
        </w:tc>
        <w:tc>
          <w:tcPr>
            <w:tcW w:w="0" w:type="auto"/>
            <w:gridSpan w:val="3"/>
            <w:shd w:val="clear" w:color="auto" w:fill="auto"/>
            <w:tcMar>
              <w:left w:w="20" w:type="dxa"/>
              <w:right w:w="20" w:type="dxa"/>
            </w:tcMar>
            <w:vAlign w:val="bottom"/>
          </w:tcPr>
          <w:p w14:paraId="20AE009D"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09E" w14:textId="77777777" w:rsidR="00B626E7" w:rsidRDefault="00175C1D">
            <w:pPr>
              <w:jc w:val="right"/>
              <w:textAlignment w:val="bottom"/>
            </w:pPr>
            <w:r>
              <w:rPr>
                <w:rFonts w:ascii="Arial" w:eastAsia="宋体" w:hAnsi="Arial" w:cs="Arial"/>
                <w:color w:val="0071C5"/>
                <w:sz w:val="18"/>
                <w:szCs w:val="18"/>
              </w:rPr>
              <w:t>10,247 </w:t>
            </w:r>
          </w:p>
        </w:tc>
        <w:tc>
          <w:tcPr>
            <w:tcW w:w="0" w:type="auto"/>
            <w:shd w:val="clear" w:color="auto" w:fill="auto"/>
            <w:tcMar>
              <w:top w:w="40" w:type="dxa"/>
              <w:bottom w:w="40" w:type="dxa"/>
              <w:right w:w="20" w:type="dxa"/>
            </w:tcMar>
            <w:vAlign w:val="bottom"/>
          </w:tcPr>
          <w:p w14:paraId="20AE009F"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0A0"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0A1" w14:textId="77777777" w:rsidR="00B626E7" w:rsidRDefault="00175C1D">
            <w:pPr>
              <w:jc w:val="right"/>
              <w:textAlignment w:val="bottom"/>
            </w:pPr>
            <w:r>
              <w:rPr>
                <w:rFonts w:ascii="Arial" w:eastAsia="宋体" w:hAnsi="Arial" w:cs="Arial"/>
                <w:color w:val="333333"/>
                <w:sz w:val="18"/>
                <w:szCs w:val="18"/>
              </w:rPr>
              <w:t>601 </w:t>
            </w:r>
          </w:p>
        </w:tc>
        <w:tc>
          <w:tcPr>
            <w:tcW w:w="0" w:type="auto"/>
            <w:shd w:val="clear" w:color="auto" w:fill="auto"/>
            <w:tcMar>
              <w:top w:w="40" w:type="dxa"/>
              <w:bottom w:w="40" w:type="dxa"/>
              <w:right w:w="20" w:type="dxa"/>
            </w:tcMar>
            <w:vAlign w:val="bottom"/>
          </w:tcPr>
          <w:p w14:paraId="20AE00A2"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00A3" w14:textId="77777777" w:rsidR="00B626E7" w:rsidRDefault="00B626E7">
            <w:pPr>
              <w:rPr>
                <w:rFonts w:ascii="宋体"/>
              </w:rPr>
            </w:pPr>
          </w:p>
        </w:tc>
        <w:tc>
          <w:tcPr>
            <w:tcW w:w="0" w:type="auto"/>
            <w:shd w:val="clear" w:color="auto" w:fill="auto"/>
          </w:tcPr>
          <w:p w14:paraId="20AE00A4" w14:textId="77777777" w:rsidR="00B626E7" w:rsidRDefault="00B626E7">
            <w:pPr>
              <w:rPr>
                <w:rFonts w:ascii="宋体"/>
              </w:rPr>
            </w:pPr>
          </w:p>
        </w:tc>
        <w:tc>
          <w:tcPr>
            <w:tcW w:w="0" w:type="auto"/>
            <w:shd w:val="clear" w:color="auto" w:fill="auto"/>
          </w:tcPr>
          <w:p w14:paraId="20AE00A5" w14:textId="77777777" w:rsidR="00B626E7" w:rsidRDefault="00B626E7">
            <w:pPr>
              <w:rPr>
                <w:rFonts w:ascii="宋体"/>
              </w:rPr>
            </w:pPr>
          </w:p>
        </w:tc>
        <w:tc>
          <w:tcPr>
            <w:tcW w:w="0" w:type="auto"/>
            <w:shd w:val="clear" w:color="auto" w:fill="auto"/>
          </w:tcPr>
          <w:p w14:paraId="20AE00A6" w14:textId="77777777" w:rsidR="00B626E7" w:rsidRDefault="00B626E7">
            <w:pPr>
              <w:rPr>
                <w:rFonts w:ascii="宋体"/>
              </w:rPr>
            </w:pPr>
          </w:p>
        </w:tc>
        <w:tc>
          <w:tcPr>
            <w:tcW w:w="0" w:type="auto"/>
            <w:shd w:val="clear" w:color="auto" w:fill="auto"/>
          </w:tcPr>
          <w:p w14:paraId="20AE00A7" w14:textId="77777777" w:rsidR="00B626E7" w:rsidRDefault="00B626E7">
            <w:pPr>
              <w:rPr>
                <w:rFonts w:ascii="宋体"/>
              </w:rPr>
            </w:pPr>
          </w:p>
        </w:tc>
        <w:tc>
          <w:tcPr>
            <w:tcW w:w="0" w:type="auto"/>
            <w:shd w:val="clear" w:color="auto" w:fill="auto"/>
          </w:tcPr>
          <w:p w14:paraId="20AE00A8" w14:textId="77777777" w:rsidR="00B626E7" w:rsidRDefault="00B626E7">
            <w:pPr>
              <w:rPr>
                <w:rFonts w:ascii="宋体"/>
              </w:rPr>
            </w:pPr>
          </w:p>
        </w:tc>
      </w:tr>
      <w:tr w:rsidR="00B626E7" w14:paraId="20AE00B7" w14:textId="77777777">
        <w:trPr>
          <w:jc w:val="center"/>
        </w:trPr>
        <w:tc>
          <w:tcPr>
            <w:tcW w:w="0" w:type="auto"/>
            <w:gridSpan w:val="3"/>
            <w:shd w:val="clear" w:color="auto" w:fill="auto"/>
            <w:tcMar>
              <w:top w:w="40" w:type="dxa"/>
              <w:left w:w="195" w:type="dxa"/>
              <w:bottom w:w="40" w:type="dxa"/>
              <w:right w:w="20" w:type="dxa"/>
            </w:tcMar>
          </w:tcPr>
          <w:p w14:paraId="20AE00AA" w14:textId="77777777" w:rsidR="00B626E7" w:rsidRDefault="00175C1D">
            <w:pPr>
              <w:textAlignment w:val="top"/>
            </w:pPr>
            <w:r>
              <w:rPr>
                <w:rFonts w:ascii="Arial" w:eastAsia="宋体" w:hAnsi="Arial" w:cs="Arial"/>
                <w:color w:val="333333"/>
                <w:sz w:val="18"/>
                <w:szCs w:val="18"/>
              </w:rPr>
              <w:t>Repayment of debt and debt conversion</w:t>
            </w:r>
          </w:p>
        </w:tc>
        <w:tc>
          <w:tcPr>
            <w:tcW w:w="0" w:type="auto"/>
            <w:gridSpan w:val="3"/>
            <w:shd w:val="clear" w:color="auto" w:fill="auto"/>
            <w:tcMar>
              <w:left w:w="20" w:type="dxa"/>
              <w:right w:w="20" w:type="dxa"/>
            </w:tcMar>
            <w:vAlign w:val="bottom"/>
          </w:tcPr>
          <w:p w14:paraId="20AE00AB"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0AC" w14:textId="77777777" w:rsidR="00B626E7" w:rsidRDefault="00175C1D">
            <w:pPr>
              <w:jc w:val="right"/>
              <w:textAlignment w:val="bottom"/>
            </w:pPr>
            <w:r>
              <w:rPr>
                <w:rFonts w:ascii="Arial" w:eastAsia="宋体" w:hAnsi="Arial" w:cs="Arial"/>
                <w:color w:val="0071C5"/>
                <w:sz w:val="18"/>
                <w:szCs w:val="18"/>
              </w:rPr>
              <w:t>(2,775)</w:t>
            </w:r>
          </w:p>
        </w:tc>
        <w:tc>
          <w:tcPr>
            <w:tcW w:w="0" w:type="auto"/>
            <w:shd w:val="clear" w:color="auto" w:fill="auto"/>
            <w:tcMar>
              <w:top w:w="40" w:type="dxa"/>
              <w:bottom w:w="40" w:type="dxa"/>
              <w:right w:w="20" w:type="dxa"/>
            </w:tcMar>
            <w:vAlign w:val="bottom"/>
          </w:tcPr>
          <w:p w14:paraId="20AE00AD"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0AE"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0AF" w14:textId="77777777" w:rsidR="00B626E7" w:rsidRDefault="00175C1D">
            <w:pPr>
              <w:jc w:val="right"/>
              <w:textAlignment w:val="bottom"/>
            </w:pPr>
            <w:r>
              <w:rPr>
                <w:rFonts w:ascii="Arial" w:eastAsia="宋体" w:hAnsi="Arial" w:cs="Arial"/>
                <w:color w:val="333333"/>
                <w:sz w:val="18"/>
                <w:szCs w:val="18"/>
              </w:rPr>
              <w:t>(1,033)</w:t>
            </w:r>
          </w:p>
        </w:tc>
        <w:tc>
          <w:tcPr>
            <w:tcW w:w="0" w:type="auto"/>
            <w:shd w:val="clear" w:color="auto" w:fill="auto"/>
            <w:tcMar>
              <w:top w:w="40" w:type="dxa"/>
              <w:bottom w:w="40" w:type="dxa"/>
              <w:right w:w="20" w:type="dxa"/>
            </w:tcMar>
            <w:vAlign w:val="bottom"/>
          </w:tcPr>
          <w:p w14:paraId="20AE00B0"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00B1" w14:textId="77777777" w:rsidR="00B626E7" w:rsidRDefault="00B626E7">
            <w:pPr>
              <w:rPr>
                <w:rFonts w:ascii="宋体"/>
              </w:rPr>
            </w:pPr>
          </w:p>
        </w:tc>
        <w:tc>
          <w:tcPr>
            <w:tcW w:w="0" w:type="auto"/>
            <w:shd w:val="clear" w:color="auto" w:fill="auto"/>
          </w:tcPr>
          <w:p w14:paraId="20AE00B2" w14:textId="77777777" w:rsidR="00B626E7" w:rsidRDefault="00B626E7">
            <w:pPr>
              <w:rPr>
                <w:rFonts w:ascii="宋体"/>
              </w:rPr>
            </w:pPr>
          </w:p>
        </w:tc>
        <w:tc>
          <w:tcPr>
            <w:tcW w:w="0" w:type="auto"/>
            <w:shd w:val="clear" w:color="auto" w:fill="auto"/>
          </w:tcPr>
          <w:p w14:paraId="20AE00B3" w14:textId="77777777" w:rsidR="00B626E7" w:rsidRDefault="00B626E7">
            <w:pPr>
              <w:rPr>
                <w:rFonts w:ascii="宋体"/>
              </w:rPr>
            </w:pPr>
          </w:p>
        </w:tc>
        <w:tc>
          <w:tcPr>
            <w:tcW w:w="0" w:type="auto"/>
            <w:shd w:val="clear" w:color="auto" w:fill="auto"/>
          </w:tcPr>
          <w:p w14:paraId="20AE00B4" w14:textId="77777777" w:rsidR="00B626E7" w:rsidRDefault="00B626E7">
            <w:pPr>
              <w:rPr>
                <w:rFonts w:ascii="宋体"/>
              </w:rPr>
            </w:pPr>
          </w:p>
        </w:tc>
        <w:tc>
          <w:tcPr>
            <w:tcW w:w="0" w:type="auto"/>
            <w:shd w:val="clear" w:color="auto" w:fill="auto"/>
          </w:tcPr>
          <w:p w14:paraId="20AE00B5" w14:textId="77777777" w:rsidR="00B626E7" w:rsidRDefault="00B626E7">
            <w:pPr>
              <w:rPr>
                <w:rFonts w:ascii="宋体"/>
              </w:rPr>
            </w:pPr>
          </w:p>
        </w:tc>
        <w:tc>
          <w:tcPr>
            <w:tcW w:w="0" w:type="auto"/>
            <w:shd w:val="clear" w:color="auto" w:fill="auto"/>
          </w:tcPr>
          <w:p w14:paraId="20AE00B6" w14:textId="77777777" w:rsidR="00B626E7" w:rsidRDefault="00B626E7">
            <w:pPr>
              <w:rPr>
                <w:rFonts w:ascii="宋体"/>
              </w:rPr>
            </w:pPr>
          </w:p>
        </w:tc>
      </w:tr>
      <w:tr w:rsidR="00B626E7" w14:paraId="20AE00C5" w14:textId="77777777">
        <w:trPr>
          <w:jc w:val="center"/>
        </w:trPr>
        <w:tc>
          <w:tcPr>
            <w:tcW w:w="0" w:type="auto"/>
            <w:gridSpan w:val="3"/>
            <w:shd w:val="clear" w:color="auto" w:fill="auto"/>
            <w:tcMar>
              <w:top w:w="40" w:type="dxa"/>
              <w:left w:w="195" w:type="dxa"/>
              <w:bottom w:w="40" w:type="dxa"/>
              <w:right w:w="20" w:type="dxa"/>
            </w:tcMar>
          </w:tcPr>
          <w:p w14:paraId="20AE00B8" w14:textId="77777777" w:rsidR="00B626E7" w:rsidRDefault="00175C1D">
            <w:pPr>
              <w:textAlignment w:val="top"/>
            </w:pPr>
            <w:r>
              <w:rPr>
                <w:rFonts w:ascii="Arial" w:eastAsia="宋体" w:hAnsi="Arial" w:cs="Arial"/>
                <w:color w:val="333333"/>
                <w:sz w:val="18"/>
                <w:szCs w:val="18"/>
              </w:rPr>
              <w:t>Proceeds from sales of common stock through employee equity incentive plans</w:t>
            </w:r>
          </w:p>
        </w:tc>
        <w:tc>
          <w:tcPr>
            <w:tcW w:w="0" w:type="auto"/>
            <w:gridSpan w:val="3"/>
            <w:shd w:val="clear" w:color="auto" w:fill="auto"/>
            <w:tcMar>
              <w:left w:w="20" w:type="dxa"/>
              <w:right w:w="20" w:type="dxa"/>
            </w:tcMar>
            <w:vAlign w:val="bottom"/>
          </w:tcPr>
          <w:p w14:paraId="20AE00B9"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0BA" w14:textId="77777777" w:rsidR="00B626E7" w:rsidRDefault="00175C1D">
            <w:pPr>
              <w:jc w:val="right"/>
              <w:textAlignment w:val="bottom"/>
            </w:pPr>
            <w:r>
              <w:rPr>
                <w:rFonts w:ascii="Arial" w:eastAsia="宋体" w:hAnsi="Arial" w:cs="Arial"/>
                <w:color w:val="0071C5"/>
                <w:sz w:val="18"/>
                <w:szCs w:val="18"/>
              </w:rPr>
              <w:t>512 </w:t>
            </w:r>
          </w:p>
        </w:tc>
        <w:tc>
          <w:tcPr>
            <w:tcW w:w="0" w:type="auto"/>
            <w:shd w:val="clear" w:color="auto" w:fill="auto"/>
            <w:tcMar>
              <w:top w:w="40" w:type="dxa"/>
              <w:bottom w:w="40" w:type="dxa"/>
              <w:right w:w="20" w:type="dxa"/>
            </w:tcMar>
            <w:vAlign w:val="bottom"/>
          </w:tcPr>
          <w:p w14:paraId="20AE00BB"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0BC"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0BD" w14:textId="77777777" w:rsidR="00B626E7" w:rsidRDefault="00175C1D">
            <w:pPr>
              <w:jc w:val="right"/>
              <w:textAlignment w:val="bottom"/>
            </w:pPr>
            <w:r>
              <w:rPr>
                <w:rFonts w:ascii="Arial" w:eastAsia="宋体" w:hAnsi="Arial" w:cs="Arial"/>
                <w:color w:val="333333"/>
                <w:sz w:val="18"/>
                <w:szCs w:val="18"/>
              </w:rPr>
              <w:t>305 </w:t>
            </w:r>
          </w:p>
        </w:tc>
        <w:tc>
          <w:tcPr>
            <w:tcW w:w="0" w:type="auto"/>
            <w:shd w:val="clear" w:color="auto" w:fill="auto"/>
            <w:tcMar>
              <w:top w:w="40" w:type="dxa"/>
              <w:bottom w:w="40" w:type="dxa"/>
              <w:right w:w="20" w:type="dxa"/>
            </w:tcMar>
            <w:vAlign w:val="bottom"/>
          </w:tcPr>
          <w:p w14:paraId="20AE00BE"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00BF" w14:textId="77777777" w:rsidR="00B626E7" w:rsidRDefault="00B626E7">
            <w:pPr>
              <w:rPr>
                <w:rFonts w:ascii="宋体"/>
              </w:rPr>
            </w:pPr>
          </w:p>
        </w:tc>
        <w:tc>
          <w:tcPr>
            <w:tcW w:w="0" w:type="auto"/>
            <w:shd w:val="clear" w:color="auto" w:fill="auto"/>
          </w:tcPr>
          <w:p w14:paraId="20AE00C0" w14:textId="77777777" w:rsidR="00B626E7" w:rsidRDefault="00B626E7">
            <w:pPr>
              <w:rPr>
                <w:rFonts w:ascii="宋体"/>
              </w:rPr>
            </w:pPr>
          </w:p>
        </w:tc>
        <w:tc>
          <w:tcPr>
            <w:tcW w:w="0" w:type="auto"/>
            <w:shd w:val="clear" w:color="auto" w:fill="auto"/>
          </w:tcPr>
          <w:p w14:paraId="20AE00C1" w14:textId="77777777" w:rsidR="00B626E7" w:rsidRDefault="00B626E7">
            <w:pPr>
              <w:rPr>
                <w:rFonts w:ascii="宋体"/>
              </w:rPr>
            </w:pPr>
          </w:p>
        </w:tc>
        <w:tc>
          <w:tcPr>
            <w:tcW w:w="0" w:type="auto"/>
            <w:shd w:val="clear" w:color="auto" w:fill="auto"/>
          </w:tcPr>
          <w:p w14:paraId="20AE00C2" w14:textId="77777777" w:rsidR="00B626E7" w:rsidRDefault="00B626E7">
            <w:pPr>
              <w:rPr>
                <w:rFonts w:ascii="宋体"/>
              </w:rPr>
            </w:pPr>
          </w:p>
        </w:tc>
        <w:tc>
          <w:tcPr>
            <w:tcW w:w="0" w:type="auto"/>
            <w:shd w:val="clear" w:color="auto" w:fill="auto"/>
          </w:tcPr>
          <w:p w14:paraId="20AE00C3" w14:textId="77777777" w:rsidR="00B626E7" w:rsidRDefault="00B626E7">
            <w:pPr>
              <w:rPr>
                <w:rFonts w:ascii="宋体"/>
              </w:rPr>
            </w:pPr>
          </w:p>
        </w:tc>
        <w:tc>
          <w:tcPr>
            <w:tcW w:w="0" w:type="auto"/>
            <w:shd w:val="clear" w:color="auto" w:fill="auto"/>
          </w:tcPr>
          <w:p w14:paraId="20AE00C4" w14:textId="77777777" w:rsidR="00B626E7" w:rsidRDefault="00B626E7">
            <w:pPr>
              <w:rPr>
                <w:rFonts w:ascii="宋体"/>
              </w:rPr>
            </w:pPr>
          </w:p>
        </w:tc>
      </w:tr>
      <w:tr w:rsidR="00B626E7" w14:paraId="20AE00D3" w14:textId="77777777">
        <w:trPr>
          <w:jc w:val="center"/>
        </w:trPr>
        <w:tc>
          <w:tcPr>
            <w:tcW w:w="0" w:type="auto"/>
            <w:gridSpan w:val="3"/>
            <w:shd w:val="clear" w:color="auto" w:fill="auto"/>
            <w:tcMar>
              <w:top w:w="40" w:type="dxa"/>
              <w:left w:w="195" w:type="dxa"/>
              <w:bottom w:w="40" w:type="dxa"/>
              <w:right w:w="20" w:type="dxa"/>
            </w:tcMar>
          </w:tcPr>
          <w:p w14:paraId="20AE00C6" w14:textId="77777777" w:rsidR="00B626E7" w:rsidRDefault="00175C1D">
            <w:pPr>
              <w:textAlignment w:val="top"/>
            </w:pPr>
            <w:r>
              <w:rPr>
                <w:rFonts w:ascii="Arial" w:eastAsia="宋体" w:hAnsi="Arial" w:cs="Arial"/>
                <w:color w:val="333333"/>
                <w:sz w:val="18"/>
                <w:szCs w:val="18"/>
              </w:rPr>
              <w:t>Repurchase of common stock</w:t>
            </w:r>
          </w:p>
        </w:tc>
        <w:tc>
          <w:tcPr>
            <w:tcW w:w="0" w:type="auto"/>
            <w:gridSpan w:val="3"/>
            <w:shd w:val="clear" w:color="auto" w:fill="auto"/>
            <w:tcMar>
              <w:left w:w="20" w:type="dxa"/>
              <w:right w:w="20" w:type="dxa"/>
            </w:tcMar>
            <w:vAlign w:val="bottom"/>
          </w:tcPr>
          <w:p w14:paraId="20AE00C7"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0C8" w14:textId="77777777" w:rsidR="00B626E7" w:rsidRDefault="00175C1D">
            <w:pPr>
              <w:jc w:val="right"/>
              <w:textAlignment w:val="bottom"/>
            </w:pPr>
            <w:r>
              <w:rPr>
                <w:rFonts w:ascii="Arial" w:eastAsia="宋体" w:hAnsi="Arial" w:cs="Arial"/>
                <w:color w:val="0071C5"/>
                <w:sz w:val="18"/>
                <w:szCs w:val="18"/>
              </w:rPr>
              <w:t>(4,229)</w:t>
            </w:r>
          </w:p>
        </w:tc>
        <w:tc>
          <w:tcPr>
            <w:tcW w:w="0" w:type="auto"/>
            <w:shd w:val="clear" w:color="auto" w:fill="auto"/>
            <w:tcMar>
              <w:top w:w="40" w:type="dxa"/>
              <w:bottom w:w="40" w:type="dxa"/>
              <w:right w:w="20" w:type="dxa"/>
            </w:tcMar>
            <w:vAlign w:val="bottom"/>
          </w:tcPr>
          <w:p w14:paraId="20AE00C9"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0CA"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0CB" w14:textId="77777777" w:rsidR="00B626E7" w:rsidRDefault="00175C1D">
            <w:pPr>
              <w:jc w:val="right"/>
              <w:textAlignment w:val="bottom"/>
            </w:pPr>
            <w:r>
              <w:rPr>
                <w:rFonts w:ascii="Arial" w:eastAsia="宋体" w:hAnsi="Arial" w:cs="Arial"/>
                <w:color w:val="333333"/>
                <w:sz w:val="18"/>
                <w:szCs w:val="18"/>
              </w:rPr>
              <w:t>(5,579)</w:t>
            </w:r>
          </w:p>
        </w:tc>
        <w:tc>
          <w:tcPr>
            <w:tcW w:w="0" w:type="auto"/>
            <w:shd w:val="clear" w:color="auto" w:fill="auto"/>
            <w:tcMar>
              <w:top w:w="40" w:type="dxa"/>
              <w:bottom w:w="40" w:type="dxa"/>
              <w:right w:w="20" w:type="dxa"/>
            </w:tcMar>
            <w:vAlign w:val="bottom"/>
          </w:tcPr>
          <w:p w14:paraId="20AE00CC"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00CD" w14:textId="77777777" w:rsidR="00B626E7" w:rsidRDefault="00B626E7">
            <w:pPr>
              <w:rPr>
                <w:rFonts w:ascii="宋体"/>
              </w:rPr>
            </w:pPr>
          </w:p>
        </w:tc>
        <w:tc>
          <w:tcPr>
            <w:tcW w:w="0" w:type="auto"/>
            <w:shd w:val="clear" w:color="auto" w:fill="auto"/>
          </w:tcPr>
          <w:p w14:paraId="20AE00CE" w14:textId="77777777" w:rsidR="00B626E7" w:rsidRDefault="00B626E7">
            <w:pPr>
              <w:rPr>
                <w:rFonts w:ascii="宋体"/>
              </w:rPr>
            </w:pPr>
          </w:p>
        </w:tc>
        <w:tc>
          <w:tcPr>
            <w:tcW w:w="0" w:type="auto"/>
            <w:shd w:val="clear" w:color="auto" w:fill="auto"/>
          </w:tcPr>
          <w:p w14:paraId="20AE00CF" w14:textId="77777777" w:rsidR="00B626E7" w:rsidRDefault="00B626E7">
            <w:pPr>
              <w:rPr>
                <w:rFonts w:ascii="宋体"/>
              </w:rPr>
            </w:pPr>
          </w:p>
        </w:tc>
        <w:tc>
          <w:tcPr>
            <w:tcW w:w="0" w:type="auto"/>
            <w:shd w:val="clear" w:color="auto" w:fill="auto"/>
          </w:tcPr>
          <w:p w14:paraId="20AE00D0" w14:textId="77777777" w:rsidR="00B626E7" w:rsidRDefault="00B626E7">
            <w:pPr>
              <w:rPr>
                <w:rFonts w:ascii="宋体"/>
              </w:rPr>
            </w:pPr>
          </w:p>
        </w:tc>
        <w:tc>
          <w:tcPr>
            <w:tcW w:w="0" w:type="auto"/>
            <w:shd w:val="clear" w:color="auto" w:fill="auto"/>
          </w:tcPr>
          <w:p w14:paraId="20AE00D1" w14:textId="77777777" w:rsidR="00B626E7" w:rsidRDefault="00B626E7">
            <w:pPr>
              <w:rPr>
                <w:rFonts w:ascii="宋体"/>
              </w:rPr>
            </w:pPr>
          </w:p>
        </w:tc>
        <w:tc>
          <w:tcPr>
            <w:tcW w:w="0" w:type="auto"/>
            <w:shd w:val="clear" w:color="auto" w:fill="auto"/>
          </w:tcPr>
          <w:p w14:paraId="20AE00D2" w14:textId="77777777" w:rsidR="00B626E7" w:rsidRDefault="00B626E7">
            <w:pPr>
              <w:rPr>
                <w:rFonts w:ascii="宋体"/>
              </w:rPr>
            </w:pPr>
          </w:p>
        </w:tc>
      </w:tr>
      <w:tr w:rsidR="00B626E7" w14:paraId="20AE00DF" w14:textId="77777777">
        <w:trPr>
          <w:jc w:val="center"/>
          <w:hidden/>
        </w:trPr>
        <w:tc>
          <w:tcPr>
            <w:tcW w:w="0" w:type="auto"/>
            <w:gridSpan w:val="3"/>
            <w:shd w:val="clear" w:color="auto" w:fill="auto"/>
          </w:tcPr>
          <w:p w14:paraId="20AE00D4" w14:textId="77777777" w:rsidR="00B626E7" w:rsidRDefault="00B626E7">
            <w:pPr>
              <w:rPr>
                <w:rFonts w:ascii="宋体"/>
                <w:vanish/>
              </w:rPr>
            </w:pPr>
          </w:p>
        </w:tc>
        <w:tc>
          <w:tcPr>
            <w:tcW w:w="0" w:type="auto"/>
            <w:gridSpan w:val="3"/>
            <w:shd w:val="clear" w:color="auto" w:fill="auto"/>
          </w:tcPr>
          <w:p w14:paraId="20AE00D5" w14:textId="77777777" w:rsidR="00B626E7" w:rsidRDefault="00B626E7">
            <w:pPr>
              <w:rPr>
                <w:rFonts w:ascii="宋体"/>
                <w:vanish/>
              </w:rPr>
            </w:pPr>
          </w:p>
        </w:tc>
        <w:tc>
          <w:tcPr>
            <w:tcW w:w="0" w:type="auto"/>
            <w:gridSpan w:val="3"/>
            <w:shd w:val="clear" w:color="auto" w:fill="auto"/>
          </w:tcPr>
          <w:p w14:paraId="20AE00D6" w14:textId="77777777" w:rsidR="00B626E7" w:rsidRDefault="00B626E7">
            <w:pPr>
              <w:rPr>
                <w:rFonts w:ascii="宋体"/>
                <w:vanish/>
              </w:rPr>
            </w:pPr>
          </w:p>
        </w:tc>
        <w:tc>
          <w:tcPr>
            <w:tcW w:w="0" w:type="auto"/>
            <w:gridSpan w:val="3"/>
            <w:shd w:val="clear" w:color="auto" w:fill="auto"/>
          </w:tcPr>
          <w:p w14:paraId="20AE00D7" w14:textId="77777777" w:rsidR="00B626E7" w:rsidRDefault="00B626E7">
            <w:pPr>
              <w:rPr>
                <w:rFonts w:ascii="宋体"/>
                <w:vanish/>
              </w:rPr>
            </w:pPr>
          </w:p>
        </w:tc>
        <w:tc>
          <w:tcPr>
            <w:tcW w:w="0" w:type="auto"/>
            <w:gridSpan w:val="3"/>
            <w:shd w:val="clear" w:color="auto" w:fill="auto"/>
          </w:tcPr>
          <w:p w14:paraId="20AE00D8" w14:textId="77777777" w:rsidR="00B626E7" w:rsidRDefault="00B626E7">
            <w:pPr>
              <w:rPr>
                <w:rFonts w:ascii="宋体"/>
                <w:vanish/>
              </w:rPr>
            </w:pPr>
          </w:p>
        </w:tc>
        <w:tc>
          <w:tcPr>
            <w:tcW w:w="0" w:type="auto"/>
            <w:shd w:val="clear" w:color="auto" w:fill="auto"/>
          </w:tcPr>
          <w:p w14:paraId="20AE00D9" w14:textId="77777777" w:rsidR="00B626E7" w:rsidRDefault="00B626E7">
            <w:pPr>
              <w:rPr>
                <w:rFonts w:ascii="宋体"/>
              </w:rPr>
            </w:pPr>
          </w:p>
        </w:tc>
        <w:tc>
          <w:tcPr>
            <w:tcW w:w="0" w:type="auto"/>
            <w:shd w:val="clear" w:color="auto" w:fill="auto"/>
          </w:tcPr>
          <w:p w14:paraId="20AE00DA" w14:textId="77777777" w:rsidR="00B626E7" w:rsidRDefault="00B626E7">
            <w:pPr>
              <w:rPr>
                <w:rFonts w:ascii="宋体"/>
              </w:rPr>
            </w:pPr>
          </w:p>
        </w:tc>
        <w:tc>
          <w:tcPr>
            <w:tcW w:w="0" w:type="auto"/>
            <w:shd w:val="clear" w:color="auto" w:fill="auto"/>
          </w:tcPr>
          <w:p w14:paraId="20AE00DB" w14:textId="77777777" w:rsidR="00B626E7" w:rsidRDefault="00B626E7">
            <w:pPr>
              <w:rPr>
                <w:rFonts w:ascii="宋体"/>
              </w:rPr>
            </w:pPr>
          </w:p>
        </w:tc>
        <w:tc>
          <w:tcPr>
            <w:tcW w:w="0" w:type="auto"/>
            <w:shd w:val="clear" w:color="auto" w:fill="auto"/>
          </w:tcPr>
          <w:p w14:paraId="20AE00DC" w14:textId="77777777" w:rsidR="00B626E7" w:rsidRDefault="00B626E7">
            <w:pPr>
              <w:rPr>
                <w:rFonts w:ascii="宋体"/>
              </w:rPr>
            </w:pPr>
          </w:p>
        </w:tc>
        <w:tc>
          <w:tcPr>
            <w:tcW w:w="0" w:type="auto"/>
            <w:shd w:val="clear" w:color="auto" w:fill="auto"/>
          </w:tcPr>
          <w:p w14:paraId="20AE00DD" w14:textId="77777777" w:rsidR="00B626E7" w:rsidRDefault="00B626E7">
            <w:pPr>
              <w:rPr>
                <w:rFonts w:ascii="宋体"/>
              </w:rPr>
            </w:pPr>
          </w:p>
        </w:tc>
        <w:tc>
          <w:tcPr>
            <w:tcW w:w="0" w:type="auto"/>
            <w:shd w:val="clear" w:color="auto" w:fill="auto"/>
          </w:tcPr>
          <w:p w14:paraId="20AE00DE" w14:textId="77777777" w:rsidR="00B626E7" w:rsidRDefault="00B626E7">
            <w:pPr>
              <w:rPr>
                <w:rFonts w:ascii="宋体"/>
              </w:rPr>
            </w:pPr>
          </w:p>
        </w:tc>
      </w:tr>
      <w:tr w:rsidR="00B626E7" w14:paraId="20AE00ED" w14:textId="77777777">
        <w:trPr>
          <w:jc w:val="center"/>
        </w:trPr>
        <w:tc>
          <w:tcPr>
            <w:tcW w:w="0" w:type="auto"/>
            <w:gridSpan w:val="3"/>
            <w:shd w:val="clear" w:color="auto" w:fill="auto"/>
            <w:tcMar>
              <w:top w:w="40" w:type="dxa"/>
              <w:left w:w="195" w:type="dxa"/>
              <w:bottom w:w="40" w:type="dxa"/>
              <w:right w:w="20" w:type="dxa"/>
            </w:tcMar>
          </w:tcPr>
          <w:p w14:paraId="20AE00E0" w14:textId="77777777" w:rsidR="00B626E7" w:rsidRDefault="00175C1D">
            <w:pPr>
              <w:textAlignment w:val="top"/>
            </w:pPr>
            <w:r>
              <w:rPr>
                <w:rFonts w:ascii="Arial" w:eastAsia="宋体" w:hAnsi="Arial" w:cs="Arial"/>
                <w:color w:val="333333"/>
                <w:sz w:val="18"/>
                <w:szCs w:val="18"/>
              </w:rPr>
              <w:t>Payment of dividends to stockholders</w:t>
            </w:r>
          </w:p>
        </w:tc>
        <w:tc>
          <w:tcPr>
            <w:tcW w:w="0" w:type="auto"/>
            <w:gridSpan w:val="3"/>
            <w:shd w:val="clear" w:color="auto" w:fill="auto"/>
            <w:tcMar>
              <w:left w:w="20" w:type="dxa"/>
              <w:right w:w="20" w:type="dxa"/>
            </w:tcMar>
            <w:vAlign w:val="bottom"/>
          </w:tcPr>
          <w:p w14:paraId="20AE00E1"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0E2" w14:textId="77777777" w:rsidR="00B626E7" w:rsidRDefault="00175C1D">
            <w:pPr>
              <w:jc w:val="right"/>
              <w:textAlignment w:val="bottom"/>
            </w:pPr>
            <w:r>
              <w:rPr>
                <w:rFonts w:ascii="Arial" w:eastAsia="宋体" w:hAnsi="Arial" w:cs="Arial"/>
                <w:color w:val="0071C5"/>
                <w:sz w:val="18"/>
                <w:szCs w:val="18"/>
              </w:rPr>
              <w:t>(2,811)</w:t>
            </w:r>
          </w:p>
        </w:tc>
        <w:tc>
          <w:tcPr>
            <w:tcW w:w="0" w:type="auto"/>
            <w:shd w:val="clear" w:color="auto" w:fill="auto"/>
            <w:tcMar>
              <w:top w:w="40" w:type="dxa"/>
              <w:bottom w:w="40" w:type="dxa"/>
              <w:right w:w="20" w:type="dxa"/>
            </w:tcMar>
            <w:vAlign w:val="bottom"/>
          </w:tcPr>
          <w:p w14:paraId="20AE00E3"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0E4"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0E5" w14:textId="77777777" w:rsidR="00B626E7" w:rsidRDefault="00175C1D">
            <w:pPr>
              <w:jc w:val="right"/>
              <w:textAlignment w:val="bottom"/>
            </w:pPr>
            <w:r>
              <w:rPr>
                <w:rFonts w:ascii="Arial" w:eastAsia="宋体" w:hAnsi="Arial" w:cs="Arial"/>
                <w:color w:val="333333"/>
                <w:sz w:val="18"/>
                <w:szCs w:val="18"/>
              </w:rPr>
              <w:t>(2,828)</w:t>
            </w:r>
          </w:p>
        </w:tc>
        <w:tc>
          <w:tcPr>
            <w:tcW w:w="0" w:type="auto"/>
            <w:shd w:val="clear" w:color="auto" w:fill="auto"/>
            <w:tcMar>
              <w:top w:w="40" w:type="dxa"/>
              <w:bottom w:w="40" w:type="dxa"/>
              <w:right w:w="20" w:type="dxa"/>
            </w:tcMar>
            <w:vAlign w:val="bottom"/>
          </w:tcPr>
          <w:p w14:paraId="20AE00E6"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00E7" w14:textId="77777777" w:rsidR="00B626E7" w:rsidRDefault="00B626E7">
            <w:pPr>
              <w:rPr>
                <w:rFonts w:ascii="宋体"/>
              </w:rPr>
            </w:pPr>
          </w:p>
        </w:tc>
        <w:tc>
          <w:tcPr>
            <w:tcW w:w="0" w:type="auto"/>
            <w:shd w:val="clear" w:color="auto" w:fill="auto"/>
          </w:tcPr>
          <w:p w14:paraId="20AE00E8" w14:textId="77777777" w:rsidR="00B626E7" w:rsidRDefault="00B626E7">
            <w:pPr>
              <w:rPr>
                <w:rFonts w:ascii="宋体"/>
              </w:rPr>
            </w:pPr>
          </w:p>
        </w:tc>
        <w:tc>
          <w:tcPr>
            <w:tcW w:w="0" w:type="auto"/>
            <w:shd w:val="clear" w:color="auto" w:fill="auto"/>
          </w:tcPr>
          <w:p w14:paraId="20AE00E9" w14:textId="77777777" w:rsidR="00B626E7" w:rsidRDefault="00B626E7">
            <w:pPr>
              <w:rPr>
                <w:rFonts w:ascii="宋体"/>
              </w:rPr>
            </w:pPr>
          </w:p>
        </w:tc>
        <w:tc>
          <w:tcPr>
            <w:tcW w:w="0" w:type="auto"/>
            <w:shd w:val="clear" w:color="auto" w:fill="auto"/>
          </w:tcPr>
          <w:p w14:paraId="20AE00EA" w14:textId="77777777" w:rsidR="00B626E7" w:rsidRDefault="00B626E7">
            <w:pPr>
              <w:rPr>
                <w:rFonts w:ascii="宋体"/>
              </w:rPr>
            </w:pPr>
          </w:p>
        </w:tc>
        <w:tc>
          <w:tcPr>
            <w:tcW w:w="0" w:type="auto"/>
            <w:shd w:val="clear" w:color="auto" w:fill="auto"/>
          </w:tcPr>
          <w:p w14:paraId="20AE00EB" w14:textId="77777777" w:rsidR="00B626E7" w:rsidRDefault="00B626E7">
            <w:pPr>
              <w:rPr>
                <w:rFonts w:ascii="宋体"/>
              </w:rPr>
            </w:pPr>
          </w:p>
        </w:tc>
        <w:tc>
          <w:tcPr>
            <w:tcW w:w="0" w:type="auto"/>
            <w:shd w:val="clear" w:color="auto" w:fill="auto"/>
          </w:tcPr>
          <w:p w14:paraId="20AE00EC" w14:textId="77777777" w:rsidR="00B626E7" w:rsidRDefault="00B626E7">
            <w:pPr>
              <w:rPr>
                <w:rFonts w:ascii="宋体"/>
              </w:rPr>
            </w:pPr>
          </w:p>
        </w:tc>
      </w:tr>
      <w:tr w:rsidR="00B626E7" w14:paraId="20AE00F9" w14:textId="77777777">
        <w:trPr>
          <w:jc w:val="center"/>
          <w:hidden/>
        </w:trPr>
        <w:tc>
          <w:tcPr>
            <w:tcW w:w="0" w:type="auto"/>
            <w:gridSpan w:val="3"/>
            <w:shd w:val="clear" w:color="auto" w:fill="auto"/>
          </w:tcPr>
          <w:p w14:paraId="20AE00EE" w14:textId="77777777" w:rsidR="00B626E7" w:rsidRDefault="00B626E7">
            <w:pPr>
              <w:rPr>
                <w:rFonts w:ascii="宋体"/>
                <w:vanish/>
              </w:rPr>
            </w:pPr>
          </w:p>
        </w:tc>
        <w:tc>
          <w:tcPr>
            <w:tcW w:w="0" w:type="auto"/>
            <w:gridSpan w:val="3"/>
            <w:shd w:val="clear" w:color="auto" w:fill="auto"/>
          </w:tcPr>
          <w:p w14:paraId="20AE00EF" w14:textId="77777777" w:rsidR="00B626E7" w:rsidRDefault="00B626E7">
            <w:pPr>
              <w:rPr>
                <w:rFonts w:ascii="宋体"/>
                <w:vanish/>
              </w:rPr>
            </w:pPr>
          </w:p>
        </w:tc>
        <w:tc>
          <w:tcPr>
            <w:tcW w:w="0" w:type="auto"/>
            <w:gridSpan w:val="3"/>
            <w:shd w:val="clear" w:color="auto" w:fill="auto"/>
          </w:tcPr>
          <w:p w14:paraId="20AE00F0" w14:textId="77777777" w:rsidR="00B626E7" w:rsidRDefault="00B626E7">
            <w:pPr>
              <w:rPr>
                <w:rFonts w:ascii="宋体"/>
                <w:vanish/>
              </w:rPr>
            </w:pPr>
          </w:p>
        </w:tc>
        <w:tc>
          <w:tcPr>
            <w:tcW w:w="0" w:type="auto"/>
            <w:gridSpan w:val="3"/>
            <w:shd w:val="clear" w:color="auto" w:fill="auto"/>
          </w:tcPr>
          <w:p w14:paraId="20AE00F1" w14:textId="77777777" w:rsidR="00B626E7" w:rsidRDefault="00B626E7">
            <w:pPr>
              <w:rPr>
                <w:rFonts w:ascii="宋体"/>
                <w:vanish/>
              </w:rPr>
            </w:pPr>
          </w:p>
        </w:tc>
        <w:tc>
          <w:tcPr>
            <w:tcW w:w="0" w:type="auto"/>
            <w:gridSpan w:val="3"/>
            <w:shd w:val="clear" w:color="auto" w:fill="auto"/>
          </w:tcPr>
          <w:p w14:paraId="20AE00F2" w14:textId="77777777" w:rsidR="00B626E7" w:rsidRDefault="00B626E7">
            <w:pPr>
              <w:rPr>
                <w:rFonts w:ascii="宋体"/>
                <w:vanish/>
              </w:rPr>
            </w:pPr>
          </w:p>
        </w:tc>
        <w:tc>
          <w:tcPr>
            <w:tcW w:w="0" w:type="auto"/>
            <w:shd w:val="clear" w:color="auto" w:fill="auto"/>
          </w:tcPr>
          <w:p w14:paraId="20AE00F3" w14:textId="77777777" w:rsidR="00B626E7" w:rsidRDefault="00B626E7">
            <w:pPr>
              <w:rPr>
                <w:rFonts w:ascii="宋体"/>
              </w:rPr>
            </w:pPr>
          </w:p>
        </w:tc>
        <w:tc>
          <w:tcPr>
            <w:tcW w:w="0" w:type="auto"/>
            <w:shd w:val="clear" w:color="auto" w:fill="auto"/>
          </w:tcPr>
          <w:p w14:paraId="20AE00F4" w14:textId="77777777" w:rsidR="00B626E7" w:rsidRDefault="00B626E7">
            <w:pPr>
              <w:rPr>
                <w:rFonts w:ascii="宋体"/>
              </w:rPr>
            </w:pPr>
          </w:p>
        </w:tc>
        <w:tc>
          <w:tcPr>
            <w:tcW w:w="0" w:type="auto"/>
            <w:shd w:val="clear" w:color="auto" w:fill="auto"/>
          </w:tcPr>
          <w:p w14:paraId="20AE00F5" w14:textId="77777777" w:rsidR="00B626E7" w:rsidRDefault="00B626E7">
            <w:pPr>
              <w:rPr>
                <w:rFonts w:ascii="宋体"/>
              </w:rPr>
            </w:pPr>
          </w:p>
        </w:tc>
        <w:tc>
          <w:tcPr>
            <w:tcW w:w="0" w:type="auto"/>
            <w:shd w:val="clear" w:color="auto" w:fill="auto"/>
          </w:tcPr>
          <w:p w14:paraId="20AE00F6" w14:textId="77777777" w:rsidR="00B626E7" w:rsidRDefault="00B626E7">
            <w:pPr>
              <w:rPr>
                <w:rFonts w:ascii="宋体"/>
              </w:rPr>
            </w:pPr>
          </w:p>
        </w:tc>
        <w:tc>
          <w:tcPr>
            <w:tcW w:w="0" w:type="auto"/>
            <w:shd w:val="clear" w:color="auto" w:fill="auto"/>
          </w:tcPr>
          <w:p w14:paraId="20AE00F7" w14:textId="77777777" w:rsidR="00B626E7" w:rsidRDefault="00B626E7">
            <w:pPr>
              <w:rPr>
                <w:rFonts w:ascii="宋体"/>
              </w:rPr>
            </w:pPr>
          </w:p>
        </w:tc>
        <w:tc>
          <w:tcPr>
            <w:tcW w:w="0" w:type="auto"/>
            <w:shd w:val="clear" w:color="auto" w:fill="auto"/>
          </w:tcPr>
          <w:p w14:paraId="20AE00F8" w14:textId="77777777" w:rsidR="00B626E7" w:rsidRDefault="00B626E7">
            <w:pPr>
              <w:rPr>
                <w:rFonts w:ascii="宋体"/>
              </w:rPr>
            </w:pPr>
          </w:p>
        </w:tc>
      </w:tr>
      <w:tr w:rsidR="00B626E7" w14:paraId="20AE0105" w14:textId="77777777">
        <w:trPr>
          <w:jc w:val="center"/>
          <w:hidden/>
        </w:trPr>
        <w:tc>
          <w:tcPr>
            <w:tcW w:w="0" w:type="auto"/>
            <w:gridSpan w:val="3"/>
            <w:shd w:val="clear" w:color="auto" w:fill="auto"/>
          </w:tcPr>
          <w:p w14:paraId="20AE00FA" w14:textId="77777777" w:rsidR="00B626E7" w:rsidRDefault="00B626E7">
            <w:pPr>
              <w:rPr>
                <w:rFonts w:ascii="宋体"/>
                <w:vanish/>
              </w:rPr>
            </w:pPr>
          </w:p>
        </w:tc>
        <w:tc>
          <w:tcPr>
            <w:tcW w:w="0" w:type="auto"/>
            <w:gridSpan w:val="3"/>
            <w:shd w:val="clear" w:color="auto" w:fill="auto"/>
          </w:tcPr>
          <w:p w14:paraId="20AE00FB" w14:textId="77777777" w:rsidR="00B626E7" w:rsidRDefault="00B626E7">
            <w:pPr>
              <w:rPr>
                <w:rFonts w:ascii="宋体"/>
                <w:vanish/>
              </w:rPr>
            </w:pPr>
          </w:p>
        </w:tc>
        <w:tc>
          <w:tcPr>
            <w:tcW w:w="0" w:type="auto"/>
            <w:gridSpan w:val="3"/>
            <w:shd w:val="clear" w:color="auto" w:fill="auto"/>
          </w:tcPr>
          <w:p w14:paraId="20AE00FC" w14:textId="77777777" w:rsidR="00B626E7" w:rsidRDefault="00B626E7">
            <w:pPr>
              <w:rPr>
                <w:rFonts w:ascii="宋体"/>
                <w:vanish/>
              </w:rPr>
            </w:pPr>
          </w:p>
        </w:tc>
        <w:tc>
          <w:tcPr>
            <w:tcW w:w="0" w:type="auto"/>
            <w:gridSpan w:val="3"/>
            <w:shd w:val="clear" w:color="auto" w:fill="auto"/>
          </w:tcPr>
          <w:p w14:paraId="20AE00FD" w14:textId="77777777" w:rsidR="00B626E7" w:rsidRDefault="00B626E7">
            <w:pPr>
              <w:rPr>
                <w:rFonts w:ascii="宋体"/>
                <w:vanish/>
              </w:rPr>
            </w:pPr>
          </w:p>
        </w:tc>
        <w:tc>
          <w:tcPr>
            <w:tcW w:w="0" w:type="auto"/>
            <w:gridSpan w:val="3"/>
            <w:shd w:val="clear" w:color="auto" w:fill="auto"/>
          </w:tcPr>
          <w:p w14:paraId="20AE00FE" w14:textId="77777777" w:rsidR="00B626E7" w:rsidRDefault="00B626E7">
            <w:pPr>
              <w:rPr>
                <w:rFonts w:ascii="宋体"/>
                <w:vanish/>
              </w:rPr>
            </w:pPr>
          </w:p>
        </w:tc>
        <w:tc>
          <w:tcPr>
            <w:tcW w:w="0" w:type="auto"/>
            <w:shd w:val="clear" w:color="auto" w:fill="auto"/>
          </w:tcPr>
          <w:p w14:paraId="20AE00FF" w14:textId="77777777" w:rsidR="00B626E7" w:rsidRDefault="00B626E7">
            <w:pPr>
              <w:rPr>
                <w:rFonts w:ascii="宋体"/>
              </w:rPr>
            </w:pPr>
          </w:p>
        </w:tc>
        <w:tc>
          <w:tcPr>
            <w:tcW w:w="0" w:type="auto"/>
            <w:shd w:val="clear" w:color="auto" w:fill="auto"/>
          </w:tcPr>
          <w:p w14:paraId="20AE0100" w14:textId="77777777" w:rsidR="00B626E7" w:rsidRDefault="00B626E7">
            <w:pPr>
              <w:rPr>
                <w:rFonts w:ascii="宋体"/>
              </w:rPr>
            </w:pPr>
          </w:p>
        </w:tc>
        <w:tc>
          <w:tcPr>
            <w:tcW w:w="0" w:type="auto"/>
            <w:shd w:val="clear" w:color="auto" w:fill="auto"/>
          </w:tcPr>
          <w:p w14:paraId="20AE0101" w14:textId="77777777" w:rsidR="00B626E7" w:rsidRDefault="00B626E7">
            <w:pPr>
              <w:rPr>
                <w:rFonts w:ascii="宋体"/>
              </w:rPr>
            </w:pPr>
          </w:p>
        </w:tc>
        <w:tc>
          <w:tcPr>
            <w:tcW w:w="0" w:type="auto"/>
            <w:shd w:val="clear" w:color="auto" w:fill="auto"/>
          </w:tcPr>
          <w:p w14:paraId="20AE0102" w14:textId="77777777" w:rsidR="00B626E7" w:rsidRDefault="00B626E7">
            <w:pPr>
              <w:rPr>
                <w:rFonts w:ascii="宋体"/>
              </w:rPr>
            </w:pPr>
          </w:p>
        </w:tc>
        <w:tc>
          <w:tcPr>
            <w:tcW w:w="0" w:type="auto"/>
            <w:shd w:val="clear" w:color="auto" w:fill="auto"/>
          </w:tcPr>
          <w:p w14:paraId="20AE0103" w14:textId="77777777" w:rsidR="00B626E7" w:rsidRDefault="00B626E7">
            <w:pPr>
              <w:rPr>
                <w:rFonts w:ascii="宋体"/>
              </w:rPr>
            </w:pPr>
          </w:p>
        </w:tc>
        <w:tc>
          <w:tcPr>
            <w:tcW w:w="0" w:type="auto"/>
            <w:shd w:val="clear" w:color="auto" w:fill="auto"/>
          </w:tcPr>
          <w:p w14:paraId="20AE0104" w14:textId="77777777" w:rsidR="00B626E7" w:rsidRDefault="00B626E7">
            <w:pPr>
              <w:rPr>
                <w:rFonts w:ascii="宋体"/>
              </w:rPr>
            </w:pPr>
          </w:p>
        </w:tc>
      </w:tr>
      <w:tr w:rsidR="00B626E7" w14:paraId="20AE0111" w14:textId="77777777">
        <w:trPr>
          <w:jc w:val="center"/>
          <w:hidden/>
        </w:trPr>
        <w:tc>
          <w:tcPr>
            <w:tcW w:w="0" w:type="auto"/>
            <w:gridSpan w:val="3"/>
            <w:shd w:val="clear" w:color="auto" w:fill="auto"/>
          </w:tcPr>
          <w:p w14:paraId="20AE0106" w14:textId="77777777" w:rsidR="00B626E7" w:rsidRDefault="00B626E7">
            <w:pPr>
              <w:rPr>
                <w:rFonts w:ascii="宋体"/>
                <w:vanish/>
              </w:rPr>
            </w:pPr>
          </w:p>
        </w:tc>
        <w:tc>
          <w:tcPr>
            <w:tcW w:w="0" w:type="auto"/>
            <w:gridSpan w:val="3"/>
            <w:shd w:val="clear" w:color="auto" w:fill="auto"/>
          </w:tcPr>
          <w:p w14:paraId="20AE0107" w14:textId="77777777" w:rsidR="00B626E7" w:rsidRDefault="00B626E7">
            <w:pPr>
              <w:rPr>
                <w:rFonts w:ascii="宋体"/>
                <w:vanish/>
              </w:rPr>
            </w:pPr>
          </w:p>
        </w:tc>
        <w:tc>
          <w:tcPr>
            <w:tcW w:w="0" w:type="auto"/>
            <w:gridSpan w:val="3"/>
            <w:shd w:val="clear" w:color="auto" w:fill="auto"/>
          </w:tcPr>
          <w:p w14:paraId="20AE0108" w14:textId="77777777" w:rsidR="00B626E7" w:rsidRDefault="00B626E7">
            <w:pPr>
              <w:rPr>
                <w:rFonts w:ascii="宋体"/>
                <w:vanish/>
              </w:rPr>
            </w:pPr>
          </w:p>
        </w:tc>
        <w:tc>
          <w:tcPr>
            <w:tcW w:w="0" w:type="auto"/>
            <w:gridSpan w:val="3"/>
            <w:shd w:val="clear" w:color="auto" w:fill="auto"/>
          </w:tcPr>
          <w:p w14:paraId="20AE0109" w14:textId="77777777" w:rsidR="00B626E7" w:rsidRDefault="00B626E7">
            <w:pPr>
              <w:rPr>
                <w:rFonts w:ascii="宋体"/>
                <w:vanish/>
              </w:rPr>
            </w:pPr>
          </w:p>
        </w:tc>
        <w:tc>
          <w:tcPr>
            <w:tcW w:w="0" w:type="auto"/>
            <w:gridSpan w:val="3"/>
            <w:shd w:val="clear" w:color="auto" w:fill="auto"/>
          </w:tcPr>
          <w:p w14:paraId="20AE010A" w14:textId="77777777" w:rsidR="00B626E7" w:rsidRDefault="00B626E7">
            <w:pPr>
              <w:rPr>
                <w:rFonts w:ascii="宋体"/>
                <w:vanish/>
              </w:rPr>
            </w:pPr>
          </w:p>
        </w:tc>
        <w:tc>
          <w:tcPr>
            <w:tcW w:w="0" w:type="auto"/>
            <w:shd w:val="clear" w:color="auto" w:fill="auto"/>
          </w:tcPr>
          <w:p w14:paraId="20AE010B" w14:textId="77777777" w:rsidR="00B626E7" w:rsidRDefault="00B626E7">
            <w:pPr>
              <w:rPr>
                <w:rFonts w:ascii="宋体"/>
              </w:rPr>
            </w:pPr>
          </w:p>
        </w:tc>
        <w:tc>
          <w:tcPr>
            <w:tcW w:w="0" w:type="auto"/>
            <w:shd w:val="clear" w:color="auto" w:fill="auto"/>
          </w:tcPr>
          <w:p w14:paraId="20AE010C" w14:textId="77777777" w:rsidR="00B626E7" w:rsidRDefault="00B626E7">
            <w:pPr>
              <w:rPr>
                <w:rFonts w:ascii="宋体"/>
              </w:rPr>
            </w:pPr>
          </w:p>
        </w:tc>
        <w:tc>
          <w:tcPr>
            <w:tcW w:w="0" w:type="auto"/>
            <w:shd w:val="clear" w:color="auto" w:fill="auto"/>
          </w:tcPr>
          <w:p w14:paraId="20AE010D" w14:textId="77777777" w:rsidR="00B626E7" w:rsidRDefault="00B626E7">
            <w:pPr>
              <w:rPr>
                <w:rFonts w:ascii="宋体"/>
              </w:rPr>
            </w:pPr>
          </w:p>
        </w:tc>
        <w:tc>
          <w:tcPr>
            <w:tcW w:w="0" w:type="auto"/>
            <w:shd w:val="clear" w:color="auto" w:fill="auto"/>
          </w:tcPr>
          <w:p w14:paraId="20AE010E" w14:textId="77777777" w:rsidR="00B626E7" w:rsidRDefault="00B626E7">
            <w:pPr>
              <w:rPr>
                <w:rFonts w:ascii="宋体"/>
              </w:rPr>
            </w:pPr>
          </w:p>
        </w:tc>
        <w:tc>
          <w:tcPr>
            <w:tcW w:w="0" w:type="auto"/>
            <w:shd w:val="clear" w:color="auto" w:fill="auto"/>
          </w:tcPr>
          <w:p w14:paraId="20AE010F" w14:textId="77777777" w:rsidR="00B626E7" w:rsidRDefault="00B626E7">
            <w:pPr>
              <w:rPr>
                <w:rFonts w:ascii="宋体"/>
              </w:rPr>
            </w:pPr>
          </w:p>
        </w:tc>
        <w:tc>
          <w:tcPr>
            <w:tcW w:w="0" w:type="auto"/>
            <w:shd w:val="clear" w:color="auto" w:fill="auto"/>
          </w:tcPr>
          <w:p w14:paraId="20AE0110" w14:textId="77777777" w:rsidR="00B626E7" w:rsidRDefault="00B626E7">
            <w:pPr>
              <w:rPr>
                <w:rFonts w:ascii="宋体"/>
              </w:rPr>
            </w:pPr>
          </w:p>
        </w:tc>
      </w:tr>
      <w:tr w:rsidR="00B626E7" w14:paraId="20AE011F" w14:textId="77777777">
        <w:trPr>
          <w:jc w:val="center"/>
        </w:trPr>
        <w:tc>
          <w:tcPr>
            <w:tcW w:w="0" w:type="auto"/>
            <w:gridSpan w:val="3"/>
            <w:shd w:val="clear" w:color="auto" w:fill="auto"/>
            <w:tcMar>
              <w:top w:w="40" w:type="dxa"/>
              <w:left w:w="195" w:type="dxa"/>
              <w:bottom w:w="40" w:type="dxa"/>
              <w:right w:w="20" w:type="dxa"/>
            </w:tcMar>
          </w:tcPr>
          <w:p w14:paraId="20AE0112" w14:textId="77777777" w:rsidR="00B626E7" w:rsidRDefault="00175C1D">
            <w:pPr>
              <w:textAlignment w:val="top"/>
            </w:pPr>
            <w:r>
              <w:rPr>
                <w:rFonts w:ascii="Arial" w:eastAsia="宋体" w:hAnsi="Arial" w:cs="Arial"/>
                <w:color w:val="333333"/>
                <w:sz w:val="18"/>
                <w:szCs w:val="18"/>
              </w:rPr>
              <w:t>Other financing</w:t>
            </w:r>
          </w:p>
        </w:tc>
        <w:tc>
          <w:tcPr>
            <w:tcW w:w="0" w:type="auto"/>
            <w:gridSpan w:val="3"/>
            <w:shd w:val="clear" w:color="auto" w:fill="auto"/>
            <w:tcMar>
              <w:left w:w="20" w:type="dxa"/>
              <w:right w:w="20" w:type="dxa"/>
            </w:tcMar>
            <w:vAlign w:val="bottom"/>
          </w:tcPr>
          <w:p w14:paraId="20AE0113"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114" w14:textId="77777777" w:rsidR="00B626E7" w:rsidRDefault="00175C1D">
            <w:pPr>
              <w:jc w:val="right"/>
              <w:textAlignment w:val="bottom"/>
            </w:pPr>
            <w:r>
              <w:rPr>
                <w:rFonts w:ascii="Arial" w:eastAsia="宋体" w:hAnsi="Arial" w:cs="Arial"/>
                <w:color w:val="0071C5"/>
                <w:sz w:val="18"/>
                <w:szCs w:val="18"/>
              </w:rPr>
              <w:t>629 </w:t>
            </w:r>
          </w:p>
        </w:tc>
        <w:tc>
          <w:tcPr>
            <w:tcW w:w="0" w:type="auto"/>
            <w:shd w:val="clear" w:color="auto" w:fill="auto"/>
            <w:tcMar>
              <w:top w:w="40" w:type="dxa"/>
              <w:bottom w:w="40" w:type="dxa"/>
              <w:right w:w="20" w:type="dxa"/>
            </w:tcMar>
            <w:vAlign w:val="bottom"/>
          </w:tcPr>
          <w:p w14:paraId="20AE0115"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116"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117" w14:textId="77777777" w:rsidR="00B626E7" w:rsidRDefault="00175C1D">
            <w:pPr>
              <w:jc w:val="right"/>
              <w:textAlignment w:val="bottom"/>
            </w:pPr>
            <w:r>
              <w:rPr>
                <w:rFonts w:ascii="Arial" w:eastAsia="宋体" w:hAnsi="Arial" w:cs="Arial"/>
                <w:color w:val="333333"/>
                <w:sz w:val="18"/>
                <w:szCs w:val="18"/>
              </w:rPr>
              <w:t>850 </w:t>
            </w:r>
          </w:p>
        </w:tc>
        <w:tc>
          <w:tcPr>
            <w:tcW w:w="0" w:type="auto"/>
            <w:shd w:val="clear" w:color="auto" w:fill="auto"/>
            <w:tcMar>
              <w:top w:w="40" w:type="dxa"/>
              <w:bottom w:w="40" w:type="dxa"/>
              <w:right w:w="20" w:type="dxa"/>
            </w:tcMar>
            <w:vAlign w:val="bottom"/>
          </w:tcPr>
          <w:p w14:paraId="20AE0118"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0119" w14:textId="77777777" w:rsidR="00B626E7" w:rsidRDefault="00B626E7">
            <w:pPr>
              <w:rPr>
                <w:rFonts w:ascii="宋体"/>
              </w:rPr>
            </w:pPr>
          </w:p>
        </w:tc>
        <w:tc>
          <w:tcPr>
            <w:tcW w:w="0" w:type="auto"/>
            <w:shd w:val="clear" w:color="auto" w:fill="auto"/>
          </w:tcPr>
          <w:p w14:paraId="20AE011A" w14:textId="77777777" w:rsidR="00B626E7" w:rsidRDefault="00B626E7">
            <w:pPr>
              <w:rPr>
                <w:rFonts w:ascii="宋体"/>
              </w:rPr>
            </w:pPr>
          </w:p>
        </w:tc>
        <w:tc>
          <w:tcPr>
            <w:tcW w:w="0" w:type="auto"/>
            <w:shd w:val="clear" w:color="auto" w:fill="auto"/>
          </w:tcPr>
          <w:p w14:paraId="20AE011B" w14:textId="77777777" w:rsidR="00B626E7" w:rsidRDefault="00B626E7">
            <w:pPr>
              <w:rPr>
                <w:rFonts w:ascii="宋体"/>
              </w:rPr>
            </w:pPr>
          </w:p>
        </w:tc>
        <w:tc>
          <w:tcPr>
            <w:tcW w:w="0" w:type="auto"/>
            <w:shd w:val="clear" w:color="auto" w:fill="auto"/>
          </w:tcPr>
          <w:p w14:paraId="20AE011C" w14:textId="77777777" w:rsidR="00B626E7" w:rsidRDefault="00B626E7">
            <w:pPr>
              <w:rPr>
                <w:rFonts w:ascii="宋体"/>
              </w:rPr>
            </w:pPr>
          </w:p>
        </w:tc>
        <w:tc>
          <w:tcPr>
            <w:tcW w:w="0" w:type="auto"/>
            <w:shd w:val="clear" w:color="auto" w:fill="auto"/>
          </w:tcPr>
          <w:p w14:paraId="20AE011D" w14:textId="77777777" w:rsidR="00B626E7" w:rsidRDefault="00B626E7">
            <w:pPr>
              <w:rPr>
                <w:rFonts w:ascii="宋体"/>
              </w:rPr>
            </w:pPr>
          </w:p>
        </w:tc>
        <w:tc>
          <w:tcPr>
            <w:tcW w:w="0" w:type="auto"/>
            <w:shd w:val="clear" w:color="auto" w:fill="auto"/>
          </w:tcPr>
          <w:p w14:paraId="20AE011E" w14:textId="77777777" w:rsidR="00B626E7" w:rsidRDefault="00B626E7">
            <w:pPr>
              <w:rPr>
                <w:rFonts w:ascii="宋体"/>
              </w:rPr>
            </w:pPr>
          </w:p>
        </w:tc>
      </w:tr>
      <w:tr w:rsidR="00B626E7" w14:paraId="20AE012D" w14:textId="77777777">
        <w:trPr>
          <w:jc w:val="center"/>
        </w:trPr>
        <w:tc>
          <w:tcPr>
            <w:tcW w:w="0" w:type="auto"/>
            <w:gridSpan w:val="3"/>
            <w:shd w:val="clear" w:color="auto" w:fill="auto"/>
            <w:tcMar>
              <w:top w:w="40" w:type="dxa"/>
              <w:left w:w="20" w:type="dxa"/>
              <w:bottom w:w="40" w:type="dxa"/>
              <w:right w:w="20" w:type="dxa"/>
            </w:tcMar>
          </w:tcPr>
          <w:p w14:paraId="20AE0120" w14:textId="77777777" w:rsidR="00B626E7" w:rsidRDefault="00175C1D">
            <w:pPr>
              <w:textAlignment w:val="top"/>
            </w:pPr>
            <w:r>
              <w:rPr>
                <w:rFonts w:ascii="Arial" w:eastAsia="宋体" w:hAnsi="Arial" w:cs="Arial"/>
                <w:b/>
                <w:bCs/>
                <w:color w:val="333333"/>
                <w:sz w:val="18"/>
                <w:szCs w:val="18"/>
              </w:rPr>
              <w:t>Net cash provided by (used for) financing activities</w:t>
            </w:r>
          </w:p>
        </w:tc>
        <w:tc>
          <w:tcPr>
            <w:tcW w:w="0" w:type="auto"/>
            <w:gridSpan w:val="3"/>
            <w:shd w:val="clear" w:color="auto" w:fill="auto"/>
            <w:tcMar>
              <w:left w:w="20" w:type="dxa"/>
              <w:right w:w="20" w:type="dxa"/>
            </w:tcMar>
            <w:vAlign w:val="bottom"/>
          </w:tcPr>
          <w:p w14:paraId="20AE0121"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0122" w14:textId="77777777" w:rsidR="00B626E7" w:rsidRDefault="00175C1D">
            <w:pPr>
              <w:jc w:val="right"/>
              <w:textAlignment w:val="bottom"/>
            </w:pPr>
            <w:r>
              <w:rPr>
                <w:rFonts w:ascii="Arial" w:eastAsia="宋体" w:hAnsi="Arial" w:cs="Arial"/>
                <w:b/>
                <w:bCs/>
                <w:color w:val="0071C5"/>
                <w:sz w:val="18"/>
                <w:szCs w:val="18"/>
              </w:rPr>
              <w:t>1,573 </w:t>
            </w:r>
          </w:p>
        </w:tc>
        <w:tc>
          <w:tcPr>
            <w:tcW w:w="0" w:type="auto"/>
            <w:tcBorders>
              <w:top w:val="single" w:sz="8" w:space="0" w:color="333333"/>
            </w:tcBorders>
            <w:shd w:val="clear" w:color="auto" w:fill="auto"/>
            <w:tcMar>
              <w:top w:w="40" w:type="dxa"/>
              <w:bottom w:w="40" w:type="dxa"/>
              <w:right w:w="20" w:type="dxa"/>
            </w:tcMar>
            <w:vAlign w:val="bottom"/>
          </w:tcPr>
          <w:p w14:paraId="20AE0123"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0124"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0125" w14:textId="77777777" w:rsidR="00B626E7" w:rsidRDefault="00175C1D">
            <w:pPr>
              <w:jc w:val="right"/>
              <w:textAlignment w:val="bottom"/>
            </w:pPr>
            <w:r>
              <w:rPr>
                <w:rFonts w:ascii="Arial" w:eastAsia="宋体" w:hAnsi="Arial" w:cs="Arial"/>
                <w:b/>
                <w:bCs/>
                <w:color w:val="333333"/>
                <w:sz w:val="18"/>
                <w:szCs w:val="18"/>
              </w:rPr>
              <w:t>(6,688)</w:t>
            </w:r>
          </w:p>
        </w:tc>
        <w:tc>
          <w:tcPr>
            <w:tcW w:w="0" w:type="auto"/>
            <w:tcBorders>
              <w:top w:val="single" w:sz="8" w:space="0" w:color="333333"/>
            </w:tcBorders>
            <w:shd w:val="clear" w:color="auto" w:fill="auto"/>
            <w:tcMar>
              <w:top w:w="40" w:type="dxa"/>
              <w:bottom w:w="40" w:type="dxa"/>
              <w:right w:w="20" w:type="dxa"/>
            </w:tcMar>
            <w:vAlign w:val="bottom"/>
          </w:tcPr>
          <w:p w14:paraId="20AE0126"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E0127" w14:textId="77777777" w:rsidR="00B626E7" w:rsidRDefault="00B626E7">
            <w:pPr>
              <w:rPr>
                <w:rFonts w:ascii="宋体"/>
              </w:rPr>
            </w:pPr>
          </w:p>
        </w:tc>
        <w:tc>
          <w:tcPr>
            <w:tcW w:w="0" w:type="auto"/>
            <w:shd w:val="clear" w:color="auto" w:fill="auto"/>
          </w:tcPr>
          <w:p w14:paraId="20AE0128" w14:textId="77777777" w:rsidR="00B626E7" w:rsidRDefault="00B626E7">
            <w:pPr>
              <w:rPr>
                <w:rFonts w:ascii="宋体"/>
              </w:rPr>
            </w:pPr>
          </w:p>
        </w:tc>
        <w:tc>
          <w:tcPr>
            <w:tcW w:w="0" w:type="auto"/>
            <w:shd w:val="clear" w:color="auto" w:fill="auto"/>
          </w:tcPr>
          <w:p w14:paraId="20AE0129" w14:textId="77777777" w:rsidR="00B626E7" w:rsidRDefault="00B626E7">
            <w:pPr>
              <w:rPr>
                <w:rFonts w:ascii="宋体"/>
              </w:rPr>
            </w:pPr>
          </w:p>
        </w:tc>
        <w:tc>
          <w:tcPr>
            <w:tcW w:w="0" w:type="auto"/>
            <w:shd w:val="clear" w:color="auto" w:fill="auto"/>
          </w:tcPr>
          <w:p w14:paraId="20AE012A" w14:textId="77777777" w:rsidR="00B626E7" w:rsidRDefault="00B626E7">
            <w:pPr>
              <w:rPr>
                <w:rFonts w:ascii="宋体"/>
              </w:rPr>
            </w:pPr>
          </w:p>
        </w:tc>
        <w:tc>
          <w:tcPr>
            <w:tcW w:w="0" w:type="auto"/>
            <w:shd w:val="clear" w:color="auto" w:fill="auto"/>
          </w:tcPr>
          <w:p w14:paraId="20AE012B" w14:textId="77777777" w:rsidR="00B626E7" w:rsidRDefault="00B626E7">
            <w:pPr>
              <w:rPr>
                <w:rFonts w:ascii="宋体"/>
              </w:rPr>
            </w:pPr>
          </w:p>
        </w:tc>
        <w:tc>
          <w:tcPr>
            <w:tcW w:w="0" w:type="auto"/>
            <w:shd w:val="clear" w:color="auto" w:fill="auto"/>
          </w:tcPr>
          <w:p w14:paraId="20AE012C" w14:textId="77777777" w:rsidR="00B626E7" w:rsidRDefault="00B626E7">
            <w:pPr>
              <w:rPr>
                <w:rFonts w:ascii="宋体"/>
              </w:rPr>
            </w:pPr>
          </w:p>
        </w:tc>
      </w:tr>
      <w:tr w:rsidR="00B626E7" w14:paraId="20AE0139" w14:textId="77777777">
        <w:trPr>
          <w:jc w:val="center"/>
          <w:hidden/>
        </w:trPr>
        <w:tc>
          <w:tcPr>
            <w:tcW w:w="0" w:type="auto"/>
            <w:gridSpan w:val="3"/>
            <w:shd w:val="clear" w:color="auto" w:fill="auto"/>
          </w:tcPr>
          <w:p w14:paraId="20AE012E" w14:textId="77777777" w:rsidR="00B626E7" w:rsidRDefault="00B626E7">
            <w:pPr>
              <w:rPr>
                <w:rFonts w:ascii="宋体"/>
                <w:vanish/>
              </w:rPr>
            </w:pPr>
          </w:p>
        </w:tc>
        <w:tc>
          <w:tcPr>
            <w:tcW w:w="0" w:type="auto"/>
            <w:gridSpan w:val="3"/>
            <w:shd w:val="clear" w:color="auto" w:fill="auto"/>
          </w:tcPr>
          <w:p w14:paraId="20AE012F" w14:textId="77777777" w:rsidR="00B626E7" w:rsidRDefault="00B626E7">
            <w:pPr>
              <w:rPr>
                <w:rFonts w:ascii="宋体"/>
                <w:vanish/>
              </w:rPr>
            </w:pPr>
          </w:p>
        </w:tc>
        <w:tc>
          <w:tcPr>
            <w:tcW w:w="0" w:type="auto"/>
            <w:gridSpan w:val="3"/>
            <w:shd w:val="clear" w:color="auto" w:fill="auto"/>
          </w:tcPr>
          <w:p w14:paraId="20AE0130" w14:textId="77777777" w:rsidR="00B626E7" w:rsidRDefault="00B626E7">
            <w:pPr>
              <w:rPr>
                <w:rFonts w:ascii="宋体"/>
                <w:vanish/>
              </w:rPr>
            </w:pPr>
          </w:p>
        </w:tc>
        <w:tc>
          <w:tcPr>
            <w:tcW w:w="0" w:type="auto"/>
            <w:gridSpan w:val="3"/>
            <w:shd w:val="clear" w:color="auto" w:fill="auto"/>
          </w:tcPr>
          <w:p w14:paraId="20AE0131" w14:textId="77777777" w:rsidR="00B626E7" w:rsidRDefault="00B626E7">
            <w:pPr>
              <w:rPr>
                <w:rFonts w:ascii="宋体"/>
                <w:vanish/>
              </w:rPr>
            </w:pPr>
          </w:p>
        </w:tc>
        <w:tc>
          <w:tcPr>
            <w:tcW w:w="0" w:type="auto"/>
            <w:gridSpan w:val="3"/>
            <w:shd w:val="clear" w:color="auto" w:fill="auto"/>
          </w:tcPr>
          <w:p w14:paraId="20AE0132" w14:textId="77777777" w:rsidR="00B626E7" w:rsidRDefault="00B626E7">
            <w:pPr>
              <w:rPr>
                <w:rFonts w:ascii="宋体"/>
                <w:vanish/>
              </w:rPr>
            </w:pPr>
          </w:p>
        </w:tc>
        <w:tc>
          <w:tcPr>
            <w:tcW w:w="0" w:type="auto"/>
            <w:shd w:val="clear" w:color="auto" w:fill="auto"/>
          </w:tcPr>
          <w:p w14:paraId="20AE0133" w14:textId="77777777" w:rsidR="00B626E7" w:rsidRDefault="00B626E7">
            <w:pPr>
              <w:rPr>
                <w:rFonts w:ascii="宋体"/>
              </w:rPr>
            </w:pPr>
          </w:p>
        </w:tc>
        <w:tc>
          <w:tcPr>
            <w:tcW w:w="0" w:type="auto"/>
            <w:shd w:val="clear" w:color="auto" w:fill="auto"/>
          </w:tcPr>
          <w:p w14:paraId="20AE0134" w14:textId="77777777" w:rsidR="00B626E7" w:rsidRDefault="00B626E7">
            <w:pPr>
              <w:rPr>
                <w:rFonts w:ascii="宋体"/>
              </w:rPr>
            </w:pPr>
          </w:p>
        </w:tc>
        <w:tc>
          <w:tcPr>
            <w:tcW w:w="0" w:type="auto"/>
            <w:shd w:val="clear" w:color="auto" w:fill="auto"/>
          </w:tcPr>
          <w:p w14:paraId="20AE0135" w14:textId="77777777" w:rsidR="00B626E7" w:rsidRDefault="00B626E7">
            <w:pPr>
              <w:rPr>
                <w:rFonts w:ascii="宋体"/>
              </w:rPr>
            </w:pPr>
          </w:p>
        </w:tc>
        <w:tc>
          <w:tcPr>
            <w:tcW w:w="0" w:type="auto"/>
            <w:shd w:val="clear" w:color="auto" w:fill="auto"/>
          </w:tcPr>
          <w:p w14:paraId="20AE0136" w14:textId="77777777" w:rsidR="00B626E7" w:rsidRDefault="00B626E7">
            <w:pPr>
              <w:rPr>
                <w:rFonts w:ascii="宋体"/>
              </w:rPr>
            </w:pPr>
          </w:p>
        </w:tc>
        <w:tc>
          <w:tcPr>
            <w:tcW w:w="0" w:type="auto"/>
            <w:shd w:val="clear" w:color="auto" w:fill="auto"/>
          </w:tcPr>
          <w:p w14:paraId="20AE0137" w14:textId="77777777" w:rsidR="00B626E7" w:rsidRDefault="00B626E7">
            <w:pPr>
              <w:rPr>
                <w:rFonts w:ascii="宋体"/>
              </w:rPr>
            </w:pPr>
          </w:p>
        </w:tc>
        <w:tc>
          <w:tcPr>
            <w:tcW w:w="0" w:type="auto"/>
            <w:shd w:val="clear" w:color="auto" w:fill="auto"/>
          </w:tcPr>
          <w:p w14:paraId="20AE0138" w14:textId="77777777" w:rsidR="00B626E7" w:rsidRDefault="00B626E7">
            <w:pPr>
              <w:rPr>
                <w:rFonts w:ascii="宋体"/>
              </w:rPr>
            </w:pPr>
          </w:p>
        </w:tc>
      </w:tr>
      <w:tr w:rsidR="00B626E7" w14:paraId="20AE0147" w14:textId="77777777">
        <w:trPr>
          <w:jc w:val="center"/>
        </w:trPr>
        <w:tc>
          <w:tcPr>
            <w:tcW w:w="0" w:type="auto"/>
            <w:gridSpan w:val="3"/>
            <w:shd w:val="clear" w:color="auto" w:fill="auto"/>
            <w:tcMar>
              <w:top w:w="40" w:type="dxa"/>
              <w:left w:w="20" w:type="dxa"/>
              <w:bottom w:w="40" w:type="dxa"/>
              <w:right w:w="20" w:type="dxa"/>
            </w:tcMar>
          </w:tcPr>
          <w:p w14:paraId="20AE013A" w14:textId="77777777" w:rsidR="00B626E7" w:rsidRDefault="00175C1D">
            <w:pPr>
              <w:textAlignment w:val="top"/>
            </w:pPr>
            <w:r>
              <w:rPr>
                <w:rFonts w:ascii="Arial" w:eastAsia="宋体" w:hAnsi="Arial" w:cs="Arial"/>
                <w:b/>
                <w:bCs/>
                <w:color w:val="333333"/>
                <w:sz w:val="18"/>
                <w:szCs w:val="18"/>
              </w:rPr>
              <w:t>Net increase (decrease) in cash and cash equivalents</w:t>
            </w:r>
          </w:p>
        </w:tc>
        <w:tc>
          <w:tcPr>
            <w:tcW w:w="0" w:type="auto"/>
            <w:gridSpan w:val="3"/>
            <w:shd w:val="clear" w:color="auto" w:fill="auto"/>
            <w:tcMar>
              <w:left w:w="20" w:type="dxa"/>
              <w:right w:w="20" w:type="dxa"/>
            </w:tcMar>
            <w:vAlign w:val="bottom"/>
          </w:tcPr>
          <w:p w14:paraId="20AE013B"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013C" w14:textId="77777777" w:rsidR="00B626E7" w:rsidRDefault="00175C1D">
            <w:pPr>
              <w:jc w:val="right"/>
              <w:textAlignment w:val="bottom"/>
            </w:pPr>
            <w:r>
              <w:rPr>
                <w:rFonts w:ascii="Arial" w:eastAsia="宋体" w:hAnsi="Arial" w:cs="Arial"/>
                <w:b/>
                <w:bCs/>
                <w:color w:val="0071C5"/>
                <w:sz w:val="18"/>
                <w:szCs w:val="18"/>
              </w:rPr>
              <w:t>4,542 </w:t>
            </w:r>
          </w:p>
        </w:tc>
        <w:tc>
          <w:tcPr>
            <w:tcW w:w="0" w:type="auto"/>
            <w:tcBorders>
              <w:top w:val="single" w:sz="8" w:space="0" w:color="333333"/>
            </w:tcBorders>
            <w:shd w:val="clear" w:color="auto" w:fill="auto"/>
            <w:tcMar>
              <w:top w:w="40" w:type="dxa"/>
              <w:bottom w:w="40" w:type="dxa"/>
              <w:right w:w="20" w:type="dxa"/>
            </w:tcMar>
            <w:vAlign w:val="bottom"/>
          </w:tcPr>
          <w:p w14:paraId="20AE013D"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013E"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013F" w14:textId="77777777" w:rsidR="00B626E7" w:rsidRDefault="00175C1D">
            <w:pPr>
              <w:jc w:val="right"/>
              <w:textAlignment w:val="bottom"/>
            </w:pPr>
            <w:r>
              <w:rPr>
                <w:rFonts w:ascii="Arial" w:eastAsia="宋体" w:hAnsi="Arial" w:cs="Arial"/>
                <w:b/>
                <w:bCs/>
                <w:color w:val="333333"/>
                <w:sz w:val="18"/>
                <w:szCs w:val="18"/>
              </w:rPr>
              <w:t>(152)</w:t>
            </w:r>
          </w:p>
        </w:tc>
        <w:tc>
          <w:tcPr>
            <w:tcW w:w="0" w:type="auto"/>
            <w:tcBorders>
              <w:top w:val="single" w:sz="8" w:space="0" w:color="333333"/>
            </w:tcBorders>
            <w:shd w:val="clear" w:color="auto" w:fill="auto"/>
            <w:tcMar>
              <w:top w:w="40" w:type="dxa"/>
              <w:bottom w:w="40" w:type="dxa"/>
              <w:right w:w="20" w:type="dxa"/>
            </w:tcMar>
            <w:vAlign w:val="bottom"/>
          </w:tcPr>
          <w:p w14:paraId="20AE0140"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E0141" w14:textId="77777777" w:rsidR="00B626E7" w:rsidRDefault="00B626E7">
            <w:pPr>
              <w:rPr>
                <w:rFonts w:ascii="宋体"/>
              </w:rPr>
            </w:pPr>
          </w:p>
        </w:tc>
        <w:tc>
          <w:tcPr>
            <w:tcW w:w="0" w:type="auto"/>
            <w:shd w:val="clear" w:color="auto" w:fill="auto"/>
          </w:tcPr>
          <w:p w14:paraId="20AE0142" w14:textId="77777777" w:rsidR="00B626E7" w:rsidRDefault="00B626E7">
            <w:pPr>
              <w:rPr>
                <w:rFonts w:ascii="宋体"/>
              </w:rPr>
            </w:pPr>
          </w:p>
        </w:tc>
        <w:tc>
          <w:tcPr>
            <w:tcW w:w="0" w:type="auto"/>
            <w:shd w:val="clear" w:color="auto" w:fill="auto"/>
          </w:tcPr>
          <w:p w14:paraId="20AE0143" w14:textId="77777777" w:rsidR="00B626E7" w:rsidRDefault="00B626E7">
            <w:pPr>
              <w:rPr>
                <w:rFonts w:ascii="宋体"/>
              </w:rPr>
            </w:pPr>
          </w:p>
        </w:tc>
        <w:tc>
          <w:tcPr>
            <w:tcW w:w="0" w:type="auto"/>
            <w:shd w:val="clear" w:color="auto" w:fill="auto"/>
          </w:tcPr>
          <w:p w14:paraId="20AE0144" w14:textId="77777777" w:rsidR="00B626E7" w:rsidRDefault="00B626E7">
            <w:pPr>
              <w:rPr>
                <w:rFonts w:ascii="宋体"/>
              </w:rPr>
            </w:pPr>
          </w:p>
        </w:tc>
        <w:tc>
          <w:tcPr>
            <w:tcW w:w="0" w:type="auto"/>
            <w:shd w:val="clear" w:color="auto" w:fill="auto"/>
          </w:tcPr>
          <w:p w14:paraId="20AE0145" w14:textId="77777777" w:rsidR="00B626E7" w:rsidRDefault="00B626E7">
            <w:pPr>
              <w:rPr>
                <w:rFonts w:ascii="宋体"/>
              </w:rPr>
            </w:pPr>
          </w:p>
        </w:tc>
        <w:tc>
          <w:tcPr>
            <w:tcW w:w="0" w:type="auto"/>
            <w:shd w:val="clear" w:color="auto" w:fill="auto"/>
          </w:tcPr>
          <w:p w14:paraId="20AE0146" w14:textId="77777777" w:rsidR="00B626E7" w:rsidRDefault="00B626E7">
            <w:pPr>
              <w:rPr>
                <w:rFonts w:ascii="宋体"/>
              </w:rPr>
            </w:pPr>
          </w:p>
        </w:tc>
      </w:tr>
      <w:tr w:rsidR="00B626E7" w14:paraId="20AE0157" w14:textId="77777777">
        <w:trPr>
          <w:jc w:val="center"/>
        </w:trPr>
        <w:tc>
          <w:tcPr>
            <w:tcW w:w="0" w:type="auto"/>
            <w:gridSpan w:val="3"/>
            <w:shd w:val="clear" w:color="auto" w:fill="auto"/>
            <w:tcMar>
              <w:top w:w="40" w:type="dxa"/>
              <w:left w:w="20" w:type="dxa"/>
              <w:bottom w:w="40" w:type="dxa"/>
              <w:right w:w="20" w:type="dxa"/>
            </w:tcMar>
          </w:tcPr>
          <w:p w14:paraId="20AE0148" w14:textId="77777777" w:rsidR="00B626E7" w:rsidRDefault="00175C1D">
            <w:pPr>
              <w:textAlignment w:val="top"/>
            </w:pPr>
            <w:r>
              <w:rPr>
                <w:rFonts w:ascii="Arial" w:eastAsia="宋体" w:hAnsi="Arial" w:cs="Arial"/>
                <w:b/>
                <w:bCs/>
                <w:color w:val="333333"/>
                <w:sz w:val="18"/>
                <w:szCs w:val="18"/>
              </w:rPr>
              <w:t>Cash and cash equivalents, end of period</w:t>
            </w:r>
          </w:p>
        </w:tc>
        <w:tc>
          <w:tcPr>
            <w:tcW w:w="0" w:type="auto"/>
            <w:gridSpan w:val="3"/>
            <w:shd w:val="clear" w:color="auto" w:fill="auto"/>
            <w:tcMar>
              <w:left w:w="20" w:type="dxa"/>
              <w:right w:w="20" w:type="dxa"/>
            </w:tcMar>
            <w:vAlign w:val="bottom"/>
          </w:tcPr>
          <w:p w14:paraId="20AE0149" w14:textId="77777777" w:rsidR="00B626E7" w:rsidRDefault="00B626E7">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20AE014A" w14:textId="77777777" w:rsidR="00B626E7" w:rsidRDefault="00175C1D">
            <w:pPr>
              <w:textAlignment w:val="bottom"/>
            </w:pPr>
            <w:r>
              <w:rPr>
                <w:rFonts w:ascii="Arial" w:eastAsia="宋体" w:hAnsi="Arial" w:cs="Arial"/>
                <w:b/>
                <w:bCs/>
                <w:color w:val="0071C5"/>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20AE014B" w14:textId="77777777" w:rsidR="00B626E7" w:rsidRDefault="00175C1D">
            <w:pPr>
              <w:jc w:val="right"/>
              <w:textAlignment w:val="bottom"/>
            </w:pPr>
            <w:r>
              <w:rPr>
                <w:rFonts w:ascii="Arial" w:eastAsia="宋体" w:hAnsi="Arial" w:cs="Arial"/>
                <w:b/>
                <w:bCs/>
                <w:color w:val="0071C5"/>
                <w:sz w:val="18"/>
                <w:szCs w:val="18"/>
              </w:rPr>
              <w:t>8,736 </w:t>
            </w:r>
          </w:p>
        </w:tc>
        <w:tc>
          <w:tcPr>
            <w:tcW w:w="0" w:type="auto"/>
            <w:tcBorders>
              <w:top w:val="single" w:sz="8" w:space="0" w:color="333333"/>
            </w:tcBorders>
            <w:shd w:val="clear" w:color="auto" w:fill="auto"/>
            <w:tcMar>
              <w:top w:w="40" w:type="dxa"/>
              <w:bottom w:w="40" w:type="dxa"/>
              <w:right w:w="20" w:type="dxa"/>
            </w:tcMar>
            <w:vAlign w:val="bottom"/>
          </w:tcPr>
          <w:p w14:paraId="20AE014C"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014D" w14:textId="77777777" w:rsidR="00B626E7" w:rsidRDefault="00B626E7">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20AE014E"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20AE014F" w14:textId="77777777" w:rsidR="00B626E7" w:rsidRDefault="00175C1D">
            <w:pPr>
              <w:jc w:val="right"/>
              <w:textAlignment w:val="bottom"/>
            </w:pPr>
            <w:r>
              <w:rPr>
                <w:rFonts w:ascii="Arial" w:eastAsia="宋体" w:hAnsi="Arial" w:cs="Arial"/>
                <w:b/>
                <w:bCs/>
                <w:color w:val="333333"/>
                <w:sz w:val="18"/>
                <w:szCs w:val="18"/>
              </w:rPr>
              <w:t>2,867 </w:t>
            </w:r>
          </w:p>
        </w:tc>
        <w:tc>
          <w:tcPr>
            <w:tcW w:w="0" w:type="auto"/>
            <w:tcBorders>
              <w:top w:val="single" w:sz="8" w:space="0" w:color="333333"/>
            </w:tcBorders>
            <w:shd w:val="clear" w:color="auto" w:fill="auto"/>
            <w:tcMar>
              <w:top w:w="40" w:type="dxa"/>
              <w:bottom w:w="40" w:type="dxa"/>
              <w:right w:w="20" w:type="dxa"/>
            </w:tcMar>
            <w:vAlign w:val="bottom"/>
          </w:tcPr>
          <w:p w14:paraId="20AE0150"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E0151" w14:textId="77777777" w:rsidR="00B626E7" w:rsidRDefault="00B626E7">
            <w:pPr>
              <w:rPr>
                <w:rFonts w:ascii="宋体"/>
              </w:rPr>
            </w:pPr>
          </w:p>
        </w:tc>
        <w:tc>
          <w:tcPr>
            <w:tcW w:w="0" w:type="auto"/>
            <w:shd w:val="clear" w:color="auto" w:fill="auto"/>
          </w:tcPr>
          <w:p w14:paraId="20AE0152" w14:textId="77777777" w:rsidR="00B626E7" w:rsidRDefault="00B626E7">
            <w:pPr>
              <w:rPr>
                <w:rFonts w:ascii="宋体"/>
              </w:rPr>
            </w:pPr>
          </w:p>
        </w:tc>
        <w:tc>
          <w:tcPr>
            <w:tcW w:w="0" w:type="auto"/>
            <w:shd w:val="clear" w:color="auto" w:fill="auto"/>
          </w:tcPr>
          <w:p w14:paraId="20AE0153" w14:textId="77777777" w:rsidR="00B626E7" w:rsidRDefault="00B626E7">
            <w:pPr>
              <w:rPr>
                <w:rFonts w:ascii="宋体"/>
              </w:rPr>
            </w:pPr>
          </w:p>
        </w:tc>
        <w:tc>
          <w:tcPr>
            <w:tcW w:w="0" w:type="auto"/>
            <w:shd w:val="clear" w:color="auto" w:fill="auto"/>
          </w:tcPr>
          <w:p w14:paraId="20AE0154" w14:textId="77777777" w:rsidR="00B626E7" w:rsidRDefault="00B626E7">
            <w:pPr>
              <w:rPr>
                <w:rFonts w:ascii="宋体"/>
              </w:rPr>
            </w:pPr>
          </w:p>
        </w:tc>
        <w:tc>
          <w:tcPr>
            <w:tcW w:w="0" w:type="auto"/>
            <w:shd w:val="clear" w:color="auto" w:fill="auto"/>
          </w:tcPr>
          <w:p w14:paraId="20AE0155" w14:textId="77777777" w:rsidR="00B626E7" w:rsidRDefault="00B626E7">
            <w:pPr>
              <w:rPr>
                <w:rFonts w:ascii="宋体"/>
              </w:rPr>
            </w:pPr>
          </w:p>
        </w:tc>
        <w:tc>
          <w:tcPr>
            <w:tcW w:w="0" w:type="auto"/>
            <w:shd w:val="clear" w:color="auto" w:fill="auto"/>
          </w:tcPr>
          <w:p w14:paraId="20AE0156" w14:textId="77777777" w:rsidR="00B626E7" w:rsidRDefault="00B626E7">
            <w:pPr>
              <w:rPr>
                <w:rFonts w:ascii="宋体"/>
              </w:rPr>
            </w:pPr>
          </w:p>
        </w:tc>
      </w:tr>
      <w:tr w:rsidR="00B626E7" w14:paraId="20AE0163" w14:textId="77777777">
        <w:trPr>
          <w:trHeight w:val="180"/>
          <w:jc w:val="center"/>
        </w:trPr>
        <w:tc>
          <w:tcPr>
            <w:tcW w:w="0" w:type="auto"/>
            <w:gridSpan w:val="3"/>
            <w:shd w:val="clear" w:color="auto" w:fill="auto"/>
            <w:tcMar>
              <w:left w:w="20" w:type="dxa"/>
              <w:right w:w="20" w:type="dxa"/>
            </w:tcMar>
            <w:vAlign w:val="bottom"/>
          </w:tcPr>
          <w:p w14:paraId="20AE0158"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159" w14:textId="77777777" w:rsidR="00B626E7" w:rsidRDefault="00B626E7">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20AE015A"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15B" w14:textId="77777777" w:rsidR="00B626E7" w:rsidRDefault="00B626E7">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20AE015C" w14:textId="77777777" w:rsidR="00B626E7" w:rsidRDefault="00B626E7">
            <w:pPr>
              <w:rPr>
                <w:rFonts w:ascii="宋体"/>
              </w:rPr>
            </w:pPr>
          </w:p>
        </w:tc>
        <w:tc>
          <w:tcPr>
            <w:tcW w:w="0" w:type="auto"/>
            <w:shd w:val="clear" w:color="auto" w:fill="auto"/>
          </w:tcPr>
          <w:p w14:paraId="20AE015D" w14:textId="77777777" w:rsidR="00B626E7" w:rsidRDefault="00B626E7">
            <w:pPr>
              <w:rPr>
                <w:rFonts w:ascii="宋体"/>
              </w:rPr>
            </w:pPr>
          </w:p>
        </w:tc>
        <w:tc>
          <w:tcPr>
            <w:tcW w:w="0" w:type="auto"/>
            <w:shd w:val="clear" w:color="auto" w:fill="auto"/>
          </w:tcPr>
          <w:p w14:paraId="20AE015E" w14:textId="77777777" w:rsidR="00B626E7" w:rsidRDefault="00B626E7">
            <w:pPr>
              <w:rPr>
                <w:rFonts w:ascii="宋体"/>
              </w:rPr>
            </w:pPr>
          </w:p>
        </w:tc>
        <w:tc>
          <w:tcPr>
            <w:tcW w:w="0" w:type="auto"/>
            <w:shd w:val="clear" w:color="auto" w:fill="auto"/>
          </w:tcPr>
          <w:p w14:paraId="20AE015F" w14:textId="77777777" w:rsidR="00B626E7" w:rsidRDefault="00B626E7">
            <w:pPr>
              <w:rPr>
                <w:rFonts w:ascii="宋体"/>
              </w:rPr>
            </w:pPr>
          </w:p>
        </w:tc>
        <w:tc>
          <w:tcPr>
            <w:tcW w:w="0" w:type="auto"/>
            <w:shd w:val="clear" w:color="auto" w:fill="auto"/>
          </w:tcPr>
          <w:p w14:paraId="20AE0160" w14:textId="77777777" w:rsidR="00B626E7" w:rsidRDefault="00B626E7">
            <w:pPr>
              <w:rPr>
                <w:rFonts w:ascii="宋体"/>
              </w:rPr>
            </w:pPr>
          </w:p>
        </w:tc>
        <w:tc>
          <w:tcPr>
            <w:tcW w:w="0" w:type="auto"/>
            <w:shd w:val="clear" w:color="auto" w:fill="auto"/>
          </w:tcPr>
          <w:p w14:paraId="20AE0161" w14:textId="77777777" w:rsidR="00B626E7" w:rsidRDefault="00B626E7">
            <w:pPr>
              <w:rPr>
                <w:rFonts w:ascii="宋体"/>
              </w:rPr>
            </w:pPr>
          </w:p>
        </w:tc>
        <w:tc>
          <w:tcPr>
            <w:tcW w:w="0" w:type="auto"/>
            <w:shd w:val="clear" w:color="auto" w:fill="auto"/>
          </w:tcPr>
          <w:p w14:paraId="20AE0162" w14:textId="77777777" w:rsidR="00B626E7" w:rsidRDefault="00B626E7">
            <w:pPr>
              <w:rPr>
                <w:rFonts w:ascii="宋体"/>
              </w:rPr>
            </w:pPr>
          </w:p>
        </w:tc>
      </w:tr>
      <w:tr w:rsidR="00B626E7" w14:paraId="20AE016F" w14:textId="77777777">
        <w:trPr>
          <w:jc w:val="center"/>
        </w:trPr>
        <w:tc>
          <w:tcPr>
            <w:tcW w:w="0" w:type="auto"/>
            <w:gridSpan w:val="3"/>
            <w:shd w:val="clear" w:color="auto" w:fill="auto"/>
            <w:tcMar>
              <w:top w:w="40" w:type="dxa"/>
              <w:left w:w="20" w:type="dxa"/>
              <w:bottom w:w="40" w:type="dxa"/>
              <w:right w:w="20" w:type="dxa"/>
            </w:tcMar>
          </w:tcPr>
          <w:p w14:paraId="20AE0164" w14:textId="77777777" w:rsidR="00B626E7" w:rsidRDefault="00175C1D">
            <w:pPr>
              <w:textAlignment w:val="top"/>
            </w:pPr>
            <w:r>
              <w:rPr>
                <w:rFonts w:ascii="Arial" w:eastAsia="宋体" w:hAnsi="Arial" w:cs="Arial"/>
                <w:color w:val="333333"/>
                <w:sz w:val="18"/>
                <w:szCs w:val="18"/>
              </w:rPr>
              <w:t xml:space="preserve">Supplemental disclosures of noncash investing activities and cash flow </w:t>
            </w:r>
            <w:r>
              <w:rPr>
                <w:rFonts w:ascii="Arial" w:eastAsia="宋体" w:hAnsi="Arial" w:cs="Arial"/>
                <w:color w:val="333333"/>
                <w:sz w:val="18"/>
                <w:szCs w:val="18"/>
              </w:rPr>
              <w:t>information:</w:t>
            </w:r>
          </w:p>
        </w:tc>
        <w:tc>
          <w:tcPr>
            <w:tcW w:w="0" w:type="auto"/>
            <w:gridSpan w:val="3"/>
            <w:shd w:val="clear" w:color="auto" w:fill="auto"/>
            <w:tcMar>
              <w:left w:w="20" w:type="dxa"/>
              <w:right w:w="20" w:type="dxa"/>
            </w:tcMar>
            <w:vAlign w:val="bottom"/>
          </w:tcPr>
          <w:p w14:paraId="20AE0165"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166"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167"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168" w14:textId="77777777" w:rsidR="00B626E7" w:rsidRDefault="00B626E7">
            <w:pPr>
              <w:rPr>
                <w:rFonts w:ascii="宋体"/>
              </w:rPr>
            </w:pPr>
          </w:p>
        </w:tc>
        <w:tc>
          <w:tcPr>
            <w:tcW w:w="0" w:type="auto"/>
            <w:shd w:val="clear" w:color="auto" w:fill="auto"/>
          </w:tcPr>
          <w:p w14:paraId="20AE0169" w14:textId="77777777" w:rsidR="00B626E7" w:rsidRDefault="00B626E7">
            <w:pPr>
              <w:rPr>
                <w:rFonts w:ascii="宋体"/>
              </w:rPr>
            </w:pPr>
          </w:p>
        </w:tc>
        <w:tc>
          <w:tcPr>
            <w:tcW w:w="0" w:type="auto"/>
            <w:shd w:val="clear" w:color="auto" w:fill="auto"/>
          </w:tcPr>
          <w:p w14:paraId="20AE016A" w14:textId="77777777" w:rsidR="00B626E7" w:rsidRDefault="00B626E7">
            <w:pPr>
              <w:rPr>
                <w:rFonts w:ascii="宋体"/>
              </w:rPr>
            </w:pPr>
          </w:p>
        </w:tc>
        <w:tc>
          <w:tcPr>
            <w:tcW w:w="0" w:type="auto"/>
            <w:shd w:val="clear" w:color="auto" w:fill="auto"/>
          </w:tcPr>
          <w:p w14:paraId="20AE016B" w14:textId="77777777" w:rsidR="00B626E7" w:rsidRDefault="00B626E7">
            <w:pPr>
              <w:rPr>
                <w:rFonts w:ascii="宋体"/>
              </w:rPr>
            </w:pPr>
          </w:p>
        </w:tc>
        <w:tc>
          <w:tcPr>
            <w:tcW w:w="0" w:type="auto"/>
            <w:shd w:val="clear" w:color="auto" w:fill="auto"/>
          </w:tcPr>
          <w:p w14:paraId="20AE016C" w14:textId="77777777" w:rsidR="00B626E7" w:rsidRDefault="00B626E7">
            <w:pPr>
              <w:rPr>
                <w:rFonts w:ascii="宋体"/>
              </w:rPr>
            </w:pPr>
          </w:p>
        </w:tc>
        <w:tc>
          <w:tcPr>
            <w:tcW w:w="0" w:type="auto"/>
            <w:shd w:val="clear" w:color="auto" w:fill="auto"/>
          </w:tcPr>
          <w:p w14:paraId="20AE016D" w14:textId="77777777" w:rsidR="00B626E7" w:rsidRDefault="00B626E7">
            <w:pPr>
              <w:rPr>
                <w:rFonts w:ascii="宋体"/>
              </w:rPr>
            </w:pPr>
          </w:p>
        </w:tc>
        <w:tc>
          <w:tcPr>
            <w:tcW w:w="0" w:type="auto"/>
            <w:shd w:val="clear" w:color="auto" w:fill="auto"/>
          </w:tcPr>
          <w:p w14:paraId="20AE016E" w14:textId="77777777" w:rsidR="00B626E7" w:rsidRDefault="00B626E7">
            <w:pPr>
              <w:rPr>
                <w:rFonts w:ascii="宋体"/>
              </w:rPr>
            </w:pPr>
          </w:p>
        </w:tc>
      </w:tr>
      <w:tr w:rsidR="00B626E7" w14:paraId="20AE017F" w14:textId="77777777">
        <w:trPr>
          <w:jc w:val="center"/>
        </w:trPr>
        <w:tc>
          <w:tcPr>
            <w:tcW w:w="0" w:type="auto"/>
            <w:gridSpan w:val="3"/>
            <w:shd w:val="clear" w:color="auto" w:fill="auto"/>
            <w:tcMar>
              <w:top w:w="40" w:type="dxa"/>
              <w:left w:w="195" w:type="dxa"/>
              <w:bottom w:w="40" w:type="dxa"/>
              <w:right w:w="20" w:type="dxa"/>
            </w:tcMar>
          </w:tcPr>
          <w:p w14:paraId="20AE0170" w14:textId="77777777" w:rsidR="00B626E7" w:rsidRDefault="00175C1D">
            <w:pPr>
              <w:textAlignment w:val="top"/>
            </w:pPr>
            <w:r>
              <w:rPr>
                <w:rFonts w:ascii="Arial" w:eastAsia="宋体" w:hAnsi="Arial" w:cs="Arial"/>
                <w:color w:val="333333"/>
                <w:sz w:val="18"/>
                <w:szCs w:val="18"/>
              </w:rPr>
              <w:t>Acquisition of property, plant, and equipment included in accounts payable and accrued liabilities</w:t>
            </w:r>
          </w:p>
        </w:tc>
        <w:tc>
          <w:tcPr>
            <w:tcW w:w="0" w:type="auto"/>
            <w:gridSpan w:val="3"/>
            <w:shd w:val="clear" w:color="auto" w:fill="auto"/>
            <w:tcMar>
              <w:left w:w="20" w:type="dxa"/>
              <w:right w:w="20" w:type="dxa"/>
            </w:tcMar>
            <w:vAlign w:val="bottom"/>
          </w:tcPr>
          <w:p w14:paraId="20AE0171"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0172" w14:textId="77777777" w:rsidR="00B626E7" w:rsidRDefault="00175C1D">
            <w:pPr>
              <w:textAlignment w:val="bottom"/>
            </w:pPr>
            <w:r>
              <w:rPr>
                <w:rFonts w:ascii="Arial" w:eastAsia="宋体" w:hAnsi="Arial" w:cs="Arial"/>
                <w:color w:val="0071C5"/>
                <w:sz w:val="18"/>
                <w:szCs w:val="18"/>
              </w:rPr>
              <w:t>$</w:t>
            </w:r>
          </w:p>
        </w:tc>
        <w:tc>
          <w:tcPr>
            <w:tcW w:w="0" w:type="auto"/>
            <w:shd w:val="clear" w:color="auto" w:fill="auto"/>
            <w:tcMar>
              <w:top w:w="40" w:type="dxa"/>
              <w:bottom w:w="40" w:type="dxa"/>
              <w:right w:w="0" w:type="dxa"/>
            </w:tcMar>
            <w:vAlign w:val="bottom"/>
          </w:tcPr>
          <w:p w14:paraId="20AE0173" w14:textId="77777777" w:rsidR="00B626E7" w:rsidRDefault="00175C1D">
            <w:pPr>
              <w:jc w:val="right"/>
              <w:textAlignment w:val="bottom"/>
            </w:pPr>
            <w:r>
              <w:rPr>
                <w:rFonts w:ascii="Arial" w:eastAsia="宋体" w:hAnsi="Arial" w:cs="Arial"/>
                <w:color w:val="0071C5"/>
                <w:sz w:val="18"/>
                <w:szCs w:val="18"/>
              </w:rPr>
              <w:t>2,836 </w:t>
            </w:r>
          </w:p>
        </w:tc>
        <w:tc>
          <w:tcPr>
            <w:tcW w:w="0" w:type="auto"/>
            <w:shd w:val="clear" w:color="auto" w:fill="auto"/>
            <w:tcMar>
              <w:top w:w="40" w:type="dxa"/>
              <w:bottom w:w="40" w:type="dxa"/>
              <w:right w:w="20" w:type="dxa"/>
            </w:tcMar>
            <w:vAlign w:val="bottom"/>
          </w:tcPr>
          <w:p w14:paraId="20AE0174"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175"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0176" w14:textId="77777777" w:rsidR="00B626E7" w:rsidRDefault="00175C1D">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20AE0177" w14:textId="77777777" w:rsidR="00B626E7" w:rsidRDefault="00175C1D">
            <w:pPr>
              <w:jc w:val="right"/>
              <w:textAlignment w:val="bottom"/>
            </w:pPr>
            <w:r>
              <w:rPr>
                <w:rFonts w:ascii="Arial" w:eastAsia="宋体" w:hAnsi="Arial" w:cs="Arial"/>
                <w:color w:val="333333"/>
                <w:sz w:val="18"/>
                <w:szCs w:val="18"/>
              </w:rPr>
              <w:t>2,678 </w:t>
            </w:r>
          </w:p>
        </w:tc>
        <w:tc>
          <w:tcPr>
            <w:tcW w:w="0" w:type="auto"/>
            <w:shd w:val="clear" w:color="auto" w:fill="auto"/>
            <w:tcMar>
              <w:top w:w="40" w:type="dxa"/>
              <w:bottom w:w="40" w:type="dxa"/>
              <w:right w:w="20" w:type="dxa"/>
            </w:tcMar>
            <w:vAlign w:val="bottom"/>
          </w:tcPr>
          <w:p w14:paraId="20AE0178"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0179" w14:textId="77777777" w:rsidR="00B626E7" w:rsidRDefault="00B626E7">
            <w:pPr>
              <w:rPr>
                <w:rFonts w:ascii="宋体"/>
              </w:rPr>
            </w:pPr>
          </w:p>
        </w:tc>
        <w:tc>
          <w:tcPr>
            <w:tcW w:w="0" w:type="auto"/>
            <w:shd w:val="clear" w:color="auto" w:fill="auto"/>
          </w:tcPr>
          <w:p w14:paraId="20AE017A" w14:textId="77777777" w:rsidR="00B626E7" w:rsidRDefault="00B626E7">
            <w:pPr>
              <w:rPr>
                <w:rFonts w:ascii="宋体"/>
              </w:rPr>
            </w:pPr>
          </w:p>
        </w:tc>
        <w:tc>
          <w:tcPr>
            <w:tcW w:w="0" w:type="auto"/>
            <w:shd w:val="clear" w:color="auto" w:fill="auto"/>
          </w:tcPr>
          <w:p w14:paraId="20AE017B" w14:textId="77777777" w:rsidR="00B626E7" w:rsidRDefault="00B626E7">
            <w:pPr>
              <w:rPr>
                <w:rFonts w:ascii="宋体"/>
              </w:rPr>
            </w:pPr>
          </w:p>
        </w:tc>
        <w:tc>
          <w:tcPr>
            <w:tcW w:w="0" w:type="auto"/>
            <w:shd w:val="clear" w:color="auto" w:fill="auto"/>
          </w:tcPr>
          <w:p w14:paraId="20AE017C" w14:textId="77777777" w:rsidR="00B626E7" w:rsidRDefault="00B626E7">
            <w:pPr>
              <w:rPr>
                <w:rFonts w:ascii="宋体"/>
              </w:rPr>
            </w:pPr>
          </w:p>
        </w:tc>
        <w:tc>
          <w:tcPr>
            <w:tcW w:w="0" w:type="auto"/>
            <w:shd w:val="clear" w:color="auto" w:fill="auto"/>
          </w:tcPr>
          <w:p w14:paraId="20AE017D" w14:textId="77777777" w:rsidR="00B626E7" w:rsidRDefault="00B626E7">
            <w:pPr>
              <w:rPr>
                <w:rFonts w:ascii="宋体"/>
              </w:rPr>
            </w:pPr>
          </w:p>
        </w:tc>
        <w:tc>
          <w:tcPr>
            <w:tcW w:w="0" w:type="auto"/>
            <w:shd w:val="clear" w:color="auto" w:fill="auto"/>
          </w:tcPr>
          <w:p w14:paraId="20AE017E" w14:textId="77777777" w:rsidR="00B626E7" w:rsidRDefault="00B626E7">
            <w:pPr>
              <w:rPr>
                <w:rFonts w:ascii="宋体"/>
              </w:rPr>
            </w:pPr>
          </w:p>
        </w:tc>
      </w:tr>
      <w:tr w:rsidR="00B626E7" w14:paraId="20AE018B" w14:textId="77777777">
        <w:trPr>
          <w:jc w:val="center"/>
          <w:hidden/>
        </w:trPr>
        <w:tc>
          <w:tcPr>
            <w:tcW w:w="0" w:type="auto"/>
            <w:gridSpan w:val="3"/>
            <w:shd w:val="clear" w:color="auto" w:fill="auto"/>
          </w:tcPr>
          <w:p w14:paraId="20AE0180" w14:textId="77777777" w:rsidR="00B626E7" w:rsidRDefault="00B626E7">
            <w:pPr>
              <w:rPr>
                <w:rFonts w:ascii="宋体"/>
                <w:vanish/>
              </w:rPr>
            </w:pPr>
          </w:p>
        </w:tc>
        <w:tc>
          <w:tcPr>
            <w:tcW w:w="0" w:type="auto"/>
            <w:gridSpan w:val="3"/>
            <w:shd w:val="clear" w:color="auto" w:fill="auto"/>
          </w:tcPr>
          <w:p w14:paraId="20AE0181" w14:textId="77777777" w:rsidR="00B626E7" w:rsidRDefault="00B626E7">
            <w:pPr>
              <w:rPr>
                <w:rFonts w:ascii="宋体"/>
                <w:vanish/>
              </w:rPr>
            </w:pPr>
          </w:p>
        </w:tc>
        <w:tc>
          <w:tcPr>
            <w:tcW w:w="0" w:type="auto"/>
            <w:gridSpan w:val="3"/>
            <w:shd w:val="clear" w:color="auto" w:fill="auto"/>
          </w:tcPr>
          <w:p w14:paraId="20AE0182" w14:textId="77777777" w:rsidR="00B626E7" w:rsidRDefault="00B626E7">
            <w:pPr>
              <w:rPr>
                <w:rFonts w:ascii="宋体"/>
                <w:vanish/>
              </w:rPr>
            </w:pPr>
          </w:p>
        </w:tc>
        <w:tc>
          <w:tcPr>
            <w:tcW w:w="0" w:type="auto"/>
            <w:gridSpan w:val="3"/>
            <w:shd w:val="clear" w:color="auto" w:fill="auto"/>
          </w:tcPr>
          <w:p w14:paraId="20AE0183" w14:textId="77777777" w:rsidR="00B626E7" w:rsidRDefault="00B626E7">
            <w:pPr>
              <w:rPr>
                <w:rFonts w:ascii="宋体"/>
                <w:vanish/>
              </w:rPr>
            </w:pPr>
          </w:p>
        </w:tc>
        <w:tc>
          <w:tcPr>
            <w:tcW w:w="0" w:type="auto"/>
            <w:gridSpan w:val="3"/>
            <w:shd w:val="clear" w:color="auto" w:fill="auto"/>
          </w:tcPr>
          <w:p w14:paraId="20AE0184" w14:textId="77777777" w:rsidR="00B626E7" w:rsidRDefault="00B626E7">
            <w:pPr>
              <w:rPr>
                <w:rFonts w:ascii="宋体"/>
                <w:vanish/>
              </w:rPr>
            </w:pPr>
          </w:p>
        </w:tc>
        <w:tc>
          <w:tcPr>
            <w:tcW w:w="0" w:type="auto"/>
            <w:shd w:val="clear" w:color="auto" w:fill="auto"/>
          </w:tcPr>
          <w:p w14:paraId="20AE0185" w14:textId="77777777" w:rsidR="00B626E7" w:rsidRDefault="00B626E7">
            <w:pPr>
              <w:rPr>
                <w:rFonts w:ascii="宋体"/>
              </w:rPr>
            </w:pPr>
          </w:p>
        </w:tc>
        <w:tc>
          <w:tcPr>
            <w:tcW w:w="0" w:type="auto"/>
            <w:shd w:val="clear" w:color="auto" w:fill="auto"/>
          </w:tcPr>
          <w:p w14:paraId="20AE0186" w14:textId="77777777" w:rsidR="00B626E7" w:rsidRDefault="00B626E7">
            <w:pPr>
              <w:rPr>
                <w:rFonts w:ascii="宋体"/>
              </w:rPr>
            </w:pPr>
          </w:p>
        </w:tc>
        <w:tc>
          <w:tcPr>
            <w:tcW w:w="0" w:type="auto"/>
            <w:shd w:val="clear" w:color="auto" w:fill="auto"/>
          </w:tcPr>
          <w:p w14:paraId="20AE0187" w14:textId="77777777" w:rsidR="00B626E7" w:rsidRDefault="00B626E7">
            <w:pPr>
              <w:rPr>
                <w:rFonts w:ascii="宋体"/>
              </w:rPr>
            </w:pPr>
          </w:p>
        </w:tc>
        <w:tc>
          <w:tcPr>
            <w:tcW w:w="0" w:type="auto"/>
            <w:shd w:val="clear" w:color="auto" w:fill="auto"/>
          </w:tcPr>
          <w:p w14:paraId="20AE0188" w14:textId="77777777" w:rsidR="00B626E7" w:rsidRDefault="00B626E7">
            <w:pPr>
              <w:rPr>
                <w:rFonts w:ascii="宋体"/>
              </w:rPr>
            </w:pPr>
          </w:p>
        </w:tc>
        <w:tc>
          <w:tcPr>
            <w:tcW w:w="0" w:type="auto"/>
            <w:shd w:val="clear" w:color="auto" w:fill="auto"/>
          </w:tcPr>
          <w:p w14:paraId="20AE0189" w14:textId="77777777" w:rsidR="00B626E7" w:rsidRDefault="00B626E7">
            <w:pPr>
              <w:rPr>
                <w:rFonts w:ascii="宋体"/>
              </w:rPr>
            </w:pPr>
          </w:p>
        </w:tc>
        <w:tc>
          <w:tcPr>
            <w:tcW w:w="0" w:type="auto"/>
            <w:shd w:val="clear" w:color="auto" w:fill="auto"/>
          </w:tcPr>
          <w:p w14:paraId="20AE018A" w14:textId="77777777" w:rsidR="00B626E7" w:rsidRDefault="00B626E7">
            <w:pPr>
              <w:rPr>
                <w:rFonts w:ascii="宋体"/>
              </w:rPr>
            </w:pPr>
          </w:p>
        </w:tc>
      </w:tr>
      <w:tr w:rsidR="00B626E7" w14:paraId="20AE0197" w14:textId="77777777">
        <w:trPr>
          <w:jc w:val="center"/>
          <w:hidden/>
        </w:trPr>
        <w:tc>
          <w:tcPr>
            <w:tcW w:w="0" w:type="auto"/>
            <w:gridSpan w:val="3"/>
            <w:shd w:val="clear" w:color="auto" w:fill="auto"/>
          </w:tcPr>
          <w:p w14:paraId="20AE018C" w14:textId="77777777" w:rsidR="00B626E7" w:rsidRDefault="00B626E7">
            <w:pPr>
              <w:rPr>
                <w:rFonts w:ascii="宋体"/>
                <w:vanish/>
              </w:rPr>
            </w:pPr>
          </w:p>
        </w:tc>
        <w:tc>
          <w:tcPr>
            <w:tcW w:w="0" w:type="auto"/>
            <w:gridSpan w:val="3"/>
            <w:shd w:val="clear" w:color="auto" w:fill="auto"/>
          </w:tcPr>
          <w:p w14:paraId="20AE018D" w14:textId="77777777" w:rsidR="00B626E7" w:rsidRDefault="00B626E7">
            <w:pPr>
              <w:rPr>
                <w:rFonts w:ascii="宋体"/>
                <w:vanish/>
              </w:rPr>
            </w:pPr>
          </w:p>
        </w:tc>
        <w:tc>
          <w:tcPr>
            <w:tcW w:w="0" w:type="auto"/>
            <w:gridSpan w:val="3"/>
            <w:shd w:val="clear" w:color="auto" w:fill="auto"/>
          </w:tcPr>
          <w:p w14:paraId="20AE018E" w14:textId="77777777" w:rsidR="00B626E7" w:rsidRDefault="00B626E7">
            <w:pPr>
              <w:rPr>
                <w:rFonts w:ascii="宋体"/>
                <w:vanish/>
              </w:rPr>
            </w:pPr>
          </w:p>
        </w:tc>
        <w:tc>
          <w:tcPr>
            <w:tcW w:w="0" w:type="auto"/>
            <w:gridSpan w:val="3"/>
            <w:shd w:val="clear" w:color="auto" w:fill="auto"/>
          </w:tcPr>
          <w:p w14:paraId="20AE018F" w14:textId="77777777" w:rsidR="00B626E7" w:rsidRDefault="00B626E7">
            <w:pPr>
              <w:rPr>
                <w:rFonts w:ascii="宋体"/>
                <w:vanish/>
              </w:rPr>
            </w:pPr>
          </w:p>
        </w:tc>
        <w:tc>
          <w:tcPr>
            <w:tcW w:w="0" w:type="auto"/>
            <w:gridSpan w:val="3"/>
            <w:shd w:val="clear" w:color="auto" w:fill="auto"/>
          </w:tcPr>
          <w:p w14:paraId="20AE0190" w14:textId="77777777" w:rsidR="00B626E7" w:rsidRDefault="00B626E7">
            <w:pPr>
              <w:rPr>
                <w:rFonts w:ascii="宋体"/>
                <w:vanish/>
              </w:rPr>
            </w:pPr>
          </w:p>
        </w:tc>
        <w:tc>
          <w:tcPr>
            <w:tcW w:w="0" w:type="auto"/>
            <w:shd w:val="clear" w:color="auto" w:fill="auto"/>
          </w:tcPr>
          <w:p w14:paraId="20AE0191" w14:textId="77777777" w:rsidR="00B626E7" w:rsidRDefault="00B626E7">
            <w:pPr>
              <w:rPr>
                <w:rFonts w:ascii="宋体"/>
              </w:rPr>
            </w:pPr>
          </w:p>
        </w:tc>
        <w:tc>
          <w:tcPr>
            <w:tcW w:w="0" w:type="auto"/>
            <w:shd w:val="clear" w:color="auto" w:fill="auto"/>
          </w:tcPr>
          <w:p w14:paraId="20AE0192" w14:textId="77777777" w:rsidR="00B626E7" w:rsidRDefault="00B626E7">
            <w:pPr>
              <w:rPr>
                <w:rFonts w:ascii="宋体"/>
              </w:rPr>
            </w:pPr>
          </w:p>
        </w:tc>
        <w:tc>
          <w:tcPr>
            <w:tcW w:w="0" w:type="auto"/>
            <w:shd w:val="clear" w:color="auto" w:fill="auto"/>
          </w:tcPr>
          <w:p w14:paraId="20AE0193" w14:textId="77777777" w:rsidR="00B626E7" w:rsidRDefault="00B626E7">
            <w:pPr>
              <w:rPr>
                <w:rFonts w:ascii="宋体"/>
              </w:rPr>
            </w:pPr>
          </w:p>
        </w:tc>
        <w:tc>
          <w:tcPr>
            <w:tcW w:w="0" w:type="auto"/>
            <w:shd w:val="clear" w:color="auto" w:fill="auto"/>
          </w:tcPr>
          <w:p w14:paraId="20AE0194" w14:textId="77777777" w:rsidR="00B626E7" w:rsidRDefault="00B626E7">
            <w:pPr>
              <w:rPr>
                <w:rFonts w:ascii="宋体"/>
              </w:rPr>
            </w:pPr>
          </w:p>
        </w:tc>
        <w:tc>
          <w:tcPr>
            <w:tcW w:w="0" w:type="auto"/>
            <w:shd w:val="clear" w:color="auto" w:fill="auto"/>
          </w:tcPr>
          <w:p w14:paraId="20AE0195" w14:textId="77777777" w:rsidR="00B626E7" w:rsidRDefault="00B626E7">
            <w:pPr>
              <w:rPr>
                <w:rFonts w:ascii="宋体"/>
              </w:rPr>
            </w:pPr>
          </w:p>
        </w:tc>
        <w:tc>
          <w:tcPr>
            <w:tcW w:w="0" w:type="auto"/>
            <w:shd w:val="clear" w:color="auto" w:fill="auto"/>
          </w:tcPr>
          <w:p w14:paraId="20AE0196" w14:textId="77777777" w:rsidR="00B626E7" w:rsidRDefault="00B626E7">
            <w:pPr>
              <w:rPr>
                <w:rFonts w:ascii="宋体"/>
              </w:rPr>
            </w:pPr>
          </w:p>
        </w:tc>
      </w:tr>
      <w:tr w:rsidR="00B626E7" w14:paraId="20AE01A3" w14:textId="77777777">
        <w:trPr>
          <w:jc w:val="center"/>
        </w:trPr>
        <w:tc>
          <w:tcPr>
            <w:tcW w:w="0" w:type="auto"/>
            <w:gridSpan w:val="3"/>
            <w:shd w:val="clear" w:color="auto" w:fill="auto"/>
            <w:tcMar>
              <w:top w:w="40" w:type="dxa"/>
              <w:left w:w="195" w:type="dxa"/>
              <w:bottom w:w="40" w:type="dxa"/>
              <w:right w:w="20" w:type="dxa"/>
            </w:tcMar>
          </w:tcPr>
          <w:p w14:paraId="20AE0198" w14:textId="77777777" w:rsidR="00B626E7" w:rsidRDefault="00175C1D">
            <w:pPr>
              <w:textAlignment w:val="top"/>
            </w:pPr>
            <w:r>
              <w:rPr>
                <w:rFonts w:ascii="Arial" w:eastAsia="宋体" w:hAnsi="Arial" w:cs="Arial"/>
                <w:color w:val="333333"/>
                <w:sz w:val="18"/>
                <w:szCs w:val="18"/>
              </w:rPr>
              <w:t>Cash paid during the period for:</w:t>
            </w:r>
          </w:p>
        </w:tc>
        <w:tc>
          <w:tcPr>
            <w:tcW w:w="0" w:type="auto"/>
            <w:gridSpan w:val="3"/>
            <w:shd w:val="clear" w:color="auto" w:fill="auto"/>
            <w:tcMar>
              <w:left w:w="20" w:type="dxa"/>
              <w:right w:w="20" w:type="dxa"/>
            </w:tcMar>
            <w:vAlign w:val="bottom"/>
          </w:tcPr>
          <w:p w14:paraId="20AE0199"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19A"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19B"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19C" w14:textId="77777777" w:rsidR="00B626E7" w:rsidRDefault="00B626E7">
            <w:pPr>
              <w:rPr>
                <w:rFonts w:ascii="宋体"/>
              </w:rPr>
            </w:pPr>
          </w:p>
        </w:tc>
        <w:tc>
          <w:tcPr>
            <w:tcW w:w="0" w:type="auto"/>
            <w:shd w:val="clear" w:color="auto" w:fill="auto"/>
          </w:tcPr>
          <w:p w14:paraId="20AE019D" w14:textId="77777777" w:rsidR="00B626E7" w:rsidRDefault="00B626E7">
            <w:pPr>
              <w:rPr>
                <w:rFonts w:ascii="宋体"/>
              </w:rPr>
            </w:pPr>
          </w:p>
        </w:tc>
        <w:tc>
          <w:tcPr>
            <w:tcW w:w="0" w:type="auto"/>
            <w:shd w:val="clear" w:color="auto" w:fill="auto"/>
          </w:tcPr>
          <w:p w14:paraId="20AE019E" w14:textId="77777777" w:rsidR="00B626E7" w:rsidRDefault="00B626E7">
            <w:pPr>
              <w:rPr>
                <w:rFonts w:ascii="宋体"/>
              </w:rPr>
            </w:pPr>
          </w:p>
        </w:tc>
        <w:tc>
          <w:tcPr>
            <w:tcW w:w="0" w:type="auto"/>
            <w:shd w:val="clear" w:color="auto" w:fill="auto"/>
          </w:tcPr>
          <w:p w14:paraId="20AE019F" w14:textId="77777777" w:rsidR="00B626E7" w:rsidRDefault="00B626E7">
            <w:pPr>
              <w:rPr>
                <w:rFonts w:ascii="宋体"/>
              </w:rPr>
            </w:pPr>
          </w:p>
        </w:tc>
        <w:tc>
          <w:tcPr>
            <w:tcW w:w="0" w:type="auto"/>
            <w:shd w:val="clear" w:color="auto" w:fill="auto"/>
          </w:tcPr>
          <w:p w14:paraId="20AE01A0" w14:textId="77777777" w:rsidR="00B626E7" w:rsidRDefault="00B626E7">
            <w:pPr>
              <w:rPr>
                <w:rFonts w:ascii="宋体"/>
              </w:rPr>
            </w:pPr>
          </w:p>
        </w:tc>
        <w:tc>
          <w:tcPr>
            <w:tcW w:w="0" w:type="auto"/>
            <w:shd w:val="clear" w:color="auto" w:fill="auto"/>
          </w:tcPr>
          <w:p w14:paraId="20AE01A1" w14:textId="77777777" w:rsidR="00B626E7" w:rsidRDefault="00B626E7">
            <w:pPr>
              <w:rPr>
                <w:rFonts w:ascii="宋体"/>
              </w:rPr>
            </w:pPr>
          </w:p>
        </w:tc>
        <w:tc>
          <w:tcPr>
            <w:tcW w:w="0" w:type="auto"/>
            <w:shd w:val="clear" w:color="auto" w:fill="auto"/>
          </w:tcPr>
          <w:p w14:paraId="20AE01A2" w14:textId="77777777" w:rsidR="00B626E7" w:rsidRDefault="00B626E7">
            <w:pPr>
              <w:rPr>
                <w:rFonts w:ascii="宋体"/>
              </w:rPr>
            </w:pPr>
          </w:p>
        </w:tc>
      </w:tr>
      <w:tr w:rsidR="00B626E7" w14:paraId="20AE01B3" w14:textId="77777777">
        <w:trPr>
          <w:jc w:val="center"/>
        </w:trPr>
        <w:tc>
          <w:tcPr>
            <w:tcW w:w="0" w:type="auto"/>
            <w:gridSpan w:val="3"/>
            <w:shd w:val="clear" w:color="auto" w:fill="auto"/>
            <w:tcMar>
              <w:top w:w="40" w:type="dxa"/>
              <w:left w:w="420" w:type="dxa"/>
              <w:bottom w:w="40" w:type="dxa"/>
              <w:right w:w="20" w:type="dxa"/>
            </w:tcMar>
          </w:tcPr>
          <w:p w14:paraId="20AE01A4" w14:textId="77777777" w:rsidR="00B626E7" w:rsidRDefault="00175C1D">
            <w:pPr>
              <w:textAlignment w:val="top"/>
            </w:pPr>
            <w:r>
              <w:rPr>
                <w:rFonts w:ascii="Arial" w:eastAsia="宋体" w:hAnsi="Arial" w:cs="Arial"/>
                <w:color w:val="333333"/>
                <w:sz w:val="18"/>
                <w:szCs w:val="18"/>
              </w:rPr>
              <w:t xml:space="preserve">Interest, net of </w:t>
            </w:r>
            <w:r>
              <w:rPr>
                <w:rFonts w:ascii="Arial" w:eastAsia="宋体" w:hAnsi="Arial" w:cs="Arial"/>
                <w:color w:val="333333"/>
                <w:sz w:val="18"/>
                <w:szCs w:val="18"/>
              </w:rPr>
              <w:t>capitalized interest</w:t>
            </w:r>
          </w:p>
        </w:tc>
        <w:tc>
          <w:tcPr>
            <w:tcW w:w="0" w:type="auto"/>
            <w:gridSpan w:val="3"/>
            <w:shd w:val="clear" w:color="auto" w:fill="auto"/>
            <w:tcMar>
              <w:left w:w="20" w:type="dxa"/>
              <w:right w:w="20" w:type="dxa"/>
            </w:tcMar>
            <w:vAlign w:val="bottom"/>
          </w:tcPr>
          <w:p w14:paraId="20AE01A5"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01A6" w14:textId="77777777" w:rsidR="00B626E7" w:rsidRDefault="00175C1D">
            <w:pPr>
              <w:textAlignment w:val="bottom"/>
            </w:pPr>
            <w:r>
              <w:rPr>
                <w:rFonts w:ascii="Arial" w:eastAsia="宋体" w:hAnsi="Arial" w:cs="Arial"/>
                <w:color w:val="0071C5"/>
                <w:sz w:val="18"/>
                <w:szCs w:val="18"/>
              </w:rPr>
              <w:t>$</w:t>
            </w:r>
          </w:p>
        </w:tc>
        <w:tc>
          <w:tcPr>
            <w:tcW w:w="0" w:type="auto"/>
            <w:shd w:val="clear" w:color="auto" w:fill="auto"/>
            <w:tcMar>
              <w:top w:w="40" w:type="dxa"/>
              <w:bottom w:w="40" w:type="dxa"/>
              <w:right w:w="0" w:type="dxa"/>
            </w:tcMar>
            <w:vAlign w:val="bottom"/>
          </w:tcPr>
          <w:p w14:paraId="20AE01A7" w14:textId="77777777" w:rsidR="00B626E7" w:rsidRDefault="00175C1D">
            <w:pPr>
              <w:jc w:val="right"/>
              <w:textAlignment w:val="bottom"/>
            </w:pPr>
            <w:r>
              <w:rPr>
                <w:rFonts w:ascii="Arial" w:eastAsia="宋体" w:hAnsi="Arial" w:cs="Arial"/>
                <w:color w:val="0071C5"/>
                <w:sz w:val="18"/>
                <w:szCs w:val="18"/>
              </w:rPr>
              <w:t>252 </w:t>
            </w:r>
          </w:p>
        </w:tc>
        <w:tc>
          <w:tcPr>
            <w:tcW w:w="0" w:type="auto"/>
            <w:shd w:val="clear" w:color="auto" w:fill="auto"/>
            <w:tcMar>
              <w:top w:w="40" w:type="dxa"/>
              <w:bottom w:w="40" w:type="dxa"/>
              <w:right w:w="20" w:type="dxa"/>
            </w:tcMar>
            <w:vAlign w:val="bottom"/>
          </w:tcPr>
          <w:p w14:paraId="20AE01A8"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1A9"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01AA" w14:textId="77777777" w:rsidR="00B626E7" w:rsidRDefault="00175C1D">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20AE01AB" w14:textId="77777777" w:rsidR="00B626E7" w:rsidRDefault="00175C1D">
            <w:pPr>
              <w:jc w:val="right"/>
              <w:textAlignment w:val="bottom"/>
            </w:pPr>
            <w:r>
              <w:rPr>
                <w:rFonts w:ascii="Arial" w:eastAsia="宋体" w:hAnsi="Arial" w:cs="Arial"/>
                <w:color w:val="333333"/>
                <w:sz w:val="18"/>
                <w:szCs w:val="18"/>
              </w:rPr>
              <w:t>243 </w:t>
            </w:r>
          </w:p>
        </w:tc>
        <w:tc>
          <w:tcPr>
            <w:tcW w:w="0" w:type="auto"/>
            <w:shd w:val="clear" w:color="auto" w:fill="auto"/>
            <w:tcMar>
              <w:top w:w="40" w:type="dxa"/>
              <w:bottom w:w="40" w:type="dxa"/>
              <w:right w:w="20" w:type="dxa"/>
            </w:tcMar>
            <w:vAlign w:val="bottom"/>
          </w:tcPr>
          <w:p w14:paraId="20AE01AC"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01AD" w14:textId="77777777" w:rsidR="00B626E7" w:rsidRDefault="00B626E7">
            <w:pPr>
              <w:rPr>
                <w:rFonts w:ascii="宋体"/>
              </w:rPr>
            </w:pPr>
          </w:p>
        </w:tc>
        <w:tc>
          <w:tcPr>
            <w:tcW w:w="0" w:type="auto"/>
            <w:shd w:val="clear" w:color="auto" w:fill="auto"/>
          </w:tcPr>
          <w:p w14:paraId="20AE01AE" w14:textId="77777777" w:rsidR="00B626E7" w:rsidRDefault="00B626E7">
            <w:pPr>
              <w:rPr>
                <w:rFonts w:ascii="宋体"/>
              </w:rPr>
            </w:pPr>
          </w:p>
        </w:tc>
        <w:tc>
          <w:tcPr>
            <w:tcW w:w="0" w:type="auto"/>
            <w:shd w:val="clear" w:color="auto" w:fill="auto"/>
          </w:tcPr>
          <w:p w14:paraId="20AE01AF" w14:textId="77777777" w:rsidR="00B626E7" w:rsidRDefault="00B626E7">
            <w:pPr>
              <w:rPr>
                <w:rFonts w:ascii="宋体"/>
              </w:rPr>
            </w:pPr>
          </w:p>
        </w:tc>
        <w:tc>
          <w:tcPr>
            <w:tcW w:w="0" w:type="auto"/>
            <w:shd w:val="clear" w:color="auto" w:fill="auto"/>
          </w:tcPr>
          <w:p w14:paraId="20AE01B0" w14:textId="77777777" w:rsidR="00B626E7" w:rsidRDefault="00B626E7">
            <w:pPr>
              <w:rPr>
                <w:rFonts w:ascii="宋体"/>
              </w:rPr>
            </w:pPr>
          </w:p>
        </w:tc>
        <w:tc>
          <w:tcPr>
            <w:tcW w:w="0" w:type="auto"/>
            <w:shd w:val="clear" w:color="auto" w:fill="auto"/>
          </w:tcPr>
          <w:p w14:paraId="20AE01B1" w14:textId="77777777" w:rsidR="00B626E7" w:rsidRDefault="00B626E7">
            <w:pPr>
              <w:rPr>
                <w:rFonts w:ascii="宋体"/>
              </w:rPr>
            </w:pPr>
          </w:p>
        </w:tc>
        <w:tc>
          <w:tcPr>
            <w:tcW w:w="0" w:type="auto"/>
            <w:shd w:val="clear" w:color="auto" w:fill="auto"/>
          </w:tcPr>
          <w:p w14:paraId="20AE01B2" w14:textId="77777777" w:rsidR="00B626E7" w:rsidRDefault="00B626E7">
            <w:pPr>
              <w:rPr>
                <w:rFonts w:ascii="宋体"/>
              </w:rPr>
            </w:pPr>
          </w:p>
        </w:tc>
      </w:tr>
      <w:tr w:rsidR="00B626E7" w14:paraId="20AE01C3" w14:textId="77777777">
        <w:trPr>
          <w:jc w:val="center"/>
        </w:trPr>
        <w:tc>
          <w:tcPr>
            <w:tcW w:w="0" w:type="auto"/>
            <w:gridSpan w:val="3"/>
            <w:shd w:val="clear" w:color="auto" w:fill="auto"/>
            <w:tcMar>
              <w:top w:w="40" w:type="dxa"/>
              <w:left w:w="420" w:type="dxa"/>
              <w:bottom w:w="40" w:type="dxa"/>
              <w:right w:w="20" w:type="dxa"/>
            </w:tcMar>
          </w:tcPr>
          <w:p w14:paraId="20AE01B4" w14:textId="77777777" w:rsidR="00B626E7" w:rsidRDefault="00175C1D">
            <w:pPr>
              <w:textAlignment w:val="top"/>
            </w:pPr>
            <w:r>
              <w:rPr>
                <w:rFonts w:ascii="Arial" w:eastAsia="宋体" w:hAnsi="Arial" w:cs="Arial"/>
                <w:color w:val="333333"/>
                <w:sz w:val="18"/>
                <w:szCs w:val="18"/>
              </w:rPr>
              <w:t>Income taxes, net of refunds</w:t>
            </w:r>
          </w:p>
        </w:tc>
        <w:tc>
          <w:tcPr>
            <w:tcW w:w="0" w:type="auto"/>
            <w:gridSpan w:val="3"/>
            <w:shd w:val="clear" w:color="auto" w:fill="auto"/>
            <w:tcMar>
              <w:left w:w="20" w:type="dxa"/>
              <w:right w:w="20" w:type="dxa"/>
            </w:tcMar>
            <w:vAlign w:val="bottom"/>
          </w:tcPr>
          <w:p w14:paraId="20AE01B5"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01B6" w14:textId="77777777" w:rsidR="00B626E7" w:rsidRDefault="00175C1D">
            <w:pPr>
              <w:textAlignment w:val="bottom"/>
            </w:pPr>
            <w:r>
              <w:rPr>
                <w:rFonts w:ascii="Arial" w:eastAsia="宋体" w:hAnsi="Arial" w:cs="Arial"/>
                <w:color w:val="0071C5"/>
                <w:sz w:val="18"/>
                <w:szCs w:val="18"/>
              </w:rPr>
              <w:t>$</w:t>
            </w:r>
          </w:p>
        </w:tc>
        <w:tc>
          <w:tcPr>
            <w:tcW w:w="0" w:type="auto"/>
            <w:shd w:val="clear" w:color="auto" w:fill="auto"/>
            <w:tcMar>
              <w:top w:w="40" w:type="dxa"/>
              <w:bottom w:w="40" w:type="dxa"/>
              <w:right w:w="0" w:type="dxa"/>
            </w:tcMar>
            <w:vAlign w:val="bottom"/>
          </w:tcPr>
          <w:p w14:paraId="20AE01B7" w14:textId="77777777" w:rsidR="00B626E7" w:rsidRDefault="00175C1D">
            <w:pPr>
              <w:jc w:val="right"/>
              <w:textAlignment w:val="bottom"/>
            </w:pPr>
            <w:r>
              <w:rPr>
                <w:rFonts w:ascii="Arial" w:eastAsia="宋体" w:hAnsi="Arial" w:cs="Arial"/>
                <w:color w:val="0071C5"/>
                <w:sz w:val="18"/>
                <w:szCs w:val="18"/>
              </w:rPr>
              <w:t>574 </w:t>
            </w:r>
          </w:p>
        </w:tc>
        <w:tc>
          <w:tcPr>
            <w:tcW w:w="0" w:type="auto"/>
            <w:shd w:val="clear" w:color="auto" w:fill="auto"/>
            <w:tcMar>
              <w:top w:w="40" w:type="dxa"/>
              <w:bottom w:w="40" w:type="dxa"/>
              <w:right w:w="20" w:type="dxa"/>
            </w:tcMar>
            <w:vAlign w:val="bottom"/>
          </w:tcPr>
          <w:p w14:paraId="20AE01B8"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1B9"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01BA" w14:textId="77777777" w:rsidR="00B626E7" w:rsidRDefault="00175C1D">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20AE01BB" w14:textId="77777777" w:rsidR="00B626E7" w:rsidRDefault="00175C1D">
            <w:pPr>
              <w:jc w:val="right"/>
              <w:textAlignment w:val="bottom"/>
            </w:pPr>
            <w:r>
              <w:rPr>
                <w:rFonts w:ascii="Arial" w:eastAsia="宋体" w:hAnsi="Arial" w:cs="Arial"/>
                <w:color w:val="333333"/>
                <w:sz w:val="18"/>
                <w:szCs w:val="18"/>
              </w:rPr>
              <w:t>1,112 </w:t>
            </w:r>
          </w:p>
        </w:tc>
        <w:tc>
          <w:tcPr>
            <w:tcW w:w="0" w:type="auto"/>
            <w:shd w:val="clear" w:color="auto" w:fill="auto"/>
            <w:tcMar>
              <w:top w:w="40" w:type="dxa"/>
              <w:bottom w:w="40" w:type="dxa"/>
              <w:right w:w="20" w:type="dxa"/>
            </w:tcMar>
            <w:vAlign w:val="bottom"/>
          </w:tcPr>
          <w:p w14:paraId="20AE01BC"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01BD" w14:textId="77777777" w:rsidR="00B626E7" w:rsidRDefault="00B626E7">
            <w:pPr>
              <w:rPr>
                <w:rFonts w:ascii="宋体"/>
              </w:rPr>
            </w:pPr>
          </w:p>
        </w:tc>
        <w:tc>
          <w:tcPr>
            <w:tcW w:w="0" w:type="auto"/>
            <w:shd w:val="clear" w:color="auto" w:fill="auto"/>
          </w:tcPr>
          <w:p w14:paraId="20AE01BE" w14:textId="77777777" w:rsidR="00B626E7" w:rsidRDefault="00B626E7">
            <w:pPr>
              <w:rPr>
                <w:rFonts w:ascii="宋体"/>
              </w:rPr>
            </w:pPr>
          </w:p>
        </w:tc>
        <w:tc>
          <w:tcPr>
            <w:tcW w:w="0" w:type="auto"/>
            <w:shd w:val="clear" w:color="auto" w:fill="auto"/>
          </w:tcPr>
          <w:p w14:paraId="20AE01BF" w14:textId="77777777" w:rsidR="00B626E7" w:rsidRDefault="00B626E7">
            <w:pPr>
              <w:rPr>
                <w:rFonts w:ascii="宋体"/>
              </w:rPr>
            </w:pPr>
          </w:p>
        </w:tc>
        <w:tc>
          <w:tcPr>
            <w:tcW w:w="0" w:type="auto"/>
            <w:shd w:val="clear" w:color="auto" w:fill="auto"/>
          </w:tcPr>
          <w:p w14:paraId="20AE01C0" w14:textId="77777777" w:rsidR="00B626E7" w:rsidRDefault="00B626E7">
            <w:pPr>
              <w:rPr>
                <w:rFonts w:ascii="宋体"/>
              </w:rPr>
            </w:pPr>
          </w:p>
        </w:tc>
        <w:tc>
          <w:tcPr>
            <w:tcW w:w="0" w:type="auto"/>
            <w:shd w:val="clear" w:color="auto" w:fill="auto"/>
          </w:tcPr>
          <w:p w14:paraId="20AE01C1" w14:textId="77777777" w:rsidR="00B626E7" w:rsidRDefault="00B626E7">
            <w:pPr>
              <w:rPr>
                <w:rFonts w:ascii="宋体"/>
              </w:rPr>
            </w:pPr>
          </w:p>
        </w:tc>
        <w:tc>
          <w:tcPr>
            <w:tcW w:w="0" w:type="auto"/>
            <w:shd w:val="clear" w:color="auto" w:fill="auto"/>
          </w:tcPr>
          <w:p w14:paraId="20AE01C2" w14:textId="77777777" w:rsidR="00B626E7" w:rsidRDefault="00B626E7">
            <w:pPr>
              <w:rPr>
                <w:rFonts w:ascii="宋体"/>
              </w:rPr>
            </w:pPr>
          </w:p>
        </w:tc>
      </w:tr>
    </w:tbl>
    <w:p w14:paraId="20AE01C4" w14:textId="77777777" w:rsidR="00B626E7" w:rsidRDefault="00175C1D">
      <w:pPr>
        <w:spacing w:before="60" w:after="180"/>
      </w:pPr>
      <w:r>
        <w:rPr>
          <w:rFonts w:ascii="Arial" w:eastAsia="宋体" w:hAnsi="Arial" w:cs="Arial"/>
          <w:i/>
          <w:iCs/>
          <w:color w:val="333333"/>
          <w:sz w:val="16"/>
          <w:szCs w:val="16"/>
        </w:rPr>
        <w:t>See accompanying notes.</w:t>
      </w:r>
    </w:p>
    <w:tbl>
      <w:tblPr>
        <w:tblW w:w="5000" w:type="pct"/>
        <w:tblCellMar>
          <w:top w:w="15" w:type="dxa"/>
          <w:left w:w="15" w:type="dxa"/>
          <w:bottom w:w="15" w:type="dxa"/>
          <w:right w:w="15" w:type="dxa"/>
        </w:tblCellMar>
        <w:tblLook w:val="04A0" w:firstRow="1" w:lastRow="0" w:firstColumn="1" w:lastColumn="0" w:noHBand="0" w:noVBand="1"/>
      </w:tblPr>
      <w:tblGrid>
        <w:gridCol w:w="84"/>
        <w:gridCol w:w="2423"/>
        <w:gridCol w:w="84"/>
        <w:gridCol w:w="83"/>
        <w:gridCol w:w="3471"/>
        <w:gridCol w:w="83"/>
        <w:gridCol w:w="83"/>
        <w:gridCol w:w="1942"/>
        <w:gridCol w:w="83"/>
      </w:tblGrid>
      <w:tr w:rsidR="00B626E7" w14:paraId="20AE01CE" w14:textId="77777777">
        <w:tc>
          <w:tcPr>
            <w:tcW w:w="50" w:type="pct"/>
            <w:shd w:val="clear" w:color="auto" w:fill="auto"/>
            <w:vAlign w:val="bottom"/>
          </w:tcPr>
          <w:p w14:paraId="20AE01C5" w14:textId="77777777" w:rsidR="00B626E7" w:rsidRDefault="00B626E7">
            <w:pPr>
              <w:rPr>
                <w:rFonts w:ascii="宋体"/>
              </w:rPr>
            </w:pPr>
          </w:p>
        </w:tc>
        <w:tc>
          <w:tcPr>
            <w:tcW w:w="1452" w:type="pct"/>
            <w:shd w:val="clear" w:color="auto" w:fill="auto"/>
            <w:vAlign w:val="bottom"/>
          </w:tcPr>
          <w:p w14:paraId="20AE01C6" w14:textId="77777777" w:rsidR="00B626E7" w:rsidRDefault="00B626E7">
            <w:pPr>
              <w:rPr>
                <w:rFonts w:ascii="宋体"/>
              </w:rPr>
            </w:pPr>
          </w:p>
        </w:tc>
        <w:tc>
          <w:tcPr>
            <w:tcW w:w="50" w:type="pct"/>
            <w:shd w:val="clear" w:color="auto" w:fill="auto"/>
            <w:vAlign w:val="bottom"/>
          </w:tcPr>
          <w:p w14:paraId="20AE01C7" w14:textId="77777777" w:rsidR="00B626E7" w:rsidRDefault="00B626E7">
            <w:pPr>
              <w:rPr>
                <w:rFonts w:ascii="宋体"/>
              </w:rPr>
            </w:pPr>
          </w:p>
        </w:tc>
        <w:tc>
          <w:tcPr>
            <w:tcW w:w="50" w:type="pct"/>
            <w:shd w:val="clear" w:color="auto" w:fill="auto"/>
            <w:vAlign w:val="bottom"/>
          </w:tcPr>
          <w:p w14:paraId="20AE01C8" w14:textId="77777777" w:rsidR="00B626E7" w:rsidRDefault="00B626E7">
            <w:pPr>
              <w:rPr>
                <w:rFonts w:ascii="宋体"/>
              </w:rPr>
            </w:pPr>
          </w:p>
        </w:tc>
        <w:tc>
          <w:tcPr>
            <w:tcW w:w="2081" w:type="pct"/>
            <w:shd w:val="clear" w:color="auto" w:fill="auto"/>
            <w:vAlign w:val="bottom"/>
          </w:tcPr>
          <w:p w14:paraId="20AE01C9" w14:textId="77777777" w:rsidR="00B626E7" w:rsidRDefault="00B626E7">
            <w:pPr>
              <w:rPr>
                <w:rFonts w:ascii="宋体"/>
              </w:rPr>
            </w:pPr>
          </w:p>
        </w:tc>
        <w:tc>
          <w:tcPr>
            <w:tcW w:w="50" w:type="pct"/>
            <w:shd w:val="clear" w:color="auto" w:fill="auto"/>
            <w:vAlign w:val="bottom"/>
          </w:tcPr>
          <w:p w14:paraId="20AE01CA" w14:textId="77777777" w:rsidR="00B626E7" w:rsidRDefault="00B626E7">
            <w:pPr>
              <w:rPr>
                <w:rFonts w:ascii="宋体"/>
              </w:rPr>
            </w:pPr>
          </w:p>
        </w:tc>
        <w:tc>
          <w:tcPr>
            <w:tcW w:w="50" w:type="pct"/>
            <w:shd w:val="clear" w:color="auto" w:fill="auto"/>
            <w:vAlign w:val="bottom"/>
          </w:tcPr>
          <w:p w14:paraId="20AE01CB" w14:textId="77777777" w:rsidR="00B626E7" w:rsidRDefault="00B626E7">
            <w:pPr>
              <w:rPr>
                <w:rFonts w:ascii="宋体"/>
              </w:rPr>
            </w:pPr>
          </w:p>
        </w:tc>
        <w:tc>
          <w:tcPr>
            <w:tcW w:w="1165" w:type="pct"/>
            <w:shd w:val="clear" w:color="auto" w:fill="auto"/>
            <w:vAlign w:val="bottom"/>
          </w:tcPr>
          <w:p w14:paraId="20AE01CC" w14:textId="77777777" w:rsidR="00B626E7" w:rsidRDefault="00B626E7">
            <w:pPr>
              <w:rPr>
                <w:rFonts w:ascii="宋体"/>
              </w:rPr>
            </w:pPr>
          </w:p>
        </w:tc>
        <w:tc>
          <w:tcPr>
            <w:tcW w:w="50" w:type="pct"/>
            <w:shd w:val="clear" w:color="auto" w:fill="auto"/>
            <w:vAlign w:val="bottom"/>
          </w:tcPr>
          <w:p w14:paraId="20AE01CD" w14:textId="77777777" w:rsidR="00B626E7" w:rsidRDefault="00B626E7">
            <w:pPr>
              <w:rPr>
                <w:rFonts w:ascii="宋体"/>
              </w:rPr>
            </w:pPr>
          </w:p>
        </w:tc>
      </w:tr>
      <w:tr w:rsidR="00B626E7" w14:paraId="20AE01D2" w14:textId="77777777">
        <w:tc>
          <w:tcPr>
            <w:tcW w:w="0" w:type="auto"/>
            <w:gridSpan w:val="3"/>
            <w:tcBorders>
              <w:top w:val="single" w:sz="8" w:space="0" w:color="0071C5"/>
            </w:tcBorders>
            <w:shd w:val="clear" w:color="auto" w:fill="auto"/>
            <w:tcMar>
              <w:top w:w="40" w:type="dxa"/>
              <w:left w:w="20" w:type="dxa"/>
              <w:bottom w:w="40" w:type="dxa"/>
              <w:right w:w="20" w:type="dxa"/>
            </w:tcMar>
            <w:vAlign w:val="center"/>
          </w:tcPr>
          <w:p w14:paraId="20AE01CF" w14:textId="77777777" w:rsidR="00B626E7" w:rsidRDefault="00175C1D">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Viewer10_files/intc-20200627_g13.jpg"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2F" wp14:editId="20AE3C30">
                  <wp:extent cx="304800" cy="304800"/>
                  <wp:effectExtent l="0" t="0" r="0" b="0"/>
                  <wp:docPr id="111" name="图片 55"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55" descr="IMG_26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Arial" w:eastAsia="宋体" w:hAnsi="Arial" w:cs="Arial"/>
                <w:color w:val="333333"/>
                <w:sz w:val="16"/>
                <w:szCs w:val="16"/>
              </w:rPr>
              <w:t>FINANCIAL STATEMENTS</w:t>
            </w:r>
          </w:p>
        </w:tc>
        <w:tc>
          <w:tcPr>
            <w:tcW w:w="0" w:type="auto"/>
            <w:gridSpan w:val="3"/>
            <w:tcBorders>
              <w:top w:val="single" w:sz="8" w:space="0" w:color="0071C5"/>
              <w:left w:val="single" w:sz="24" w:space="0" w:color="0071C5"/>
            </w:tcBorders>
            <w:shd w:val="clear" w:color="auto" w:fill="auto"/>
            <w:tcMar>
              <w:top w:w="40" w:type="dxa"/>
              <w:left w:w="20" w:type="dxa"/>
              <w:bottom w:w="40" w:type="dxa"/>
              <w:right w:w="20" w:type="dxa"/>
            </w:tcMar>
            <w:vAlign w:val="bottom"/>
          </w:tcPr>
          <w:p w14:paraId="20AE01D0" w14:textId="77777777" w:rsidR="00B626E7" w:rsidRDefault="00175C1D">
            <w:pPr>
              <w:textAlignment w:val="bottom"/>
            </w:pPr>
            <w:r>
              <w:rPr>
                <w:rFonts w:ascii="Arial" w:eastAsia="宋体" w:hAnsi="Arial" w:cs="Arial"/>
                <w:color w:val="333333"/>
                <w:sz w:val="16"/>
                <w:szCs w:val="16"/>
              </w:rPr>
              <w:t>  Consolidated Condensed Statements of Cash Flows</w:t>
            </w: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01D1" w14:textId="77777777" w:rsidR="00B626E7" w:rsidRDefault="00175C1D">
            <w:pPr>
              <w:jc w:val="right"/>
              <w:textAlignment w:val="bottom"/>
            </w:pPr>
            <w:r>
              <w:rPr>
                <w:rFonts w:ascii="Arial" w:eastAsia="宋体" w:hAnsi="Arial" w:cs="Arial"/>
                <w:color w:val="333333"/>
                <w:sz w:val="16"/>
                <w:szCs w:val="16"/>
              </w:rPr>
              <w:t>8</w:t>
            </w:r>
          </w:p>
        </w:tc>
      </w:tr>
    </w:tbl>
    <w:p w14:paraId="20AE01D3" w14:textId="77777777" w:rsidR="00B626E7" w:rsidRDefault="00175C1D">
      <w:r>
        <w:pict w14:anchorId="20AE3C31">
          <v:rect id="_x0000_i1034" style="width:415.3pt;height:1.5pt" o:hralign="center" o:hrstd="t" o:hr="t" fillcolor="#a0a0a0" stroked="f"/>
        </w:pict>
      </w:r>
    </w:p>
    <w:p w14:paraId="20AE01D4" w14:textId="77777777" w:rsidR="00B626E7" w:rsidRDefault="00175C1D">
      <w:pPr>
        <w:spacing w:after="180"/>
        <w:jc w:val="right"/>
      </w:pPr>
      <w:hyperlink r:id="rId36" w:anchor="ib035cc8759904e51927d703ec8414366_7" w:history="1">
        <w:r>
          <w:rPr>
            <w:rStyle w:val="a5"/>
            <w:rFonts w:ascii="Arial" w:eastAsia="宋体" w:hAnsi="Arial" w:cs="Arial"/>
            <w:b/>
            <w:bCs/>
            <w:sz w:val="16"/>
            <w:szCs w:val="16"/>
          </w:rPr>
          <w:t>Table of Contents</w:t>
        </w:r>
      </w:hyperlink>
    </w:p>
    <w:p w14:paraId="20AE01D5" w14:textId="77777777" w:rsidR="00B626E7" w:rsidRDefault="00B626E7">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84"/>
        <w:gridCol w:w="8169"/>
        <w:gridCol w:w="83"/>
      </w:tblGrid>
      <w:tr w:rsidR="00B626E7" w14:paraId="20AE01D9" w14:textId="77777777">
        <w:tc>
          <w:tcPr>
            <w:tcW w:w="50" w:type="pct"/>
            <w:shd w:val="clear" w:color="auto" w:fill="auto"/>
          </w:tcPr>
          <w:p w14:paraId="20AE01D6" w14:textId="77777777" w:rsidR="00B626E7" w:rsidRDefault="00B626E7">
            <w:pPr>
              <w:rPr>
                <w:rFonts w:ascii="宋体"/>
              </w:rPr>
            </w:pPr>
          </w:p>
        </w:tc>
        <w:tc>
          <w:tcPr>
            <w:tcW w:w="4900" w:type="pct"/>
            <w:shd w:val="clear" w:color="auto" w:fill="auto"/>
          </w:tcPr>
          <w:p w14:paraId="20AE01D7" w14:textId="77777777" w:rsidR="00B626E7" w:rsidRDefault="00B626E7">
            <w:pPr>
              <w:rPr>
                <w:rFonts w:ascii="宋体"/>
              </w:rPr>
            </w:pPr>
          </w:p>
        </w:tc>
        <w:tc>
          <w:tcPr>
            <w:tcW w:w="50" w:type="pct"/>
            <w:shd w:val="clear" w:color="auto" w:fill="auto"/>
          </w:tcPr>
          <w:p w14:paraId="20AE01D8" w14:textId="77777777" w:rsidR="00B626E7" w:rsidRDefault="00B626E7">
            <w:pPr>
              <w:rPr>
                <w:rFonts w:ascii="宋体"/>
              </w:rPr>
            </w:pPr>
          </w:p>
        </w:tc>
      </w:tr>
      <w:tr w:rsidR="00B626E7" w14:paraId="20AE01DB" w14:textId="77777777">
        <w:tc>
          <w:tcPr>
            <w:tcW w:w="0" w:type="auto"/>
            <w:gridSpan w:val="3"/>
            <w:shd w:val="clear" w:color="auto" w:fill="0071C5"/>
            <w:tcMar>
              <w:top w:w="40" w:type="dxa"/>
              <w:left w:w="20" w:type="dxa"/>
              <w:bottom w:w="40" w:type="dxa"/>
              <w:right w:w="20" w:type="dxa"/>
            </w:tcMar>
            <w:vAlign w:val="bottom"/>
          </w:tcPr>
          <w:p w14:paraId="20AE01DA" w14:textId="77777777" w:rsidR="00B626E7" w:rsidRDefault="00175C1D">
            <w:pPr>
              <w:textAlignment w:val="bottom"/>
            </w:pPr>
            <w:r>
              <w:rPr>
                <w:rFonts w:ascii="Arial" w:eastAsia="宋体" w:hAnsi="Arial" w:cs="Arial"/>
                <w:b/>
                <w:bCs/>
                <w:color w:val="FFFFFF"/>
                <w:sz w:val="28"/>
                <w:szCs w:val="28"/>
              </w:rPr>
              <w:t>CONSOLIDATED CONDENSED STATEMENTS OF STOCKHOLDERS' EQUITY</w:t>
            </w:r>
          </w:p>
        </w:tc>
      </w:tr>
    </w:tbl>
    <w:p w14:paraId="20AE01DC" w14:textId="77777777" w:rsidR="00B626E7" w:rsidRDefault="00B626E7">
      <w:pPr>
        <w:rPr>
          <w:vanish/>
        </w:rPr>
      </w:pPr>
    </w:p>
    <w:tbl>
      <w:tblPr>
        <w:tblW w:w="4986" w:type="pct"/>
        <w:tblCellMar>
          <w:top w:w="15" w:type="dxa"/>
          <w:left w:w="15" w:type="dxa"/>
          <w:bottom w:w="15" w:type="dxa"/>
          <w:right w:w="15" w:type="dxa"/>
        </w:tblCellMar>
        <w:tblLook w:val="04A0" w:firstRow="1" w:lastRow="0" w:firstColumn="1" w:lastColumn="0" w:noHBand="0" w:noVBand="1"/>
      </w:tblPr>
      <w:tblGrid>
        <w:gridCol w:w="38"/>
        <w:gridCol w:w="2458"/>
        <w:gridCol w:w="37"/>
        <w:gridCol w:w="36"/>
        <w:gridCol w:w="36"/>
        <w:gridCol w:w="36"/>
        <w:gridCol w:w="59"/>
        <w:gridCol w:w="524"/>
        <w:gridCol w:w="86"/>
        <w:gridCol w:w="36"/>
        <w:gridCol w:w="36"/>
        <w:gridCol w:w="36"/>
        <w:gridCol w:w="136"/>
        <w:gridCol w:w="616"/>
        <w:gridCol w:w="86"/>
        <w:gridCol w:w="36"/>
        <w:gridCol w:w="36"/>
        <w:gridCol w:w="36"/>
        <w:gridCol w:w="136"/>
        <w:gridCol w:w="586"/>
        <w:gridCol w:w="86"/>
        <w:gridCol w:w="36"/>
        <w:gridCol w:w="36"/>
        <w:gridCol w:w="36"/>
        <w:gridCol w:w="137"/>
        <w:gridCol w:w="1136"/>
        <w:gridCol w:w="127"/>
        <w:gridCol w:w="36"/>
        <w:gridCol w:w="36"/>
        <w:gridCol w:w="36"/>
        <w:gridCol w:w="136"/>
        <w:gridCol w:w="616"/>
        <w:gridCol w:w="86"/>
        <w:gridCol w:w="36"/>
        <w:gridCol w:w="36"/>
        <w:gridCol w:w="36"/>
        <w:gridCol w:w="157"/>
        <w:gridCol w:w="157"/>
        <w:gridCol w:w="157"/>
        <w:gridCol w:w="36"/>
        <w:gridCol w:w="36"/>
        <w:gridCol w:w="36"/>
      </w:tblGrid>
      <w:tr w:rsidR="00B626E7" w14:paraId="20AE01FE" w14:textId="77777777">
        <w:trPr>
          <w:gridAfter w:val="9"/>
        </w:trPr>
        <w:tc>
          <w:tcPr>
            <w:tcW w:w="50" w:type="pct"/>
            <w:shd w:val="clear" w:color="auto" w:fill="auto"/>
          </w:tcPr>
          <w:p w14:paraId="20AE01DD" w14:textId="77777777" w:rsidR="00B626E7" w:rsidRDefault="00B626E7">
            <w:pPr>
              <w:rPr>
                <w:rFonts w:ascii="宋体"/>
              </w:rPr>
            </w:pPr>
          </w:p>
        </w:tc>
        <w:tc>
          <w:tcPr>
            <w:tcW w:w="1852" w:type="pct"/>
            <w:shd w:val="clear" w:color="auto" w:fill="auto"/>
          </w:tcPr>
          <w:p w14:paraId="20AE01DE" w14:textId="77777777" w:rsidR="00B626E7" w:rsidRDefault="00B626E7">
            <w:pPr>
              <w:rPr>
                <w:rFonts w:ascii="宋体"/>
              </w:rPr>
            </w:pPr>
          </w:p>
        </w:tc>
        <w:tc>
          <w:tcPr>
            <w:tcW w:w="50" w:type="pct"/>
            <w:shd w:val="clear" w:color="auto" w:fill="auto"/>
          </w:tcPr>
          <w:p w14:paraId="20AE01DF" w14:textId="77777777" w:rsidR="00B626E7" w:rsidRDefault="00B626E7">
            <w:pPr>
              <w:rPr>
                <w:rFonts w:ascii="宋体"/>
              </w:rPr>
            </w:pPr>
          </w:p>
        </w:tc>
        <w:tc>
          <w:tcPr>
            <w:tcW w:w="5" w:type="pct"/>
            <w:shd w:val="clear" w:color="auto" w:fill="auto"/>
          </w:tcPr>
          <w:p w14:paraId="20AE01E0" w14:textId="77777777" w:rsidR="00B626E7" w:rsidRDefault="00B626E7">
            <w:pPr>
              <w:rPr>
                <w:rFonts w:ascii="宋体"/>
              </w:rPr>
            </w:pPr>
          </w:p>
        </w:tc>
        <w:tc>
          <w:tcPr>
            <w:tcW w:w="24" w:type="pct"/>
            <w:shd w:val="clear" w:color="auto" w:fill="auto"/>
          </w:tcPr>
          <w:p w14:paraId="20AE01E1" w14:textId="77777777" w:rsidR="00B626E7" w:rsidRDefault="00B626E7">
            <w:pPr>
              <w:rPr>
                <w:rFonts w:ascii="宋体"/>
              </w:rPr>
            </w:pPr>
          </w:p>
        </w:tc>
        <w:tc>
          <w:tcPr>
            <w:tcW w:w="5" w:type="pct"/>
            <w:shd w:val="clear" w:color="auto" w:fill="auto"/>
          </w:tcPr>
          <w:p w14:paraId="20AE01E2" w14:textId="77777777" w:rsidR="00B626E7" w:rsidRDefault="00B626E7">
            <w:pPr>
              <w:rPr>
                <w:rFonts w:ascii="宋体"/>
              </w:rPr>
            </w:pPr>
          </w:p>
        </w:tc>
        <w:tc>
          <w:tcPr>
            <w:tcW w:w="50" w:type="pct"/>
            <w:shd w:val="clear" w:color="auto" w:fill="auto"/>
          </w:tcPr>
          <w:p w14:paraId="20AE01E3" w14:textId="77777777" w:rsidR="00B626E7" w:rsidRDefault="00B626E7">
            <w:pPr>
              <w:rPr>
                <w:rFonts w:ascii="宋体"/>
              </w:rPr>
            </w:pPr>
          </w:p>
        </w:tc>
        <w:tc>
          <w:tcPr>
            <w:tcW w:w="447" w:type="pct"/>
            <w:shd w:val="clear" w:color="auto" w:fill="auto"/>
          </w:tcPr>
          <w:p w14:paraId="20AE01E4" w14:textId="77777777" w:rsidR="00B626E7" w:rsidRDefault="00B626E7">
            <w:pPr>
              <w:rPr>
                <w:rFonts w:ascii="宋体"/>
              </w:rPr>
            </w:pPr>
          </w:p>
        </w:tc>
        <w:tc>
          <w:tcPr>
            <w:tcW w:w="50" w:type="pct"/>
            <w:shd w:val="clear" w:color="auto" w:fill="auto"/>
          </w:tcPr>
          <w:p w14:paraId="20AE01E5" w14:textId="77777777" w:rsidR="00B626E7" w:rsidRDefault="00B626E7">
            <w:pPr>
              <w:rPr>
                <w:rFonts w:ascii="宋体"/>
              </w:rPr>
            </w:pPr>
          </w:p>
        </w:tc>
        <w:tc>
          <w:tcPr>
            <w:tcW w:w="5" w:type="pct"/>
            <w:shd w:val="clear" w:color="auto" w:fill="auto"/>
          </w:tcPr>
          <w:p w14:paraId="20AE01E6" w14:textId="77777777" w:rsidR="00B626E7" w:rsidRDefault="00B626E7">
            <w:pPr>
              <w:rPr>
                <w:rFonts w:ascii="宋体"/>
              </w:rPr>
            </w:pPr>
          </w:p>
        </w:tc>
        <w:tc>
          <w:tcPr>
            <w:tcW w:w="24" w:type="pct"/>
            <w:shd w:val="clear" w:color="auto" w:fill="auto"/>
          </w:tcPr>
          <w:p w14:paraId="20AE01E7" w14:textId="77777777" w:rsidR="00B626E7" w:rsidRDefault="00B626E7">
            <w:pPr>
              <w:rPr>
                <w:rFonts w:ascii="宋体"/>
              </w:rPr>
            </w:pPr>
          </w:p>
        </w:tc>
        <w:tc>
          <w:tcPr>
            <w:tcW w:w="5" w:type="pct"/>
            <w:shd w:val="clear" w:color="auto" w:fill="auto"/>
          </w:tcPr>
          <w:p w14:paraId="20AE01E8" w14:textId="77777777" w:rsidR="00B626E7" w:rsidRDefault="00B626E7">
            <w:pPr>
              <w:rPr>
                <w:rFonts w:ascii="宋体"/>
              </w:rPr>
            </w:pPr>
          </w:p>
        </w:tc>
        <w:tc>
          <w:tcPr>
            <w:tcW w:w="50" w:type="pct"/>
            <w:shd w:val="clear" w:color="auto" w:fill="auto"/>
          </w:tcPr>
          <w:p w14:paraId="20AE01E9" w14:textId="77777777" w:rsidR="00B626E7" w:rsidRDefault="00B626E7">
            <w:pPr>
              <w:rPr>
                <w:rFonts w:ascii="宋体"/>
              </w:rPr>
            </w:pPr>
          </w:p>
        </w:tc>
        <w:tc>
          <w:tcPr>
            <w:tcW w:w="447" w:type="pct"/>
            <w:shd w:val="clear" w:color="auto" w:fill="auto"/>
          </w:tcPr>
          <w:p w14:paraId="20AE01EA" w14:textId="77777777" w:rsidR="00B626E7" w:rsidRDefault="00B626E7">
            <w:pPr>
              <w:rPr>
                <w:rFonts w:ascii="宋体"/>
              </w:rPr>
            </w:pPr>
          </w:p>
        </w:tc>
        <w:tc>
          <w:tcPr>
            <w:tcW w:w="50" w:type="pct"/>
            <w:shd w:val="clear" w:color="auto" w:fill="auto"/>
          </w:tcPr>
          <w:p w14:paraId="20AE01EB" w14:textId="77777777" w:rsidR="00B626E7" w:rsidRDefault="00B626E7">
            <w:pPr>
              <w:rPr>
                <w:rFonts w:ascii="宋体"/>
              </w:rPr>
            </w:pPr>
          </w:p>
        </w:tc>
        <w:tc>
          <w:tcPr>
            <w:tcW w:w="5" w:type="pct"/>
            <w:shd w:val="clear" w:color="auto" w:fill="auto"/>
          </w:tcPr>
          <w:p w14:paraId="20AE01EC" w14:textId="77777777" w:rsidR="00B626E7" w:rsidRDefault="00B626E7">
            <w:pPr>
              <w:rPr>
                <w:rFonts w:ascii="宋体"/>
              </w:rPr>
            </w:pPr>
          </w:p>
        </w:tc>
        <w:tc>
          <w:tcPr>
            <w:tcW w:w="24" w:type="pct"/>
            <w:shd w:val="clear" w:color="auto" w:fill="auto"/>
          </w:tcPr>
          <w:p w14:paraId="20AE01ED" w14:textId="77777777" w:rsidR="00B626E7" w:rsidRDefault="00B626E7">
            <w:pPr>
              <w:rPr>
                <w:rFonts w:ascii="宋体"/>
              </w:rPr>
            </w:pPr>
          </w:p>
        </w:tc>
        <w:tc>
          <w:tcPr>
            <w:tcW w:w="5" w:type="pct"/>
            <w:shd w:val="clear" w:color="auto" w:fill="auto"/>
          </w:tcPr>
          <w:p w14:paraId="20AE01EE" w14:textId="77777777" w:rsidR="00B626E7" w:rsidRDefault="00B626E7">
            <w:pPr>
              <w:rPr>
                <w:rFonts w:ascii="宋体"/>
              </w:rPr>
            </w:pPr>
          </w:p>
        </w:tc>
        <w:tc>
          <w:tcPr>
            <w:tcW w:w="50" w:type="pct"/>
            <w:shd w:val="clear" w:color="auto" w:fill="auto"/>
          </w:tcPr>
          <w:p w14:paraId="20AE01EF" w14:textId="77777777" w:rsidR="00B626E7" w:rsidRDefault="00B626E7">
            <w:pPr>
              <w:rPr>
                <w:rFonts w:ascii="宋体"/>
              </w:rPr>
            </w:pPr>
          </w:p>
        </w:tc>
        <w:tc>
          <w:tcPr>
            <w:tcW w:w="584" w:type="pct"/>
            <w:shd w:val="clear" w:color="auto" w:fill="auto"/>
          </w:tcPr>
          <w:p w14:paraId="20AE01F0" w14:textId="77777777" w:rsidR="00B626E7" w:rsidRDefault="00B626E7">
            <w:pPr>
              <w:rPr>
                <w:rFonts w:ascii="宋体"/>
              </w:rPr>
            </w:pPr>
          </w:p>
        </w:tc>
        <w:tc>
          <w:tcPr>
            <w:tcW w:w="50" w:type="pct"/>
            <w:shd w:val="clear" w:color="auto" w:fill="auto"/>
          </w:tcPr>
          <w:p w14:paraId="20AE01F1" w14:textId="77777777" w:rsidR="00B626E7" w:rsidRDefault="00B626E7">
            <w:pPr>
              <w:rPr>
                <w:rFonts w:ascii="宋体"/>
              </w:rPr>
            </w:pPr>
          </w:p>
        </w:tc>
        <w:tc>
          <w:tcPr>
            <w:tcW w:w="5" w:type="pct"/>
            <w:shd w:val="clear" w:color="auto" w:fill="auto"/>
          </w:tcPr>
          <w:p w14:paraId="20AE01F2" w14:textId="77777777" w:rsidR="00B626E7" w:rsidRDefault="00B626E7">
            <w:pPr>
              <w:rPr>
                <w:rFonts w:ascii="宋体"/>
              </w:rPr>
            </w:pPr>
          </w:p>
        </w:tc>
        <w:tc>
          <w:tcPr>
            <w:tcW w:w="24" w:type="pct"/>
            <w:shd w:val="clear" w:color="auto" w:fill="auto"/>
          </w:tcPr>
          <w:p w14:paraId="20AE01F3" w14:textId="77777777" w:rsidR="00B626E7" w:rsidRDefault="00B626E7">
            <w:pPr>
              <w:rPr>
                <w:rFonts w:ascii="宋体"/>
              </w:rPr>
            </w:pPr>
          </w:p>
        </w:tc>
        <w:tc>
          <w:tcPr>
            <w:tcW w:w="5" w:type="pct"/>
            <w:shd w:val="clear" w:color="auto" w:fill="auto"/>
          </w:tcPr>
          <w:p w14:paraId="20AE01F4" w14:textId="77777777" w:rsidR="00B626E7" w:rsidRDefault="00B626E7">
            <w:pPr>
              <w:rPr>
                <w:rFonts w:ascii="宋体"/>
              </w:rPr>
            </w:pPr>
          </w:p>
        </w:tc>
        <w:tc>
          <w:tcPr>
            <w:tcW w:w="50" w:type="pct"/>
            <w:shd w:val="clear" w:color="auto" w:fill="auto"/>
          </w:tcPr>
          <w:p w14:paraId="20AE01F5" w14:textId="77777777" w:rsidR="00B626E7" w:rsidRDefault="00B626E7">
            <w:pPr>
              <w:rPr>
                <w:rFonts w:ascii="宋体"/>
              </w:rPr>
            </w:pPr>
          </w:p>
        </w:tc>
        <w:tc>
          <w:tcPr>
            <w:tcW w:w="447" w:type="pct"/>
            <w:shd w:val="clear" w:color="auto" w:fill="auto"/>
          </w:tcPr>
          <w:p w14:paraId="20AE01F6" w14:textId="77777777" w:rsidR="00B626E7" w:rsidRDefault="00B626E7">
            <w:pPr>
              <w:rPr>
                <w:rFonts w:ascii="宋体"/>
              </w:rPr>
            </w:pPr>
          </w:p>
        </w:tc>
        <w:tc>
          <w:tcPr>
            <w:tcW w:w="50" w:type="pct"/>
            <w:shd w:val="clear" w:color="auto" w:fill="auto"/>
          </w:tcPr>
          <w:p w14:paraId="20AE01F7" w14:textId="77777777" w:rsidR="00B626E7" w:rsidRDefault="00B626E7">
            <w:pPr>
              <w:rPr>
                <w:rFonts w:ascii="宋体"/>
              </w:rPr>
            </w:pPr>
          </w:p>
        </w:tc>
        <w:tc>
          <w:tcPr>
            <w:tcW w:w="5" w:type="pct"/>
            <w:shd w:val="clear" w:color="auto" w:fill="auto"/>
          </w:tcPr>
          <w:p w14:paraId="20AE01F8" w14:textId="77777777" w:rsidR="00B626E7" w:rsidRDefault="00B626E7">
            <w:pPr>
              <w:rPr>
                <w:rFonts w:ascii="宋体"/>
              </w:rPr>
            </w:pPr>
          </w:p>
        </w:tc>
        <w:tc>
          <w:tcPr>
            <w:tcW w:w="24" w:type="pct"/>
            <w:shd w:val="clear" w:color="auto" w:fill="auto"/>
          </w:tcPr>
          <w:p w14:paraId="20AE01F9" w14:textId="77777777" w:rsidR="00B626E7" w:rsidRDefault="00B626E7">
            <w:pPr>
              <w:rPr>
                <w:rFonts w:ascii="宋体"/>
              </w:rPr>
            </w:pPr>
          </w:p>
        </w:tc>
        <w:tc>
          <w:tcPr>
            <w:tcW w:w="5" w:type="pct"/>
            <w:shd w:val="clear" w:color="auto" w:fill="auto"/>
          </w:tcPr>
          <w:p w14:paraId="20AE01FA" w14:textId="77777777" w:rsidR="00B626E7" w:rsidRDefault="00B626E7">
            <w:pPr>
              <w:rPr>
                <w:rFonts w:ascii="宋体"/>
              </w:rPr>
            </w:pPr>
          </w:p>
        </w:tc>
        <w:tc>
          <w:tcPr>
            <w:tcW w:w="50" w:type="pct"/>
            <w:shd w:val="clear" w:color="auto" w:fill="auto"/>
          </w:tcPr>
          <w:p w14:paraId="20AE01FB" w14:textId="77777777" w:rsidR="00B626E7" w:rsidRDefault="00B626E7">
            <w:pPr>
              <w:rPr>
                <w:rFonts w:ascii="宋体"/>
              </w:rPr>
            </w:pPr>
          </w:p>
        </w:tc>
        <w:tc>
          <w:tcPr>
            <w:tcW w:w="448" w:type="pct"/>
            <w:shd w:val="clear" w:color="auto" w:fill="auto"/>
          </w:tcPr>
          <w:p w14:paraId="20AE01FC" w14:textId="77777777" w:rsidR="00B626E7" w:rsidRDefault="00B626E7">
            <w:pPr>
              <w:rPr>
                <w:rFonts w:ascii="宋体"/>
              </w:rPr>
            </w:pPr>
          </w:p>
        </w:tc>
        <w:tc>
          <w:tcPr>
            <w:tcW w:w="50" w:type="pct"/>
            <w:shd w:val="clear" w:color="auto" w:fill="auto"/>
          </w:tcPr>
          <w:p w14:paraId="20AE01FD" w14:textId="77777777" w:rsidR="00B626E7" w:rsidRDefault="00B626E7">
            <w:pPr>
              <w:rPr>
                <w:rFonts w:ascii="宋体"/>
              </w:rPr>
            </w:pPr>
          </w:p>
        </w:tc>
      </w:tr>
      <w:tr w:rsidR="00B626E7" w14:paraId="20AE020A" w14:textId="77777777">
        <w:trPr>
          <w:gridAfter w:val="3"/>
        </w:trPr>
        <w:tc>
          <w:tcPr>
            <w:tcW w:w="0" w:type="auto"/>
            <w:gridSpan w:val="3"/>
            <w:shd w:val="clear" w:color="auto" w:fill="auto"/>
            <w:tcMar>
              <w:left w:w="20" w:type="dxa"/>
              <w:right w:w="20" w:type="dxa"/>
            </w:tcMar>
            <w:vAlign w:val="bottom"/>
          </w:tcPr>
          <w:p w14:paraId="20AE01FF"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200" w14:textId="77777777" w:rsidR="00B626E7" w:rsidRDefault="00B626E7">
            <w:pPr>
              <w:rPr>
                <w:rFonts w:ascii="宋体"/>
              </w:rPr>
            </w:pPr>
          </w:p>
        </w:tc>
        <w:tc>
          <w:tcPr>
            <w:tcW w:w="0" w:type="auto"/>
            <w:gridSpan w:val="9"/>
            <w:shd w:val="clear" w:color="auto" w:fill="auto"/>
            <w:tcMar>
              <w:top w:w="40" w:type="dxa"/>
              <w:left w:w="20" w:type="dxa"/>
              <w:bottom w:w="40" w:type="dxa"/>
              <w:right w:w="20" w:type="dxa"/>
            </w:tcMar>
            <w:vAlign w:val="bottom"/>
          </w:tcPr>
          <w:p w14:paraId="20AE0201" w14:textId="77777777" w:rsidR="00B626E7" w:rsidRDefault="00175C1D">
            <w:pPr>
              <w:jc w:val="center"/>
              <w:textAlignment w:val="bottom"/>
            </w:pPr>
            <w:r>
              <w:rPr>
                <w:rFonts w:ascii="Arial" w:eastAsia="宋体" w:hAnsi="Arial" w:cs="Arial"/>
                <w:b/>
                <w:bCs/>
                <w:color w:val="333333"/>
                <w:sz w:val="18"/>
                <w:szCs w:val="18"/>
              </w:rPr>
              <w:t>Common Stock and Capital in Excess of Par Value</w:t>
            </w:r>
          </w:p>
        </w:tc>
        <w:tc>
          <w:tcPr>
            <w:tcW w:w="0" w:type="auto"/>
            <w:gridSpan w:val="3"/>
            <w:shd w:val="clear" w:color="auto" w:fill="auto"/>
          </w:tcPr>
          <w:p w14:paraId="20AE0202" w14:textId="77777777" w:rsidR="00B626E7" w:rsidRDefault="00B626E7">
            <w:pPr>
              <w:rPr>
                <w:rFonts w:ascii="宋体"/>
                <w:vanish/>
              </w:rPr>
            </w:pPr>
          </w:p>
        </w:tc>
        <w:tc>
          <w:tcPr>
            <w:tcW w:w="0" w:type="auto"/>
            <w:gridSpan w:val="3"/>
            <w:shd w:val="clear" w:color="auto" w:fill="auto"/>
          </w:tcPr>
          <w:p w14:paraId="20AE0203" w14:textId="77777777" w:rsidR="00B626E7" w:rsidRDefault="00B626E7">
            <w:pPr>
              <w:rPr>
                <w:rFonts w:ascii="宋体"/>
                <w:vanish/>
              </w:rPr>
            </w:pPr>
          </w:p>
        </w:tc>
        <w:tc>
          <w:tcPr>
            <w:tcW w:w="0" w:type="auto"/>
            <w:gridSpan w:val="3"/>
            <w:shd w:val="clear" w:color="auto" w:fill="auto"/>
            <w:tcMar>
              <w:left w:w="20" w:type="dxa"/>
              <w:right w:w="20" w:type="dxa"/>
            </w:tcMar>
            <w:vAlign w:val="bottom"/>
          </w:tcPr>
          <w:p w14:paraId="20AE0204" w14:textId="77777777" w:rsidR="00B626E7" w:rsidRDefault="00B626E7">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20AE0205" w14:textId="77777777" w:rsidR="00B626E7" w:rsidRDefault="00175C1D">
            <w:pPr>
              <w:jc w:val="center"/>
              <w:textAlignment w:val="bottom"/>
            </w:pPr>
            <w:r>
              <w:rPr>
                <w:rFonts w:ascii="Arial" w:eastAsia="宋体" w:hAnsi="Arial" w:cs="Arial"/>
                <w:b/>
                <w:bCs/>
                <w:color w:val="333333"/>
                <w:sz w:val="18"/>
                <w:szCs w:val="18"/>
              </w:rPr>
              <w:t xml:space="preserve">Accumulated Other Comprehensive Income </w:t>
            </w:r>
            <w:r>
              <w:rPr>
                <w:rFonts w:ascii="Arial" w:eastAsia="宋体" w:hAnsi="Arial" w:cs="Arial"/>
                <w:b/>
                <w:bCs/>
                <w:color w:val="333333"/>
                <w:sz w:val="18"/>
                <w:szCs w:val="18"/>
              </w:rPr>
              <w:t>(Loss)</w:t>
            </w:r>
          </w:p>
        </w:tc>
        <w:tc>
          <w:tcPr>
            <w:tcW w:w="0" w:type="auto"/>
            <w:gridSpan w:val="3"/>
            <w:shd w:val="clear" w:color="auto" w:fill="auto"/>
            <w:tcMar>
              <w:left w:w="20" w:type="dxa"/>
              <w:right w:w="20" w:type="dxa"/>
            </w:tcMar>
            <w:vAlign w:val="bottom"/>
          </w:tcPr>
          <w:p w14:paraId="20AE0206" w14:textId="77777777" w:rsidR="00B626E7" w:rsidRDefault="00B626E7">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20AE0207" w14:textId="77777777" w:rsidR="00B626E7" w:rsidRDefault="00175C1D">
            <w:pPr>
              <w:jc w:val="center"/>
              <w:textAlignment w:val="bottom"/>
            </w:pPr>
            <w:r>
              <w:rPr>
                <w:rFonts w:ascii="Arial" w:eastAsia="宋体" w:hAnsi="Arial" w:cs="Arial"/>
                <w:b/>
                <w:bCs/>
                <w:color w:val="333333"/>
                <w:sz w:val="18"/>
                <w:szCs w:val="18"/>
              </w:rPr>
              <w:t>Retained Earnings</w:t>
            </w:r>
          </w:p>
        </w:tc>
        <w:tc>
          <w:tcPr>
            <w:tcW w:w="0" w:type="auto"/>
            <w:gridSpan w:val="3"/>
            <w:shd w:val="clear" w:color="auto" w:fill="auto"/>
            <w:tcMar>
              <w:left w:w="20" w:type="dxa"/>
              <w:right w:w="20" w:type="dxa"/>
            </w:tcMar>
            <w:vAlign w:val="bottom"/>
          </w:tcPr>
          <w:p w14:paraId="20AE0208" w14:textId="77777777" w:rsidR="00B626E7" w:rsidRDefault="00B626E7">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20AE0209" w14:textId="77777777" w:rsidR="00B626E7" w:rsidRDefault="00175C1D">
            <w:pPr>
              <w:jc w:val="center"/>
              <w:textAlignment w:val="bottom"/>
            </w:pPr>
            <w:r>
              <w:rPr>
                <w:rFonts w:ascii="Arial" w:eastAsia="宋体" w:hAnsi="Arial" w:cs="Arial"/>
                <w:b/>
                <w:bCs/>
                <w:color w:val="333333"/>
                <w:sz w:val="18"/>
                <w:szCs w:val="18"/>
              </w:rPr>
              <w:t>Total</w:t>
            </w:r>
          </w:p>
        </w:tc>
      </w:tr>
      <w:tr w:rsidR="00B626E7" w14:paraId="20AE0219" w14:textId="77777777">
        <w:tc>
          <w:tcPr>
            <w:tcW w:w="0" w:type="auto"/>
            <w:gridSpan w:val="3"/>
            <w:shd w:val="clear" w:color="auto" w:fill="auto"/>
            <w:tcMar>
              <w:top w:w="40" w:type="dxa"/>
              <w:left w:w="20" w:type="dxa"/>
              <w:bottom w:w="40" w:type="dxa"/>
              <w:right w:w="20" w:type="dxa"/>
            </w:tcMar>
            <w:vAlign w:val="bottom"/>
          </w:tcPr>
          <w:p w14:paraId="20AE020B" w14:textId="77777777" w:rsidR="00B626E7" w:rsidRDefault="00175C1D">
            <w:pPr>
              <w:textAlignment w:val="bottom"/>
            </w:pPr>
            <w:r>
              <w:rPr>
                <w:rFonts w:ascii="Arial" w:eastAsia="宋体" w:hAnsi="Arial" w:cs="Arial"/>
                <w:b/>
                <w:bCs/>
                <w:color w:val="333333"/>
                <w:sz w:val="18"/>
                <w:szCs w:val="18"/>
              </w:rPr>
              <w:t>(In Millions, Except Per Share Amounts; Unaudited)</w:t>
            </w:r>
          </w:p>
        </w:tc>
        <w:tc>
          <w:tcPr>
            <w:tcW w:w="0" w:type="auto"/>
            <w:gridSpan w:val="3"/>
            <w:shd w:val="clear" w:color="auto" w:fill="auto"/>
            <w:tcMar>
              <w:left w:w="20" w:type="dxa"/>
              <w:right w:w="20" w:type="dxa"/>
            </w:tcMar>
            <w:vAlign w:val="bottom"/>
          </w:tcPr>
          <w:p w14:paraId="20AE020C"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020D" w14:textId="77777777" w:rsidR="00B626E7" w:rsidRDefault="00175C1D">
            <w:pPr>
              <w:jc w:val="center"/>
              <w:textAlignment w:val="bottom"/>
            </w:pPr>
            <w:r>
              <w:rPr>
                <w:rFonts w:ascii="Arial" w:eastAsia="宋体" w:hAnsi="Arial" w:cs="Arial"/>
                <w:b/>
                <w:bCs/>
                <w:color w:val="333333"/>
                <w:sz w:val="18"/>
                <w:szCs w:val="18"/>
              </w:rPr>
              <w:t>Shares</w:t>
            </w:r>
          </w:p>
        </w:tc>
        <w:tc>
          <w:tcPr>
            <w:tcW w:w="0" w:type="auto"/>
            <w:gridSpan w:val="3"/>
            <w:tcBorders>
              <w:top w:val="single" w:sz="8" w:space="0" w:color="0071C5"/>
            </w:tcBorders>
            <w:shd w:val="clear" w:color="auto" w:fill="auto"/>
            <w:tcMar>
              <w:left w:w="20" w:type="dxa"/>
              <w:right w:w="20" w:type="dxa"/>
            </w:tcMar>
            <w:vAlign w:val="bottom"/>
          </w:tcPr>
          <w:p w14:paraId="20AE020E"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020F" w14:textId="77777777" w:rsidR="00B626E7" w:rsidRDefault="00175C1D">
            <w:pPr>
              <w:jc w:val="center"/>
              <w:textAlignment w:val="bottom"/>
            </w:pPr>
            <w:r>
              <w:rPr>
                <w:rFonts w:ascii="Arial" w:eastAsia="宋体" w:hAnsi="Arial" w:cs="Arial"/>
                <w:b/>
                <w:bCs/>
                <w:color w:val="333333"/>
                <w:sz w:val="18"/>
                <w:szCs w:val="18"/>
              </w:rPr>
              <w:t>Amount</w:t>
            </w:r>
          </w:p>
        </w:tc>
        <w:tc>
          <w:tcPr>
            <w:tcW w:w="0" w:type="auto"/>
            <w:gridSpan w:val="3"/>
            <w:shd w:val="clear" w:color="auto" w:fill="auto"/>
            <w:tcMar>
              <w:left w:w="20" w:type="dxa"/>
              <w:right w:w="20" w:type="dxa"/>
            </w:tcMar>
            <w:vAlign w:val="bottom"/>
          </w:tcPr>
          <w:p w14:paraId="20AE0210" w14:textId="77777777" w:rsidR="00B626E7" w:rsidRDefault="00B626E7">
            <w:pPr>
              <w:rPr>
                <w:rFonts w:ascii="宋体"/>
              </w:rPr>
            </w:pPr>
          </w:p>
        </w:tc>
        <w:tc>
          <w:tcPr>
            <w:tcW w:w="0" w:type="auto"/>
            <w:gridSpan w:val="3"/>
            <w:shd w:val="clear" w:color="auto" w:fill="auto"/>
          </w:tcPr>
          <w:p w14:paraId="20AE0211" w14:textId="77777777" w:rsidR="00B626E7" w:rsidRDefault="00B626E7">
            <w:pPr>
              <w:rPr>
                <w:rFonts w:ascii="宋体"/>
                <w:vanish/>
              </w:rPr>
            </w:pPr>
          </w:p>
        </w:tc>
        <w:tc>
          <w:tcPr>
            <w:tcW w:w="0" w:type="auto"/>
            <w:gridSpan w:val="3"/>
            <w:shd w:val="clear" w:color="auto" w:fill="auto"/>
            <w:tcMar>
              <w:left w:w="20" w:type="dxa"/>
              <w:right w:w="20" w:type="dxa"/>
            </w:tcMar>
            <w:vAlign w:val="bottom"/>
          </w:tcPr>
          <w:p w14:paraId="20AE0212" w14:textId="77777777" w:rsidR="00B626E7" w:rsidRDefault="00B626E7">
            <w:pPr>
              <w:rPr>
                <w:rFonts w:ascii="宋体"/>
              </w:rPr>
            </w:pPr>
          </w:p>
        </w:tc>
        <w:tc>
          <w:tcPr>
            <w:tcW w:w="0" w:type="auto"/>
            <w:gridSpan w:val="3"/>
            <w:vMerge/>
            <w:shd w:val="clear" w:color="auto" w:fill="auto"/>
            <w:tcMar>
              <w:top w:w="40" w:type="dxa"/>
              <w:left w:w="20" w:type="dxa"/>
              <w:bottom w:w="40" w:type="dxa"/>
              <w:right w:w="20" w:type="dxa"/>
            </w:tcMar>
            <w:vAlign w:val="bottom"/>
          </w:tcPr>
          <w:p w14:paraId="20AE0213" w14:textId="77777777" w:rsidR="00B626E7" w:rsidRDefault="00B626E7">
            <w:pPr>
              <w:jc w:val="center"/>
              <w:rPr>
                <w:rFonts w:ascii="宋体"/>
              </w:rPr>
            </w:pPr>
          </w:p>
        </w:tc>
        <w:tc>
          <w:tcPr>
            <w:tcW w:w="0" w:type="auto"/>
            <w:gridSpan w:val="3"/>
            <w:shd w:val="clear" w:color="auto" w:fill="auto"/>
          </w:tcPr>
          <w:p w14:paraId="20AE0214" w14:textId="77777777" w:rsidR="00B626E7" w:rsidRDefault="00B626E7">
            <w:pPr>
              <w:rPr>
                <w:rFonts w:ascii="宋体"/>
                <w:vanish/>
              </w:rPr>
            </w:pPr>
          </w:p>
        </w:tc>
        <w:tc>
          <w:tcPr>
            <w:tcW w:w="0" w:type="auto"/>
            <w:gridSpan w:val="3"/>
            <w:vMerge/>
            <w:shd w:val="clear" w:color="auto" w:fill="auto"/>
            <w:tcMar>
              <w:top w:w="40" w:type="dxa"/>
              <w:left w:w="20" w:type="dxa"/>
              <w:bottom w:w="40" w:type="dxa"/>
              <w:right w:w="20" w:type="dxa"/>
            </w:tcMar>
            <w:vAlign w:val="bottom"/>
          </w:tcPr>
          <w:p w14:paraId="20AE0215" w14:textId="77777777" w:rsidR="00B626E7" w:rsidRDefault="00B626E7">
            <w:pPr>
              <w:jc w:val="center"/>
              <w:rPr>
                <w:rFonts w:ascii="宋体"/>
              </w:rPr>
            </w:pPr>
          </w:p>
        </w:tc>
        <w:tc>
          <w:tcPr>
            <w:tcW w:w="0" w:type="auto"/>
            <w:gridSpan w:val="3"/>
            <w:shd w:val="clear" w:color="auto" w:fill="auto"/>
            <w:tcMar>
              <w:left w:w="20" w:type="dxa"/>
              <w:right w:w="20" w:type="dxa"/>
            </w:tcMar>
            <w:vAlign w:val="bottom"/>
          </w:tcPr>
          <w:p w14:paraId="20AE0216" w14:textId="77777777" w:rsidR="00B626E7" w:rsidRDefault="00B626E7">
            <w:pPr>
              <w:rPr>
                <w:rFonts w:ascii="宋体"/>
              </w:rPr>
            </w:pPr>
          </w:p>
        </w:tc>
        <w:tc>
          <w:tcPr>
            <w:tcW w:w="0" w:type="auto"/>
            <w:gridSpan w:val="3"/>
            <w:vMerge/>
            <w:shd w:val="clear" w:color="auto" w:fill="auto"/>
            <w:tcMar>
              <w:top w:w="40" w:type="dxa"/>
              <w:left w:w="20" w:type="dxa"/>
              <w:bottom w:w="40" w:type="dxa"/>
              <w:right w:w="20" w:type="dxa"/>
            </w:tcMar>
            <w:vAlign w:val="bottom"/>
          </w:tcPr>
          <w:p w14:paraId="20AE0217" w14:textId="77777777" w:rsidR="00B626E7" w:rsidRDefault="00B626E7">
            <w:pPr>
              <w:jc w:val="center"/>
              <w:rPr>
                <w:rFonts w:ascii="宋体"/>
              </w:rPr>
            </w:pPr>
          </w:p>
        </w:tc>
        <w:tc>
          <w:tcPr>
            <w:tcW w:w="0" w:type="auto"/>
            <w:gridSpan w:val="3"/>
            <w:shd w:val="clear" w:color="auto" w:fill="auto"/>
          </w:tcPr>
          <w:p w14:paraId="20AE0218" w14:textId="77777777" w:rsidR="00B626E7" w:rsidRDefault="00B626E7">
            <w:pPr>
              <w:rPr>
                <w:rFonts w:ascii="宋体"/>
                <w:vanish/>
              </w:rPr>
            </w:pPr>
          </w:p>
        </w:tc>
      </w:tr>
      <w:tr w:rsidR="00B626E7" w14:paraId="20AE022E" w14:textId="77777777">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021A" w14:textId="77777777" w:rsidR="00B626E7" w:rsidRDefault="00175C1D">
            <w:pPr>
              <w:textAlignment w:val="bottom"/>
            </w:pPr>
            <w:r>
              <w:rPr>
                <w:rFonts w:ascii="Arial" w:eastAsia="宋体" w:hAnsi="Arial" w:cs="Arial"/>
                <w:b/>
                <w:bCs/>
                <w:color w:val="333333"/>
                <w:sz w:val="18"/>
                <w:szCs w:val="18"/>
              </w:rPr>
              <w:t>Three Mo</w:t>
            </w:r>
            <w:r>
              <w:rPr>
                <w:rFonts w:ascii="Arial" w:eastAsia="宋体" w:hAnsi="Arial" w:cs="Arial"/>
                <w:b/>
                <w:bCs/>
                <w:color w:val="333333"/>
                <w:sz w:val="18"/>
                <w:szCs w:val="18"/>
              </w:rPr>
              <w:t>nths Ended</w:t>
            </w:r>
          </w:p>
        </w:tc>
        <w:tc>
          <w:tcPr>
            <w:tcW w:w="0" w:type="auto"/>
            <w:gridSpan w:val="3"/>
            <w:tcBorders>
              <w:top w:val="single" w:sz="8" w:space="0" w:color="0071C5"/>
            </w:tcBorders>
            <w:shd w:val="clear" w:color="auto" w:fill="auto"/>
            <w:tcMar>
              <w:left w:w="20" w:type="dxa"/>
              <w:right w:w="20" w:type="dxa"/>
            </w:tcMar>
            <w:vAlign w:val="bottom"/>
          </w:tcPr>
          <w:p w14:paraId="20AE021B"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021C"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021D"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021E"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021F"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0220"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0221"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0222"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0223"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0224" w14:textId="77777777" w:rsidR="00B626E7" w:rsidRDefault="00B626E7">
            <w:pPr>
              <w:rPr>
                <w:rFonts w:ascii="宋体"/>
              </w:rPr>
            </w:pPr>
          </w:p>
        </w:tc>
        <w:tc>
          <w:tcPr>
            <w:tcW w:w="0" w:type="auto"/>
            <w:shd w:val="clear" w:color="auto" w:fill="auto"/>
          </w:tcPr>
          <w:p w14:paraId="20AE0225" w14:textId="77777777" w:rsidR="00B626E7" w:rsidRDefault="00B626E7">
            <w:pPr>
              <w:rPr>
                <w:rFonts w:ascii="宋体"/>
              </w:rPr>
            </w:pPr>
          </w:p>
        </w:tc>
        <w:tc>
          <w:tcPr>
            <w:tcW w:w="0" w:type="auto"/>
            <w:shd w:val="clear" w:color="auto" w:fill="auto"/>
          </w:tcPr>
          <w:p w14:paraId="20AE0226" w14:textId="77777777" w:rsidR="00B626E7" w:rsidRDefault="00B626E7">
            <w:pPr>
              <w:rPr>
                <w:rFonts w:ascii="宋体"/>
              </w:rPr>
            </w:pPr>
          </w:p>
        </w:tc>
        <w:tc>
          <w:tcPr>
            <w:tcW w:w="0" w:type="auto"/>
            <w:shd w:val="clear" w:color="auto" w:fill="auto"/>
          </w:tcPr>
          <w:p w14:paraId="20AE0227" w14:textId="77777777" w:rsidR="00B626E7" w:rsidRDefault="00B626E7">
            <w:pPr>
              <w:rPr>
                <w:rFonts w:ascii="宋体"/>
              </w:rPr>
            </w:pPr>
          </w:p>
        </w:tc>
        <w:tc>
          <w:tcPr>
            <w:tcW w:w="0" w:type="auto"/>
            <w:shd w:val="clear" w:color="auto" w:fill="auto"/>
          </w:tcPr>
          <w:p w14:paraId="20AE0228" w14:textId="77777777" w:rsidR="00B626E7" w:rsidRDefault="00B626E7">
            <w:pPr>
              <w:rPr>
                <w:rFonts w:ascii="宋体"/>
              </w:rPr>
            </w:pPr>
          </w:p>
        </w:tc>
        <w:tc>
          <w:tcPr>
            <w:tcW w:w="0" w:type="auto"/>
            <w:shd w:val="clear" w:color="auto" w:fill="auto"/>
          </w:tcPr>
          <w:p w14:paraId="20AE0229" w14:textId="77777777" w:rsidR="00B626E7" w:rsidRDefault="00B626E7">
            <w:pPr>
              <w:rPr>
                <w:rFonts w:ascii="宋体"/>
              </w:rPr>
            </w:pPr>
          </w:p>
        </w:tc>
        <w:tc>
          <w:tcPr>
            <w:tcW w:w="0" w:type="auto"/>
            <w:shd w:val="clear" w:color="auto" w:fill="auto"/>
          </w:tcPr>
          <w:p w14:paraId="20AE022A" w14:textId="77777777" w:rsidR="00B626E7" w:rsidRDefault="00B626E7">
            <w:pPr>
              <w:rPr>
                <w:rFonts w:ascii="宋体"/>
              </w:rPr>
            </w:pPr>
          </w:p>
        </w:tc>
        <w:tc>
          <w:tcPr>
            <w:tcW w:w="0" w:type="auto"/>
            <w:shd w:val="clear" w:color="auto" w:fill="auto"/>
          </w:tcPr>
          <w:p w14:paraId="20AE022B" w14:textId="77777777" w:rsidR="00B626E7" w:rsidRDefault="00B626E7">
            <w:pPr>
              <w:rPr>
                <w:rFonts w:ascii="宋体"/>
              </w:rPr>
            </w:pPr>
          </w:p>
        </w:tc>
        <w:tc>
          <w:tcPr>
            <w:tcW w:w="0" w:type="auto"/>
            <w:shd w:val="clear" w:color="auto" w:fill="auto"/>
          </w:tcPr>
          <w:p w14:paraId="20AE022C" w14:textId="77777777" w:rsidR="00B626E7" w:rsidRDefault="00B626E7">
            <w:pPr>
              <w:rPr>
                <w:rFonts w:ascii="宋体"/>
              </w:rPr>
            </w:pPr>
          </w:p>
        </w:tc>
        <w:tc>
          <w:tcPr>
            <w:tcW w:w="0" w:type="auto"/>
            <w:shd w:val="clear" w:color="auto" w:fill="auto"/>
          </w:tcPr>
          <w:p w14:paraId="20AE022D" w14:textId="77777777" w:rsidR="00B626E7" w:rsidRDefault="00B626E7">
            <w:pPr>
              <w:rPr>
                <w:rFonts w:ascii="宋体"/>
              </w:rPr>
            </w:pPr>
          </w:p>
        </w:tc>
      </w:tr>
      <w:tr w:rsidR="00B626E7" w14:paraId="20AE0243" w14:textId="77777777">
        <w:trPr>
          <w:trHeight w:val="100"/>
        </w:trPr>
        <w:tc>
          <w:tcPr>
            <w:tcW w:w="0" w:type="auto"/>
            <w:gridSpan w:val="3"/>
            <w:tcBorders>
              <w:top w:val="single" w:sz="8" w:space="0" w:color="0071C5"/>
            </w:tcBorders>
            <w:shd w:val="clear" w:color="auto" w:fill="auto"/>
            <w:tcMar>
              <w:left w:w="20" w:type="dxa"/>
              <w:right w:w="20" w:type="dxa"/>
            </w:tcMar>
            <w:vAlign w:val="bottom"/>
          </w:tcPr>
          <w:p w14:paraId="20AE022F"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0230"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0231"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0232"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0233"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0234"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0235"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0236"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0237"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0238"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0239" w14:textId="77777777" w:rsidR="00B626E7" w:rsidRDefault="00B626E7">
            <w:pPr>
              <w:rPr>
                <w:rFonts w:ascii="宋体"/>
              </w:rPr>
            </w:pPr>
          </w:p>
        </w:tc>
        <w:tc>
          <w:tcPr>
            <w:tcW w:w="0" w:type="auto"/>
            <w:shd w:val="clear" w:color="auto" w:fill="auto"/>
          </w:tcPr>
          <w:p w14:paraId="20AE023A" w14:textId="77777777" w:rsidR="00B626E7" w:rsidRDefault="00B626E7">
            <w:pPr>
              <w:rPr>
                <w:rFonts w:ascii="宋体"/>
              </w:rPr>
            </w:pPr>
          </w:p>
        </w:tc>
        <w:tc>
          <w:tcPr>
            <w:tcW w:w="0" w:type="auto"/>
            <w:shd w:val="clear" w:color="auto" w:fill="auto"/>
          </w:tcPr>
          <w:p w14:paraId="20AE023B" w14:textId="77777777" w:rsidR="00B626E7" w:rsidRDefault="00B626E7">
            <w:pPr>
              <w:rPr>
                <w:rFonts w:ascii="宋体"/>
              </w:rPr>
            </w:pPr>
          </w:p>
        </w:tc>
        <w:tc>
          <w:tcPr>
            <w:tcW w:w="0" w:type="auto"/>
            <w:shd w:val="clear" w:color="auto" w:fill="auto"/>
          </w:tcPr>
          <w:p w14:paraId="20AE023C" w14:textId="77777777" w:rsidR="00B626E7" w:rsidRDefault="00B626E7">
            <w:pPr>
              <w:rPr>
                <w:rFonts w:ascii="宋体"/>
              </w:rPr>
            </w:pPr>
          </w:p>
        </w:tc>
        <w:tc>
          <w:tcPr>
            <w:tcW w:w="0" w:type="auto"/>
            <w:shd w:val="clear" w:color="auto" w:fill="auto"/>
          </w:tcPr>
          <w:p w14:paraId="20AE023D" w14:textId="77777777" w:rsidR="00B626E7" w:rsidRDefault="00B626E7">
            <w:pPr>
              <w:rPr>
                <w:rFonts w:ascii="宋体"/>
              </w:rPr>
            </w:pPr>
          </w:p>
        </w:tc>
        <w:tc>
          <w:tcPr>
            <w:tcW w:w="0" w:type="auto"/>
            <w:shd w:val="clear" w:color="auto" w:fill="auto"/>
          </w:tcPr>
          <w:p w14:paraId="20AE023E" w14:textId="77777777" w:rsidR="00B626E7" w:rsidRDefault="00B626E7">
            <w:pPr>
              <w:rPr>
                <w:rFonts w:ascii="宋体"/>
              </w:rPr>
            </w:pPr>
          </w:p>
        </w:tc>
        <w:tc>
          <w:tcPr>
            <w:tcW w:w="0" w:type="auto"/>
            <w:shd w:val="clear" w:color="auto" w:fill="auto"/>
          </w:tcPr>
          <w:p w14:paraId="20AE023F" w14:textId="77777777" w:rsidR="00B626E7" w:rsidRDefault="00B626E7">
            <w:pPr>
              <w:rPr>
                <w:rFonts w:ascii="宋体"/>
              </w:rPr>
            </w:pPr>
          </w:p>
        </w:tc>
        <w:tc>
          <w:tcPr>
            <w:tcW w:w="0" w:type="auto"/>
            <w:shd w:val="clear" w:color="auto" w:fill="auto"/>
          </w:tcPr>
          <w:p w14:paraId="20AE0240" w14:textId="77777777" w:rsidR="00B626E7" w:rsidRDefault="00B626E7">
            <w:pPr>
              <w:rPr>
                <w:rFonts w:ascii="宋体"/>
              </w:rPr>
            </w:pPr>
          </w:p>
        </w:tc>
        <w:tc>
          <w:tcPr>
            <w:tcW w:w="0" w:type="auto"/>
            <w:shd w:val="clear" w:color="auto" w:fill="auto"/>
          </w:tcPr>
          <w:p w14:paraId="20AE0241" w14:textId="77777777" w:rsidR="00B626E7" w:rsidRDefault="00B626E7">
            <w:pPr>
              <w:rPr>
                <w:rFonts w:ascii="宋体"/>
              </w:rPr>
            </w:pPr>
          </w:p>
        </w:tc>
        <w:tc>
          <w:tcPr>
            <w:tcW w:w="0" w:type="auto"/>
            <w:shd w:val="clear" w:color="auto" w:fill="auto"/>
          </w:tcPr>
          <w:p w14:paraId="20AE0242" w14:textId="77777777" w:rsidR="00B626E7" w:rsidRDefault="00B626E7">
            <w:pPr>
              <w:rPr>
                <w:rFonts w:ascii="宋体"/>
              </w:rPr>
            </w:pPr>
          </w:p>
        </w:tc>
      </w:tr>
      <w:tr w:rsidR="00B626E7" w14:paraId="20AE0261" w14:textId="77777777">
        <w:tc>
          <w:tcPr>
            <w:tcW w:w="0" w:type="auto"/>
            <w:gridSpan w:val="3"/>
            <w:shd w:val="clear" w:color="auto" w:fill="auto"/>
            <w:tcMar>
              <w:top w:w="40" w:type="dxa"/>
              <w:left w:w="20" w:type="dxa"/>
              <w:bottom w:w="40" w:type="dxa"/>
              <w:right w:w="20" w:type="dxa"/>
            </w:tcMar>
            <w:vAlign w:val="bottom"/>
          </w:tcPr>
          <w:p w14:paraId="20AE0244" w14:textId="77777777" w:rsidR="00B626E7" w:rsidRDefault="00175C1D">
            <w:pPr>
              <w:textAlignment w:val="bottom"/>
            </w:pPr>
            <w:r>
              <w:rPr>
                <w:rFonts w:ascii="Arial" w:eastAsia="宋体" w:hAnsi="Arial" w:cs="Arial"/>
                <w:b/>
                <w:bCs/>
                <w:color w:val="333333"/>
                <w:sz w:val="18"/>
                <w:szCs w:val="18"/>
              </w:rPr>
              <w:t>Balance as of March 28, 2020</w:t>
            </w:r>
          </w:p>
        </w:tc>
        <w:tc>
          <w:tcPr>
            <w:tcW w:w="0" w:type="auto"/>
            <w:gridSpan w:val="3"/>
            <w:shd w:val="clear" w:color="auto" w:fill="auto"/>
            <w:tcMar>
              <w:left w:w="20" w:type="dxa"/>
              <w:right w:w="20" w:type="dxa"/>
            </w:tcMar>
            <w:vAlign w:val="bottom"/>
          </w:tcPr>
          <w:p w14:paraId="20AE0245"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246" w14:textId="77777777" w:rsidR="00B626E7" w:rsidRDefault="00175C1D">
            <w:pPr>
              <w:jc w:val="right"/>
              <w:textAlignment w:val="bottom"/>
            </w:pPr>
            <w:r>
              <w:rPr>
                <w:rFonts w:ascii="Arial" w:eastAsia="宋体" w:hAnsi="Arial" w:cs="Arial"/>
                <w:b/>
                <w:bCs/>
                <w:color w:val="333333"/>
                <w:sz w:val="18"/>
                <w:szCs w:val="18"/>
              </w:rPr>
              <w:t>4,234 </w:t>
            </w:r>
          </w:p>
        </w:tc>
        <w:tc>
          <w:tcPr>
            <w:tcW w:w="0" w:type="auto"/>
            <w:shd w:val="clear" w:color="auto" w:fill="auto"/>
            <w:tcMar>
              <w:top w:w="40" w:type="dxa"/>
              <w:bottom w:w="40" w:type="dxa"/>
              <w:right w:w="20" w:type="dxa"/>
            </w:tcMar>
            <w:vAlign w:val="bottom"/>
          </w:tcPr>
          <w:p w14:paraId="20AE0247"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0248"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0249" w14:textId="77777777" w:rsidR="00B626E7" w:rsidRDefault="00175C1D">
            <w:pPr>
              <w:textAlignment w:val="bottom"/>
            </w:pPr>
            <w:r>
              <w:rPr>
                <w:rFonts w:ascii="Arial" w:eastAsia="宋体" w:hAnsi="Arial" w:cs="Arial"/>
                <w:b/>
                <w:bCs/>
                <w:color w:val="333333"/>
                <w:sz w:val="18"/>
                <w:szCs w:val="18"/>
              </w:rPr>
              <w:t>$</w:t>
            </w:r>
          </w:p>
        </w:tc>
        <w:tc>
          <w:tcPr>
            <w:tcW w:w="0" w:type="auto"/>
            <w:shd w:val="clear" w:color="auto" w:fill="auto"/>
            <w:tcMar>
              <w:top w:w="40" w:type="dxa"/>
              <w:bottom w:w="40" w:type="dxa"/>
              <w:right w:w="0" w:type="dxa"/>
            </w:tcMar>
            <w:vAlign w:val="bottom"/>
          </w:tcPr>
          <w:p w14:paraId="20AE024A" w14:textId="77777777" w:rsidR="00B626E7" w:rsidRDefault="00175C1D">
            <w:pPr>
              <w:jc w:val="right"/>
              <w:textAlignment w:val="bottom"/>
            </w:pPr>
            <w:r>
              <w:rPr>
                <w:rFonts w:ascii="Arial" w:eastAsia="宋体" w:hAnsi="Arial" w:cs="Arial"/>
                <w:b/>
                <w:bCs/>
                <w:color w:val="333333"/>
                <w:sz w:val="18"/>
                <w:szCs w:val="18"/>
              </w:rPr>
              <w:t>25,251 </w:t>
            </w:r>
          </w:p>
        </w:tc>
        <w:tc>
          <w:tcPr>
            <w:tcW w:w="0" w:type="auto"/>
            <w:shd w:val="clear" w:color="auto" w:fill="auto"/>
            <w:tcMar>
              <w:top w:w="40" w:type="dxa"/>
              <w:bottom w:w="40" w:type="dxa"/>
              <w:right w:w="20" w:type="dxa"/>
            </w:tcMar>
            <w:vAlign w:val="bottom"/>
          </w:tcPr>
          <w:p w14:paraId="20AE024B"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024C"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024D" w14:textId="77777777" w:rsidR="00B626E7" w:rsidRDefault="00175C1D">
            <w:pPr>
              <w:textAlignment w:val="bottom"/>
            </w:pPr>
            <w:r>
              <w:rPr>
                <w:rFonts w:ascii="Arial" w:eastAsia="宋体" w:hAnsi="Arial" w:cs="Arial"/>
                <w:b/>
                <w:bCs/>
                <w:color w:val="333333"/>
                <w:sz w:val="18"/>
                <w:szCs w:val="18"/>
              </w:rPr>
              <w:t>$</w:t>
            </w:r>
          </w:p>
        </w:tc>
        <w:tc>
          <w:tcPr>
            <w:tcW w:w="0" w:type="auto"/>
            <w:shd w:val="clear" w:color="auto" w:fill="auto"/>
            <w:tcMar>
              <w:top w:w="40" w:type="dxa"/>
              <w:bottom w:w="40" w:type="dxa"/>
              <w:right w:w="0" w:type="dxa"/>
            </w:tcMar>
            <w:vAlign w:val="bottom"/>
          </w:tcPr>
          <w:p w14:paraId="20AE024E" w14:textId="77777777" w:rsidR="00B626E7" w:rsidRDefault="00175C1D">
            <w:pPr>
              <w:jc w:val="right"/>
              <w:textAlignment w:val="bottom"/>
            </w:pPr>
            <w:r>
              <w:rPr>
                <w:rFonts w:ascii="Arial" w:eastAsia="宋体" w:hAnsi="Arial" w:cs="Arial"/>
                <w:b/>
                <w:bCs/>
                <w:color w:val="333333"/>
                <w:sz w:val="18"/>
                <w:szCs w:val="18"/>
              </w:rPr>
              <w:t>(1,541)</w:t>
            </w:r>
          </w:p>
        </w:tc>
        <w:tc>
          <w:tcPr>
            <w:tcW w:w="0" w:type="auto"/>
            <w:shd w:val="clear" w:color="auto" w:fill="auto"/>
            <w:tcMar>
              <w:top w:w="40" w:type="dxa"/>
              <w:bottom w:w="40" w:type="dxa"/>
              <w:right w:w="20" w:type="dxa"/>
            </w:tcMar>
            <w:vAlign w:val="bottom"/>
          </w:tcPr>
          <w:p w14:paraId="20AE024F"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0250"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0251" w14:textId="77777777" w:rsidR="00B626E7" w:rsidRDefault="00175C1D">
            <w:pPr>
              <w:textAlignment w:val="bottom"/>
            </w:pPr>
            <w:r>
              <w:rPr>
                <w:rFonts w:ascii="Arial" w:eastAsia="宋体" w:hAnsi="Arial" w:cs="Arial"/>
                <w:b/>
                <w:bCs/>
                <w:color w:val="333333"/>
                <w:sz w:val="18"/>
                <w:szCs w:val="18"/>
              </w:rPr>
              <w:t>$</w:t>
            </w:r>
          </w:p>
        </w:tc>
        <w:tc>
          <w:tcPr>
            <w:tcW w:w="0" w:type="auto"/>
            <w:shd w:val="clear" w:color="auto" w:fill="auto"/>
            <w:tcMar>
              <w:top w:w="40" w:type="dxa"/>
              <w:bottom w:w="40" w:type="dxa"/>
              <w:right w:w="0" w:type="dxa"/>
            </w:tcMar>
            <w:vAlign w:val="bottom"/>
          </w:tcPr>
          <w:p w14:paraId="20AE0252" w14:textId="77777777" w:rsidR="00B626E7" w:rsidRDefault="00175C1D">
            <w:pPr>
              <w:jc w:val="right"/>
              <w:textAlignment w:val="bottom"/>
            </w:pPr>
            <w:r>
              <w:rPr>
                <w:rFonts w:ascii="Arial" w:eastAsia="宋体" w:hAnsi="Arial" w:cs="Arial"/>
                <w:b/>
                <w:bCs/>
                <w:color w:val="333333"/>
                <w:sz w:val="18"/>
                <w:szCs w:val="18"/>
              </w:rPr>
              <w:t>52,644 </w:t>
            </w:r>
          </w:p>
        </w:tc>
        <w:tc>
          <w:tcPr>
            <w:tcW w:w="0" w:type="auto"/>
            <w:shd w:val="clear" w:color="auto" w:fill="auto"/>
            <w:tcMar>
              <w:top w:w="40" w:type="dxa"/>
              <w:bottom w:w="40" w:type="dxa"/>
              <w:right w:w="20" w:type="dxa"/>
            </w:tcMar>
            <w:vAlign w:val="bottom"/>
          </w:tcPr>
          <w:p w14:paraId="20AE0253"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0254"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0255" w14:textId="77777777" w:rsidR="00B626E7" w:rsidRDefault="00175C1D">
            <w:pPr>
              <w:textAlignment w:val="bottom"/>
            </w:pPr>
            <w:r>
              <w:rPr>
                <w:rFonts w:ascii="Arial" w:eastAsia="宋体" w:hAnsi="Arial" w:cs="Arial"/>
                <w:b/>
                <w:bCs/>
                <w:color w:val="333333"/>
                <w:sz w:val="18"/>
                <w:szCs w:val="18"/>
              </w:rPr>
              <w:t>$</w:t>
            </w:r>
          </w:p>
        </w:tc>
        <w:tc>
          <w:tcPr>
            <w:tcW w:w="0" w:type="auto"/>
            <w:shd w:val="clear" w:color="auto" w:fill="auto"/>
            <w:tcMar>
              <w:top w:w="40" w:type="dxa"/>
              <w:bottom w:w="40" w:type="dxa"/>
              <w:right w:w="0" w:type="dxa"/>
            </w:tcMar>
            <w:vAlign w:val="bottom"/>
          </w:tcPr>
          <w:p w14:paraId="20AE0256" w14:textId="77777777" w:rsidR="00B626E7" w:rsidRDefault="00175C1D">
            <w:pPr>
              <w:jc w:val="right"/>
              <w:textAlignment w:val="bottom"/>
            </w:pPr>
            <w:r>
              <w:rPr>
                <w:rFonts w:ascii="Arial" w:eastAsia="宋体" w:hAnsi="Arial" w:cs="Arial"/>
                <w:b/>
                <w:bCs/>
                <w:color w:val="333333"/>
                <w:sz w:val="18"/>
                <w:szCs w:val="18"/>
              </w:rPr>
              <w:t>76,354 </w:t>
            </w:r>
          </w:p>
        </w:tc>
        <w:tc>
          <w:tcPr>
            <w:tcW w:w="0" w:type="auto"/>
            <w:shd w:val="clear" w:color="auto" w:fill="auto"/>
            <w:tcMar>
              <w:top w:w="40" w:type="dxa"/>
              <w:bottom w:w="40" w:type="dxa"/>
              <w:right w:w="20" w:type="dxa"/>
            </w:tcMar>
            <w:vAlign w:val="bottom"/>
          </w:tcPr>
          <w:p w14:paraId="20AE0257"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E0258" w14:textId="77777777" w:rsidR="00B626E7" w:rsidRDefault="00B626E7">
            <w:pPr>
              <w:rPr>
                <w:rFonts w:ascii="宋体"/>
              </w:rPr>
            </w:pPr>
          </w:p>
        </w:tc>
        <w:tc>
          <w:tcPr>
            <w:tcW w:w="0" w:type="auto"/>
            <w:shd w:val="clear" w:color="auto" w:fill="auto"/>
          </w:tcPr>
          <w:p w14:paraId="20AE0259" w14:textId="77777777" w:rsidR="00B626E7" w:rsidRDefault="00B626E7">
            <w:pPr>
              <w:rPr>
                <w:rFonts w:ascii="宋体"/>
              </w:rPr>
            </w:pPr>
          </w:p>
        </w:tc>
        <w:tc>
          <w:tcPr>
            <w:tcW w:w="0" w:type="auto"/>
            <w:shd w:val="clear" w:color="auto" w:fill="auto"/>
          </w:tcPr>
          <w:p w14:paraId="20AE025A" w14:textId="77777777" w:rsidR="00B626E7" w:rsidRDefault="00B626E7">
            <w:pPr>
              <w:rPr>
                <w:rFonts w:ascii="宋体"/>
              </w:rPr>
            </w:pPr>
          </w:p>
        </w:tc>
        <w:tc>
          <w:tcPr>
            <w:tcW w:w="0" w:type="auto"/>
            <w:shd w:val="clear" w:color="auto" w:fill="auto"/>
          </w:tcPr>
          <w:p w14:paraId="20AE025B" w14:textId="77777777" w:rsidR="00B626E7" w:rsidRDefault="00B626E7">
            <w:pPr>
              <w:rPr>
                <w:rFonts w:ascii="宋体"/>
              </w:rPr>
            </w:pPr>
          </w:p>
        </w:tc>
        <w:tc>
          <w:tcPr>
            <w:tcW w:w="0" w:type="auto"/>
            <w:shd w:val="clear" w:color="auto" w:fill="auto"/>
          </w:tcPr>
          <w:p w14:paraId="20AE025C" w14:textId="77777777" w:rsidR="00B626E7" w:rsidRDefault="00B626E7">
            <w:pPr>
              <w:rPr>
                <w:rFonts w:ascii="宋体"/>
              </w:rPr>
            </w:pPr>
          </w:p>
        </w:tc>
        <w:tc>
          <w:tcPr>
            <w:tcW w:w="0" w:type="auto"/>
            <w:shd w:val="clear" w:color="auto" w:fill="auto"/>
          </w:tcPr>
          <w:p w14:paraId="20AE025D" w14:textId="77777777" w:rsidR="00B626E7" w:rsidRDefault="00B626E7">
            <w:pPr>
              <w:rPr>
                <w:rFonts w:ascii="宋体"/>
              </w:rPr>
            </w:pPr>
          </w:p>
        </w:tc>
        <w:tc>
          <w:tcPr>
            <w:tcW w:w="0" w:type="auto"/>
            <w:shd w:val="clear" w:color="auto" w:fill="auto"/>
          </w:tcPr>
          <w:p w14:paraId="20AE025E" w14:textId="77777777" w:rsidR="00B626E7" w:rsidRDefault="00B626E7">
            <w:pPr>
              <w:rPr>
                <w:rFonts w:ascii="宋体"/>
              </w:rPr>
            </w:pPr>
          </w:p>
        </w:tc>
        <w:tc>
          <w:tcPr>
            <w:tcW w:w="0" w:type="auto"/>
            <w:shd w:val="clear" w:color="auto" w:fill="auto"/>
          </w:tcPr>
          <w:p w14:paraId="20AE025F" w14:textId="77777777" w:rsidR="00B626E7" w:rsidRDefault="00B626E7">
            <w:pPr>
              <w:rPr>
                <w:rFonts w:ascii="宋体"/>
              </w:rPr>
            </w:pPr>
          </w:p>
        </w:tc>
        <w:tc>
          <w:tcPr>
            <w:tcW w:w="0" w:type="auto"/>
            <w:shd w:val="clear" w:color="auto" w:fill="auto"/>
          </w:tcPr>
          <w:p w14:paraId="20AE0260" w14:textId="77777777" w:rsidR="00B626E7" w:rsidRDefault="00B626E7">
            <w:pPr>
              <w:rPr>
                <w:rFonts w:ascii="宋体"/>
              </w:rPr>
            </w:pPr>
          </w:p>
        </w:tc>
      </w:tr>
      <w:tr w:rsidR="00B626E7" w14:paraId="20AE027B" w14:textId="77777777">
        <w:tc>
          <w:tcPr>
            <w:tcW w:w="0" w:type="auto"/>
            <w:gridSpan w:val="3"/>
            <w:shd w:val="clear" w:color="auto" w:fill="auto"/>
            <w:tcMar>
              <w:top w:w="40" w:type="dxa"/>
              <w:left w:w="20" w:type="dxa"/>
              <w:bottom w:w="40" w:type="dxa"/>
              <w:right w:w="20" w:type="dxa"/>
            </w:tcMar>
            <w:vAlign w:val="bottom"/>
          </w:tcPr>
          <w:p w14:paraId="20AE0262" w14:textId="77777777" w:rsidR="00B626E7" w:rsidRDefault="00175C1D">
            <w:pPr>
              <w:textAlignment w:val="bottom"/>
            </w:pPr>
            <w:r>
              <w:rPr>
                <w:rFonts w:ascii="Arial" w:eastAsia="宋体" w:hAnsi="Arial" w:cs="Arial"/>
                <w:color w:val="333333"/>
                <w:sz w:val="18"/>
                <w:szCs w:val="18"/>
              </w:rPr>
              <w:t>Net income</w:t>
            </w:r>
          </w:p>
        </w:tc>
        <w:tc>
          <w:tcPr>
            <w:tcW w:w="0" w:type="auto"/>
            <w:gridSpan w:val="3"/>
            <w:shd w:val="clear" w:color="auto" w:fill="auto"/>
            <w:tcMar>
              <w:left w:w="20" w:type="dxa"/>
              <w:right w:w="20" w:type="dxa"/>
            </w:tcMar>
            <w:vAlign w:val="bottom"/>
          </w:tcPr>
          <w:p w14:paraId="20AE0263"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264"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20AE0265"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266"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267"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20AE0268"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269"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26A"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20AE026B"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26C"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26D" w14:textId="77777777" w:rsidR="00B626E7" w:rsidRDefault="00175C1D">
            <w:pPr>
              <w:jc w:val="right"/>
              <w:textAlignment w:val="bottom"/>
            </w:pPr>
            <w:r>
              <w:rPr>
                <w:rFonts w:ascii="Arial" w:eastAsia="宋体" w:hAnsi="Arial" w:cs="Arial"/>
                <w:color w:val="0071C5"/>
                <w:sz w:val="18"/>
                <w:szCs w:val="18"/>
              </w:rPr>
              <w:t>5,105 </w:t>
            </w:r>
          </w:p>
        </w:tc>
        <w:tc>
          <w:tcPr>
            <w:tcW w:w="0" w:type="auto"/>
            <w:shd w:val="clear" w:color="auto" w:fill="auto"/>
            <w:tcMar>
              <w:top w:w="40" w:type="dxa"/>
              <w:bottom w:w="40" w:type="dxa"/>
              <w:right w:w="20" w:type="dxa"/>
            </w:tcMar>
            <w:vAlign w:val="bottom"/>
          </w:tcPr>
          <w:p w14:paraId="20AE026E"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26F"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270" w14:textId="77777777" w:rsidR="00B626E7" w:rsidRDefault="00175C1D">
            <w:pPr>
              <w:jc w:val="right"/>
              <w:textAlignment w:val="bottom"/>
            </w:pPr>
            <w:r>
              <w:rPr>
                <w:rFonts w:ascii="Arial" w:eastAsia="宋体" w:hAnsi="Arial" w:cs="Arial"/>
                <w:color w:val="0071C5"/>
                <w:sz w:val="18"/>
                <w:szCs w:val="18"/>
              </w:rPr>
              <w:t>5,105 </w:t>
            </w:r>
          </w:p>
        </w:tc>
        <w:tc>
          <w:tcPr>
            <w:tcW w:w="0" w:type="auto"/>
            <w:shd w:val="clear" w:color="auto" w:fill="auto"/>
            <w:tcMar>
              <w:top w:w="40" w:type="dxa"/>
              <w:bottom w:w="40" w:type="dxa"/>
              <w:right w:w="20" w:type="dxa"/>
            </w:tcMar>
            <w:vAlign w:val="bottom"/>
          </w:tcPr>
          <w:p w14:paraId="20AE0271"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Pr>
          <w:p w14:paraId="20AE0272" w14:textId="77777777" w:rsidR="00B626E7" w:rsidRDefault="00B626E7">
            <w:pPr>
              <w:rPr>
                <w:rFonts w:ascii="宋体"/>
              </w:rPr>
            </w:pPr>
          </w:p>
        </w:tc>
        <w:tc>
          <w:tcPr>
            <w:tcW w:w="0" w:type="auto"/>
            <w:shd w:val="clear" w:color="auto" w:fill="auto"/>
          </w:tcPr>
          <w:p w14:paraId="20AE0273" w14:textId="77777777" w:rsidR="00B626E7" w:rsidRDefault="00B626E7">
            <w:pPr>
              <w:rPr>
                <w:rFonts w:ascii="宋体"/>
              </w:rPr>
            </w:pPr>
          </w:p>
        </w:tc>
        <w:tc>
          <w:tcPr>
            <w:tcW w:w="0" w:type="auto"/>
            <w:shd w:val="clear" w:color="auto" w:fill="auto"/>
          </w:tcPr>
          <w:p w14:paraId="20AE0274" w14:textId="77777777" w:rsidR="00B626E7" w:rsidRDefault="00B626E7">
            <w:pPr>
              <w:rPr>
                <w:rFonts w:ascii="宋体"/>
              </w:rPr>
            </w:pPr>
          </w:p>
        </w:tc>
        <w:tc>
          <w:tcPr>
            <w:tcW w:w="0" w:type="auto"/>
            <w:shd w:val="clear" w:color="auto" w:fill="auto"/>
          </w:tcPr>
          <w:p w14:paraId="20AE0275" w14:textId="77777777" w:rsidR="00B626E7" w:rsidRDefault="00B626E7">
            <w:pPr>
              <w:rPr>
                <w:rFonts w:ascii="宋体"/>
              </w:rPr>
            </w:pPr>
          </w:p>
        </w:tc>
        <w:tc>
          <w:tcPr>
            <w:tcW w:w="0" w:type="auto"/>
            <w:shd w:val="clear" w:color="auto" w:fill="auto"/>
          </w:tcPr>
          <w:p w14:paraId="20AE0276" w14:textId="77777777" w:rsidR="00B626E7" w:rsidRDefault="00B626E7">
            <w:pPr>
              <w:rPr>
                <w:rFonts w:ascii="宋体"/>
              </w:rPr>
            </w:pPr>
          </w:p>
        </w:tc>
        <w:tc>
          <w:tcPr>
            <w:tcW w:w="0" w:type="auto"/>
            <w:shd w:val="clear" w:color="auto" w:fill="auto"/>
          </w:tcPr>
          <w:p w14:paraId="20AE0277" w14:textId="77777777" w:rsidR="00B626E7" w:rsidRDefault="00B626E7">
            <w:pPr>
              <w:rPr>
                <w:rFonts w:ascii="宋体"/>
              </w:rPr>
            </w:pPr>
          </w:p>
        </w:tc>
        <w:tc>
          <w:tcPr>
            <w:tcW w:w="0" w:type="auto"/>
            <w:shd w:val="clear" w:color="auto" w:fill="auto"/>
          </w:tcPr>
          <w:p w14:paraId="20AE0278" w14:textId="77777777" w:rsidR="00B626E7" w:rsidRDefault="00B626E7">
            <w:pPr>
              <w:rPr>
                <w:rFonts w:ascii="宋体"/>
              </w:rPr>
            </w:pPr>
          </w:p>
        </w:tc>
        <w:tc>
          <w:tcPr>
            <w:tcW w:w="0" w:type="auto"/>
            <w:shd w:val="clear" w:color="auto" w:fill="auto"/>
          </w:tcPr>
          <w:p w14:paraId="20AE0279" w14:textId="77777777" w:rsidR="00B626E7" w:rsidRDefault="00B626E7">
            <w:pPr>
              <w:rPr>
                <w:rFonts w:ascii="宋体"/>
              </w:rPr>
            </w:pPr>
          </w:p>
        </w:tc>
        <w:tc>
          <w:tcPr>
            <w:tcW w:w="0" w:type="auto"/>
            <w:shd w:val="clear" w:color="auto" w:fill="auto"/>
          </w:tcPr>
          <w:p w14:paraId="20AE027A" w14:textId="77777777" w:rsidR="00B626E7" w:rsidRDefault="00B626E7">
            <w:pPr>
              <w:rPr>
                <w:rFonts w:ascii="宋体"/>
              </w:rPr>
            </w:pPr>
          </w:p>
        </w:tc>
      </w:tr>
      <w:tr w:rsidR="00B626E7" w14:paraId="20AE0295" w14:textId="77777777">
        <w:tc>
          <w:tcPr>
            <w:tcW w:w="0" w:type="auto"/>
            <w:gridSpan w:val="3"/>
            <w:shd w:val="clear" w:color="auto" w:fill="auto"/>
            <w:tcMar>
              <w:top w:w="40" w:type="dxa"/>
              <w:left w:w="20" w:type="dxa"/>
              <w:bottom w:w="40" w:type="dxa"/>
              <w:right w:w="20" w:type="dxa"/>
            </w:tcMar>
            <w:vAlign w:val="bottom"/>
          </w:tcPr>
          <w:p w14:paraId="20AE027C" w14:textId="77777777" w:rsidR="00B626E7" w:rsidRDefault="00175C1D">
            <w:pPr>
              <w:textAlignment w:val="bottom"/>
            </w:pPr>
            <w:r>
              <w:rPr>
                <w:rFonts w:ascii="Arial" w:eastAsia="宋体" w:hAnsi="Arial" w:cs="Arial"/>
                <w:color w:val="333333"/>
                <w:sz w:val="18"/>
                <w:szCs w:val="18"/>
              </w:rPr>
              <w:t>Other comprehensive income (loss)</w:t>
            </w:r>
          </w:p>
        </w:tc>
        <w:tc>
          <w:tcPr>
            <w:tcW w:w="0" w:type="auto"/>
            <w:gridSpan w:val="3"/>
            <w:shd w:val="clear" w:color="auto" w:fill="auto"/>
            <w:tcMar>
              <w:left w:w="20" w:type="dxa"/>
              <w:right w:w="20" w:type="dxa"/>
            </w:tcMar>
            <w:vAlign w:val="bottom"/>
          </w:tcPr>
          <w:p w14:paraId="20AE027D"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27E"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20AE027F"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280"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281"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20AE0282"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283"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284" w14:textId="77777777" w:rsidR="00B626E7" w:rsidRDefault="00175C1D">
            <w:pPr>
              <w:jc w:val="right"/>
              <w:textAlignment w:val="bottom"/>
            </w:pPr>
            <w:r>
              <w:rPr>
                <w:rFonts w:ascii="Arial" w:eastAsia="宋体" w:hAnsi="Arial" w:cs="Arial"/>
                <w:color w:val="0071C5"/>
                <w:sz w:val="18"/>
                <w:szCs w:val="18"/>
              </w:rPr>
              <w:t>389 </w:t>
            </w:r>
          </w:p>
        </w:tc>
        <w:tc>
          <w:tcPr>
            <w:tcW w:w="0" w:type="auto"/>
            <w:shd w:val="clear" w:color="auto" w:fill="auto"/>
            <w:tcMar>
              <w:top w:w="40" w:type="dxa"/>
              <w:bottom w:w="40" w:type="dxa"/>
              <w:right w:w="20" w:type="dxa"/>
            </w:tcMar>
            <w:vAlign w:val="bottom"/>
          </w:tcPr>
          <w:p w14:paraId="20AE0285"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286"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287"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20AE0288"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289"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28A" w14:textId="77777777" w:rsidR="00B626E7" w:rsidRDefault="00175C1D">
            <w:pPr>
              <w:jc w:val="right"/>
              <w:textAlignment w:val="bottom"/>
            </w:pPr>
            <w:r>
              <w:rPr>
                <w:rFonts w:ascii="Arial" w:eastAsia="宋体" w:hAnsi="Arial" w:cs="Arial"/>
                <w:color w:val="0071C5"/>
                <w:sz w:val="18"/>
                <w:szCs w:val="18"/>
              </w:rPr>
              <w:t>389 </w:t>
            </w:r>
          </w:p>
        </w:tc>
        <w:tc>
          <w:tcPr>
            <w:tcW w:w="0" w:type="auto"/>
            <w:shd w:val="clear" w:color="auto" w:fill="auto"/>
            <w:tcMar>
              <w:top w:w="40" w:type="dxa"/>
              <w:bottom w:w="40" w:type="dxa"/>
              <w:right w:w="20" w:type="dxa"/>
            </w:tcMar>
            <w:vAlign w:val="bottom"/>
          </w:tcPr>
          <w:p w14:paraId="20AE028B"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Pr>
          <w:p w14:paraId="20AE028C" w14:textId="77777777" w:rsidR="00B626E7" w:rsidRDefault="00B626E7">
            <w:pPr>
              <w:rPr>
                <w:rFonts w:ascii="宋体"/>
              </w:rPr>
            </w:pPr>
          </w:p>
        </w:tc>
        <w:tc>
          <w:tcPr>
            <w:tcW w:w="0" w:type="auto"/>
            <w:shd w:val="clear" w:color="auto" w:fill="auto"/>
          </w:tcPr>
          <w:p w14:paraId="20AE028D" w14:textId="77777777" w:rsidR="00B626E7" w:rsidRDefault="00B626E7">
            <w:pPr>
              <w:rPr>
                <w:rFonts w:ascii="宋体"/>
              </w:rPr>
            </w:pPr>
          </w:p>
        </w:tc>
        <w:tc>
          <w:tcPr>
            <w:tcW w:w="0" w:type="auto"/>
            <w:shd w:val="clear" w:color="auto" w:fill="auto"/>
          </w:tcPr>
          <w:p w14:paraId="20AE028E" w14:textId="77777777" w:rsidR="00B626E7" w:rsidRDefault="00B626E7">
            <w:pPr>
              <w:rPr>
                <w:rFonts w:ascii="宋体"/>
              </w:rPr>
            </w:pPr>
          </w:p>
        </w:tc>
        <w:tc>
          <w:tcPr>
            <w:tcW w:w="0" w:type="auto"/>
            <w:shd w:val="clear" w:color="auto" w:fill="auto"/>
          </w:tcPr>
          <w:p w14:paraId="20AE028F" w14:textId="77777777" w:rsidR="00B626E7" w:rsidRDefault="00B626E7">
            <w:pPr>
              <w:rPr>
                <w:rFonts w:ascii="宋体"/>
              </w:rPr>
            </w:pPr>
          </w:p>
        </w:tc>
        <w:tc>
          <w:tcPr>
            <w:tcW w:w="0" w:type="auto"/>
            <w:shd w:val="clear" w:color="auto" w:fill="auto"/>
          </w:tcPr>
          <w:p w14:paraId="20AE0290" w14:textId="77777777" w:rsidR="00B626E7" w:rsidRDefault="00B626E7">
            <w:pPr>
              <w:rPr>
                <w:rFonts w:ascii="宋体"/>
              </w:rPr>
            </w:pPr>
          </w:p>
        </w:tc>
        <w:tc>
          <w:tcPr>
            <w:tcW w:w="0" w:type="auto"/>
            <w:shd w:val="clear" w:color="auto" w:fill="auto"/>
          </w:tcPr>
          <w:p w14:paraId="20AE0291" w14:textId="77777777" w:rsidR="00B626E7" w:rsidRDefault="00B626E7">
            <w:pPr>
              <w:rPr>
                <w:rFonts w:ascii="宋体"/>
              </w:rPr>
            </w:pPr>
          </w:p>
        </w:tc>
        <w:tc>
          <w:tcPr>
            <w:tcW w:w="0" w:type="auto"/>
            <w:shd w:val="clear" w:color="auto" w:fill="auto"/>
          </w:tcPr>
          <w:p w14:paraId="20AE0292" w14:textId="77777777" w:rsidR="00B626E7" w:rsidRDefault="00B626E7">
            <w:pPr>
              <w:rPr>
                <w:rFonts w:ascii="宋体"/>
              </w:rPr>
            </w:pPr>
          </w:p>
        </w:tc>
        <w:tc>
          <w:tcPr>
            <w:tcW w:w="0" w:type="auto"/>
            <w:shd w:val="clear" w:color="auto" w:fill="auto"/>
          </w:tcPr>
          <w:p w14:paraId="20AE0293" w14:textId="77777777" w:rsidR="00B626E7" w:rsidRDefault="00B626E7">
            <w:pPr>
              <w:rPr>
                <w:rFonts w:ascii="宋体"/>
              </w:rPr>
            </w:pPr>
          </w:p>
        </w:tc>
        <w:tc>
          <w:tcPr>
            <w:tcW w:w="0" w:type="auto"/>
            <w:shd w:val="clear" w:color="auto" w:fill="auto"/>
          </w:tcPr>
          <w:p w14:paraId="20AE0294" w14:textId="77777777" w:rsidR="00B626E7" w:rsidRDefault="00B626E7">
            <w:pPr>
              <w:rPr>
                <w:rFonts w:ascii="宋体"/>
              </w:rPr>
            </w:pPr>
          </w:p>
        </w:tc>
      </w:tr>
      <w:tr w:rsidR="00B626E7" w14:paraId="20AE02AF" w14:textId="77777777">
        <w:tc>
          <w:tcPr>
            <w:tcW w:w="0" w:type="auto"/>
            <w:gridSpan w:val="3"/>
            <w:shd w:val="clear" w:color="auto" w:fill="auto"/>
            <w:tcMar>
              <w:top w:w="40" w:type="dxa"/>
              <w:left w:w="20" w:type="dxa"/>
              <w:bottom w:w="40" w:type="dxa"/>
              <w:right w:w="20" w:type="dxa"/>
            </w:tcMar>
            <w:vAlign w:val="bottom"/>
          </w:tcPr>
          <w:p w14:paraId="20AE0296" w14:textId="77777777" w:rsidR="00B626E7" w:rsidRDefault="00175C1D">
            <w:pPr>
              <w:textAlignment w:val="bottom"/>
            </w:pPr>
            <w:r>
              <w:rPr>
                <w:rFonts w:ascii="Arial" w:eastAsia="宋体" w:hAnsi="Arial" w:cs="Arial"/>
                <w:color w:val="333333"/>
                <w:sz w:val="18"/>
                <w:szCs w:val="18"/>
              </w:rPr>
              <w:t>Employee equity incentive plans and other</w:t>
            </w:r>
          </w:p>
        </w:tc>
        <w:tc>
          <w:tcPr>
            <w:tcW w:w="0" w:type="auto"/>
            <w:gridSpan w:val="3"/>
            <w:shd w:val="clear" w:color="auto" w:fill="auto"/>
            <w:tcMar>
              <w:left w:w="20" w:type="dxa"/>
              <w:right w:w="20" w:type="dxa"/>
            </w:tcMar>
            <w:vAlign w:val="bottom"/>
          </w:tcPr>
          <w:p w14:paraId="20AE0297"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298" w14:textId="77777777" w:rsidR="00B626E7" w:rsidRDefault="00175C1D">
            <w:pPr>
              <w:jc w:val="right"/>
              <w:textAlignment w:val="bottom"/>
            </w:pPr>
            <w:r>
              <w:rPr>
                <w:rFonts w:ascii="Arial" w:eastAsia="宋体" w:hAnsi="Arial" w:cs="Arial"/>
                <w:color w:val="0071C5"/>
                <w:sz w:val="18"/>
                <w:szCs w:val="18"/>
              </w:rPr>
              <w:t>25 </w:t>
            </w:r>
          </w:p>
        </w:tc>
        <w:tc>
          <w:tcPr>
            <w:tcW w:w="0" w:type="auto"/>
            <w:shd w:val="clear" w:color="auto" w:fill="auto"/>
            <w:tcMar>
              <w:top w:w="40" w:type="dxa"/>
              <w:bottom w:w="40" w:type="dxa"/>
              <w:right w:w="20" w:type="dxa"/>
            </w:tcMar>
            <w:vAlign w:val="bottom"/>
          </w:tcPr>
          <w:p w14:paraId="20AE0299"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29A"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29B" w14:textId="77777777" w:rsidR="00B626E7" w:rsidRDefault="00175C1D">
            <w:pPr>
              <w:jc w:val="right"/>
              <w:textAlignment w:val="bottom"/>
            </w:pPr>
            <w:r>
              <w:rPr>
                <w:rFonts w:ascii="Arial" w:eastAsia="宋体" w:hAnsi="Arial" w:cs="Arial"/>
                <w:color w:val="0071C5"/>
                <w:sz w:val="18"/>
                <w:szCs w:val="18"/>
              </w:rPr>
              <w:t>9 </w:t>
            </w:r>
          </w:p>
        </w:tc>
        <w:tc>
          <w:tcPr>
            <w:tcW w:w="0" w:type="auto"/>
            <w:shd w:val="clear" w:color="auto" w:fill="auto"/>
            <w:tcMar>
              <w:top w:w="40" w:type="dxa"/>
              <w:bottom w:w="40" w:type="dxa"/>
              <w:right w:w="20" w:type="dxa"/>
            </w:tcMar>
            <w:vAlign w:val="bottom"/>
          </w:tcPr>
          <w:p w14:paraId="20AE029C"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29D"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29E"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20AE029F"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2A0"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2A1"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20AE02A2"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2A3"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2A4" w14:textId="77777777" w:rsidR="00B626E7" w:rsidRDefault="00175C1D">
            <w:pPr>
              <w:jc w:val="right"/>
              <w:textAlignment w:val="bottom"/>
            </w:pPr>
            <w:r>
              <w:rPr>
                <w:rFonts w:ascii="Arial" w:eastAsia="宋体" w:hAnsi="Arial" w:cs="Arial"/>
                <w:color w:val="0071C5"/>
                <w:sz w:val="18"/>
                <w:szCs w:val="18"/>
              </w:rPr>
              <w:t>9 </w:t>
            </w:r>
          </w:p>
        </w:tc>
        <w:tc>
          <w:tcPr>
            <w:tcW w:w="0" w:type="auto"/>
            <w:shd w:val="clear" w:color="auto" w:fill="auto"/>
            <w:tcMar>
              <w:top w:w="40" w:type="dxa"/>
              <w:bottom w:w="40" w:type="dxa"/>
              <w:right w:w="20" w:type="dxa"/>
            </w:tcMar>
            <w:vAlign w:val="bottom"/>
          </w:tcPr>
          <w:p w14:paraId="20AE02A5"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Pr>
          <w:p w14:paraId="20AE02A6" w14:textId="77777777" w:rsidR="00B626E7" w:rsidRDefault="00B626E7">
            <w:pPr>
              <w:rPr>
                <w:rFonts w:ascii="宋体"/>
              </w:rPr>
            </w:pPr>
          </w:p>
        </w:tc>
        <w:tc>
          <w:tcPr>
            <w:tcW w:w="0" w:type="auto"/>
            <w:shd w:val="clear" w:color="auto" w:fill="auto"/>
          </w:tcPr>
          <w:p w14:paraId="20AE02A7" w14:textId="77777777" w:rsidR="00B626E7" w:rsidRDefault="00B626E7">
            <w:pPr>
              <w:rPr>
                <w:rFonts w:ascii="宋体"/>
              </w:rPr>
            </w:pPr>
          </w:p>
        </w:tc>
        <w:tc>
          <w:tcPr>
            <w:tcW w:w="0" w:type="auto"/>
            <w:shd w:val="clear" w:color="auto" w:fill="auto"/>
          </w:tcPr>
          <w:p w14:paraId="20AE02A8" w14:textId="77777777" w:rsidR="00B626E7" w:rsidRDefault="00B626E7">
            <w:pPr>
              <w:rPr>
                <w:rFonts w:ascii="宋体"/>
              </w:rPr>
            </w:pPr>
          </w:p>
        </w:tc>
        <w:tc>
          <w:tcPr>
            <w:tcW w:w="0" w:type="auto"/>
            <w:shd w:val="clear" w:color="auto" w:fill="auto"/>
          </w:tcPr>
          <w:p w14:paraId="20AE02A9" w14:textId="77777777" w:rsidR="00B626E7" w:rsidRDefault="00B626E7">
            <w:pPr>
              <w:rPr>
                <w:rFonts w:ascii="宋体"/>
              </w:rPr>
            </w:pPr>
          </w:p>
        </w:tc>
        <w:tc>
          <w:tcPr>
            <w:tcW w:w="0" w:type="auto"/>
            <w:shd w:val="clear" w:color="auto" w:fill="auto"/>
          </w:tcPr>
          <w:p w14:paraId="20AE02AA" w14:textId="77777777" w:rsidR="00B626E7" w:rsidRDefault="00B626E7">
            <w:pPr>
              <w:rPr>
                <w:rFonts w:ascii="宋体"/>
              </w:rPr>
            </w:pPr>
          </w:p>
        </w:tc>
        <w:tc>
          <w:tcPr>
            <w:tcW w:w="0" w:type="auto"/>
            <w:shd w:val="clear" w:color="auto" w:fill="auto"/>
          </w:tcPr>
          <w:p w14:paraId="20AE02AB" w14:textId="77777777" w:rsidR="00B626E7" w:rsidRDefault="00B626E7">
            <w:pPr>
              <w:rPr>
                <w:rFonts w:ascii="宋体"/>
              </w:rPr>
            </w:pPr>
          </w:p>
        </w:tc>
        <w:tc>
          <w:tcPr>
            <w:tcW w:w="0" w:type="auto"/>
            <w:shd w:val="clear" w:color="auto" w:fill="auto"/>
          </w:tcPr>
          <w:p w14:paraId="20AE02AC" w14:textId="77777777" w:rsidR="00B626E7" w:rsidRDefault="00B626E7">
            <w:pPr>
              <w:rPr>
                <w:rFonts w:ascii="宋体"/>
              </w:rPr>
            </w:pPr>
          </w:p>
        </w:tc>
        <w:tc>
          <w:tcPr>
            <w:tcW w:w="0" w:type="auto"/>
            <w:shd w:val="clear" w:color="auto" w:fill="auto"/>
          </w:tcPr>
          <w:p w14:paraId="20AE02AD" w14:textId="77777777" w:rsidR="00B626E7" w:rsidRDefault="00B626E7">
            <w:pPr>
              <w:rPr>
                <w:rFonts w:ascii="宋体"/>
              </w:rPr>
            </w:pPr>
          </w:p>
        </w:tc>
        <w:tc>
          <w:tcPr>
            <w:tcW w:w="0" w:type="auto"/>
            <w:shd w:val="clear" w:color="auto" w:fill="auto"/>
          </w:tcPr>
          <w:p w14:paraId="20AE02AE" w14:textId="77777777" w:rsidR="00B626E7" w:rsidRDefault="00B626E7">
            <w:pPr>
              <w:rPr>
                <w:rFonts w:ascii="宋体"/>
              </w:rPr>
            </w:pPr>
          </w:p>
        </w:tc>
      </w:tr>
      <w:tr w:rsidR="00B626E7" w14:paraId="20AE02C9" w14:textId="77777777">
        <w:tc>
          <w:tcPr>
            <w:tcW w:w="0" w:type="auto"/>
            <w:gridSpan w:val="3"/>
            <w:shd w:val="clear" w:color="auto" w:fill="auto"/>
            <w:tcMar>
              <w:top w:w="40" w:type="dxa"/>
              <w:left w:w="20" w:type="dxa"/>
              <w:bottom w:w="40" w:type="dxa"/>
              <w:right w:w="20" w:type="dxa"/>
            </w:tcMar>
            <w:vAlign w:val="bottom"/>
          </w:tcPr>
          <w:p w14:paraId="20AE02B0" w14:textId="77777777" w:rsidR="00B626E7" w:rsidRDefault="00175C1D">
            <w:pPr>
              <w:textAlignment w:val="bottom"/>
            </w:pPr>
            <w:r>
              <w:rPr>
                <w:rFonts w:ascii="Arial" w:eastAsia="宋体" w:hAnsi="Arial" w:cs="Arial"/>
                <w:color w:val="333333"/>
                <w:sz w:val="18"/>
                <w:szCs w:val="18"/>
              </w:rPr>
              <w:t>Share-based compensation</w:t>
            </w:r>
          </w:p>
        </w:tc>
        <w:tc>
          <w:tcPr>
            <w:tcW w:w="0" w:type="auto"/>
            <w:gridSpan w:val="3"/>
            <w:shd w:val="clear" w:color="auto" w:fill="auto"/>
            <w:tcMar>
              <w:left w:w="20" w:type="dxa"/>
              <w:right w:w="20" w:type="dxa"/>
            </w:tcMar>
            <w:vAlign w:val="bottom"/>
          </w:tcPr>
          <w:p w14:paraId="20AE02B1"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2B2"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20AE02B3"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2B4"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2B5" w14:textId="77777777" w:rsidR="00B626E7" w:rsidRDefault="00175C1D">
            <w:pPr>
              <w:jc w:val="right"/>
              <w:textAlignment w:val="bottom"/>
            </w:pPr>
            <w:r>
              <w:rPr>
                <w:rFonts w:ascii="Arial" w:eastAsia="宋体" w:hAnsi="Arial" w:cs="Arial"/>
                <w:color w:val="0071C5"/>
                <w:sz w:val="18"/>
                <w:szCs w:val="18"/>
              </w:rPr>
              <w:t>492 </w:t>
            </w:r>
          </w:p>
        </w:tc>
        <w:tc>
          <w:tcPr>
            <w:tcW w:w="0" w:type="auto"/>
            <w:shd w:val="clear" w:color="auto" w:fill="auto"/>
            <w:tcMar>
              <w:top w:w="40" w:type="dxa"/>
              <w:bottom w:w="40" w:type="dxa"/>
              <w:right w:w="20" w:type="dxa"/>
            </w:tcMar>
            <w:vAlign w:val="bottom"/>
          </w:tcPr>
          <w:p w14:paraId="20AE02B6"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2B7"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2B8"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20AE02B9"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2BA"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2BB"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20AE02BC"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2BD"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2BE" w14:textId="77777777" w:rsidR="00B626E7" w:rsidRDefault="00175C1D">
            <w:pPr>
              <w:jc w:val="right"/>
              <w:textAlignment w:val="bottom"/>
            </w:pPr>
            <w:r>
              <w:rPr>
                <w:rFonts w:ascii="Arial" w:eastAsia="宋体" w:hAnsi="Arial" w:cs="Arial"/>
                <w:color w:val="0071C5"/>
                <w:sz w:val="18"/>
                <w:szCs w:val="18"/>
              </w:rPr>
              <w:t>492 </w:t>
            </w:r>
          </w:p>
        </w:tc>
        <w:tc>
          <w:tcPr>
            <w:tcW w:w="0" w:type="auto"/>
            <w:shd w:val="clear" w:color="auto" w:fill="auto"/>
            <w:tcMar>
              <w:top w:w="40" w:type="dxa"/>
              <w:bottom w:w="40" w:type="dxa"/>
              <w:right w:w="20" w:type="dxa"/>
            </w:tcMar>
            <w:vAlign w:val="bottom"/>
          </w:tcPr>
          <w:p w14:paraId="20AE02BF"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Pr>
          <w:p w14:paraId="20AE02C0" w14:textId="77777777" w:rsidR="00B626E7" w:rsidRDefault="00B626E7">
            <w:pPr>
              <w:rPr>
                <w:rFonts w:ascii="宋体"/>
              </w:rPr>
            </w:pPr>
          </w:p>
        </w:tc>
        <w:tc>
          <w:tcPr>
            <w:tcW w:w="0" w:type="auto"/>
            <w:shd w:val="clear" w:color="auto" w:fill="auto"/>
          </w:tcPr>
          <w:p w14:paraId="20AE02C1" w14:textId="77777777" w:rsidR="00B626E7" w:rsidRDefault="00B626E7">
            <w:pPr>
              <w:rPr>
                <w:rFonts w:ascii="宋体"/>
              </w:rPr>
            </w:pPr>
          </w:p>
        </w:tc>
        <w:tc>
          <w:tcPr>
            <w:tcW w:w="0" w:type="auto"/>
            <w:shd w:val="clear" w:color="auto" w:fill="auto"/>
          </w:tcPr>
          <w:p w14:paraId="20AE02C2" w14:textId="77777777" w:rsidR="00B626E7" w:rsidRDefault="00B626E7">
            <w:pPr>
              <w:rPr>
                <w:rFonts w:ascii="宋体"/>
              </w:rPr>
            </w:pPr>
          </w:p>
        </w:tc>
        <w:tc>
          <w:tcPr>
            <w:tcW w:w="0" w:type="auto"/>
            <w:shd w:val="clear" w:color="auto" w:fill="auto"/>
          </w:tcPr>
          <w:p w14:paraId="20AE02C3" w14:textId="77777777" w:rsidR="00B626E7" w:rsidRDefault="00B626E7">
            <w:pPr>
              <w:rPr>
                <w:rFonts w:ascii="宋体"/>
              </w:rPr>
            </w:pPr>
          </w:p>
        </w:tc>
        <w:tc>
          <w:tcPr>
            <w:tcW w:w="0" w:type="auto"/>
            <w:shd w:val="clear" w:color="auto" w:fill="auto"/>
          </w:tcPr>
          <w:p w14:paraId="20AE02C4" w14:textId="77777777" w:rsidR="00B626E7" w:rsidRDefault="00B626E7">
            <w:pPr>
              <w:rPr>
                <w:rFonts w:ascii="宋体"/>
              </w:rPr>
            </w:pPr>
          </w:p>
        </w:tc>
        <w:tc>
          <w:tcPr>
            <w:tcW w:w="0" w:type="auto"/>
            <w:shd w:val="clear" w:color="auto" w:fill="auto"/>
          </w:tcPr>
          <w:p w14:paraId="20AE02C5" w14:textId="77777777" w:rsidR="00B626E7" w:rsidRDefault="00B626E7">
            <w:pPr>
              <w:rPr>
                <w:rFonts w:ascii="宋体"/>
              </w:rPr>
            </w:pPr>
          </w:p>
        </w:tc>
        <w:tc>
          <w:tcPr>
            <w:tcW w:w="0" w:type="auto"/>
            <w:shd w:val="clear" w:color="auto" w:fill="auto"/>
          </w:tcPr>
          <w:p w14:paraId="20AE02C6" w14:textId="77777777" w:rsidR="00B626E7" w:rsidRDefault="00B626E7">
            <w:pPr>
              <w:rPr>
                <w:rFonts w:ascii="宋体"/>
              </w:rPr>
            </w:pPr>
          </w:p>
        </w:tc>
        <w:tc>
          <w:tcPr>
            <w:tcW w:w="0" w:type="auto"/>
            <w:shd w:val="clear" w:color="auto" w:fill="auto"/>
          </w:tcPr>
          <w:p w14:paraId="20AE02C7" w14:textId="77777777" w:rsidR="00B626E7" w:rsidRDefault="00B626E7">
            <w:pPr>
              <w:rPr>
                <w:rFonts w:ascii="宋体"/>
              </w:rPr>
            </w:pPr>
          </w:p>
        </w:tc>
        <w:tc>
          <w:tcPr>
            <w:tcW w:w="0" w:type="auto"/>
            <w:shd w:val="clear" w:color="auto" w:fill="auto"/>
          </w:tcPr>
          <w:p w14:paraId="20AE02C8" w14:textId="77777777" w:rsidR="00B626E7" w:rsidRDefault="00B626E7">
            <w:pPr>
              <w:rPr>
                <w:rFonts w:ascii="宋体"/>
              </w:rPr>
            </w:pPr>
          </w:p>
        </w:tc>
      </w:tr>
      <w:tr w:rsidR="00B626E7" w14:paraId="20AE02E3" w14:textId="77777777">
        <w:tc>
          <w:tcPr>
            <w:tcW w:w="0" w:type="auto"/>
            <w:gridSpan w:val="3"/>
            <w:shd w:val="clear" w:color="auto" w:fill="auto"/>
            <w:tcMar>
              <w:top w:w="40" w:type="dxa"/>
              <w:left w:w="20" w:type="dxa"/>
              <w:bottom w:w="40" w:type="dxa"/>
              <w:right w:w="20" w:type="dxa"/>
            </w:tcMar>
            <w:vAlign w:val="bottom"/>
          </w:tcPr>
          <w:p w14:paraId="20AE02CA" w14:textId="77777777" w:rsidR="00B626E7" w:rsidRDefault="00175C1D">
            <w:pPr>
              <w:textAlignment w:val="bottom"/>
            </w:pPr>
            <w:r>
              <w:rPr>
                <w:rFonts w:ascii="Arial" w:eastAsia="宋体" w:hAnsi="Arial" w:cs="Arial"/>
                <w:color w:val="333333"/>
                <w:sz w:val="18"/>
                <w:szCs w:val="18"/>
              </w:rPr>
              <w:t>Temporary equity reduction</w:t>
            </w:r>
          </w:p>
        </w:tc>
        <w:tc>
          <w:tcPr>
            <w:tcW w:w="0" w:type="auto"/>
            <w:gridSpan w:val="3"/>
            <w:shd w:val="clear" w:color="auto" w:fill="auto"/>
            <w:tcMar>
              <w:left w:w="20" w:type="dxa"/>
              <w:right w:w="20" w:type="dxa"/>
            </w:tcMar>
            <w:vAlign w:val="bottom"/>
          </w:tcPr>
          <w:p w14:paraId="20AE02CB"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2CC"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20AE02CD"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2CE"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2CF"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20AE02D0"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2D1"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2D2"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20AE02D3"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2D4"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2D5"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20AE02D6"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2D7"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2D8"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20AE02D9"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Pr>
          <w:p w14:paraId="20AE02DA" w14:textId="77777777" w:rsidR="00B626E7" w:rsidRDefault="00B626E7">
            <w:pPr>
              <w:rPr>
                <w:rFonts w:ascii="宋体"/>
              </w:rPr>
            </w:pPr>
          </w:p>
        </w:tc>
        <w:tc>
          <w:tcPr>
            <w:tcW w:w="0" w:type="auto"/>
            <w:shd w:val="clear" w:color="auto" w:fill="auto"/>
          </w:tcPr>
          <w:p w14:paraId="20AE02DB" w14:textId="77777777" w:rsidR="00B626E7" w:rsidRDefault="00B626E7">
            <w:pPr>
              <w:rPr>
                <w:rFonts w:ascii="宋体"/>
              </w:rPr>
            </w:pPr>
          </w:p>
        </w:tc>
        <w:tc>
          <w:tcPr>
            <w:tcW w:w="0" w:type="auto"/>
            <w:shd w:val="clear" w:color="auto" w:fill="auto"/>
          </w:tcPr>
          <w:p w14:paraId="20AE02DC" w14:textId="77777777" w:rsidR="00B626E7" w:rsidRDefault="00B626E7">
            <w:pPr>
              <w:rPr>
                <w:rFonts w:ascii="宋体"/>
              </w:rPr>
            </w:pPr>
          </w:p>
        </w:tc>
        <w:tc>
          <w:tcPr>
            <w:tcW w:w="0" w:type="auto"/>
            <w:shd w:val="clear" w:color="auto" w:fill="auto"/>
          </w:tcPr>
          <w:p w14:paraId="20AE02DD" w14:textId="77777777" w:rsidR="00B626E7" w:rsidRDefault="00B626E7">
            <w:pPr>
              <w:rPr>
                <w:rFonts w:ascii="宋体"/>
              </w:rPr>
            </w:pPr>
          </w:p>
        </w:tc>
        <w:tc>
          <w:tcPr>
            <w:tcW w:w="0" w:type="auto"/>
            <w:shd w:val="clear" w:color="auto" w:fill="auto"/>
          </w:tcPr>
          <w:p w14:paraId="20AE02DE" w14:textId="77777777" w:rsidR="00B626E7" w:rsidRDefault="00B626E7">
            <w:pPr>
              <w:rPr>
                <w:rFonts w:ascii="宋体"/>
              </w:rPr>
            </w:pPr>
          </w:p>
        </w:tc>
        <w:tc>
          <w:tcPr>
            <w:tcW w:w="0" w:type="auto"/>
            <w:shd w:val="clear" w:color="auto" w:fill="auto"/>
          </w:tcPr>
          <w:p w14:paraId="20AE02DF" w14:textId="77777777" w:rsidR="00B626E7" w:rsidRDefault="00B626E7">
            <w:pPr>
              <w:rPr>
                <w:rFonts w:ascii="宋体"/>
              </w:rPr>
            </w:pPr>
          </w:p>
        </w:tc>
        <w:tc>
          <w:tcPr>
            <w:tcW w:w="0" w:type="auto"/>
            <w:shd w:val="clear" w:color="auto" w:fill="auto"/>
          </w:tcPr>
          <w:p w14:paraId="20AE02E0" w14:textId="77777777" w:rsidR="00B626E7" w:rsidRDefault="00B626E7">
            <w:pPr>
              <w:rPr>
                <w:rFonts w:ascii="宋体"/>
              </w:rPr>
            </w:pPr>
          </w:p>
        </w:tc>
        <w:tc>
          <w:tcPr>
            <w:tcW w:w="0" w:type="auto"/>
            <w:shd w:val="clear" w:color="auto" w:fill="auto"/>
          </w:tcPr>
          <w:p w14:paraId="20AE02E1" w14:textId="77777777" w:rsidR="00B626E7" w:rsidRDefault="00B626E7">
            <w:pPr>
              <w:rPr>
                <w:rFonts w:ascii="宋体"/>
              </w:rPr>
            </w:pPr>
          </w:p>
        </w:tc>
        <w:tc>
          <w:tcPr>
            <w:tcW w:w="0" w:type="auto"/>
            <w:shd w:val="clear" w:color="auto" w:fill="auto"/>
          </w:tcPr>
          <w:p w14:paraId="20AE02E2" w14:textId="77777777" w:rsidR="00B626E7" w:rsidRDefault="00B626E7">
            <w:pPr>
              <w:rPr>
                <w:rFonts w:ascii="宋体"/>
              </w:rPr>
            </w:pPr>
          </w:p>
        </w:tc>
      </w:tr>
      <w:tr w:rsidR="00B626E7" w14:paraId="20AE02FD" w14:textId="77777777">
        <w:tc>
          <w:tcPr>
            <w:tcW w:w="0" w:type="auto"/>
            <w:gridSpan w:val="3"/>
            <w:shd w:val="clear" w:color="auto" w:fill="auto"/>
            <w:tcMar>
              <w:top w:w="40" w:type="dxa"/>
              <w:left w:w="20" w:type="dxa"/>
              <w:bottom w:w="40" w:type="dxa"/>
              <w:right w:w="20" w:type="dxa"/>
            </w:tcMar>
            <w:vAlign w:val="bottom"/>
          </w:tcPr>
          <w:p w14:paraId="20AE02E4" w14:textId="77777777" w:rsidR="00B626E7" w:rsidRDefault="00175C1D">
            <w:pPr>
              <w:textAlignment w:val="bottom"/>
            </w:pPr>
            <w:r>
              <w:rPr>
                <w:rFonts w:ascii="Arial" w:eastAsia="宋体" w:hAnsi="Arial" w:cs="Arial"/>
                <w:color w:val="333333"/>
                <w:sz w:val="18"/>
                <w:szCs w:val="18"/>
              </w:rPr>
              <w:t>Convertible debt</w:t>
            </w:r>
          </w:p>
        </w:tc>
        <w:tc>
          <w:tcPr>
            <w:tcW w:w="0" w:type="auto"/>
            <w:gridSpan w:val="3"/>
            <w:shd w:val="clear" w:color="auto" w:fill="auto"/>
            <w:tcMar>
              <w:left w:w="20" w:type="dxa"/>
              <w:right w:w="20" w:type="dxa"/>
            </w:tcMar>
            <w:vAlign w:val="bottom"/>
          </w:tcPr>
          <w:p w14:paraId="20AE02E5"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2E6"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20AE02E7"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2E8"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2E9"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20AE02EA"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2EB"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2EC"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20AE02ED"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2EE"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2EF"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20AE02F0"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top w:w="40" w:type="dxa"/>
              <w:left w:w="20" w:type="dxa"/>
              <w:bottom w:w="40" w:type="dxa"/>
              <w:right w:w="20" w:type="dxa"/>
            </w:tcMar>
            <w:vAlign w:val="bottom"/>
          </w:tcPr>
          <w:p w14:paraId="20AE02F1" w14:textId="77777777" w:rsidR="00B626E7" w:rsidRDefault="00175C1D">
            <w:pPr>
              <w:textAlignment w:val="bottom"/>
            </w:pPr>
            <w:r>
              <w:rPr>
                <w:rFonts w:ascii="Arial" w:eastAsia="宋体" w:hAnsi="Arial" w:cs="Arial"/>
                <w:color w:val="333333"/>
                <w:sz w:val="18"/>
                <w:szCs w:val="18"/>
              </w:rPr>
              <w:t> </w:t>
            </w:r>
          </w:p>
        </w:tc>
        <w:tc>
          <w:tcPr>
            <w:tcW w:w="0" w:type="auto"/>
            <w:gridSpan w:val="2"/>
            <w:shd w:val="clear" w:color="auto" w:fill="auto"/>
            <w:tcMar>
              <w:top w:w="40" w:type="dxa"/>
              <w:left w:w="20" w:type="dxa"/>
              <w:bottom w:w="40" w:type="dxa"/>
              <w:right w:w="0" w:type="dxa"/>
            </w:tcMar>
            <w:vAlign w:val="bottom"/>
          </w:tcPr>
          <w:p w14:paraId="20AE02F2"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20AE02F3"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Pr>
          <w:p w14:paraId="20AE02F4" w14:textId="77777777" w:rsidR="00B626E7" w:rsidRDefault="00B626E7">
            <w:pPr>
              <w:rPr>
                <w:rFonts w:ascii="宋体"/>
              </w:rPr>
            </w:pPr>
          </w:p>
        </w:tc>
        <w:tc>
          <w:tcPr>
            <w:tcW w:w="0" w:type="auto"/>
            <w:shd w:val="clear" w:color="auto" w:fill="auto"/>
          </w:tcPr>
          <w:p w14:paraId="20AE02F5" w14:textId="77777777" w:rsidR="00B626E7" w:rsidRDefault="00B626E7">
            <w:pPr>
              <w:rPr>
                <w:rFonts w:ascii="宋体"/>
              </w:rPr>
            </w:pPr>
          </w:p>
        </w:tc>
        <w:tc>
          <w:tcPr>
            <w:tcW w:w="0" w:type="auto"/>
            <w:shd w:val="clear" w:color="auto" w:fill="auto"/>
          </w:tcPr>
          <w:p w14:paraId="20AE02F6" w14:textId="77777777" w:rsidR="00B626E7" w:rsidRDefault="00B626E7">
            <w:pPr>
              <w:rPr>
                <w:rFonts w:ascii="宋体"/>
              </w:rPr>
            </w:pPr>
          </w:p>
        </w:tc>
        <w:tc>
          <w:tcPr>
            <w:tcW w:w="0" w:type="auto"/>
            <w:shd w:val="clear" w:color="auto" w:fill="auto"/>
          </w:tcPr>
          <w:p w14:paraId="20AE02F7" w14:textId="77777777" w:rsidR="00B626E7" w:rsidRDefault="00B626E7">
            <w:pPr>
              <w:rPr>
                <w:rFonts w:ascii="宋体"/>
              </w:rPr>
            </w:pPr>
          </w:p>
        </w:tc>
        <w:tc>
          <w:tcPr>
            <w:tcW w:w="0" w:type="auto"/>
            <w:shd w:val="clear" w:color="auto" w:fill="auto"/>
          </w:tcPr>
          <w:p w14:paraId="20AE02F8" w14:textId="77777777" w:rsidR="00B626E7" w:rsidRDefault="00B626E7">
            <w:pPr>
              <w:rPr>
                <w:rFonts w:ascii="宋体"/>
              </w:rPr>
            </w:pPr>
          </w:p>
        </w:tc>
        <w:tc>
          <w:tcPr>
            <w:tcW w:w="0" w:type="auto"/>
            <w:shd w:val="clear" w:color="auto" w:fill="auto"/>
          </w:tcPr>
          <w:p w14:paraId="20AE02F9" w14:textId="77777777" w:rsidR="00B626E7" w:rsidRDefault="00B626E7">
            <w:pPr>
              <w:rPr>
                <w:rFonts w:ascii="宋体"/>
              </w:rPr>
            </w:pPr>
          </w:p>
        </w:tc>
        <w:tc>
          <w:tcPr>
            <w:tcW w:w="0" w:type="auto"/>
            <w:shd w:val="clear" w:color="auto" w:fill="auto"/>
          </w:tcPr>
          <w:p w14:paraId="20AE02FA" w14:textId="77777777" w:rsidR="00B626E7" w:rsidRDefault="00B626E7">
            <w:pPr>
              <w:rPr>
                <w:rFonts w:ascii="宋体"/>
              </w:rPr>
            </w:pPr>
          </w:p>
        </w:tc>
        <w:tc>
          <w:tcPr>
            <w:tcW w:w="0" w:type="auto"/>
            <w:shd w:val="clear" w:color="auto" w:fill="auto"/>
          </w:tcPr>
          <w:p w14:paraId="20AE02FB" w14:textId="77777777" w:rsidR="00B626E7" w:rsidRDefault="00B626E7">
            <w:pPr>
              <w:rPr>
                <w:rFonts w:ascii="宋体"/>
              </w:rPr>
            </w:pPr>
          </w:p>
        </w:tc>
        <w:tc>
          <w:tcPr>
            <w:tcW w:w="0" w:type="auto"/>
            <w:shd w:val="clear" w:color="auto" w:fill="auto"/>
          </w:tcPr>
          <w:p w14:paraId="20AE02FC" w14:textId="77777777" w:rsidR="00B626E7" w:rsidRDefault="00B626E7">
            <w:pPr>
              <w:rPr>
                <w:rFonts w:ascii="宋体"/>
              </w:rPr>
            </w:pPr>
          </w:p>
        </w:tc>
      </w:tr>
      <w:tr w:rsidR="00B626E7" w14:paraId="20AE0312" w14:textId="77777777">
        <w:trPr>
          <w:hidden/>
        </w:trPr>
        <w:tc>
          <w:tcPr>
            <w:tcW w:w="0" w:type="auto"/>
            <w:gridSpan w:val="3"/>
            <w:shd w:val="clear" w:color="auto" w:fill="auto"/>
          </w:tcPr>
          <w:p w14:paraId="20AE02FE" w14:textId="77777777" w:rsidR="00B626E7" w:rsidRDefault="00B626E7">
            <w:pPr>
              <w:rPr>
                <w:rFonts w:ascii="宋体"/>
                <w:vanish/>
              </w:rPr>
            </w:pPr>
          </w:p>
        </w:tc>
        <w:tc>
          <w:tcPr>
            <w:tcW w:w="0" w:type="auto"/>
            <w:gridSpan w:val="3"/>
            <w:shd w:val="clear" w:color="auto" w:fill="auto"/>
          </w:tcPr>
          <w:p w14:paraId="20AE02FF" w14:textId="77777777" w:rsidR="00B626E7" w:rsidRDefault="00B626E7">
            <w:pPr>
              <w:rPr>
                <w:rFonts w:ascii="宋体"/>
                <w:vanish/>
              </w:rPr>
            </w:pPr>
          </w:p>
        </w:tc>
        <w:tc>
          <w:tcPr>
            <w:tcW w:w="0" w:type="auto"/>
            <w:gridSpan w:val="3"/>
            <w:shd w:val="clear" w:color="auto" w:fill="auto"/>
          </w:tcPr>
          <w:p w14:paraId="20AE0300" w14:textId="77777777" w:rsidR="00B626E7" w:rsidRDefault="00B626E7">
            <w:pPr>
              <w:rPr>
                <w:rFonts w:ascii="宋体"/>
                <w:vanish/>
              </w:rPr>
            </w:pPr>
          </w:p>
        </w:tc>
        <w:tc>
          <w:tcPr>
            <w:tcW w:w="0" w:type="auto"/>
            <w:gridSpan w:val="3"/>
            <w:shd w:val="clear" w:color="auto" w:fill="auto"/>
          </w:tcPr>
          <w:p w14:paraId="20AE0301" w14:textId="77777777" w:rsidR="00B626E7" w:rsidRDefault="00B626E7">
            <w:pPr>
              <w:rPr>
                <w:rFonts w:ascii="宋体"/>
                <w:vanish/>
              </w:rPr>
            </w:pPr>
          </w:p>
        </w:tc>
        <w:tc>
          <w:tcPr>
            <w:tcW w:w="0" w:type="auto"/>
            <w:gridSpan w:val="3"/>
            <w:shd w:val="clear" w:color="auto" w:fill="auto"/>
          </w:tcPr>
          <w:p w14:paraId="20AE0302" w14:textId="77777777" w:rsidR="00B626E7" w:rsidRDefault="00B626E7">
            <w:pPr>
              <w:rPr>
                <w:rFonts w:ascii="宋体"/>
                <w:vanish/>
              </w:rPr>
            </w:pPr>
          </w:p>
        </w:tc>
        <w:tc>
          <w:tcPr>
            <w:tcW w:w="0" w:type="auto"/>
            <w:gridSpan w:val="3"/>
            <w:shd w:val="clear" w:color="auto" w:fill="auto"/>
          </w:tcPr>
          <w:p w14:paraId="20AE0303" w14:textId="77777777" w:rsidR="00B626E7" w:rsidRDefault="00B626E7">
            <w:pPr>
              <w:rPr>
                <w:rFonts w:ascii="宋体"/>
                <w:vanish/>
              </w:rPr>
            </w:pPr>
          </w:p>
        </w:tc>
        <w:tc>
          <w:tcPr>
            <w:tcW w:w="0" w:type="auto"/>
            <w:gridSpan w:val="3"/>
            <w:shd w:val="clear" w:color="auto" w:fill="auto"/>
          </w:tcPr>
          <w:p w14:paraId="20AE0304" w14:textId="77777777" w:rsidR="00B626E7" w:rsidRDefault="00B626E7">
            <w:pPr>
              <w:rPr>
                <w:rFonts w:ascii="宋体"/>
                <w:vanish/>
              </w:rPr>
            </w:pPr>
          </w:p>
        </w:tc>
        <w:tc>
          <w:tcPr>
            <w:tcW w:w="0" w:type="auto"/>
            <w:gridSpan w:val="3"/>
            <w:shd w:val="clear" w:color="auto" w:fill="auto"/>
          </w:tcPr>
          <w:p w14:paraId="20AE0305" w14:textId="77777777" w:rsidR="00B626E7" w:rsidRDefault="00B626E7">
            <w:pPr>
              <w:rPr>
                <w:rFonts w:ascii="宋体"/>
                <w:vanish/>
              </w:rPr>
            </w:pPr>
          </w:p>
        </w:tc>
        <w:tc>
          <w:tcPr>
            <w:tcW w:w="0" w:type="auto"/>
            <w:gridSpan w:val="3"/>
            <w:shd w:val="clear" w:color="auto" w:fill="auto"/>
          </w:tcPr>
          <w:p w14:paraId="20AE0306" w14:textId="77777777" w:rsidR="00B626E7" w:rsidRDefault="00B626E7">
            <w:pPr>
              <w:rPr>
                <w:rFonts w:ascii="宋体"/>
                <w:vanish/>
              </w:rPr>
            </w:pPr>
          </w:p>
        </w:tc>
        <w:tc>
          <w:tcPr>
            <w:tcW w:w="0" w:type="auto"/>
            <w:gridSpan w:val="3"/>
            <w:shd w:val="clear" w:color="auto" w:fill="auto"/>
          </w:tcPr>
          <w:p w14:paraId="20AE0307" w14:textId="77777777" w:rsidR="00B626E7" w:rsidRDefault="00B626E7">
            <w:pPr>
              <w:rPr>
                <w:rFonts w:ascii="宋体"/>
                <w:vanish/>
              </w:rPr>
            </w:pPr>
          </w:p>
        </w:tc>
        <w:tc>
          <w:tcPr>
            <w:tcW w:w="0" w:type="auto"/>
            <w:gridSpan w:val="3"/>
            <w:shd w:val="clear" w:color="auto" w:fill="auto"/>
          </w:tcPr>
          <w:p w14:paraId="20AE0308" w14:textId="77777777" w:rsidR="00B626E7" w:rsidRDefault="00B626E7">
            <w:pPr>
              <w:rPr>
                <w:rFonts w:ascii="宋体"/>
                <w:vanish/>
              </w:rPr>
            </w:pPr>
          </w:p>
        </w:tc>
        <w:tc>
          <w:tcPr>
            <w:tcW w:w="0" w:type="auto"/>
            <w:shd w:val="clear" w:color="auto" w:fill="auto"/>
          </w:tcPr>
          <w:p w14:paraId="20AE0309" w14:textId="77777777" w:rsidR="00B626E7" w:rsidRDefault="00B626E7">
            <w:pPr>
              <w:rPr>
                <w:rFonts w:ascii="宋体"/>
              </w:rPr>
            </w:pPr>
          </w:p>
        </w:tc>
        <w:tc>
          <w:tcPr>
            <w:tcW w:w="0" w:type="auto"/>
            <w:shd w:val="clear" w:color="auto" w:fill="auto"/>
          </w:tcPr>
          <w:p w14:paraId="20AE030A" w14:textId="77777777" w:rsidR="00B626E7" w:rsidRDefault="00B626E7">
            <w:pPr>
              <w:rPr>
                <w:rFonts w:ascii="宋体"/>
              </w:rPr>
            </w:pPr>
          </w:p>
        </w:tc>
        <w:tc>
          <w:tcPr>
            <w:tcW w:w="0" w:type="auto"/>
            <w:shd w:val="clear" w:color="auto" w:fill="auto"/>
          </w:tcPr>
          <w:p w14:paraId="20AE030B" w14:textId="77777777" w:rsidR="00B626E7" w:rsidRDefault="00B626E7">
            <w:pPr>
              <w:rPr>
                <w:rFonts w:ascii="宋体"/>
              </w:rPr>
            </w:pPr>
          </w:p>
        </w:tc>
        <w:tc>
          <w:tcPr>
            <w:tcW w:w="0" w:type="auto"/>
            <w:shd w:val="clear" w:color="auto" w:fill="auto"/>
          </w:tcPr>
          <w:p w14:paraId="20AE030C" w14:textId="77777777" w:rsidR="00B626E7" w:rsidRDefault="00B626E7">
            <w:pPr>
              <w:rPr>
                <w:rFonts w:ascii="宋体"/>
              </w:rPr>
            </w:pPr>
          </w:p>
        </w:tc>
        <w:tc>
          <w:tcPr>
            <w:tcW w:w="0" w:type="auto"/>
            <w:shd w:val="clear" w:color="auto" w:fill="auto"/>
          </w:tcPr>
          <w:p w14:paraId="20AE030D" w14:textId="77777777" w:rsidR="00B626E7" w:rsidRDefault="00B626E7">
            <w:pPr>
              <w:rPr>
                <w:rFonts w:ascii="宋体"/>
              </w:rPr>
            </w:pPr>
          </w:p>
        </w:tc>
        <w:tc>
          <w:tcPr>
            <w:tcW w:w="0" w:type="auto"/>
            <w:shd w:val="clear" w:color="auto" w:fill="auto"/>
          </w:tcPr>
          <w:p w14:paraId="20AE030E" w14:textId="77777777" w:rsidR="00B626E7" w:rsidRDefault="00B626E7">
            <w:pPr>
              <w:rPr>
                <w:rFonts w:ascii="宋体"/>
              </w:rPr>
            </w:pPr>
          </w:p>
        </w:tc>
        <w:tc>
          <w:tcPr>
            <w:tcW w:w="0" w:type="auto"/>
            <w:shd w:val="clear" w:color="auto" w:fill="auto"/>
          </w:tcPr>
          <w:p w14:paraId="20AE030F" w14:textId="77777777" w:rsidR="00B626E7" w:rsidRDefault="00B626E7">
            <w:pPr>
              <w:rPr>
                <w:rFonts w:ascii="宋体"/>
              </w:rPr>
            </w:pPr>
          </w:p>
        </w:tc>
        <w:tc>
          <w:tcPr>
            <w:tcW w:w="0" w:type="auto"/>
            <w:shd w:val="clear" w:color="auto" w:fill="auto"/>
          </w:tcPr>
          <w:p w14:paraId="20AE0310" w14:textId="77777777" w:rsidR="00B626E7" w:rsidRDefault="00B626E7">
            <w:pPr>
              <w:rPr>
                <w:rFonts w:ascii="宋体"/>
              </w:rPr>
            </w:pPr>
          </w:p>
        </w:tc>
        <w:tc>
          <w:tcPr>
            <w:tcW w:w="0" w:type="auto"/>
            <w:shd w:val="clear" w:color="auto" w:fill="auto"/>
          </w:tcPr>
          <w:p w14:paraId="20AE0311" w14:textId="77777777" w:rsidR="00B626E7" w:rsidRDefault="00B626E7">
            <w:pPr>
              <w:rPr>
                <w:rFonts w:ascii="宋体"/>
              </w:rPr>
            </w:pPr>
          </w:p>
        </w:tc>
      </w:tr>
      <w:tr w:rsidR="00B626E7" w14:paraId="20AE032C" w14:textId="77777777">
        <w:tc>
          <w:tcPr>
            <w:tcW w:w="0" w:type="auto"/>
            <w:gridSpan w:val="3"/>
            <w:shd w:val="clear" w:color="auto" w:fill="auto"/>
            <w:tcMar>
              <w:top w:w="40" w:type="dxa"/>
              <w:left w:w="20" w:type="dxa"/>
              <w:bottom w:w="40" w:type="dxa"/>
              <w:right w:w="20" w:type="dxa"/>
            </w:tcMar>
            <w:vAlign w:val="bottom"/>
          </w:tcPr>
          <w:p w14:paraId="20AE0313" w14:textId="77777777" w:rsidR="00B626E7" w:rsidRDefault="00175C1D">
            <w:pPr>
              <w:textAlignment w:val="bottom"/>
            </w:pPr>
            <w:r>
              <w:rPr>
                <w:rFonts w:ascii="Arial" w:eastAsia="宋体" w:hAnsi="Arial" w:cs="Arial"/>
                <w:color w:val="333333"/>
                <w:sz w:val="18"/>
                <w:szCs w:val="18"/>
              </w:rPr>
              <w:t>Repurchase of common stock</w:t>
            </w:r>
          </w:p>
        </w:tc>
        <w:tc>
          <w:tcPr>
            <w:tcW w:w="0" w:type="auto"/>
            <w:gridSpan w:val="3"/>
            <w:shd w:val="clear" w:color="auto" w:fill="auto"/>
            <w:tcMar>
              <w:left w:w="20" w:type="dxa"/>
              <w:right w:w="20" w:type="dxa"/>
            </w:tcMar>
            <w:vAlign w:val="bottom"/>
          </w:tcPr>
          <w:p w14:paraId="20AE0314"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315"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20AE0316"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317"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318"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20AE0319"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31A"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31B"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20AE031C"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31D"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31E"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20AE031F"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320"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321"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20AE0322"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Pr>
          <w:p w14:paraId="20AE0323" w14:textId="77777777" w:rsidR="00B626E7" w:rsidRDefault="00B626E7">
            <w:pPr>
              <w:rPr>
                <w:rFonts w:ascii="宋体"/>
              </w:rPr>
            </w:pPr>
          </w:p>
        </w:tc>
        <w:tc>
          <w:tcPr>
            <w:tcW w:w="0" w:type="auto"/>
            <w:shd w:val="clear" w:color="auto" w:fill="auto"/>
          </w:tcPr>
          <w:p w14:paraId="20AE0324" w14:textId="77777777" w:rsidR="00B626E7" w:rsidRDefault="00B626E7">
            <w:pPr>
              <w:rPr>
                <w:rFonts w:ascii="宋体"/>
              </w:rPr>
            </w:pPr>
          </w:p>
        </w:tc>
        <w:tc>
          <w:tcPr>
            <w:tcW w:w="0" w:type="auto"/>
            <w:shd w:val="clear" w:color="auto" w:fill="auto"/>
          </w:tcPr>
          <w:p w14:paraId="20AE0325" w14:textId="77777777" w:rsidR="00B626E7" w:rsidRDefault="00B626E7">
            <w:pPr>
              <w:rPr>
                <w:rFonts w:ascii="宋体"/>
              </w:rPr>
            </w:pPr>
          </w:p>
        </w:tc>
        <w:tc>
          <w:tcPr>
            <w:tcW w:w="0" w:type="auto"/>
            <w:shd w:val="clear" w:color="auto" w:fill="auto"/>
          </w:tcPr>
          <w:p w14:paraId="20AE0326" w14:textId="77777777" w:rsidR="00B626E7" w:rsidRDefault="00B626E7">
            <w:pPr>
              <w:rPr>
                <w:rFonts w:ascii="宋体"/>
              </w:rPr>
            </w:pPr>
          </w:p>
        </w:tc>
        <w:tc>
          <w:tcPr>
            <w:tcW w:w="0" w:type="auto"/>
            <w:shd w:val="clear" w:color="auto" w:fill="auto"/>
          </w:tcPr>
          <w:p w14:paraId="20AE0327" w14:textId="77777777" w:rsidR="00B626E7" w:rsidRDefault="00B626E7">
            <w:pPr>
              <w:rPr>
                <w:rFonts w:ascii="宋体"/>
              </w:rPr>
            </w:pPr>
          </w:p>
        </w:tc>
        <w:tc>
          <w:tcPr>
            <w:tcW w:w="0" w:type="auto"/>
            <w:shd w:val="clear" w:color="auto" w:fill="auto"/>
          </w:tcPr>
          <w:p w14:paraId="20AE0328" w14:textId="77777777" w:rsidR="00B626E7" w:rsidRDefault="00B626E7">
            <w:pPr>
              <w:rPr>
                <w:rFonts w:ascii="宋体"/>
              </w:rPr>
            </w:pPr>
          </w:p>
        </w:tc>
        <w:tc>
          <w:tcPr>
            <w:tcW w:w="0" w:type="auto"/>
            <w:shd w:val="clear" w:color="auto" w:fill="auto"/>
          </w:tcPr>
          <w:p w14:paraId="20AE0329" w14:textId="77777777" w:rsidR="00B626E7" w:rsidRDefault="00B626E7">
            <w:pPr>
              <w:rPr>
                <w:rFonts w:ascii="宋体"/>
              </w:rPr>
            </w:pPr>
          </w:p>
        </w:tc>
        <w:tc>
          <w:tcPr>
            <w:tcW w:w="0" w:type="auto"/>
            <w:shd w:val="clear" w:color="auto" w:fill="auto"/>
          </w:tcPr>
          <w:p w14:paraId="20AE032A" w14:textId="77777777" w:rsidR="00B626E7" w:rsidRDefault="00B626E7">
            <w:pPr>
              <w:rPr>
                <w:rFonts w:ascii="宋体"/>
              </w:rPr>
            </w:pPr>
          </w:p>
        </w:tc>
        <w:tc>
          <w:tcPr>
            <w:tcW w:w="0" w:type="auto"/>
            <w:shd w:val="clear" w:color="auto" w:fill="auto"/>
          </w:tcPr>
          <w:p w14:paraId="20AE032B" w14:textId="77777777" w:rsidR="00B626E7" w:rsidRDefault="00B626E7">
            <w:pPr>
              <w:rPr>
                <w:rFonts w:ascii="宋体"/>
              </w:rPr>
            </w:pPr>
          </w:p>
        </w:tc>
      </w:tr>
      <w:tr w:rsidR="00B626E7" w14:paraId="20AE0346" w14:textId="77777777">
        <w:tc>
          <w:tcPr>
            <w:tcW w:w="0" w:type="auto"/>
            <w:gridSpan w:val="3"/>
            <w:shd w:val="clear" w:color="auto" w:fill="auto"/>
            <w:tcMar>
              <w:top w:w="40" w:type="dxa"/>
              <w:left w:w="20" w:type="dxa"/>
              <w:bottom w:w="40" w:type="dxa"/>
              <w:right w:w="20" w:type="dxa"/>
            </w:tcMar>
            <w:vAlign w:val="bottom"/>
          </w:tcPr>
          <w:p w14:paraId="20AE032D" w14:textId="77777777" w:rsidR="00B626E7" w:rsidRDefault="00175C1D">
            <w:pPr>
              <w:textAlignment w:val="bottom"/>
            </w:pPr>
            <w:r>
              <w:rPr>
                <w:rFonts w:ascii="Arial" w:eastAsia="宋体" w:hAnsi="Arial" w:cs="Arial"/>
                <w:color w:val="333333"/>
                <w:sz w:val="18"/>
                <w:szCs w:val="18"/>
              </w:rPr>
              <w:t>Restricted stock unit withholdings</w:t>
            </w:r>
          </w:p>
        </w:tc>
        <w:tc>
          <w:tcPr>
            <w:tcW w:w="0" w:type="auto"/>
            <w:gridSpan w:val="3"/>
            <w:shd w:val="clear" w:color="auto" w:fill="auto"/>
            <w:tcMar>
              <w:left w:w="20" w:type="dxa"/>
              <w:right w:w="20" w:type="dxa"/>
            </w:tcMar>
            <w:vAlign w:val="bottom"/>
          </w:tcPr>
          <w:p w14:paraId="20AE032E"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32F" w14:textId="77777777" w:rsidR="00B626E7" w:rsidRDefault="00175C1D">
            <w:pPr>
              <w:jc w:val="right"/>
              <w:textAlignment w:val="bottom"/>
            </w:pPr>
            <w:r>
              <w:rPr>
                <w:rFonts w:ascii="Arial" w:eastAsia="宋体" w:hAnsi="Arial" w:cs="Arial"/>
                <w:color w:val="0071C5"/>
                <w:sz w:val="18"/>
                <w:szCs w:val="18"/>
              </w:rPr>
              <w:t>(6)</w:t>
            </w:r>
          </w:p>
        </w:tc>
        <w:tc>
          <w:tcPr>
            <w:tcW w:w="0" w:type="auto"/>
            <w:shd w:val="clear" w:color="auto" w:fill="auto"/>
            <w:tcMar>
              <w:top w:w="40" w:type="dxa"/>
              <w:bottom w:w="40" w:type="dxa"/>
              <w:right w:w="20" w:type="dxa"/>
            </w:tcMar>
            <w:vAlign w:val="bottom"/>
          </w:tcPr>
          <w:p w14:paraId="20AE0330"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331"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332" w14:textId="77777777" w:rsidR="00B626E7" w:rsidRDefault="00175C1D">
            <w:pPr>
              <w:jc w:val="right"/>
              <w:textAlignment w:val="bottom"/>
            </w:pPr>
            <w:r>
              <w:rPr>
                <w:rFonts w:ascii="Arial" w:eastAsia="宋体" w:hAnsi="Arial" w:cs="Arial"/>
                <w:color w:val="0071C5"/>
                <w:sz w:val="18"/>
                <w:szCs w:val="18"/>
              </w:rPr>
              <w:t>(236)</w:t>
            </w:r>
          </w:p>
        </w:tc>
        <w:tc>
          <w:tcPr>
            <w:tcW w:w="0" w:type="auto"/>
            <w:shd w:val="clear" w:color="auto" w:fill="auto"/>
            <w:tcMar>
              <w:top w:w="40" w:type="dxa"/>
              <w:bottom w:w="40" w:type="dxa"/>
              <w:right w:w="20" w:type="dxa"/>
            </w:tcMar>
            <w:vAlign w:val="bottom"/>
          </w:tcPr>
          <w:p w14:paraId="20AE0333"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334"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335"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20AE0336"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337"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338" w14:textId="77777777" w:rsidR="00B626E7" w:rsidRDefault="00175C1D">
            <w:pPr>
              <w:jc w:val="right"/>
              <w:textAlignment w:val="bottom"/>
            </w:pPr>
            <w:r>
              <w:rPr>
                <w:rFonts w:ascii="Arial" w:eastAsia="宋体" w:hAnsi="Arial" w:cs="Arial"/>
                <w:color w:val="0071C5"/>
                <w:sz w:val="18"/>
                <w:szCs w:val="18"/>
              </w:rPr>
              <w:t>(103)</w:t>
            </w:r>
          </w:p>
        </w:tc>
        <w:tc>
          <w:tcPr>
            <w:tcW w:w="0" w:type="auto"/>
            <w:shd w:val="clear" w:color="auto" w:fill="auto"/>
            <w:tcMar>
              <w:top w:w="40" w:type="dxa"/>
              <w:bottom w:w="40" w:type="dxa"/>
              <w:right w:w="20" w:type="dxa"/>
            </w:tcMar>
            <w:vAlign w:val="bottom"/>
          </w:tcPr>
          <w:p w14:paraId="20AE0339"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33A"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33B" w14:textId="77777777" w:rsidR="00B626E7" w:rsidRDefault="00175C1D">
            <w:pPr>
              <w:jc w:val="right"/>
              <w:textAlignment w:val="bottom"/>
            </w:pPr>
            <w:r>
              <w:rPr>
                <w:rFonts w:ascii="Arial" w:eastAsia="宋体" w:hAnsi="Arial" w:cs="Arial"/>
                <w:color w:val="0071C5"/>
                <w:sz w:val="18"/>
                <w:szCs w:val="18"/>
              </w:rPr>
              <w:t>(339)</w:t>
            </w:r>
          </w:p>
        </w:tc>
        <w:tc>
          <w:tcPr>
            <w:tcW w:w="0" w:type="auto"/>
            <w:shd w:val="clear" w:color="auto" w:fill="auto"/>
            <w:tcMar>
              <w:top w:w="40" w:type="dxa"/>
              <w:bottom w:w="40" w:type="dxa"/>
              <w:right w:w="20" w:type="dxa"/>
            </w:tcMar>
            <w:vAlign w:val="bottom"/>
          </w:tcPr>
          <w:p w14:paraId="20AE033C"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Pr>
          <w:p w14:paraId="20AE033D" w14:textId="77777777" w:rsidR="00B626E7" w:rsidRDefault="00B626E7">
            <w:pPr>
              <w:rPr>
                <w:rFonts w:ascii="宋体"/>
              </w:rPr>
            </w:pPr>
          </w:p>
        </w:tc>
        <w:tc>
          <w:tcPr>
            <w:tcW w:w="0" w:type="auto"/>
            <w:shd w:val="clear" w:color="auto" w:fill="auto"/>
          </w:tcPr>
          <w:p w14:paraId="20AE033E" w14:textId="77777777" w:rsidR="00B626E7" w:rsidRDefault="00B626E7">
            <w:pPr>
              <w:rPr>
                <w:rFonts w:ascii="宋体"/>
              </w:rPr>
            </w:pPr>
          </w:p>
        </w:tc>
        <w:tc>
          <w:tcPr>
            <w:tcW w:w="0" w:type="auto"/>
            <w:shd w:val="clear" w:color="auto" w:fill="auto"/>
          </w:tcPr>
          <w:p w14:paraId="20AE033F" w14:textId="77777777" w:rsidR="00B626E7" w:rsidRDefault="00B626E7">
            <w:pPr>
              <w:rPr>
                <w:rFonts w:ascii="宋体"/>
              </w:rPr>
            </w:pPr>
          </w:p>
        </w:tc>
        <w:tc>
          <w:tcPr>
            <w:tcW w:w="0" w:type="auto"/>
            <w:shd w:val="clear" w:color="auto" w:fill="auto"/>
          </w:tcPr>
          <w:p w14:paraId="20AE0340" w14:textId="77777777" w:rsidR="00B626E7" w:rsidRDefault="00B626E7">
            <w:pPr>
              <w:rPr>
                <w:rFonts w:ascii="宋体"/>
              </w:rPr>
            </w:pPr>
          </w:p>
        </w:tc>
        <w:tc>
          <w:tcPr>
            <w:tcW w:w="0" w:type="auto"/>
            <w:shd w:val="clear" w:color="auto" w:fill="auto"/>
          </w:tcPr>
          <w:p w14:paraId="20AE0341" w14:textId="77777777" w:rsidR="00B626E7" w:rsidRDefault="00B626E7">
            <w:pPr>
              <w:rPr>
                <w:rFonts w:ascii="宋体"/>
              </w:rPr>
            </w:pPr>
          </w:p>
        </w:tc>
        <w:tc>
          <w:tcPr>
            <w:tcW w:w="0" w:type="auto"/>
            <w:shd w:val="clear" w:color="auto" w:fill="auto"/>
          </w:tcPr>
          <w:p w14:paraId="20AE0342" w14:textId="77777777" w:rsidR="00B626E7" w:rsidRDefault="00B626E7">
            <w:pPr>
              <w:rPr>
                <w:rFonts w:ascii="宋体"/>
              </w:rPr>
            </w:pPr>
          </w:p>
        </w:tc>
        <w:tc>
          <w:tcPr>
            <w:tcW w:w="0" w:type="auto"/>
            <w:shd w:val="clear" w:color="auto" w:fill="auto"/>
          </w:tcPr>
          <w:p w14:paraId="20AE0343" w14:textId="77777777" w:rsidR="00B626E7" w:rsidRDefault="00B626E7">
            <w:pPr>
              <w:rPr>
                <w:rFonts w:ascii="宋体"/>
              </w:rPr>
            </w:pPr>
          </w:p>
        </w:tc>
        <w:tc>
          <w:tcPr>
            <w:tcW w:w="0" w:type="auto"/>
            <w:shd w:val="clear" w:color="auto" w:fill="auto"/>
          </w:tcPr>
          <w:p w14:paraId="20AE0344" w14:textId="77777777" w:rsidR="00B626E7" w:rsidRDefault="00B626E7">
            <w:pPr>
              <w:rPr>
                <w:rFonts w:ascii="宋体"/>
              </w:rPr>
            </w:pPr>
          </w:p>
        </w:tc>
        <w:tc>
          <w:tcPr>
            <w:tcW w:w="0" w:type="auto"/>
            <w:shd w:val="clear" w:color="auto" w:fill="auto"/>
          </w:tcPr>
          <w:p w14:paraId="20AE0345" w14:textId="77777777" w:rsidR="00B626E7" w:rsidRDefault="00B626E7">
            <w:pPr>
              <w:rPr>
                <w:rFonts w:ascii="宋体"/>
              </w:rPr>
            </w:pPr>
          </w:p>
        </w:tc>
      </w:tr>
      <w:tr w:rsidR="00B626E7" w14:paraId="20AE035B" w14:textId="77777777">
        <w:trPr>
          <w:hidden/>
        </w:trPr>
        <w:tc>
          <w:tcPr>
            <w:tcW w:w="0" w:type="auto"/>
            <w:gridSpan w:val="3"/>
            <w:shd w:val="clear" w:color="auto" w:fill="auto"/>
          </w:tcPr>
          <w:p w14:paraId="20AE0347" w14:textId="77777777" w:rsidR="00B626E7" w:rsidRDefault="00B626E7">
            <w:pPr>
              <w:rPr>
                <w:rFonts w:ascii="宋体"/>
                <w:vanish/>
              </w:rPr>
            </w:pPr>
          </w:p>
        </w:tc>
        <w:tc>
          <w:tcPr>
            <w:tcW w:w="0" w:type="auto"/>
            <w:gridSpan w:val="3"/>
            <w:shd w:val="clear" w:color="auto" w:fill="auto"/>
          </w:tcPr>
          <w:p w14:paraId="20AE0348" w14:textId="77777777" w:rsidR="00B626E7" w:rsidRDefault="00B626E7">
            <w:pPr>
              <w:rPr>
                <w:rFonts w:ascii="宋体"/>
                <w:vanish/>
              </w:rPr>
            </w:pPr>
          </w:p>
        </w:tc>
        <w:tc>
          <w:tcPr>
            <w:tcW w:w="0" w:type="auto"/>
            <w:gridSpan w:val="3"/>
            <w:shd w:val="clear" w:color="auto" w:fill="auto"/>
          </w:tcPr>
          <w:p w14:paraId="20AE0349" w14:textId="77777777" w:rsidR="00B626E7" w:rsidRDefault="00B626E7">
            <w:pPr>
              <w:rPr>
                <w:rFonts w:ascii="宋体"/>
                <w:vanish/>
              </w:rPr>
            </w:pPr>
          </w:p>
        </w:tc>
        <w:tc>
          <w:tcPr>
            <w:tcW w:w="0" w:type="auto"/>
            <w:gridSpan w:val="3"/>
            <w:shd w:val="clear" w:color="auto" w:fill="auto"/>
          </w:tcPr>
          <w:p w14:paraId="20AE034A" w14:textId="77777777" w:rsidR="00B626E7" w:rsidRDefault="00B626E7">
            <w:pPr>
              <w:rPr>
                <w:rFonts w:ascii="宋体"/>
                <w:vanish/>
              </w:rPr>
            </w:pPr>
          </w:p>
        </w:tc>
        <w:tc>
          <w:tcPr>
            <w:tcW w:w="0" w:type="auto"/>
            <w:gridSpan w:val="3"/>
            <w:shd w:val="clear" w:color="auto" w:fill="auto"/>
          </w:tcPr>
          <w:p w14:paraId="20AE034B" w14:textId="77777777" w:rsidR="00B626E7" w:rsidRDefault="00B626E7">
            <w:pPr>
              <w:rPr>
                <w:rFonts w:ascii="宋体"/>
                <w:vanish/>
              </w:rPr>
            </w:pPr>
          </w:p>
        </w:tc>
        <w:tc>
          <w:tcPr>
            <w:tcW w:w="0" w:type="auto"/>
            <w:gridSpan w:val="3"/>
            <w:shd w:val="clear" w:color="auto" w:fill="auto"/>
          </w:tcPr>
          <w:p w14:paraId="20AE034C" w14:textId="77777777" w:rsidR="00B626E7" w:rsidRDefault="00B626E7">
            <w:pPr>
              <w:rPr>
                <w:rFonts w:ascii="宋体"/>
                <w:vanish/>
              </w:rPr>
            </w:pPr>
          </w:p>
        </w:tc>
        <w:tc>
          <w:tcPr>
            <w:tcW w:w="0" w:type="auto"/>
            <w:gridSpan w:val="3"/>
            <w:shd w:val="clear" w:color="auto" w:fill="auto"/>
          </w:tcPr>
          <w:p w14:paraId="20AE034D" w14:textId="77777777" w:rsidR="00B626E7" w:rsidRDefault="00B626E7">
            <w:pPr>
              <w:rPr>
                <w:rFonts w:ascii="宋体"/>
                <w:vanish/>
              </w:rPr>
            </w:pPr>
          </w:p>
        </w:tc>
        <w:tc>
          <w:tcPr>
            <w:tcW w:w="0" w:type="auto"/>
            <w:gridSpan w:val="3"/>
            <w:shd w:val="clear" w:color="auto" w:fill="auto"/>
          </w:tcPr>
          <w:p w14:paraId="20AE034E" w14:textId="77777777" w:rsidR="00B626E7" w:rsidRDefault="00B626E7">
            <w:pPr>
              <w:rPr>
                <w:rFonts w:ascii="宋体"/>
                <w:vanish/>
              </w:rPr>
            </w:pPr>
          </w:p>
        </w:tc>
        <w:tc>
          <w:tcPr>
            <w:tcW w:w="0" w:type="auto"/>
            <w:gridSpan w:val="3"/>
            <w:shd w:val="clear" w:color="auto" w:fill="auto"/>
          </w:tcPr>
          <w:p w14:paraId="20AE034F" w14:textId="77777777" w:rsidR="00B626E7" w:rsidRDefault="00B626E7">
            <w:pPr>
              <w:rPr>
                <w:rFonts w:ascii="宋体"/>
                <w:vanish/>
              </w:rPr>
            </w:pPr>
          </w:p>
        </w:tc>
        <w:tc>
          <w:tcPr>
            <w:tcW w:w="0" w:type="auto"/>
            <w:gridSpan w:val="3"/>
            <w:shd w:val="clear" w:color="auto" w:fill="auto"/>
          </w:tcPr>
          <w:p w14:paraId="20AE0350" w14:textId="77777777" w:rsidR="00B626E7" w:rsidRDefault="00B626E7">
            <w:pPr>
              <w:rPr>
                <w:rFonts w:ascii="宋体"/>
                <w:vanish/>
              </w:rPr>
            </w:pPr>
          </w:p>
        </w:tc>
        <w:tc>
          <w:tcPr>
            <w:tcW w:w="0" w:type="auto"/>
            <w:gridSpan w:val="3"/>
            <w:shd w:val="clear" w:color="auto" w:fill="auto"/>
          </w:tcPr>
          <w:p w14:paraId="20AE0351" w14:textId="77777777" w:rsidR="00B626E7" w:rsidRDefault="00B626E7">
            <w:pPr>
              <w:rPr>
                <w:rFonts w:ascii="宋体"/>
                <w:vanish/>
              </w:rPr>
            </w:pPr>
          </w:p>
        </w:tc>
        <w:tc>
          <w:tcPr>
            <w:tcW w:w="0" w:type="auto"/>
            <w:shd w:val="clear" w:color="auto" w:fill="auto"/>
          </w:tcPr>
          <w:p w14:paraId="20AE0352" w14:textId="77777777" w:rsidR="00B626E7" w:rsidRDefault="00B626E7">
            <w:pPr>
              <w:rPr>
                <w:rFonts w:ascii="宋体"/>
              </w:rPr>
            </w:pPr>
          </w:p>
        </w:tc>
        <w:tc>
          <w:tcPr>
            <w:tcW w:w="0" w:type="auto"/>
            <w:shd w:val="clear" w:color="auto" w:fill="auto"/>
          </w:tcPr>
          <w:p w14:paraId="20AE0353" w14:textId="77777777" w:rsidR="00B626E7" w:rsidRDefault="00B626E7">
            <w:pPr>
              <w:rPr>
                <w:rFonts w:ascii="宋体"/>
              </w:rPr>
            </w:pPr>
          </w:p>
        </w:tc>
        <w:tc>
          <w:tcPr>
            <w:tcW w:w="0" w:type="auto"/>
            <w:shd w:val="clear" w:color="auto" w:fill="auto"/>
          </w:tcPr>
          <w:p w14:paraId="20AE0354" w14:textId="77777777" w:rsidR="00B626E7" w:rsidRDefault="00B626E7">
            <w:pPr>
              <w:rPr>
                <w:rFonts w:ascii="宋体"/>
              </w:rPr>
            </w:pPr>
          </w:p>
        </w:tc>
        <w:tc>
          <w:tcPr>
            <w:tcW w:w="0" w:type="auto"/>
            <w:shd w:val="clear" w:color="auto" w:fill="auto"/>
          </w:tcPr>
          <w:p w14:paraId="20AE0355" w14:textId="77777777" w:rsidR="00B626E7" w:rsidRDefault="00B626E7">
            <w:pPr>
              <w:rPr>
                <w:rFonts w:ascii="宋体"/>
              </w:rPr>
            </w:pPr>
          </w:p>
        </w:tc>
        <w:tc>
          <w:tcPr>
            <w:tcW w:w="0" w:type="auto"/>
            <w:shd w:val="clear" w:color="auto" w:fill="auto"/>
          </w:tcPr>
          <w:p w14:paraId="20AE0356" w14:textId="77777777" w:rsidR="00B626E7" w:rsidRDefault="00B626E7">
            <w:pPr>
              <w:rPr>
                <w:rFonts w:ascii="宋体"/>
              </w:rPr>
            </w:pPr>
          </w:p>
        </w:tc>
        <w:tc>
          <w:tcPr>
            <w:tcW w:w="0" w:type="auto"/>
            <w:shd w:val="clear" w:color="auto" w:fill="auto"/>
          </w:tcPr>
          <w:p w14:paraId="20AE0357" w14:textId="77777777" w:rsidR="00B626E7" w:rsidRDefault="00B626E7">
            <w:pPr>
              <w:rPr>
                <w:rFonts w:ascii="宋体"/>
              </w:rPr>
            </w:pPr>
          </w:p>
        </w:tc>
        <w:tc>
          <w:tcPr>
            <w:tcW w:w="0" w:type="auto"/>
            <w:shd w:val="clear" w:color="auto" w:fill="auto"/>
          </w:tcPr>
          <w:p w14:paraId="20AE0358" w14:textId="77777777" w:rsidR="00B626E7" w:rsidRDefault="00B626E7">
            <w:pPr>
              <w:rPr>
                <w:rFonts w:ascii="宋体"/>
              </w:rPr>
            </w:pPr>
          </w:p>
        </w:tc>
        <w:tc>
          <w:tcPr>
            <w:tcW w:w="0" w:type="auto"/>
            <w:shd w:val="clear" w:color="auto" w:fill="auto"/>
          </w:tcPr>
          <w:p w14:paraId="20AE0359" w14:textId="77777777" w:rsidR="00B626E7" w:rsidRDefault="00B626E7">
            <w:pPr>
              <w:rPr>
                <w:rFonts w:ascii="宋体"/>
              </w:rPr>
            </w:pPr>
          </w:p>
        </w:tc>
        <w:tc>
          <w:tcPr>
            <w:tcW w:w="0" w:type="auto"/>
            <w:shd w:val="clear" w:color="auto" w:fill="auto"/>
          </w:tcPr>
          <w:p w14:paraId="20AE035A" w14:textId="77777777" w:rsidR="00B626E7" w:rsidRDefault="00B626E7">
            <w:pPr>
              <w:rPr>
                <w:rFonts w:ascii="宋体"/>
              </w:rPr>
            </w:pPr>
          </w:p>
        </w:tc>
      </w:tr>
      <w:tr w:rsidR="00B626E7" w14:paraId="20AE0379" w14:textId="77777777">
        <w:tc>
          <w:tcPr>
            <w:tcW w:w="0" w:type="auto"/>
            <w:gridSpan w:val="3"/>
            <w:shd w:val="clear" w:color="auto" w:fill="auto"/>
            <w:tcMar>
              <w:top w:w="40" w:type="dxa"/>
              <w:left w:w="20" w:type="dxa"/>
              <w:bottom w:w="40" w:type="dxa"/>
              <w:right w:w="20" w:type="dxa"/>
            </w:tcMar>
            <w:vAlign w:val="bottom"/>
          </w:tcPr>
          <w:p w14:paraId="20AE035C" w14:textId="77777777" w:rsidR="00B626E7" w:rsidRDefault="00175C1D">
            <w:pPr>
              <w:textAlignment w:val="bottom"/>
            </w:pPr>
            <w:r>
              <w:rPr>
                <w:rFonts w:ascii="Arial" w:eastAsia="宋体" w:hAnsi="Arial" w:cs="Arial"/>
                <w:b/>
                <w:bCs/>
                <w:color w:val="333333"/>
                <w:sz w:val="18"/>
                <w:szCs w:val="18"/>
              </w:rPr>
              <w:t>Balance as of June 27, 2020</w:t>
            </w:r>
          </w:p>
        </w:tc>
        <w:tc>
          <w:tcPr>
            <w:tcW w:w="0" w:type="auto"/>
            <w:gridSpan w:val="3"/>
            <w:shd w:val="clear" w:color="auto" w:fill="auto"/>
            <w:tcMar>
              <w:left w:w="20" w:type="dxa"/>
              <w:right w:w="20" w:type="dxa"/>
            </w:tcMar>
            <w:vAlign w:val="bottom"/>
          </w:tcPr>
          <w:p w14:paraId="20AE035D"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035E" w14:textId="77777777" w:rsidR="00B626E7" w:rsidRDefault="00175C1D">
            <w:pPr>
              <w:jc w:val="right"/>
              <w:textAlignment w:val="bottom"/>
            </w:pPr>
            <w:r>
              <w:rPr>
                <w:rFonts w:ascii="Arial" w:eastAsia="宋体" w:hAnsi="Arial" w:cs="Arial"/>
                <w:b/>
                <w:bCs/>
                <w:color w:val="0071C5"/>
                <w:sz w:val="18"/>
                <w:szCs w:val="18"/>
              </w:rPr>
              <w:t>4,253 </w:t>
            </w:r>
          </w:p>
        </w:tc>
        <w:tc>
          <w:tcPr>
            <w:tcW w:w="0" w:type="auto"/>
            <w:tcBorders>
              <w:top w:val="single" w:sz="8" w:space="0" w:color="333333"/>
            </w:tcBorders>
            <w:shd w:val="clear" w:color="auto" w:fill="auto"/>
            <w:tcMar>
              <w:top w:w="40" w:type="dxa"/>
              <w:bottom w:w="40" w:type="dxa"/>
              <w:right w:w="20" w:type="dxa"/>
            </w:tcMar>
            <w:vAlign w:val="bottom"/>
          </w:tcPr>
          <w:p w14:paraId="20AE035F"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0360" w14:textId="77777777" w:rsidR="00B626E7" w:rsidRDefault="00B626E7">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20AE0361" w14:textId="77777777" w:rsidR="00B626E7" w:rsidRDefault="00175C1D">
            <w:pPr>
              <w:textAlignment w:val="bottom"/>
            </w:pPr>
            <w:r>
              <w:rPr>
                <w:rFonts w:ascii="Arial" w:eastAsia="宋体" w:hAnsi="Arial" w:cs="Arial"/>
                <w:b/>
                <w:bCs/>
                <w:color w:val="0071C5"/>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20AE0362" w14:textId="77777777" w:rsidR="00B626E7" w:rsidRDefault="00175C1D">
            <w:pPr>
              <w:jc w:val="right"/>
              <w:textAlignment w:val="bottom"/>
            </w:pPr>
            <w:r>
              <w:rPr>
                <w:rFonts w:ascii="Arial" w:eastAsia="宋体" w:hAnsi="Arial" w:cs="Arial"/>
                <w:b/>
                <w:bCs/>
                <w:color w:val="0071C5"/>
                <w:sz w:val="18"/>
                <w:szCs w:val="18"/>
              </w:rPr>
              <w:t>25,516 </w:t>
            </w:r>
          </w:p>
        </w:tc>
        <w:tc>
          <w:tcPr>
            <w:tcW w:w="0" w:type="auto"/>
            <w:tcBorders>
              <w:top w:val="single" w:sz="8" w:space="0" w:color="333333"/>
            </w:tcBorders>
            <w:shd w:val="clear" w:color="auto" w:fill="auto"/>
            <w:tcMar>
              <w:top w:w="40" w:type="dxa"/>
              <w:bottom w:w="40" w:type="dxa"/>
              <w:right w:w="20" w:type="dxa"/>
            </w:tcMar>
            <w:vAlign w:val="bottom"/>
          </w:tcPr>
          <w:p w14:paraId="20AE0363"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0364" w14:textId="77777777" w:rsidR="00B626E7" w:rsidRDefault="00B626E7">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20AE0365" w14:textId="77777777" w:rsidR="00B626E7" w:rsidRDefault="00175C1D">
            <w:pPr>
              <w:textAlignment w:val="bottom"/>
            </w:pPr>
            <w:r>
              <w:rPr>
                <w:rFonts w:ascii="Arial" w:eastAsia="宋体" w:hAnsi="Arial" w:cs="Arial"/>
                <w:b/>
                <w:bCs/>
                <w:color w:val="0071C5"/>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20AE0366" w14:textId="77777777" w:rsidR="00B626E7" w:rsidRDefault="00175C1D">
            <w:pPr>
              <w:jc w:val="right"/>
              <w:textAlignment w:val="bottom"/>
            </w:pPr>
            <w:r>
              <w:rPr>
                <w:rFonts w:ascii="Arial" w:eastAsia="宋体" w:hAnsi="Arial" w:cs="Arial"/>
                <w:b/>
                <w:bCs/>
                <w:color w:val="0071C5"/>
                <w:sz w:val="18"/>
                <w:szCs w:val="18"/>
              </w:rPr>
              <w:t>(1,152)</w:t>
            </w:r>
          </w:p>
        </w:tc>
        <w:tc>
          <w:tcPr>
            <w:tcW w:w="0" w:type="auto"/>
            <w:tcBorders>
              <w:top w:val="single" w:sz="8" w:space="0" w:color="333333"/>
            </w:tcBorders>
            <w:shd w:val="clear" w:color="auto" w:fill="auto"/>
            <w:tcMar>
              <w:top w:w="40" w:type="dxa"/>
              <w:bottom w:w="40" w:type="dxa"/>
              <w:right w:w="20" w:type="dxa"/>
            </w:tcMar>
            <w:vAlign w:val="bottom"/>
          </w:tcPr>
          <w:p w14:paraId="20AE0367"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0368" w14:textId="77777777" w:rsidR="00B626E7" w:rsidRDefault="00B626E7">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20AE0369" w14:textId="77777777" w:rsidR="00B626E7" w:rsidRDefault="00175C1D">
            <w:pPr>
              <w:textAlignment w:val="bottom"/>
            </w:pPr>
            <w:r>
              <w:rPr>
                <w:rFonts w:ascii="Arial" w:eastAsia="宋体" w:hAnsi="Arial" w:cs="Arial"/>
                <w:b/>
                <w:bCs/>
                <w:color w:val="0071C5"/>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20AE036A" w14:textId="77777777" w:rsidR="00B626E7" w:rsidRDefault="00175C1D">
            <w:pPr>
              <w:jc w:val="right"/>
              <w:textAlignment w:val="bottom"/>
            </w:pPr>
            <w:r>
              <w:rPr>
                <w:rFonts w:ascii="Arial" w:eastAsia="宋体" w:hAnsi="Arial" w:cs="Arial"/>
                <w:b/>
                <w:bCs/>
                <w:color w:val="0071C5"/>
                <w:sz w:val="18"/>
                <w:szCs w:val="18"/>
              </w:rPr>
              <w:t>57,646 </w:t>
            </w:r>
          </w:p>
        </w:tc>
        <w:tc>
          <w:tcPr>
            <w:tcW w:w="0" w:type="auto"/>
            <w:tcBorders>
              <w:top w:val="single" w:sz="8" w:space="0" w:color="333333"/>
            </w:tcBorders>
            <w:shd w:val="clear" w:color="auto" w:fill="auto"/>
            <w:tcMar>
              <w:top w:w="40" w:type="dxa"/>
              <w:bottom w:w="40" w:type="dxa"/>
              <w:right w:w="20" w:type="dxa"/>
            </w:tcMar>
            <w:vAlign w:val="bottom"/>
          </w:tcPr>
          <w:p w14:paraId="20AE036B"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036C" w14:textId="77777777" w:rsidR="00B626E7" w:rsidRDefault="00B626E7">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20AE036D" w14:textId="77777777" w:rsidR="00B626E7" w:rsidRDefault="00175C1D">
            <w:pPr>
              <w:textAlignment w:val="bottom"/>
            </w:pPr>
            <w:r>
              <w:rPr>
                <w:rFonts w:ascii="Arial" w:eastAsia="宋体" w:hAnsi="Arial" w:cs="Arial"/>
                <w:b/>
                <w:bCs/>
                <w:color w:val="0071C5"/>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20AE036E" w14:textId="77777777" w:rsidR="00B626E7" w:rsidRDefault="00175C1D">
            <w:pPr>
              <w:jc w:val="right"/>
              <w:textAlignment w:val="bottom"/>
            </w:pPr>
            <w:r>
              <w:rPr>
                <w:rFonts w:ascii="Arial" w:eastAsia="宋体" w:hAnsi="Arial" w:cs="Arial"/>
                <w:b/>
                <w:bCs/>
                <w:color w:val="0071C5"/>
                <w:sz w:val="18"/>
                <w:szCs w:val="18"/>
              </w:rPr>
              <w:t>82,010 </w:t>
            </w:r>
          </w:p>
        </w:tc>
        <w:tc>
          <w:tcPr>
            <w:tcW w:w="0" w:type="auto"/>
            <w:tcBorders>
              <w:top w:val="single" w:sz="8" w:space="0" w:color="333333"/>
            </w:tcBorders>
            <w:shd w:val="clear" w:color="auto" w:fill="auto"/>
            <w:tcMar>
              <w:top w:w="40" w:type="dxa"/>
              <w:bottom w:w="40" w:type="dxa"/>
              <w:right w:w="20" w:type="dxa"/>
            </w:tcMar>
            <w:vAlign w:val="bottom"/>
          </w:tcPr>
          <w:p w14:paraId="20AE036F" w14:textId="77777777" w:rsidR="00B626E7" w:rsidRDefault="00175C1D">
            <w:pPr>
              <w:jc w:val="right"/>
              <w:textAlignment w:val="bottom"/>
            </w:pPr>
            <w:r>
              <w:rPr>
                <w:rFonts w:ascii="Arial" w:eastAsia="宋体" w:hAnsi="Arial" w:cs="Arial"/>
                <w:b/>
                <w:bCs/>
                <w:color w:val="0071C5"/>
                <w:sz w:val="18"/>
                <w:szCs w:val="18"/>
              </w:rPr>
              <w:t> </w:t>
            </w:r>
          </w:p>
        </w:tc>
        <w:tc>
          <w:tcPr>
            <w:tcW w:w="0" w:type="auto"/>
            <w:shd w:val="clear" w:color="auto" w:fill="auto"/>
          </w:tcPr>
          <w:p w14:paraId="20AE0370" w14:textId="77777777" w:rsidR="00B626E7" w:rsidRDefault="00B626E7">
            <w:pPr>
              <w:rPr>
                <w:rFonts w:ascii="宋体"/>
              </w:rPr>
            </w:pPr>
          </w:p>
        </w:tc>
        <w:tc>
          <w:tcPr>
            <w:tcW w:w="0" w:type="auto"/>
            <w:shd w:val="clear" w:color="auto" w:fill="auto"/>
          </w:tcPr>
          <w:p w14:paraId="20AE0371" w14:textId="77777777" w:rsidR="00B626E7" w:rsidRDefault="00B626E7">
            <w:pPr>
              <w:rPr>
                <w:rFonts w:ascii="宋体"/>
              </w:rPr>
            </w:pPr>
          </w:p>
        </w:tc>
        <w:tc>
          <w:tcPr>
            <w:tcW w:w="0" w:type="auto"/>
            <w:shd w:val="clear" w:color="auto" w:fill="auto"/>
          </w:tcPr>
          <w:p w14:paraId="20AE0372" w14:textId="77777777" w:rsidR="00B626E7" w:rsidRDefault="00B626E7">
            <w:pPr>
              <w:rPr>
                <w:rFonts w:ascii="宋体"/>
              </w:rPr>
            </w:pPr>
          </w:p>
        </w:tc>
        <w:tc>
          <w:tcPr>
            <w:tcW w:w="0" w:type="auto"/>
            <w:shd w:val="clear" w:color="auto" w:fill="auto"/>
          </w:tcPr>
          <w:p w14:paraId="20AE0373" w14:textId="77777777" w:rsidR="00B626E7" w:rsidRDefault="00B626E7">
            <w:pPr>
              <w:rPr>
                <w:rFonts w:ascii="宋体"/>
              </w:rPr>
            </w:pPr>
          </w:p>
        </w:tc>
        <w:tc>
          <w:tcPr>
            <w:tcW w:w="0" w:type="auto"/>
            <w:shd w:val="clear" w:color="auto" w:fill="auto"/>
          </w:tcPr>
          <w:p w14:paraId="20AE0374" w14:textId="77777777" w:rsidR="00B626E7" w:rsidRDefault="00B626E7">
            <w:pPr>
              <w:rPr>
                <w:rFonts w:ascii="宋体"/>
              </w:rPr>
            </w:pPr>
          </w:p>
        </w:tc>
        <w:tc>
          <w:tcPr>
            <w:tcW w:w="0" w:type="auto"/>
            <w:shd w:val="clear" w:color="auto" w:fill="auto"/>
          </w:tcPr>
          <w:p w14:paraId="20AE0375" w14:textId="77777777" w:rsidR="00B626E7" w:rsidRDefault="00B626E7">
            <w:pPr>
              <w:rPr>
                <w:rFonts w:ascii="宋体"/>
              </w:rPr>
            </w:pPr>
          </w:p>
        </w:tc>
        <w:tc>
          <w:tcPr>
            <w:tcW w:w="0" w:type="auto"/>
            <w:shd w:val="clear" w:color="auto" w:fill="auto"/>
          </w:tcPr>
          <w:p w14:paraId="20AE0376" w14:textId="77777777" w:rsidR="00B626E7" w:rsidRDefault="00B626E7">
            <w:pPr>
              <w:rPr>
                <w:rFonts w:ascii="宋体"/>
              </w:rPr>
            </w:pPr>
          </w:p>
        </w:tc>
        <w:tc>
          <w:tcPr>
            <w:tcW w:w="0" w:type="auto"/>
            <w:shd w:val="clear" w:color="auto" w:fill="auto"/>
          </w:tcPr>
          <w:p w14:paraId="20AE0377" w14:textId="77777777" w:rsidR="00B626E7" w:rsidRDefault="00B626E7">
            <w:pPr>
              <w:rPr>
                <w:rFonts w:ascii="宋体"/>
              </w:rPr>
            </w:pPr>
          </w:p>
        </w:tc>
        <w:tc>
          <w:tcPr>
            <w:tcW w:w="0" w:type="auto"/>
            <w:shd w:val="clear" w:color="auto" w:fill="auto"/>
          </w:tcPr>
          <w:p w14:paraId="20AE0378" w14:textId="77777777" w:rsidR="00B626E7" w:rsidRDefault="00B626E7">
            <w:pPr>
              <w:rPr>
                <w:rFonts w:ascii="宋体"/>
              </w:rPr>
            </w:pPr>
          </w:p>
        </w:tc>
      </w:tr>
      <w:tr w:rsidR="00B626E7" w14:paraId="20AE038E" w14:textId="77777777">
        <w:trPr>
          <w:trHeight w:val="160"/>
        </w:trPr>
        <w:tc>
          <w:tcPr>
            <w:tcW w:w="0" w:type="auto"/>
            <w:gridSpan w:val="3"/>
            <w:shd w:val="clear" w:color="auto" w:fill="auto"/>
            <w:tcMar>
              <w:left w:w="20" w:type="dxa"/>
              <w:right w:w="20" w:type="dxa"/>
            </w:tcMar>
            <w:vAlign w:val="bottom"/>
          </w:tcPr>
          <w:p w14:paraId="20AE037A"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37B" w14:textId="77777777" w:rsidR="00B626E7" w:rsidRDefault="00B626E7">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20AE037C"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37D" w14:textId="77777777" w:rsidR="00B626E7" w:rsidRDefault="00B626E7">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20AE037E"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37F" w14:textId="77777777" w:rsidR="00B626E7" w:rsidRDefault="00B626E7">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20AE0380"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381" w14:textId="77777777" w:rsidR="00B626E7" w:rsidRDefault="00B626E7">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20AE0382"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383" w14:textId="77777777" w:rsidR="00B626E7" w:rsidRDefault="00B626E7">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20AE0384" w14:textId="77777777" w:rsidR="00B626E7" w:rsidRDefault="00B626E7">
            <w:pPr>
              <w:rPr>
                <w:rFonts w:ascii="宋体"/>
              </w:rPr>
            </w:pPr>
          </w:p>
        </w:tc>
        <w:tc>
          <w:tcPr>
            <w:tcW w:w="0" w:type="auto"/>
            <w:shd w:val="clear" w:color="auto" w:fill="auto"/>
          </w:tcPr>
          <w:p w14:paraId="20AE0385" w14:textId="77777777" w:rsidR="00B626E7" w:rsidRDefault="00B626E7">
            <w:pPr>
              <w:rPr>
                <w:rFonts w:ascii="宋体"/>
              </w:rPr>
            </w:pPr>
          </w:p>
        </w:tc>
        <w:tc>
          <w:tcPr>
            <w:tcW w:w="0" w:type="auto"/>
            <w:shd w:val="clear" w:color="auto" w:fill="auto"/>
          </w:tcPr>
          <w:p w14:paraId="20AE0386" w14:textId="77777777" w:rsidR="00B626E7" w:rsidRDefault="00B626E7">
            <w:pPr>
              <w:rPr>
                <w:rFonts w:ascii="宋体"/>
              </w:rPr>
            </w:pPr>
          </w:p>
        </w:tc>
        <w:tc>
          <w:tcPr>
            <w:tcW w:w="0" w:type="auto"/>
            <w:shd w:val="clear" w:color="auto" w:fill="auto"/>
          </w:tcPr>
          <w:p w14:paraId="20AE0387" w14:textId="77777777" w:rsidR="00B626E7" w:rsidRDefault="00B626E7">
            <w:pPr>
              <w:rPr>
                <w:rFonts w:ascii="宋体"/>
              </w:rPr>
            </w:pPr>
          </w:p>
        </w:tc>
        <w:tc>
          <w:tcPr>
            <w:tcW w:w="0" w:type="auto"/>
            <w:shd w:val="clear" w:color="auto" w:fill="auto"/>
          </w:tcPr>
          <w:p w14:paraId="20AE0388" w14:textId="77777777" w:rsidR="00B626E7" w:rsidRDefault="00B626E7">
            <w:pPr>
              <w:rPr>
                <w:rFonts w:ascii="宋体"/>
              </w:rPr>
            </w:pPr>
          </w:p>
        </w:tc>
        <w:tc>
          <w:tcPr>
            <w:tcW w:w="0" w:type="auto"/>
            <w:shd w:val="clear" w:color="auto" w:fill="auto"/>
          </w:tcPr>
          <w:p w14:paraId="20AE0389" w14:textId="77777777" w:rsidR="00B626E7" w:rsidRDefault="00B626E7">
            <w:pPr>
              <w:rPr>
                <w:rFonts w:ascii="宋体"/>
              </w:rPr>
            </w:pPr>
          </w:p>
        </w:tc>
        <w:tc>
          <w:tcPr>
            <w:tcW w:w="0" w:type="auto"/>
            <w:shd w:val="clear" w:color="auto" w:fill="auto"/>
          </w:tcPr>
          <w:p w14:paraId="20AE038A" w14:textId="77777777" w:rsidR="00B626E7" w:rsidRDefault="00B626E7">
            <w:pPr>
              <w:rPr>
                <w:rFonts w:ascii="宋体"/>
              </w:rPr>
            </w:pPr>
          </w:p>
        </w:tc>
        <w:tc>
          <w:tcPr>
            <w:tcW w:w="0" w:type="auto"/>
            <w:shd w:val="clear" w:color="auto" w:fill="auto"/>
          </w:tcPr>
          <w:p w14:paraId="20AE038B" w14:textId="77777777" w:rsidR="00B626E7" w:rsidRDefault="00B626E7">
            <w:pPr>
              <w:rPr>
                <w:rFonts w:ascii="宋体"/>
              </w:rPr>
            </w:pPr>
          </w:p>
        </w:tc>
        <w:tc>
          <w:tcPr>
            <w:tcW w:w="0" w:type="auto"/>
            <w:shd w:val="clear" w:color="auto" w:fill="auto"/>
          </w:tcPr>
          <w:p w14:paraId="20AE038C" w14:textId="77777777" w:rsidR="00B626E7" w:rsidRDefault="00B626E7">
            <w:pPr>
              <w:rPr>
                <w:rFonts w:ascii="宋体"/>
              </w:rPr>
            </w:pPr>
          </w:p>
        </w:tc>
        <w:tc>
          <w:tcPr>
            <w:tcW w:w="0" w:type="auto"/>
            <w:shd w:val="clear" w:color="auto" w:fill="auto"/>
          </w:tcPr>
          <w:p w14:paraId="20AE038D" w14:textId="77777777" w:rsidR="00B626E7" w:rsidRDefault="00B626E7">
            <w:pPr>
              <w:rPr>
                <w:rFonts w:ascii="宋体"/>
              </w:rPr>
            </w:pPr>
          </w:p>
        </w:tc>
      </w:tr>
      <w:tr w:rsidR="00B626E7" w14:paraId="20AE03AC" w14:textId="77777777">
        <w:tc>
          <w:tcPr>
            <w:tcW w:w="0" w:type="auto"/>
            <w:gridSpan w:val="3"/>
            <w:shd w:val="clear" w:color="auto" w:fill="auto"/>
            <w:tcMar>
              <w:top w:w="40" w:type="dxa"/>
              <w:left w:w="20" w:type="dxa"/>
              <w:bottom w:w="40" w:type="dxa"/>
              <w:right w:w="20" w:type="dxa"/>
            </w:tcMar>
            <w:vAlign w:val="bottom"/>
          </w:tcPr>
          <w:p w14:paraId="20AE038F" w14:textId="77777777" w:rsidR="00B626E7" w:rsidRDefault="00175C1D">
            <w:pPr>
              <w:textAlignment w:val="bottom"/>
            </w:pPr>
            <w:r>
              <w:rPr>
                <w:rFonts w:ascii="Arial" w:eastAsia="宋体" w:hAnsi="Arial" w:cs="Arial"/>
                <w:b/>
                <w:bCs/>
                <w:color w:val="333333"/>
                <w:sz w:val="18"/>
                <w:szCs w:val="18"/>
              </w:rPr>
              <w:t>Balance as of March 30, 2019</w:t>
            </w:r>
          </w:p>
        </w:tc>
        <w:tc>
          <w:tcPr>
            <w:tcW w:w="0" w:type="auto"/>
            <w:gridSpan w:val="3"/>
            <w:shd w:val="clear" w:color="auto" w:fill="auto"/>
            <w:tcMar>
              <w:left w:w="20" w:type="dxa"/>
              <w:right w:w="20" w:type="dxa"/>
            </w:tcMar>
            <w:vAlign w:val="bottom"/>
          </w:tcPr>
          <w:p w14:paraId="20AE0390"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391" w14:textId="77777777" w:rsidR="00B626E7" w:rsidRDefault="00175C1D">
            <w:pPr>
              <w:jc w:val="right"/>
              <w:textAlignment w:val="bottom"/>
            </w:pPr>
            <w:r>
              <w:rPr>
                <w:rFonts w:ascii="Arial" w:eastAsia="宋体" w:hAnsi="Arial" w:cs="Arial"/>
                <w:b/>
                <w:bCs/>
                <w:color w:val="333333"/>
                <w:sz w:val="18"/>
                <w:szCs w:val="18"/>
              </w:rPr>
              <w:t>4,477 </w:t>
            </w:r>
          </w:p>
        </w:tc>
        <w:tc>
          <w:tcPr>
            <w:tcW w:w="0" w:type="auto"/>
            <w:shd w:val="clear" w:color="auto" w:fill="auto"/>
            <w:tcMar>
              <w:top w:w="40" w:type="dxa"/>
              <w:bottom w:w="40" w:type="dxa"/>
              <w:right w:w="20" w:type="dxa"/>
            </w:tcMar>
            <w:vAlign w:val="bottom"/>
          </w:tcPr>
          <w:p w14:paraId="20AE0392"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0393"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0394" w14:textId="77777777" w:rsidR="00B626E7" w:rsidRDefault="00175C1D">
            <w:pPr>
              <w:textAlignment w:val="bottom"/>
            </w:pPr>
            <w:r>
              <w:rPr>
                <w:rFonts w:ascii="Arial" w:eastAsia="宋体" w:hAnsi="Arial" w:cs="Arial"/>
                <w:b/>
                <w:bCs/>
                <w:color w:val="333333"/>
                <w:sz w:val="18"/>
                <w:szCs w:val="18"/>
              </w:rPr>
              <w:t>$</w:t>
            </w:r>
          </w:p>
        </w:tc>
        <w:tc>
          <w:tcPr>
            <w:tcW w:w="0" w:type="auto"/>
            <w:shd w:val="clear" w:color="auto" w:fill="auto"/>
            <w:tcMar>
              <w:top w:w="40" w:type="dxa"/>
              <w:bottom w:w="40" w:type="dxa"/>
              <w:right w:w="0" w:type="dxa"/>
            </w:tcMar>
            <w:vAlign w:val="bottom"/>
          </w:tcPr>
          <w:p w14:paraId="20AE0395" w14:textId="77777777" w:rsidR="00B626E7" w:rsidRDefault="00175C1D">
            <w:pPr>
              <w:jc w:val="right"/>
              <w:textAlignment w:val="bottom"/>
            </w:pPr>
            <w:r>
              <w:rPr>
                <w:rFonts w:ascii="Arial" w:eastAsia="宋体" w:hAnsi="Arial" w:cs="Arial"/>
                <w:b/>
                <w:bCs/>
                <w:color w:val="333333"/>
                <w:sz w:val="18"/>
                <w:szCs w:val="18"/>
              </w:rPr>
              <w:t>25,346 </w:t>
            </w:r>
          </w:p>
        </w:tc>
        <w:tc>
          <w:tcPr>
            <w:tcW w:w="0" w:type="auto"/>
            <w:shd w:val="clear" w:color="auto" w:fill="auto"/>
            <w:tcMar>
              <w:top w:w="40" w:type="dxa"/>
              <w:bottom w:w="40" w:type="dxa"/>
              <w:right w:w="20" w:type="dxa"/>
            </w:tcMar>
            <w:vAlign w:val="bottom"/>
          </w:tcPr>
          <w:p w14:paraId="20AE0396"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0397"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0398" w14:textId="77777777" w:rsidR="00B626E7" w:rsidRDefault="00175C1D">
            <w:pPr>
              <w:textAlignment w:val="bottom"/>
            </w:pPr>
            <w:r>
              <w:rPr>
                <w:rFonts w:ascii="Arial" w:eastAsia="宋体" w:hAnsi="Arial" w:cs="Arial"/>
                <w:b/>
                <w:bCs/>
                <w:color w:val="333333"/>
                <w:sz w:val="18"/>
                <w:szCs w:val="18"/>
              </w:rPr>
              <w:t>$</w:t>
            </w:r>
          </w:p>
        </w:tc>
        <w:tc>
          <w:tcPr>
            <w:tcW w:w="0" w:type="auto"/>
            <w:shd w:val="clear" w:color="auto" w:fill="auto"/>
            <w:tcMar>
              <w:top w:w="40" w:type="dxa"/>
              <w:bottom w:w="40" w:type="dxa"/>
              <w:right w:w="0" w:type="dxa"/>
            </w:tcMar>
            <w:vAlign w:val="bottom"/>
          </w:tcPr>
          <w:p w14:paraId="20AE0399" w14:textId="77777777" w:rsidR="00B626E7" w:rsidRDefault="00175C1D">
            <w:pPr>
              <w:jc w:val="right"/>
              <w:textAlignment w:val="bottom"/>
            </w:pPr>
            <w:r>
              <w:rPr>
                <w:rFonts w:ascii="Arial" w:eastAsia="宋体" w:hAnsi="Arial" w:cs="Arial"/>
                <w:b/>
                <w:bCs/>
                <w:color w:val="333333"/>
                <w:sz w:val="18"/>
                <w:szCs w:val="18"/>
              </w:rPr>
              <w:t>(813)</w:t>
            </w:r>
          </w:p>
        </w:tc>
        <w:tc>
          <w:tcPr>
            <w:tcW w:w="0" w:type="auto"/>
            <w:shd w:val="clear" w:color="auto" w:fill="auto"/>
            <w:tcMar>
              <w:top w:w="40" w:type="dxa"/>
              <w:bottom w:w="40" w:type="dxa"/>
              <w:right w:w="20" w:type="dxa"/>
            </w:tcMar>
            <w:vAlign w:val="bottom"/>
          </w:tcPr>
          <w:p w14:paraId="20AE039A"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039B"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039C" w14:textId="77777777" w:rsidR="00B626E7" w:rsidRDefault="00175C1D">
            <w:pPr>
              <w:textAlignment w:val="bottom"/>
            </w:pPr>
            <w:r>
              <w:rPr>
                <w:rFonts w:ascii="Arial" w:eastAsia="宋体" w:hAnsi="Arial" w:cs="Arial"/>
                <w:b/>
                <w:bCs/>
                <w:color w:val="333333"/>
                <w:sz w:val="18"/>
                <w:szCs w:val="18"/>
              </w:rPr>
              <w:t>$</w:t>
            </w:r>
          </w:p>
        </w:tc>
        <w:tc>
          <w:tcPr>
            <w:tcW w:w="0" w:type="auto"/>
            <w:shd w:val="clear" w:color="auto" w:fill="auto"/>
            <w:tcMar>
              <w:top w:w="40" w:type="dxa"/>
              <w:bottom w:w="40" w:type="dxa"/>
              <w:right w:w="0" w:type="dxa"/>
            </w:tcMar>
            <w:vAlign w:val="bottom"/>
          </w:tcPr>
          <w:p w14:paraId="20AE039D" w14:textId="77777777" w:rsidR="00B626E7" w:rsidRDefault="00175C1D">
            <w:pPr>
              <w:jc w:val="right"/>
              <w:textAlignment w:val="bottom"/>
            </w:pPr>
            <w:r>
              <w:rPr>
                <w:rFonts w:ascii="Arial" w:eastAsia="宋体" w:hAnsi="Arial" w:cs="Arial"/>
                <w:b/>
                <w:bCs/>
                <w:color w:val="333333"/>
                <w:sz w:val="18"/>
                <w:szCs w:val="18"/>
              </w:rPr>
              <w:t>49,128 </w:t>
            </w:r>
          </w:p>
        </w:tc>
        <w:tc>
          <w:tcPr>
            <w:tcW w:w="0" w:type="auto"/>
            <w:shd w:val="clear" w:color="auto" w:fill="auto"/>
            <w:tcMar>
              <w:top w:w="40" w:type="dxa"/>
              <w:bottom w:w="40" w:type="dxa"/>
              <w:right w:w="20" w:type="dxa"/>
            </w:tcMar>
            <w:vAlign w:val="bottom"/>
          </w:tcPr>
          <w:p w14:paraId="20AE039E"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039F"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03A0" w14:textId="77777777" w:rsidR="00B626E7" w:rsidRDefault="00175C1D">
            <w:pPr>
              <w:textAlignment w:val="bottom"/>
            </w:pPr>
            <w:r>
              <w:rPr>
                <w:rFonts w:ascii="Arial" w:eastAsia="宋体" w:hAnsi="Arial" w:cs="Arial"/>
                <w:b/>
                <w:bCs/>
                <w:color w:val="333333"/>
                <w:sz w:val="18"/>
                <w:szCs w:val="18"/>
              </w:rPr>
              <w:t>$</w:t>
            </w:r>
          </w:p>
        </w:tc>
        <w:tc>
          <w:tcPr>
            <w:tcW w:w="0" w:type="auto"/>
            <w:shd w:val="clear" w:color="auto" w:fill="auto"/>
            <w:tcMar>
              <w:top w:w="40" w:type="dxa"/>
              <w:bottom w:w="40" w:type="dxa"/>
              <w:right w:w="0" w:type="dxa"/>
            </w:tcMar>
            <w:vAlign w:val="bottom"/>
          </w:tcPr>
          <w:p w14:paraId="20AE03A1" w14:textId="77777777" w:rsidR="00B626E7" w:rsidRDefault="00175C1D">
            <w:pPr>
              <w:jc w:val="right"/>
              <w:textAlignment w:val="bottom"/>
            </w:pPr>
            <w:r>
              <w:rPr>
                <w:rFonts w:ascii="Arial" w:eastAsia="宋体" w:hAnsi="Arial" w:cs="Arial"/>
                <w:b/>
                <w:bCs/>
                <w:color w:val="333333"/>
                <w:sz w:val="18"/>
                <w:szCs w:val="18"/>
              </w:rPr>
              <w:t>73,661 </w:t>
            </w:r>
          </w:p>
        </w:tc>
        <w:tc>
          <w:tcPr>
            <w:tcW w:w="0" w:type="auto"/>
            <w:shd w:val="clear" w:color="auto" w:fill="auto"/>
            <w:tcMar>
              <w:top w:w="40" w:type="dxa"/>
              <w:bottom w:w="40" w:type="dxa"/>
              <w:right w:w="20" w:type="dxa"/>
            </w:tcMar>
            <w:vAlign w:val="bottom"/>
          </w:tcPr>
          <w:p w14:paraId="20AE03A2"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E03A3" w14:textId="77777777" w:rsidR="00B626E7" w:rsidRDefault="00B626E7">
            <w:pPr>
              <w:rPr>
                <w:rFonts w:ascii="宋体"/>
              </w:rPr>
            </w:pPr>
          </w:p>
        </w:tc>
        <w:tc>
          <w:tcPr>
            <w:tcW w:w="0" w:type="auto"/>
            <w:shd w:val="clear" w:color="auto" w:fill="auto"/>
          </w:tcPr>
          <w:p w14:paraId="20AE03A4" w14:textId="77777777" w:rsidR="00B626E7" w:rsidRDefault="00B626E7">
            <w:pPr>
              <w:rPr>
                <w:rFonts w:ascii="宋体"/>
              </w:rPr>
            </w:pPr>
          </w:p>
        </w:tc>
        <w:tc>
          <w:tcPr>
            <w:tcW w:w="0" w:type="auto"/>
            <w:shd w:val="clear" w:color="auto" w:fill="auto"/>
          </w:tcPr>
          <w:p w14:paraId="20AE03A5" w14:textId="77777777" w:rsidR="00B626E7" w:rsidRDefault="00B626E7">
            <w:pPr>
              <w:rPr>
                <w:rFonts w:ascii="宋体"/>
              </w:rPr>
            </w:pPr>
          </w:p>
        </w:tc>
        <w:tc>
          <w:tcPr>
            <w:tcW w:w="0" w:type="auto"/>
            <w:shd w:val="clear" w:color="auto" w:fill="auto"/>
          </w:tcPr>
          <w:p w14:paraId="20AE03A6" w14:textId="77777777" w:rsidR="00B626E7" w:rsidRDefault="00B626E7">
            <w:pPr>
              <w:rPr>
                <w:rFonts w:ascii="宋体"/>
              </w:rPr>
            </w:pPr>
          </w:p>
        </w:tc>
        <w:tc>
          <w:tcPr>
            <w:tcW w:w="0" w:type="auto"/>
            <w:shd w:val="clear" w:color="auto" w:fill="auto"/>
          </w:tcPr>
          <w:p w14:paraId="20AE03A7" w14:textId="77777777" w:rsidR="00B626E7" w:rsidRDefault="00B626E7">
            <w:pPr>
              <w:rPr>
                <w:rFonts w:ascii="宋体"/>
              </w:rPr>
            </w:pPr>
          </w:p>
        </w:tc>
        <w:tc>
          <w:tcPr>
            <w:tcW w:w="0" w:type="auto"/>
            <w:shd w:val="clear" w:color="auto" w:fill="auto"/>
          </w:tcPr>
          <w:p w14:paraId="20AE03A8" w14:textId="77777777" w:rsidR="00B626E7" w:rsidRDefault="00B626E7">
            <w:pPr>
              <w:rPr>
                <w:rFonts w:ascii="宋体"/>
              </w:rPr>
            </w:pPr>
          </w:p>
        </w:tc>
        <w:tc>
          <w:tcPr>
            <w:tcW w:w="0" w:type="auto"/>
            <w:shd w:val="clear" w:color="auto" w:fill="auto"/>
          </w:tcPr>
          <w:p w14:paraId="20AE03A9" w14:textId="77777777" w:rsidR="00B626E7" w:rsidRDefault="00B626E7">
            <w:pPr>
              <w:rPr>
                <w:rFonts w:ascii="宋体"/>
              </w:rPr>
            </w:pPr>
          </w:p>
        </w:tc>
        <w:tc>
          <w:tcPr>
            <w:tcW w:w="0" w:type="auto"/>
            <w:shd w:val="clear" w:color="auto" w:fill="auto"/>
          </w:tcPr>
          <w:p w14:paraId="20AE03AA" w14:textId="77777777" w:rsidR="00B626E7" w:rsidRDefault="00B626E7">
            <w:pPr>
              <w:rPr>
                <w:rFonts w:ascii="宋体"/>
              </w:rPr>
            </w:pPr>
          </w:p>
        </w:tc>
        <w:tc>
          <w:tcPr>
            <w:tcW w:w="0" w:type="auto"/>
            <w:shd w:val="clear" w:color="auto" w:fill="auto"/>
          </w:tcPr>
          <w:p w14:paraId="20AE03AB" w14:textId="77777777" w:rsidR="00B626E7" w:rsidRDefault="00B626E7">
            <w:pPr>
              <w:rPr>
                <w:rFonts w:ascii="宋体"/>
              </w:rPr>
            </w:pPr>
          </w:p>
        </w:tc>
      </w:tr>
      <w:tr w:rsidR="00B626E7" w14:paraId="20AE03C1" w14:textId="77777777">
        <w:trPr>
          <w:hidden/>
        </w:trPr>
        <w:tc>
          <w:tcPr>
            <w:tcW w:w="0" w:type="auto"/>
            <w:gridSpan w:val="3"/>
            <w:shd w:val="clear" w:color="auto" w:fill="auto"/>
          </w:tcPr>
          <w:p w14:paraId="20AE03AD" w14:textId="77777777" w:rsidR="00B626E7" w:rsidRDefault="00B626E7">
            <w:pPr>
              <w:rPr>
                <w:rFonts w:ascii="宋体"/>
                <w:vanish/>
              </w:rPr>
            </w:pPr>
          </w:p>
        </w:tc>
        <w:tc>
          <w:tcPr>
            <w:tcW w:w="0" w:type="auto"/>
            <w:gridSpan w:val="3"/>
            <w:shd w:val="clear" w:color="auto" w:fill="auto"/>
          </w:tcPr>
          <w:p w14:paraId="20AE03AE" w14:textId="77777777" w:rsidR="00B626E7" w:rsidRDefault="00B626E7">
            <w:pPr>
              <w:rPr>
                <w:rFonts w:ascii="宋体"/>
                <w:vanish/>
              </w:rPr>
            </w:pPr>
          </w:p>
        </w:tc>
        <w:tc>
          <w:tcPr>
            <w:tcW w:w="0" w:type="auto"/>
            <w:gridSpan w:val="3"/>
            <w:shd w:val="clear" w:color="auto" w:fill="auto"/>
          </w:tcPr>
          <w:p w14:paraId="20AE03AF" w14:textId="77777777" w:rsidR="00B626E7" w:rsidRDefault="00B626E7">
            <w:pPr>
              <w:rPr>
                <w:rFonts w:ascii="宋体"/>
                <w:vanish/>
              </w:rPr>
            </w:pPr>
          </w:p>
        </w:tc>
        <w:tc>
          <w:tcPr>
            <w:tcW w:w="0" w:type="auto"/>
            <w:gridSpan w:val="3"/>
            <w:shd w:val="clear" w:color="auto" w:fill="auto"/>
          </w:tcPr>
          <w:p w14:paraId="20AE03B0" w14:textId="77777777" w:rsidR="00B626E7" w:rsidRDefault="00B626E7">
            <w:pPr>
              <w:rPr>
                <w:rFonts w:ascii="宋体"/>
                <w:vanish/>
              </w:rPr>
            </w:pPr>
          </w:p>
        </w:tc>
        <w:tc>
          <w:tcPr>
            <w:tcW w:w="0" w:type="auto"/>
            <w:gridSpan w:val="3"/>
            <w:shd w:val="clear" w:color="auto" w:fill="auto"/>
          </w:tcPr>
          <w:p w14:paraId="20AE03B1" w14:textId="77777777" w:rsidR="00B626E7" w:rsidRDefault="00B626E7">
            <w:pPr>
              <w:rPr>
                <w:rFonts w:ascii="宋体"/>
                <w:vanish/>
              </w:rPr>
            </w:pPr>
          </w:p>
        </w:tc>
        <w:tc>
          <w:tcPr>
            <w:tcW w:w="0" w:type="auto"/>
            <w:gridSpan w:val="3"/>
            <w:shd w:val="clear" w:color="auto" w:fill="auto"/>
          </w:tcPr>
          <w:p w14:paraId="20AE03B2" w14:textId="77777777" w:rsidR="00B626E7" w:rsidRDefault="00B626E7">
            <w:pPr>
              <w:rPr>
                <w:rFonts w:ascii="宋体"/>
                <w:vanish/>
              </w:rPr>
            </w:pPr>
          </w:p>
        </w:tc>
        <w:tc>
          <w:tcPr>
            <w:tcW w:w="0" w:type="auto"/>
            <w:gridSpan w:val="3"/>
            <w:shd w:val="clear" w:color="auto" w:fill="auto"/>
          </w:tcPr>
          <w:p w14:paraId="20AE03B3" w14:textId="77777777" w:rsidR="00B626E7" w:rsidRDefault="00B626E7">
            <w:pPr>
              <w:rPr>
                <w:rFonts w:ascii="宋体"/>
                <w:vanish/>
              </w:rPr>
            </w:pPr>
          </w:p>
        </w:tc>
        <w:tc>
          <w:tcPr>
            <w:tcW w:w="0" w:type="auto"/>
            <w:gridSpan w:val="3"/>
            <w:shd w:val="clear" w:color="auto" w:fill="auto"/>
          </w:tcPr>
          <w:p w14:paraId="20AE03B4" w14:textId="77777777" w:rsidR="00B626E7" w:rsidRDefault="00B626E7">
            <w:pPr>
              <w:rPr>
                <w:rFonts w:ascii="宋体"/>
                <w:vanish/>
              </w:rPr>
            </w:pPr>
          </w:p>
        </w:tc>
        <w:tc>
          <w:tcPr>
            <w:tcW w:w="0" w:type="auto"/>
            <w:gridSpan w:val="3"/>
            <w:shd w:val="clear" w:color="auto" w:fill="auto"/>
          </w:tcPr>
          <w:p w14:paraId="20AE03B5" w14:textId="77777777" w:rsidR="00B626E7" w:rsidRDefault="00B626E7">
            <w:pPr>
              <w:rPr>
                <w:rFonts w:ascii="宋体"/>
                <w:vanish/>
              </w:rPr>
            </w:pPr>
          </w:p>
        </w:tc>
        <w:tc>
          <w:tcPr>
            <w:tcW w:w="0" w:type="auto"/>
            <w:gridSpan w:val="3"/>
            <w:shd w:val="clear" w:color="auto" w:fill="auto"/>
          </w:tcPr>
          <w:p w14:paraId="20AE03B6" w14:textId="77777777" w:rsidR="00B626E7" w:rsidRDefault="00B626E7">
            <w:pPr>
              <w:rPr>
                <w:rFonts w:ascii="宋体"/>
                <w:vanish/>
              </w:rPr>
            </w:pPr>
          </w:p>
        </w:tc>
        <w:tc>
          <w:tcPr>
            <w:tcW w:w="0" w:type="auto"/>
            <w:gridSpan w:val="3"/>
            <w:shd w:val="clear" w:color="auto" w:fill="auto"/>
          </w:tcPr>
          <w:p w14:paraId="20AE03B7" w14:textId="77777777" w:rsidR="00B626E7" w:rsidRDefault="00B626E7">
            <w:pPr>
              <w:rPr>
                <w:rFonts w:ascii="宋体"/>
                <w:vanish/>
              </w:rPr>
            </w:pPr>
          </w:p>
        </w:tc>
        <w:tc>
          <w:tcPr>
            <w:tcW w:w="0" w:type="auto"/>
            <w:shd w:val="clear" w:color="auto" w:fill="auto"/>
          </w:tcPr>
          <w:p w14:paraId="20AE03B8" w14:textId="77777777" w:rsidR="00B626E7" w:rsidRDefault="00B626E7">
            <w:pPr>
              <w:rPr>
                <w:rFonts w:ascii="宋体"/>
              </w:rPr>
            </w:pPr>
          </w:p>
        </w:tc>
        <w:tc>
          <w:tcPr>
            <w:tcW w:w="0" w:type="auto"/>
            <w:shd w:val="clear" w:color="auto" w:fill="auto"/>
          </w:tcPr>
          <w:p w14:paraId="20AE03B9" w14:textId="77777777" w:rsidR="00B626E7" w:rsidRDefault="00B626E7">
            <w:pPr>
              <w:rPr>
                <w:rFonts w:ascii="宋体"/>
              </w:rPr>
            </w:pPr>
          </w:p>
        </w:tc>
        <w:tc>
          <w:tcPr>
            <w:tcW w:w="0" w:type="auto"/>
            <w:shd w:val="clear" w:color="auto" w:fill="auto"/>
          </w:tcPr>
          <w:p w14:paraId="20AE03BA" w14:textId="77777777" w:rsidR="00B626E7" w:rsidRDefault="00B626E7">
            <w:pPr>
              <w:rPr>
                <w:rFonts w:ascii="宋体"/>
              </w:rPr>
            </w:pPr>
          </w:p>
        </w:tc>
        <w:tc>
          <w:tcPr>
            <w:tcW w:w="0" w:type="auto"/>
            <w:shd w:val="clear" w:color="auto" w:fill="auto"/>
          </w:tcPr>
          <w:p w14:paraId="20AE03BB" w14:textId="77777777" w:rsidR="00B626E7" w:rsidRDefault="00B626E7">
            <w:pPr>
              <w:rPr>
                <w:rFonts w:ascii="宋体"/>
              </w:rPr>
            </w:pPr>
          </w:p>
        </w:tc>
        <w:tc>
          <w:tcPr>
            <w:tcW w:w="0" w:type="auto"/>
            <w:shd w:val="clear" w:color="auto" w:fill="auto"/>
          </w:tcPr>
          <w:p w14:paraId="20AE03BC" w14:textId="77777777" w:rsidR="00B626E7" w:rsidRDefault="00B626E7">
            <w:pPr>
              <w:rPr>
                <w:rFonts w:ascii="宋体"/>
              </w:rPr>
            </w:pPr>
          </w:p>
        </w:tc>
        <w:tc>
          <w:tcPr>
            <w:tcW w:w="0" w:type="auto"/>
            <w:shd w:val="clear" w:color="auto" w:fill="auto"/>
          </w:tcPr>
          <w:p w14:paraId="20AE03BD" w14:textId="77777777" w:rsidR="00B626E7" w:rsidRDefault="00B626E7">
            <w:pPr>
              <w:rPr>
                <w:rFonts w:ascii="宋体"/>
              </w:rPr>
            </w:pPr>
          </w:p>
        </w:tc>
        <w:tc>
          <w:tcPr>
            <w:tcW w:w="0" w:type="auto"/>
            <w:shd w:val="clear" w:color="auto" w:fill="auto"/>
          </w:tcPr>
          <w:p w14:paraId="20AE03BE" w14:textId="77777777" w:rsidR="00B626E7" w:rsidRDefault="00B626E7">
            <w:pPr>
              <w:rPr>
                <w:rFonts w:ascii="宋体"/>
              </w:rPr>
            </w:pPr>
          </w:p>
        </w:tc>
        <w:tc>
          <w:tcPr>
            <w:tcW w:w="0" w:type="auto"/>
            <w:shd w:val="clear" w:color="auto" w:fill="auto"/>
          </w:tcPr>
          <w:p w14:paraId="20AE03BF" w14:textId="77777777" w:rsidR="00B626E7" w:rsidRDefault="00B626E7">
            <w:pPr>
              <w:rPr>
                <w:rFonts w:ascii="宋体"/>
              </w:rPr>
            </w:pPr>
          </w:p>
        </w:tc>
        <w:tc>
          <w:tcPr>
            <w:tcW w:w="0" w:type="auto"/>
            <w:shd w:val="clear" w:color="auto" w:fill="auto"/>
          </w:tcPr>
          <w:p w14:paraId="20AE03C0" w14:textId="77777777" w:rsidR="00B626E7" w:rsidRDefault="00B626E7">
            <w:pPr>
              <w:rPr>
                <w:rFonts w:ascii="宋体"/>
              </w:rPr>
            </w:pPr>
          </w:p>
        </w:tc>
      </w:tr>
      <w:tr w:rsidR="00B626E7" w14:paraId="20AE03D6" w14:textId="77777777">
        <w:trPr>
          <w:hidden/>
        </w:trPr>
        <w:tc>
          <w:tcPr>
            <w:tcW w:w="0" w:type="auto"/>
            <w:gridSpan w:val="3"/>
            <w:shd w:val="clear" w:color="auto" w:fill="auto"/>
          </w:tcPr>
          <w:p w14:paraId="20AE03C2" w14:textId="77777777" w:rsidR="00B626E7" w:rsidRDefault="00B626E7">
            <w:pPr>
              <w:rPr>
                <w:rFonts w:ascii="宋体"/>
                <w:vanish/>
              </w:rPr>
            </w:pPr>
          </w:p>
        </w:tc>
        <w:tc>
          <w:tcPr>
            <w:tcW w:w="0" w:type="auto"/>
            <w:gridSpan w:val="3"/>
            <w:shd w:val="clear" w:color="auto" w:fill="auto"/>
          </w:tcPr>
          <w:p w14:paraId="20AE03C3" w14:textId="77777777" w:rsidR="00B626E7" w:rsidRDefault="00B626E7">
            <w:pPr>
              <w:rPr>
                <w:rFonts w:ascii="宋体"/>
                <w:vanish/>
              </w:rPr>
            </w:pPr>
          </w:p>
        </w:tc>
        <w:tc>
          <w:tcPr>
            <w:tcW w:w="0" w:type="auto"/>
            <w:gridSpan w:val="3"/>
            <w:shd w:val="clear" w:color="auto" w:fill="auto"/>
          </w:tcPr>
          <w:p w14:paraId="20AE03C4" w14:textId="77777777" w:rsidR="00B626E7" w:rsidRDefault="00B626E7">
            <w:pPr>
              <w:rPr>
                <w:rFonts w:ascii="宋体"/>
                <w:vanish/>
              </w:rPr>
            </w:pPr>
          </w:p>
        </w:tc>
        <w:tc>
          <w:tcPr>
            <w:tcW w:w="0" w:type="auto"/>
            <w:gridSpan w:val="3"/>
            <w:shd w:val="clear" w:color="auto" w:fill="auto"/>
          </w:tcPr>
          <w:p w14:paraId="20AE03C5" w14:textId="77777777" w:rsidR="00B626E7" w:rsidRDefault="00B626E7">
            <w:pPr>
              <w:rPr>
                <w:rFonts w:ascii="宋体"/>
                <w:vanish/>
              </w:rPr>
            </w:pPr>
          </w:p>
        </w:tc>
        <w:tc>
          <w:tcPr>
            <w:tcW w:w="0" w:type="auto"/>
            <w:gridSpan w:val="3"/>
            <w:shd w:val="clear" w:color="auto" w:fill="auto"/>
          </w:tcPr>
          <w:p w14:paraId="20AE03C6" w14:textId="77777777" w:rsidR="00B626E7" w:rsidRDefault="00B626E7">
            <w:pPr>
              <w:rPr>
                <w:rFonts w:ascii="宋体"/>
                <w:vanish/>
              </w:rPr>
            </w:pPr>
          </w:p>
        </w:tc>
        <w:tc>
          <w:tcPr>
            <w:tcW w:w="0" w:type="auto"/>
            <w:gridSpan w:val="3"/>
            <w:shd w:val="clear" w:color="auto" w:fill="auto"/>
          </w:tcPr>
          <w:p w14:paraId="20AE03C7" w14:textId="77777777" w:rsidR="00B626E7" w:rsidRDefault="00B626E7">
            <w:pPr>
              <w:rPr>
                <w:rFonts w:ascii="宋体"/>
                <w:vanish/>
              </w:rPr>
            </w:pPr>
          </w:p>
        </w:tc>
        <w:tc>
          <w:tcPr>
            <w:tcW w:w="0" w:type="auto"/>
            <w:gridSpan w:val="3"/>
            <w:shd w:val="clear" w:color="auto" w:fill="auto"/>
          </w:tcPr>
          <w:p w14:paraId="20AE03C8" w14:textId="77777777" w:rsidR="00B626E7" w:rsidRDefault="00B626E7">
            <w:pPr>
              <w:rPr>
                <w:rFonts w:ascii="宋体"/>
                <w:vanish/>
              </w:rPr>
            </w:pPr>
          </w:p>
        </w:tc>
        <w:tc>
          <w:tcPr>
            <w:tcW w:w="0" w:type="auto"/>
            <w:gridSpan w:val="3"/>
            <w:shd w:val="clear" w:color="auto" w:fill="auto"/>
          </w:tcPr>
          <w:p w14:paraId="20AE03C9" w14:textId="77777777" w:rsidR="00B626E7" w:rsidRDefault="00B626E7">
            <w:pPr>
              <w:rPr>
                <w:rFonts w:ascii="宋体"/>
                <w:vanish/>
              </w:rPr>
            </w:pPr>
          </w:p>
        </w:tc>
        <w:tc>
          <w:tcPr>
            <w:tcW w:w="0" w:type="auto"/>
            <w:gridSpan w:val="3"/>
            <w:shd w:val="clear" w:color="auto" w:fill="auto"/>
          </w:tcPr>
          <w:p w14:paraId="20AE03CA" w14:textId="77777777" w:rsidR="00B626E7" w:rsidRDefault="00B626E7">
            <w:pPr>
              <w:rPr>
                <w:rFonts w:ascii="宋体"/>
                <w:vanish/>
              </w:rPr>
            </w:pPr>
          </w:p>
        </w:tc>
        <w:tc>
          <w:tcPr>
            <w:tcW w:w="0" w:type="auto"/>
            <w:gridSpan w:val="3"/>
            <w:shd w:val="clear" w:color="auto" w:fill="auto"/>
          </w:tcPr>
          <w:p w14:paraId="20AE03CB" w14:textId="77777777" w:rsidR="00B626E7" w:rsidRDefault="00B626E7">
            <w:pPr>
              <w:rPr>
                <w:rFonts w:ascii="宋体"/>
                <w:vanish/>
              </w:rPr>
            </w:pPr>
          </w:p>
        </w:tc>
        <w:tc>
          <w:tcPr>
            <w:tcW w:w="0" w:type="auto"/>
            <w:gridSpan w:val="3"/>
            <w:shd w:val="clear" w:color="auto" w:fill="auto"/>
          </w:tcPr>
          <w:p w14:paraId="20AE03CC" w14:textId="77777777" w:rsidR="00B626E7" w:rsidRDefault="00B626E7">
            <w:pPr>
              <w:rPr>
                <w:rFonts w:ascii="宋体"/>
                <w:vanish/>
              </w:rPr>
            </w:pPr>
          </w:p>
        </w:tc>
        <w:tc>
          <w:tcPr>
            <w:tcW w:w="0" w:type="auto"/>
            <w:shd w:val="clear" w:color="auto" w:fill="auto"/>
          </w:tcPr>
          <w:p w14:paraId="20AE03CD" w14:textId="77777777" w:rsidR="00B626E7" w:rsidRDefault="00B626E7">
            <w:pPr>
              <w:rPr>
                <w:rFonts w:ascii="宋体"/>
              </w:rPr>
            </w:pPr>
          </w:p>
        </w:tc>
        <w:tc>
          <w:tcPr>
            <w:tcW w:w="0" w:type="auto"/>
            <w:shd w:val="clear" w:color="auto" w:fill="auto"/>
          </w:tcPr>
          <w:p w14:paraId="20AE03CE" w14:textId="77777777" w:rsidR="00B626E7" w:rsidRDefault="00B626E7">
            <w:pPr>
              <w:rPr>
                <w:rFonts w:ascii="宋体"/>
              </w:rPr>
            </w:pPr>
          </w:p>
        </w:tc>
        <w:tc>
          <w:tcPr>
            <w:tcW w:w="0" w:type="auto"/>
            <w:shd w:val="clear" w:color="auto" w:fill="auto"/>
          </w:tcPr>
          <w:p w14:paraId="20AE03CF" w14:textId="77777777" w:rsidR="00B626E7" w:rsidRDefault="00B626E7">
            <w:pPr>
              <w:rPr>
                <w:rFonts w:ascii="宋体"/>
              </w:rPr>
            </w:pPr>
          </w:p>
        </w:tc>
        <w:tc>
          <w:tcPr>
            <w:tcW w:w="0" w:type="auto"/>
            <w:shd w:val="clear" w:color="auto" w:fill="auto"/>
          </w:tcPr>
          <w:p w14:paraId="20AE03D0" w14:textId="77777777" w:rsidR="00B626E7" w:rsidRDefault="00B626E7">
            <w:pPr>
              <w:rPr>
                <w:rFonts w:ascii="宋体"/>
              </w:rPr>
            </w:pPr>
          </w:p>
        </w:tc>
        <w:tc>
          <w:tcPr>
            <w:tcW w:w="0" w:type="auto"/>
            <w:shd w:val="clear" w:color="auto" w:fill="auto"/>
          </w:tcPr>
          <w:p w14:paraId="20AE03D1" w14:textId="77777777" w:rsidR="00B626E7" w:rsidRDefault="00B626E7">
            <w:pPr>
              <w:rPr>
                <w:rFonts w:ascii="宋体"/>
              </w:rPr>
            </w:pPr>
          </w:p>
        </w:tc>
        <w:tc>
          <w:tcPr>
            <w:tcW w:w="0" w:type="auto"/>
            <w:shd w:val="clear" w:color="auto" w:fill="auto"/>
          </w:tcPr>
          <w:p w14:paraId="20AE03D2" w14:textId="77777777" w:rsidR="00B626E7" w:rsidRDefault="00B626E7">
            <w:pPr>
              <w:rPr>
                <w:rFonts w:ascii="宋体"/>
              </w:rPr>
            </w:pPr>
          </w:p>
        </w:tc>
        <w:tc>
          <w:tcPr>
            <w:tcW w:w="0" w:type="auto"/>
            <w:shd w:val="clear" w:color="auto" w:fill="auto"/>
          </w:tcPr>
          <w:p w14:paraId="20AE03D3" w14:textId="77777777" w:rsidR="00B626E7" w:rsidRDefault="00B626E7">
            <w:pPr>
              <w:rPr>
                <w:rFonts w:ascii="宋体"/>
              </w:rPr>
            </w:pPr>
          </w:p>
        </w:tc>
        <w:tc>
          <w:tcPr>
            <w:tcW w:w="0" w:type="auto"/>
            <w:shd w:val="clear" w:color="auto" w:fill="auto"/>
          </w:tcPr>
          <w:p w14:paraId="20AE03D4" w14:textId="77777777" w:rsidR="00B626E7" w:rsidRDefault="00B626E7">
            <w:pPr>
              <w:rPr>
                <w:rFonts w:ascii="宋体"/>
              </w:rPr>
            </w:pPr>
          </w:p>
        </w:tc>
        <w:tc>
          <w:tcPr>
            <w:tcW w:w="0" w:type="auto"/>
            <w:shd w:val="clear" w:color="auto" w:fill="auto"/>
          </w:tcPr>
          <w:p w14:paraId="20AE03D5" w14:textId="77777777" w:rsidR="00B626E7" w:rsidRDefault="00B626E7">
            <w:pPr>
              <w:rPr>
                <w:rFonts w:ascii="宋体"/>
              </w:rPr>
            </w:pPr>
          </w:p>
        </w:tc>
      </w:tr>
      <w:tr w:rsidR="00B626E7" w14:paraId="20AE03F0" w14:textId="77777777">
        <w:tc>
          <w:tcPr>
            <w:tcW w:w="0" w:type="auto"/>
            <w:gridSpan w:val="3"/>
            <w:shd w:val="clear" w:color="auto" w:fill="auto"/>
            <w:tcMar>
              <w:top w:w="40" w:type="dxa"/>
              <w:left w:w="20" w:type="dxa"/>
              <w:bottom w:w="40" w:type="dxa"/>
              <w:right w:w="20" w:type="dxa"/>
            </w:tcMar>
            <w:vAlign w:val="bottom"/>
          </w:tcPr>
          <w:p w14:paraId="20AE03D7" w14:textId="77777777" w:rsidR="00B626E7" w:rsidRDefault="00175C1D">
            <w:pPr>
              <w:textAlignment w:val="bottom"/>
            </w:pPr>
            <w:r>
              <w:rPr>
                <w:rFonts w:ascii="Arial" w:eastAsia="宋体" w:hAnsi="Arial" w:cs="Arial"/>
                <w:color w:val="333333"/>
                <w:sz w:val="18"/>
                <w:szCs w:val="18"/>
              </w:rPr>
              <w:t>Net income</w:t>
            </w:r>
          </w:p>
        </w:tc>
        <w:tc>
          <w:tcPr>
            <w:tcW w:w="0" w:type="auto"/>
            <w:gridSpan w:val="3"/>
            <w:shd w:val="clear" w:color="auto" w:fill="auto"/>
            <w:tcMar>
              <w:left w:w="20" w:type="dxa"/>
              <w:right w:w="20" w:type="dxa"/>
            </w:tcMar>
            <w:vAlign w:val="bottom"/>
          </w:tcPr>
          <w:p w14:paraId="20AE03D8"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3D9"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03DA"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3DB"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3DC"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03DD"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3DE"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3DF"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03E0"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3E1"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3E2" w14:textId="77777777" w:rsidR="00B626E7" w:rsidRDefault="00175C1D">
            <w:pPr>
              <w:jc w:val="right"/>
              <w:textAlignment w:val="bottom"/>
            </w:pPr>
            <w:r>
              <w:rPr>
                <w:rFonts w:ascii="Arial" w:eastAsia="宋体" w:hAnsi="Arial" w:cs="Arial"/>
                <w:color w:val="333333"/>
                <w:sz w:val="18"/>
                <w:szCs w:val="18"/>
              </w:rPr>
              <w:t>4,179 </w:t>
            </w:r>
          </w:p>
        </w:tc>
        <w:tc>
          <w:tcPr>
            <w:tcW w:w="0" w:type="auto"/>
            <w:shd w:val="clear" w:color="auto" w:fill="auto"/>
            <w:tcMar>
              <w:top w:w="40" w:type="dxa"/>
              <w:bottom w:w="40" w:type="dxa"/>
              <w:right w:w="20" w:type="dxa"/>
            </w:tcMar>
            <w:vAlign w:val="bottom"/>
          </w:tcPr>
          <w:p w14:paraId="20AE03E3"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3E4"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3E5" w14:textId="77777777" w:rsidR="00B626E7" w:rsidRDefault="00175C1D">
            <w:pPr>
              <w:jc w:val="right"/>
              <w:textAlignment w:val="bottom"/>
            </w:pPr>
            <w:r>
              <w:rPr>
                <w:rFonts w:ascii="Arial" w:eastAsia="宋体" w:hAnsi="Arial" w:cs="Arial"/>
                <w:color w:val="333333"/>
                <w:sz w:val="18"/>
                <w:szCs w:val="18"/>
              </w:rPr>
              <w:t>4,179 </w:t>
            </w:r>
          </w:p>
        </w:tc>
        <w:tc>
          <w:tcPr>
            <w:tcW w:w="0" w:type="auto"/>
            <w:shd w:val="clear" w:color="auto" w:fill="auto"/>
            <w:tcMar>
              <w:top w:w="40" w:type="dxa"/>
              <w:bottom w:w="40" w:type="dxa"/>
              <w:right w:w="20" w:type="dxa"/>
            </w:tcMar>
            <w:vAlign w:val="bottom"/>
          </w:tcPr>
          <w:p w14:paraId="20AE03E6"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03E7" w14:textId="77777777" w:rsidR="00B626E7" w:rsidRDefault="00B626E7">
            <w:pPr>
              <w:rPr>
                <w:rFonts w:ascii="宋体"/>
              </w:rPr>
            </w:pPr>
          </w:p>
        </w:tc>
        <w:tc>
          <w:tcPr>
            <w:tcW w:w="0" w:type="auto"/>
            <w:shd w:val="clear" w:color="auto" w:fill="auto"/>
          </w:tcPr>
          <w:p w14:paraId="20AE03E8" w14:textId="77777777" w:rsidR="00B626E7" w:rsidRDefault="00B626E7">
            <w:pPr>
              <w:rPr>
                <w:rFonts w:ascii="宋体"/>
              </w:rPr>
            </w:pPr>
          </w:p>
        </w:tc>
        <w:tc>
          <w:tcPr>
            <w:tcW w:w="0" w:type="auto"/>
            <w:shd w:val="clear" w:color="auto" w:fill="auto"/>
          </w:tcPr>
          <w:p w14:paraId="20AE03E9" w14:textId="77777777" w:rsidR="00B626E7" w:rsidRDefault="00B626E7">
            <w:pPr>
              <w:rPr>
                <w:rFonts w:ascii="宋体"/>
              </w:rPr>
            </w:pPr>
          </w:p>
        </w:tc>
        <w:tc>
          <w:tcPr>
            <w:tcW w:w="0" w:type="auto"/>
            <w:shd w:val="clear" w:color="auto" w:fill="auto"/>
          </w:tcPr>
          <w:p w14:paraId="20AE03EA" w14:textId="77777777" w:rsidR="00B626E7" w:rsidRDefault="00B626E7">
            <w:pPr>
              <w:rPr>
                <w:rFonts w:ascii="宋体"/>
              </w:rPr>
            </w:pPr>
          </w:p>
        </w:tc>
        <w:tc>
          <w:tcPr>
            <w:tcW w:w="0" w:type="auto"/>
            <w:shd w:val="clear" w:color="auto" w:fill="auto"/>
          </w:tcPr>
          <w:p w14:paraId="20AE03EB" w14:textId="77777777" w:rsidR="00B626E7" w:rsidRDefault="00B626E7">
            <w:pPr>
              <w:rPr>
                <w:rFonts w:ascii="宋体"/>
              </w:rPr>
            </w:pPr>
          </w:p>
        </w:tc>
        <w:tc>
          <w:tcPr>
            <w:tcW w:w="0" w:type="auto"/>
            <w:shd w:val="clear" w:color="auto" w:fill="auto"/>
          </w:tcPr>
          <w:p w14:paraId="20AE03EC" w14:textId="77777777" w:rsidR="00B626E7" w:rsidRDefault="00B626E7">
            <w:pPr>
              <w:rPr>
                <w:rFonts w:ascii="宋体"/>
              </w:rPr>
            </w:pPr>
          </w:p>
        </w:tc>
        <w:tc>
          <w:tcPr>
            <w:tcW w:w="0" w:type="auto"/>
            <w:shd w:val="clear" w:color="auto" w:fill="auto"/>
          </w:tcPr>
          <w:p w14:paraId="20AE03ED" w14:textId="77777777" w:rsidR="00B626E7" w:rsidRDefault="00B626E7">
            <w:pPr>
              <w:rPr>
                <w:rFonts w:ascii="宋体"/>
              </w:rPr>
            </w:pPr>
          </w:p>
        </w:tc>
        <w:tc>
          <w:tcPr>
            <w:tcW w:w="0" w:type="auto"/>
            <w:shd w:val="clear" w:color="auto" w:fill="auto"/>
          </w:tcPr>
          <w:p w14:paraId="20AE03EE" w14:textId="77777777" w:rsidR="00B626E7" w:rsidRDefault="00B626E7">
            <w:pPr>
              <w:rPr>
                <w:rFonts w:ascii="宋体"/>
              </w:rPr>
            </w:pPr>
          </w:p>
        </w:tc>
        <w:tc>
          <w:tcPr>
            <w:tcW w:w="0" w:type="auto"/>
            <w:shd w:val="clear" w:color="auto" w:fill="auto"/>
          </w:tcPr>
          <w:p w14:paraId="20AE03EF" w14:textId="77777777" w:rsidR="00B626E7" w:rsidRDefault="00B626E7">
            <w:pPr>
              <w:rPr>
                <w:rFonts w:ascii="宋体"/>
              </w:rPr>
            </w:pPr>
          </w:p>
        </w:tc>
      </w:tr>
      <w:tr w:rsidR="00B626E7" w14:paraId="20AE040A" w14:textId="77777777">
        <w:tc>
          <w:tcPr>
            <w:tcW w:w="0" w:type="auto"/>
            <w:gridSpan w:val="3"/>
            <w:shd w:val="clear" w:color="auto" w:fill="auto"/>
            <w:tcMar>
              <w:top w:w="40" w:type="dxa"/>
              <w:left w:w="20" w:type="dxa"/>
              <w:bottom w:w="40" w:type="dxa"/>
              <w:right w:w="20" w:type="dxa"/>
            </w:tcMar>
            <w:vAlign w:val="bottom"/>
          </w:tcPr>
          <w:p w14:paraId="20AE03F1" w14:textId="77777777" w:rsidR="00B626E7" w:rsidRDefault="00175C1D">
            <w:pPr>
              <w:textAlignment w:val="bottom"/>
            </w:pPr>
            <w:r>
              <w:rPr>
                <w:rFonts w:ascii="Arial" w:eastAsia="宋体" w:hAnsi="Arial" w:cs="Arial"/>
                <w:color w:val="333333"/>
                <w:sz w:val="18"/>
                <w:szCs w:val="18"/>
              </w:rPr>
              <w:t>Other comprehensive income (loss)</w:t>
            </w:r>
          </w:p>
        </w:tc>
        <w:tc>
          <w:tcPr>
            <w:tcW w:w="0" w:type="auto"/>
            <w:gridSpan w:val="3"/>
            <w:shd w:val="clear" w:color="auto" w:fill="auto"/>
            <w:tcMar>
              <w:left w:w="20" w:type="dxa"/>
              <w:right w:w="20" w:type="dxa"/>
            </w:tcMar>
            <w:vAlign w:val="bottom"/>
          </w:tcPr>
          <w:p w14:paraId="20AE03F2"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3F3"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03F4"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3F5"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3F6"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03F7"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3F8"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3F9" w14:textId="77777777" w:rsidR="00B626E7" w:rsidRDefault="00175C1D">
            <w:pPr>
              <w:jc w:val="right"/>
              <w:textAlignment w:val="bottom"/>
            </w:pPr>
            <w:r>
              <w:rPr>
                <w:rFonts w:ascii="Arial" w:eastAsia="宋体" w:hAnsi="Arial" w:cs="Arial"/>
                <w:color w:val="333333"/>
                <w:sz w:val="18"/>
                <w:szCs w:val="18"/>
              </w:rPr>
              <w:t>191 </w:t>
            </w:r>
          </w:p>
        </w:tc>
        <w:tc>
          <w:tcPr>
            <w:tcW w:w="0" w:type="auto"/>
            <w:shd w:val="clear" w:color="auto" w:fill="auto"/>
            <w:tcMar>
              <w:top w:w="40" w:type="dxa"/>
              <w:bottom w:w="40" w:type="dxa"/>
              <w:right w:w="20" w:type="dxa"/>
            </w:tcMar>
            <w:vAlign w:val="bottom"/>
          </w:tcPr>
          <w:p w14:paraId="20AE03FA"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3FB"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3FC"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03FD"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3FE"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3FF" w14:textId="77777777" w:rsidR="00B626E7" w:rsidRDefault="00175C1D">
            <w:pPr>
              <w:jc w:val="right"/>
              <w:textAlignment w:val="bottom"/>
            </w:pPr>
            <w:r>
              <w:rPr>
                <w:rFonts w:ascii="Arial" w:eastAsia="宋体" w:hAnsi="Arial" w:cs="Arial"/>
                <w:color w:val="333333"/>
                <w:sz w:val="18"/>
                <w:szCs w:val="18"/>
              </w:rPr>
              <w:t>191 </w:t>
            </w:r>
          </w:p>
        </w:tc>
        <w:tc>
          <w:tcPr>
            <w:tcW w:w="0" w:type="auto"/>
            <w:shd w:val="clear" w:color="auto" w:fill="auto"/>
            <w:tcMar>
              <w:top w:w="40" w:type="dxa"/>
              <w:bottom w:w="40" w:type="dxa"/>
              <w:right w:w="20" w:type="dxa"/>
            </w:tcMar>
            <w:vAlign w:val="bottom"/>
          </w:tcPr>
          <w:p w14:paraId="20AE0400"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0401" w14:textId="77777777" w:rsidR="00B626E7" w:rsidRDefault="00B626E7">
            <w:pPr>
              <w:rPr>
                <w:rFonts w:ascii="宋体"/>
              </w:rPr>
            </w:pPr>
          </w:p>
        </w:tc>
        <w:tc>
          <w:tcPr>
            <w:tcW w:w="0" w:type="auto"/>
            <w:shd w:val="clear" w:color="auto" w:fill="auto"/>
          </w:tcPr>
          <w:p w14:paraId="20AE0402" w14:textId="77777777" w:rsidR="00B626E7" w:rsidRDefault="00B626E7">
            <w:pPr>
              <w:rPr>
                <w:rFonts w:ascii="宋体"/>
              </w:rPr>
            </w:pPr>
          </w:p>
        </w:tc>
        <w:tc>
          <w:tcPr>
            <w:tcW w:w="0" w:type="auto"/>
            <w:shd w:val="clear" w:color="auto" w:fill="auto"/>
          </w:tcPr>
          <w:p w14:paraId="20AE0403" w14:textId="77777777" w:rsidR="00B626E7" w:rsidRDefault="00B626E7">
            <w:pPr>
              <w:rPr>
                <w:rFonts w:ascii="宋体"/>
              </w:rPr>
            </w:pPr>
          </w:p>
        </w:tc>
        <w:tc>
          <w:tcPr>
            <w:tcW w:w="0" w:type="auto"/>
            <w:shd w:val="clear" w:color="auto" w:fill="auto"/>
          </w:tcPr>
          <w:p w14:paraId="20AE0404" w14:textId="77777777" w:rsidR="00B626E7" w:rsidRDefault="00B626E7">
            <w:pPr>
              <w:rPr>
                <w:rFonts w:ascii="宋体"/>
              </w:rPr>
            </w:pPr>
          </w:p>
        </w:tc>
        <w:tc>
          <w:tcPr>
            <w:tcW w:w="0" w:type="auto"/>
            <w:shd w:val="clear" w:color="auto" w:fill="auto"/>
          </w:tcPr>
          <w:p w14:paraId="20AE0405" w14:textId="77777777" w:rsidR="00B626E7" w:rsidRDefault="00B626E7">
            <w:pPr>
              <w:rPr>
                <w:rFonts w:ascii="宋体"/>
              </w:rPr>
            </w:pPr>
          </w:p>
        </w:tc>
        <w:tc>
          <w:tcPr>
            <w:tcW w:w="0" w:type="auto"/>
            <w:shd w:val="clear" w:color="auto" w:fill="auto"/>
          </w:tcPr>
          <w:p w14:paraId="20AE0406" w14:textId="77777777" w:rsidR="00B626E7" w:rsidRDefault="00B626E7">
            <w:pPr>
              <w:rPr>
                <w:rFonts w:ascii="宋体"/>
              </w:rPr>
            </w:pPr>
          </w:p>
        </w:tc>
        <w:tc>
          <w:tcPr>
            <w:tcW w:w="0" w:type="auto"/>
            <w:shd w:val="clear" w:color="auto" w:fill="auto"/>
          </w:tcPr>
          <w:p w14:paraId="20AE0407" w14:textId="77777777" w:rsidR="00B626E7" w:rsidRDefault="00B626E7">
            <w:pPr>
              <w:rPr>
                <w:rFonts w:ascii="宋体"/>
              </w:rPr>
            </w:pPr>
          </w:p>
        </w:tc>
        <w:tc>
          <w:tcPr>
            <w:tcW w:w="0" w:type="auto"/>
            <w:shd w:val="clear" w:color="auto" w:fill="auto"/>
          </w:tcPr>
          <w:p w14:paraId="20AE0408" w14:textId="77777777" w:rsidR="00B626E7" w:rsidRDefault="00B626E7">
            <w:pPr>
              <w:rPr>
                <w:rFonts w:ascii="宋体"/>
              </w:rPr>
            </w:pPr>
          </w:p>
        </w:tc>
        <w:tc>
          <w:tcPr>
            <w:tcW w:w="0" w:type="auto"/>
            <w:shd w:val="clear" w:color="auto" w:fill="auto"/>
          </w:tcPr>
          <w:p w14:paraId="20AE0409" w14:textId="77777777" w:rsidR="00B626E7" w:rsidRDefault="00B626E7">
            <w:pPr>
              <w:rPr>
                <w:rFonts w:ascii="宋体"/>
              </w:rPr>
            </w:pPr>
          </w:p>
        </w:tc>
      </w:tr>
      <w:tr w:rsidR="00B626E7" w14:paraId="20AE0424" w14:textId="77777777">
        <w:tc>
          <w:tcPr>
            <w:tcW w:w="0" w:type="auto"/>
            <w:gridSpan w:val="3"/>
            <w:shd w:val="clear" w:color="auto" w:fill="auto"/>
            <w:tcMar>
              <w:top w:w="40" w:type="dxa"/>
              <w:left w:w="20" w:type="dxa"/>
              <w:bottom w:w="40" w:type="dxa"/>
              <w:right w:w="20" w:type="dxa"/>
            </w:tcMar>
            <w:vAlign w:val="bottom"/>
          </w:tcPr>
          <w:p w14:paraId="20AE040B" w14:textId="77777777" w:rsidR="00B626E7" w:rsidRDefault="00175C1D">
            <w:pPr>
              <w:textAlignment w:val="bottom"/>
            </w:pPr>
            <w:r>
              <w:rPr>
                <w:rFonts w:ascii="Arial" w:eastAsia="宋体" w:hAnsi="Arial" w:cs="Arial"/>
                <w:color w:val="333333"/>
                <w:sz w:val="18"/>
                <w:szCs w:val="18"/>
              </w:rPr>
              <w:t>Employee equity incentive plans and other</w:t>
            </w:r>
          </w:p>
        </w:tc>
        <w:tc>
          <w:tcPr>
            <w:tcW w:w="0" w:type="auto"/>
            <w:gridSpan w:val="3"/>
            <w:shd w:val="clear" w:color="auto" w:fill="auto"/>
            <w:tcMar>
              <w:left w:w="20" w:type="dxa"/>
              <w:right w:w="20" w:type="dxa"/>
            </w:tcMar>
            <w:vAlign w:val="bottom"/>
          </w:tcPr>
          <w:p w14:paraId="20AE040C"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40D" w14:textId="77777777" w:rsidR="00B626E7" w:rsidRDefault="00175C1D">
            <w:pPr>
              <w:jc w:val="right"/>
              <w:textAlignment w:val="bottom"/>
            </w:pPr>
            <w:r>
              <w:rPr>
                <w:rFonts w:ascii="Arial" w:eastAsia="宋体" w:hAnsi="Arial" w:cs="Arial"/>
                <w:color w:val="333333"/>
                <w:sz w:val="18"/>
                <w:szCs w:val="18"/>
              </w:rPr>
              <w:t>27 </w:t>
            </w:r>
          </w:p>
        </w:tc>
        <w:tc>
          <w:tcPr>
            <w:tcW w:w="0" w:type="auto"/>
            <w:shd w:val="clear" w:color="auto" w:fill="auto"/>
            <w:tcMar>
              <w:top w:w="40" w:type="dxa"/>
              <w:bottom w:w="40" w:type="dxa"/>
              <w:right w:w="20" w:type="dxa"/>
            </w:tcMar>
            <w:vAlign w:val="bottom"/>
          </w:tcPr>
          <w:p w14:paraId="20AE040E"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40F"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410" w14:textId="77777777" w:rsidR="00B626E7" w:rsidRDefault="00175C1D">
            <w:pPr>
              <w:jc w:val="right"/>
              <w:textAlignment w:val="bottom"/>
            </w:pPr>
            <w:r>
              <w:rPr>
                <w:rFonts w:ascii="Arial" w:eastAsia="宋体" w:hAnsi="Arial" w:cs="Arial"/>
                <w:color w:val="333333"/>
                <w:sz w:val="18"/>
                <w:szCs w:val="18"/>
              </w:rPr>
              <w:t>31 </w:t>
            </w:r>
          </w:p>
        </w:tc>
        <w:tc>
          <w:tcPr>
            <w:tcW w:w="0" w:type="auto"/>
            <w:shd w:val="clear" w:color="auto" w:fill="auto"/>
            <w:tcMar>
              <w:top w:w="40" w:type="dxa"/>
              <w:bottom w:w="40" w:type="dxa"/>
              <w:right w:w="20" w:type="dxa"/>
            </w:tcMar>
            <w:vAlign w:val="bottom"/>
          </w:tcPr>
          <w:p w14:paraId="20AE0411"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412"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413"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0414"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415"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416"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0417"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418"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419" w14:textId="77777777" w:rsidR="00B626E7" w:rsidRDefault="00175C1D">
            <w:pPr>
              <w:jc w:val="right"/>
              <w:textAlignment w:val="bottom"/>
            </w:pPr>
            <w:r>
              <w:rPr>
                <w:rFonts w:ascii="Arial" w:eastAsia="宋体" w:hAnsi="Arial" w:cs="Arial"/>
                <w:color w:val="333333"/>
                <w:sz w:val="18"/>
                <w:szCs w:val="18"/>
              </w:rPr>
              <w:t>31 </w:t>
            </w:r>
          </w:p>
        </w:tc>
        <w:tc>
          <w:tcPr>
            <w:tcW w:w="0" w:type="auto"/>
            <w:shd w:val="clear" w:color="auto" w:fill="auto"/>
            <w:tcMar>
              <w:top w:w="40" w:type="dxa"/>
              <w:bottom w:w="40" w:type="dxa"/>
              <w:right w:w="20" w:type="dxa"/>
            </w:tcMar>
            <w:vAlign w:val="bottom"/>
          </w:tcPr>
          <w:p w14:paraId="20AE041A"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041B" w14:textId="77777777" w:rsidR="00B626E7" w:rsidRDefault="00B626E7">
            <w:pPr>
              <w:rPr>
                <w:rFonts w:ascii="宋体"/>
              </w:rPr>
            </w:pPr>
          </w:p>
        </w:tc>
        <w:tc>
          <w:tcPr>
            <w:tcW w:w="0" w:type="auto"/>
            <w:shd w:val="clear" w:color="auto" w:fill="auto"/>
          </w:tcPr>
          <w:p w14:paraId="20AE041C" w14:textId="77777777" w:rsidR="00B626E7" w:rsidRDefault="00B626E7">
            <w:pPr>
              <w:rPr>
                <w:rFonts w:ascii="宋体"/>
              </w:rPr>
            </w:pPr>
          </w:p>
        </w:tc>
        <w:tc>
          <w:tcPr>
            <w:tcW w:w="0" w:type="auto"/>
            <w:shd w:val="clear" w:color="auto" w:fill="auto"/>
          </w:tcPr>
          <w:p w14:paraId="20AE041D" w14:textId="77777777" w:rsidR="00B626E7" w:rsidRDefault="00B626E7">
            <w:pPr>
              <w:rPr>
                <w:rFonts w:ascii="宋体"/>
              </w:rPr>
            </w:pPr>
          </w:p>
        </w:tc>
        <w:tc>
          <w:tcPr>
            <w:tcW w:w="0" w:type="auto"/>
            <w:shd w:val="clear" w:color="auto" w:fill="auto"/>
          </w:tcPr>
          <w:p w14:paraId="20AE041E" w14:textId="77777777" w:rsidR="00B626E7" w:rsidRDefault="00B626E7">
            <w:pPr>
              <w:rPr>
                <w:rFonts w:ascii="宋体"/>
              </w:rPr>
            </w:pPr>
          </w:p>
        </w:tc>
        <w:tc>
          <w:tcPr>
            <w:tcW w:w="0" w:type="auto"/>
            <w:shd w:val="clear" w:color="auto" w:fill="auto"/>
          </w:tcPr>
          <w:p w14:paraId="20AE041F" w14:textId="77777777" w:rsidR="00B626E7" w:rsidRDefault="00B626E7">
            <w:pPr>
              <w:rPr>
                <w:rFonts w:ascii="宋体"/>
              </w:rPr>
            </w:pPr>
          </w:p>
        </w:tc>
        <w:tc>
          <w:tcPr>
            <w:tcW w:w="0" w:type="auto"/>
            <w:shd w:val="clear" w:color="auto" w:fill="auto"/>
          </w:tcPr>
          <w:p w14:paraId="20AE0420" w14:textId="77777777" w:rsidR="00B626E7" w:rsidRDefault="00B626E7">
            <w:pPr>
              <w:rPr>
                <w:rFonts w:ascii="宋体"/>
              </w:rPr>
            </w:pPr>
          </w:p>
        </w:tc>
        <w:tc>
          <w:tcPr>
            <w:tcW w:w="0" w:type="auto"/>
            <w:shd w:val="clear" w:color="auto" w:fill="auto"/>
          </w:tcPr>
          <w:p w14:paraId="20AE0421" w14:textId="77777777" w:rsidR="00B626E7" w:rsidRDefault="00B626E7">
            <w:pPr>
              <w:rPr>
                <w:rFonts w:ascii="宋体"/>
              </w:rPr>
            </w:pPr>
          </w:p>
        </w:tc>
        <w:tc>
          <w:tcPr>
            <w:tcW w:w="0" w:type="auto"/>
            <w:shd w:val="clear" w:color="auto" w:fill="auto"/>
          </w:tcPr>
          <w:p w14:paraId="20AE0422" w14:textId="77777777" w:rsidR="00B626E7" w:rsidRDefault="00B626E7">
            <w:pPr>
              <w:rPr>
                <w:rFonts w:ascii="宋体"/>
              </w:rPr>
            </w:pPr>
          </w:p>
        </w:tc>
        <w:tc>
          <w:tcPr>
            <w:tcW w:w="0" w:type="auto"/>
            <w:shd w:val="clear" w:color="auto" w:fill="auto"/>
          </w:tcPr>
          <w:p w14:paraId="20AE0423" w14:textId="77777777" w:rsidR="00B626E7" w:rsidRDefault="00B626E7">
            <w:pPr>
              <w:rPr>
                <w:rFonts w:ascii="宋体"/>
              </w:rPr>
            </w:pPr>
          </w:p>
        </w:tc>
      </w:tr>
      <w:tr w:rsidR="00B626E7" w14:paraId="20AE043E" w14:textId="77777777">
        <w:tc>
          <w:tcPr>
            <w:tcW w:w="0" w:type="auto"/>
            <w:gridSpan w:val="3"/>
            <w:shd w:val="clear" w:color="auto" w:fill="auto"/>
            <w:tcMar>
              <w:top w:w="40" w:type="dxa"/>
              <w:left w:w="20" w:type="dxa"/>
              <w:bottom w:w="40" w:type="dxa"/>
              <w:right w:w="20" w:type="dxa"/>
            </w:tcMar>
            <w:vAlign w:val="bottom"/>
          </w:tcPr>
          <w:p w14:paraId="20AE0425" w14:textId="77777777" w:rsidR="00B626E7" w:rsidRDefault="00175C1D">
            <w:pPr>
              <w:textAlignment w:val="bottom"/>
            </w:pPr>
            <w:r>
              <w:rPr>
                <w:rFonts w:ascii="Arial" w:eastAsia="宋体" w:hAnsi="Arial" w:cs="Arial"/>
                <w:color w:val="333333"/>
                <w:sz w:val="18"/>
                <w:szCs w:val="18"/>
              </w:rPr>
              <w:t>Share-based compensation</w:t>
            </w:r>
          </w:p>
        </w:tc>
        <w:tc>
          <w:tcPr>
            <w:tcW w:w="0" w:type="auto"/>
            <w:gridSpan w:val="3"/>
            <w:shd w:val="clear" w:color="auto" w:fill="auto"/>
            <w:tcMar>
              <w:left w:w="20" w:type="dxa"/>
              <w:right w:w="20" w:type="dxa"/>
            </w:tcMar>
            <w:vAlign w:val="bottom"/>
          </w:tcPr>
          <w:p w14:paraId="20AE0426"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427"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0428"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429"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42A" w14:textId="77777777" w:rsidR="00B626E7" w:rsidRDefault="00175C1D">
            <w:pPr>
              <w:jc w:val="right"/>
              <w:textAlignment w:val="bottom"/>
            </w:pPr>
            <w:r>
              <w:rPr>
                <w:rFonts w:ascii="Arial" w:eastAsia="宋体" w:hAnsi="Arial" w:cs="Arial"/>
                <w:color w:val="333333"/>
                <w:sz w:val="18"/>
                <w:szCs w:val="18"/>
              </w:rPr>
              <w:t>471 </w:t>
            </w:r>
          </w:p>
        </w:tc>
        <w:tc>
          <w:tcPr>
            <w:tcW w:w="0" w:type="auto"/>
            <w:shd w:val="clear" w:color="auto" w:fill="auto"/>
            <w:tcMar>
              <w:top w:w="40" w:type="dxa"/>
              <w:bottom w:w="40" w:type="dxa"/>
              <w:right w:w="20" w:type="dxa"/>
            </w:tcMar>
            <w:vAlign w:val="bottom"/>
          </w:tcPr>
          <w:p w14:paraId="20AE042B"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42C"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42D"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042E"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42F"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430"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0431"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432"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433" w14:textId="77777777" w:rsidR="00B626E7" w:rsidRDefault="00175C1D">
            <w:pPr>
              <w:jc w:val="right"/>
              <w:textAlignment w:val="bottom"/>
            </w:pPr>
            <w:r>
              <w:rPr>
                <w:rFonts w:ascii="Arial" w:eastAsia="宋体" w:hAnsi="Arial" w:cs="Arial"/>
                <w:color w:val="333333"/>
                <w:sz w:val="18"/>
                <w:szCs w:val="18"/>
              </w:rPr>
              <w:t>471 </w:t>
            </w:r>
          </w:p>
        </w:tc>
        <w:tc>
          <w:tcPr>
            <w:tcW w:w="0" w:type="auto"/>
            <w:shd w:val="clear" w:color="auto" w:fill="auto"/>
            <w:tcMar>
              <w:top w:w="40" w:type="dxa"/>
              <w:bottom w:w="40" w:type="dxa"/>
              <w:right w:w="20" w:type="dxa"/>
            </w:tcMar>
            <w:vAlign w:val="bottom"/>
          </w:tcPr>
          <w:p w14:paraId="20AE0434"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0435" w14:textId="77777777" w:rsidR="00B626E7" w:rsidRDefault="00B626E7">
            <w:pPr>
              <w:rPr>
                <w:rFonts w:ascii="宋体"/>
              </w:rPr>
            </w:pPr>
          </w:p>
        </w:tc>
        <w:tc>
          <w:tcPr>
            <w:tcW w:w="0" w:type="auto"/>
            <w:shd w:val="clear" w:color="auto" w:fill="auto"/>
          </w:tcPr>
          <w:p w14:paraId="20AE0436" w14:textId="77777777" w:rsidR="00B626E7" w:rsidRDefault="00B626E7">
            <w:pPr>
              <w:rPr>
                <w:rFonts w:ascii="宋体"/>
              </w:rPr>
            </w:pPr>
          </w:p>
        </w:tc>
        <w:tc>
          <w:tcPr>
            <w:tcW w:w="0" w:type="auto"/>
            <w:shd w:val="clear" w:color="auto" w:fill="auto"/>
          </w:tcPr>
          <w:p w14:paraId="20AE0437" w14:textId="77777777" w:rsidR="00B626E7" w:rsidRDefault="00B626E7">
            <w:pPr>
              <w:rPr>
                <w:rFonts w:ascii="宋体"/>
              </w:rPr>
            </w:pPr>
          </w:p>
        </w:tc>
        <w:tc>
          <w:tcPr>
            <w:tcW w:w="0" w:type="auto"/>
            <w:shd w:val="clear" w:color="auto" w:fill="auto"/>
          </w:tcPr>
          <w:p w14:paraId="20AE0438" w14:textId="77777777" w:rsidR="00B626E7" w:rsidRDefault="00B626E7">
            <w:pPr>
              <w:rPr>
                <w:rFonts w:ascii="宋体"/>
              </w:rPr>
            </w:pPr>
          </w:p>
        </w:tc>
        <w:tc>
          <w:tcPr>
            <w:tcW w:w="0" w:type="auto"/>
            <w:shd w:val="clear" w:color="auto" w:fill="auto"/>
          </w:tcPr>
          <w:p w14:paraId="20AE0439" w14:textId="77777777" w:rsidR="00B626E7" w:rsidRDefault="00B626E7">
            <w:pPr>
              <w:rPr>
                <w:rFonts w:ascii="宋体"/>
              </w:rPr>
            </w:pPr>
          </w:p>
        </w:tc>
        <w:tc>
          <w:tcPr>
            <w:tcW w:w="0" w:type="auto"/>
            <w:shd w:val="clear" w:color="auto" w:fill="auto"/>
          </w:tcPr>
          <w:p w14:paraId="20AE043A" w14:textId="77777777" w:rsidR="00B626E7" w:rsidRDefault="00B626E7">
            <w:pPr>
              <w:rPr>
                <w:rFonts w:ascii="宋体"/>
              </w:rPr>
            </w:pPr>
          </w:p>
        </w:tc>
        <w:tc>
          <w:tcPr>
            <w:tcW w:w="0" w:type="auto"/>
            <w:shd w:val="clear" w:color="auto" w:fill="auto"/>
          </w:tcPr>
          <w:p w14:paraId="20AE043B" w14:textId="77777777" w:rsidR="00B626E7" w:rsidRDefault="00B626E7">
            <w:pPr>
              <w:rPr>
                <w:rFonts w:ascii="宋体"/>
              </w:rPr>
            </w:pPr>
          </w:p>
        </w:tc>
        <w:tc>
          <w:tcPr>
            <w:tcW w:w="0" w:type="auto"/>
            <w:shd w:val="clear" w:color="auto" w:fill="auto"/>
          </w:tcPr>
          <w:p w14:paraId="20AE043C" w14:textId="77777777" w:rsidR="00B626E7" w:rsidRDefault="00B626E7">
            <w:pPr>
              <w:rPr>
                <w:rFonts w:ascii="宋体"/>
              </w:rPr>
            </w:pPr>
          </w:p>
        </w:tc>
        <w:tc>
          <w:tcPr>
            <w:tcW w:w="0" w:type="auto"/>
            <w:shd w:val="clear" w:color="auto" w:fill="auto"/>
          </w:tcPr>
          <w:p w14:paraId="20AE043D" w14:textId="77777777" w:rsidR="00B626E7" w:rsidRDefault="00B626E7">
            <w:pPr>
              <w:rPr>
                <w:rFonts w:ascii="宋体"/>
              </w:rPr>
            </w:pPr>
          </w:p>
        </w:tc>
      </w:tr>
      <w:tr w:rsidR="00B626E7" w14:paraId="20AE0458" w14:textId="77777777">
        <w:tc>
          <w:tcPr>
            <w:tcW w:w="0" w:type="auto"/>
            <w:gridSpan w:val="3"/>
            <w:shd w:val="clear" w:color="auto" w:fill="auto"/>
            <w:tcMar>
              <w:top w:w="40" w:type="dxa"/>
              <w:left w:w="20" w:type="dxa"/>
              <w:bottom w:w="40" w:type="dxa"/>
              <w:right w:w="20" w:type="dxa"/>
            </w:tcMar>
            <w:vAlign w:val="bottom"/>
          </w:tcPr>
          <w:p w14:paraId="20AE043F" w14:textId="77777777" w:rsidR="00B626E7" w:rsidRDefault="00175C1D">
            <w:pPr>
              <w:textAlignment w:val="bottom"/>
            </w:pPr>
            <w:r>
              <w:rPr>
                <w:rFonts w:ascii="Arial" w:eastAsia="宋体" w:hAnsi="Arial" w:cs="Arial"/>
                <w:color w:val="333333"/>
                <w:sz w:val="18"/>
                <w:szCs w:val="18"/>
              </w:rPr>
              <w:t>Temporary equity reduction</w:t>
            </w:r>
          </w:p>
        </w:tc>
        <w:tc>
          <w:tcPr>
            <w:tcW w:w="0" w:type="auto"/>
            <w:gridSpan w:val="3"/>
            <w:shd w:val="clear" w:color="auto" w:fill="auto"/>
            <w:tcMar>
              <w:left w:w="20" w:type="dxa"/>
              <w:right w:w="20" w:type="dxa"/>
            </w:tcMar>
            <w:vAlign w:val="bottom"/>
          </w:tcPr>
          <w:p w14:paraId="20AE0440"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441"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0442"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443"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444" w14:textId="77777777" w:rsidR="00B626E7" w:rsidRDefault="00175C1D">
            <w:pPr>
              <w:jc w:val="right"/>
              <w:textAlignment w:val="bottom"/>
            </w:pPr>
            <w:r>
              <w:rPr>
                <w:rFonts w:ascii="Arial" w:eastAsia="宋体" w:hAnsi="Arial" w:cs="Arial"/>
                <w:color w:val="333333"/>
                <w:sz w:val="18"/>
                <w:szCs w:val="18"/>
              </w:rPr>
              <w:t>28 </w:t>
            </w:r>
          </w:p>
        </w:tc>
        <w:tc>
          <w:tcPr>
            <w:tcW w:w="0" w:type="auto"/>
            <w:shd w:val="clear" w:color="auto" w:fill="auto"/>
            <w:tcMar>
              <w:top w:w="40" w:type="dxa"/>
              <w:bottom w:w="40" w:type="dxa"/>
              <w:right w:w="20" w:type="dxa"/>
            </w:tcMar>
            <w:vAlign w:val="bottom"/>
          </w:tcPr>
          <w:p w14:paraId="20AE0445"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446"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447"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0448"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449"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44A"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044B"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44C"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44D" w14:textId="77777777" w:rsidR="00B626E7" w:rsidRDefault="00175C1D">
            <w:pPr>
              <w:jc w:val="right"/>
              <w:textAlignment w:val="bottom"/>
            </w:pPr>
            <w:r>
              <w:rPr>
                <w:rFonts w:ascii="Arial" w:eastAsia="宋体" w:hAnsi="Arial" w:cs="Arial"/>
                <w:color w:val="333333"/>
                <w:sz w:val="18"/>
                <w:szCs w:val="18"/>
              </w:rPr>
              <w:t>28 </w:t>
            </w:r>
          </w:p>
        </w:tc>
        <w:tc>
          <w:tcPr>
            <w:tcW w:w="0" w:type="auto"/>
            <w:shd w:val="clear" w:color="auto" w:fill="auto"/>
            <w:tcMar>
              <w:top w:w="40" w:type="dxa"/>
              <w:bottom w:w="40" w:type="dxa"/>
              <w:right w:w="20" w:type="dxa"/>
            </w:tcMar>
            <w:vAlign w:val="bottom"/>
          </w:tcPr>
          <w:p w14:paraId="20AE044E"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044F" w14:textId="77777777" w:rsidR="00B626E7" w:rsidRDefault="00B626E7">
            <w:pPr>
              <w:rPr>
                <w:rFonts w:ascii="宋体"/>
              </w:rPr>
            </w:pPr>
          </w:p>
        </w:tc>
        <w:tc>
          <w:tcPr>
            <w:tcW w:w="0" w:type="auto"/>
            <w:shd w:val="clear" w:color="auto" w:fill="auto"/>
          </w:tcPr>
          <w:p w14:paraId="20AE0450" w14:textId="77777777" w:rsidR="00B626E7" w:rsidRDefault="00B626E7">
            <w:pPr>
              <w:rPr>
                <w:rFonts w:ascii="宋体"/>
              </w:rPr>
            </w:pPr>
          </w:p>
        </w:tc>
        <w:tc>
          <w:tcPr>
            <w:tcW w:w="0" w:type="auto"/>
            <w:shd w:val="clear" w:color="auto" w:fill="auto"/>
          </w:tcPr>
          <w:p w14:paraId="20AE0451" w14:textId="77777777" w:rsidR="00B626E7" w:rsidRDefault="00B626E7">
            <w:pPr>
              <w:rPr>
                <w:rFonts w:ascii="宋体"/>
              </w:rPr>
            </w:pPr>
          </w:p>
        </w:tc>
        <w:tc>
          <w:tcPr>
            <w:tcW w:w="0" w:type="auto"/>
            <w:shd w:val="clear" w:color="auto" w:fill="auto"/>
          </w:tcPr>
          <w:p w14:paraId="20AE0452" w14:textId="77777777" w:rsidR="00B626E7" w:rsidRDefault="00B626E7">
            <w:pPr>
              <w:rPr>
                <w:rFonts w:ascii="宋体"/>
              </w:rPr>
            </w:pPr>
          </w:p>
        </w:tc>
        <w:tc>
          <w:tcPr>
            <w:tcW w:w="0" w:type="auto"/>
            <w:shd w:val="clear" w:color="auto" w:fill="auto"/>
          </w:tcPr>
          <w:p w14:paraId="20AE0453" w14:textId="77777777" w:rsidR="00B626E7" w:rsidRDefault="00B626E7">
            <w:pPr>
              <w:rPr>
                <w:rFonts w:ascii="宋体"/>
              </w:rPr>
            </w:pPr>
          </w:p>
        </w:tc>
        <w:tc>
          <w:tcPr>
            <w:tcW w:w="0" w:type="auto"/>
            <w:shd w:val="clear" w:color="auto" w:fill="auto"/>
          </w:tcPr>
          <w:p w14:paraId="20AE0454" w14:textId="77777777" w:rsidR="00B626E7" w:rsidRDefault="00B626E7">
            <w:pPr>
              <w:rPr>
                <w:rFonts w:ascii="宋体"/>
              </w:rPr>
            </w:pPr>
          </w:p>
        </w:tc>
        <w:tc>
          <w:tcPr>
            <w:tcW w:w="0" w:type="auto"/>
            <w:shd w:val="clear" w:color="auto" w:fill="auto"/>
          </w:tcPr>
          <w:p w14:paraId="20AE0455" w14:textId="77777777" w:rsidR="00B626E7" w:rsidRDefault="00B626E7">
            <w:pPr>
              <w:rPr>
                <w:rFonts w:ascii="宋体"/>
              </w:rPr>
            </w:pPr>
          </w:p>
        </w:tc>
        <w:tc>
          <w:tcPr>
            <w:tcW w:w="0" w:type="auto"/>
            <w:shd w:val="clear" w:color="auto" w:fill="auto"/>
          </w:tcPr>
          <w:p w14:paraId="20AE0456" w14:textId="77777777" w:rsidR="00B626E7" w:rsidRDefault="00B626E7">
            <w:pPr>
              <w:rPr>
                <w:rFonts w:ascii="宋体"/>
              </w:rPr>
            </w:pPr>
          </w:p>
        </w:tc>
        <w:tc>
          <w:tcPr>
            <w:tcW w:w="0" w:type="auto"/>
            <w:shd w:val="clear" w:color="auto" w:fill="auto"/>
          </w:tcPr>
          <w:p w14:paraId="20AE0457" w14:textId="77777777" w:rsidR="00B626E7" w:rsidRDefault="00B626E7">
            <w:pPr>
              <w:rPr>
                <w:rFonts w:ascii="宋体"/>
              </w:rPr>
            </w:pPr>
          </w:p>
        </w:tc>
      </w:tr>
      <w:tr w:rsidR="00B626E7" w14:paraId="20AE0472" w14:textId="77777777">
        <w:tc>
          <w:tcPr>
            <w:tcW w:w="0" w:type="auto"/>
            <w:gridSpan w:val="3"/>
            <w:shd w:val="clear" w:color="auto" w:fill="auto"/>
            <w:tcMar>
              <w:top w:w="40" w:type="dxa"/>
              <w:left w:w="20" w:type="dxa"/>
              <w:bottom w:w="40" w:type="dxa"/>
              <w:right w:w="20" w:type="dxa"/>
            </w:tcMar>
            <w:vAlign w:val="bottom"/>
          </w:tcPr>
          <w:p w14:paraId="20AE0459" w14:textId="77777777" w:rsidR="00B626E7" w:rsidRDefault="00175C1D">
            <w:pPr>
              <w:textAlignment w:val="bottom"/>
            </w:pPr>
            <w:r>
              <w:rPr>
                <w:rFonts w:ascii="Arial" w:eastAsia="宋体" w:hAnsi="Arial" w:cs="Arial"/>
                <w:color w:val="333333"/>
                <w:sz w:val="18"/>
                <w:szCs w:val="18"/>
              </w:rPr>
              <w:t>Convertible debt</w:t>
            </w:r>
          </w:p>
        </w:tc>
        <w:tc>
          <w:tcPr>
            <w:tcW w:w="0" w:type="auto"/>
            <w:gridSpan w:val="3"/>
            <w:shd w:val="clear" w:color="auto" w:fill="auto"/>
            <w:tcMar>
              <w:left w:w="20" w:type="dxa"/>
              <w:right w:w="20" w:type="dxa"/>
            </w:tcMar>
            <w:vAlign w:val="bottom"/>
          </w:tcPr>
          <w:p w14:paraId="20AE045A"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45B"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045C"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45D"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45E" w14:textId="77777777" w:rsidR="00B626E7" w:rsidRDefault="00175C1D">
            <w:pPr>
              <w:jc w:val="right"/>
              <w:textAlignment w:val="bottom"/>
            </w:pPr>
            <w:r>
              <w:rPr>
                <w:rFonts w:ascii="Arial" w:eastAsia="宋体" w:hAnsi="Arial" w:cs="Arial"/>
                <w:color w:val="333333"/>
                <w:sz w:val="18"/>
                <w:szCs w:val="18"/>
              </w:rPr>
              <w:t>(120)</w:t>
            </w:r>
          </w:p>
        </w:tc>
        <w:tc>
          <w:tcPr>
            <w:tcW w:w="0" w:type="auto"/>
            <w:shd w:val="clear" w:color="auto" w:fill="auto"/>
            <w:tcMar>
              <w:top w:w="40" w:type="dxa"/>
              <w:bottom w:w="40" w:type="dxa"/>
              <w:right w:w="20" w:type="dxa"/>
            </w:tcMar>
            <w:vAlign w:val="bottom"/>
          </w:tcPr>
          <w:p w14:paraId="20AE045F"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460"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461"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0462"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463"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464"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0465"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466"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467" w14:textId="77777777" w:rsidR="00B626E7" w:rsidRDefault="00175C1D">
            <w:pPr>
              <w:jc w:val="right"/>
              <w:textAlignment w:val="bottom"/>
            </w:pPr>
            <w:r>
              <w:rPr>
                <w:rFonts w:ascii="Arial" w:eastAsia="宋体" w:hAnsi="Arial" w:cs="Arial"/>
                <w:color w:val="333333"/>
                <w:sz w:val="18"/>
                <w:szCs w:val="18"/>
              </w:rPr>
              <w:t>(120)</w:t>
            </w:r>
          </w:p>
        </w:tc>
        <w:tc>
          <w:tcPr>
            <w:tcW w:w="0" w:type="auto"/>
            <w:shd w:val="clear" w:color="auto" w:fill="auto"/>
            <w:tcMar>
              <w:top w:w="40" w:type="dxa"/>
              <w:bottom w:w="40" w:type="dxa"/>
              <w:right w:w="20" w:type="dxa"/>
            </w:tcMar>
            <w:vAlign w:val="bottom"/>
          </w:tcPr>
          <w:p w14:paraId="20AE0468"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0469" w14:textId="77777777" w:rsidR="00B626E7" w:rsidRDefault="00B626E7">
            <w:pPr>
              <w:rPr>
                <w:rFonts w:ascii="宋体"/>
              </w:rPr>
            </w:pPr>
          </w:p>
        </w:tc>
        <w:tc>
          <w:tcPr>
            <w:tcW w:w="0" w:type="auto"/>
            <w:shd w:val="clear" w:color="auto" w:fill="auto"/>
          </w:tcPr>
          <w:p w14:paraId="20AE046A" w14:textId="77777777" w:rsidR="00B626E7" w:rsidRDefault="00B626E7">
            <w:pPr>
              <w:rPr>
                <w:rFonts w:ascii="宋体"/>
              </w:rPr>
            </w:pPr>
          </w:p>
        </w:tc>
        <w:tc>
          <w:tcPr>
            <w:tcW w:w="0" w:type="auto"/>
            <w:shd w:val="clear" w:color="auto" w:fill="auto"/>
          </w:tcPr>
          <w:p w14:paraId="20AE046B" w14:textId="77777777" w:rsidR="00B626E7" w:rsidRDefault="00B626E7">
            <w:pPr>
              <w:rPr>
                <w:rFonts w:ascii="宋体"/>
              </w:rPr>
            </w:pPr>
          </w:p>
        </w:tc>
        <w:tc>
          <w:tcPr>
            <w:tcW w:w="0" w:type="auto"/>
            <w:shd w:val="clear" w:color="auto" w:fill="auto"/>
          </w:tcPr>
          <w:p w14:paraId="20AE046C" w14:textId="77777777" w:rsidR="00B626E7" w:rsidRDefault="00B626E7">
            <w:pPr>
              <w:rPr>
                <w:rFonts w:ascii="宋体"/>
              </w:rPr>
            </w:pPr>
          </w:p>
        </w:tc>
        <w:tc>
          <w:tcPr>
            <w:tcW w:w="0" w:type="auto"/>
            <w:shd w:val="clear" w:color="auto" w:fill="auto"/>
          </w:tcPr>
          <w:p w14:paraId="20AE046D" w14:textId="77777777" w:rsidR="00B626E7" w:rsidRDefault="00B626E7">
            <w:pPr>
              <w:rPr>
                <w:rFonts w:ascii="宋体"/>
              </w:rPr>
            </w:pPr>
          </w:p>
        </w:tc>
        <w:tc>
          <w:tcPr>
            <w:tcW w:w="0" w:type="auto"/>
            <w:shd w:val="clear" w:color="auto" w:fill="auto"/>
          </w:tcPr>
          <w:p w14:paraId="20AE046E" w14:textId="77777777" w:rsidR="00B626E7" w:rsidRDefault="00B626E7">
            <w:pPr>
              <w:rPr>
                <w:rFonts w:ascii="宋体"/>
              </w:rPr>
            </w:pPr>
          </w:p>
        </w:tc>
        <w:tc>
          <w:tcPr>
            <w:tcW w:w="0" w:type="auto"/>
            <w:shd w:val="clear" w:color="auto" w:fill="auto"/>
          </w:tcPr>
          <w:p w14:paraId="20AE046F" w14:textId="77777777" w:rsidR="00B626E7" w:rsidRDefault="00B626E7">
            <w:pPr>
              <w:rPr>
                <w:rFonts w:ascii="宋体"/>
              </w:rPr>
            </w:pPr>
          </w:p>
        </w:tc>
        <w:tc>
          <w:tcPr>
            <w:tcW w:w="0" w:type="auto"/>
            <w:shd w:val="clear" w:color="auto" w:fill="auto"/>
          </w:tcPr>
          <w:p w14:paraId="20AE0470" w14:textId="77777777" w:rsidR="00B626E7" w:rsidRDefault="00B626E7">
            <w:pPr>
              <w:rPr>
                <w:rFonts w:ascii="宋体"/>
              </w:rPr>
            </w:pPr>
          </w:p>
        </w:tc>
        <w:tc>
          <w:tcPr>
            <w:tcW w:w="0" w:type="auto"/>
            <w:shd w:val="clear" w:color="auto" w:fill="auto"/>
          </w:tcPr>
          <w:p w14:paraId="20AE0471" w14:textId="77777777" w:rsidR="00B626E7" w:rsidRDefault="00B626E7">
            <w:pPr>
              <w:rPr>
                <w:rFonts w:ascii="宋体"/>
              </w:rPr>
            </w:pPr>
          </w:p>
        </w:tc>
      </w:tr>
      <w:tr w:rsidR="00B626E7" w14:paraId="20AE0487" w14:textId="77777777">
        <w:trPr>
          <w:hidden/>
        </w:trPr>
        <w:tc>
          <w:tcPr>
            <w:tcW w:w="0" w:type="auto"/>
            <w:gridSpan w:val="3"/>
            <w:shd w:val="clear" w:color="auto" w:fill="auto"/>
          </w:tcPr>
          <w:p w14:paraId="20AE0473" w14:textId="77777777" w:rsidR="00B626E7" w:rsidRDefault="00B626E7">
            <w:pPr>
              <w:rPr>
                <w:rFonts w:ascii="宋体"/>
                <w:vanish/>
              </w:rPr>
            </w:pPr>
          </w:p>
        </w:tc>
        <w:tc>
          <w:tcPr>
            <w:tcW w:w="0" w:type="auto"/>
            <w:gridSpan w:val="3"/>
            <w:shd w:val="clear" w:color="auto" w:fill="auto"/>
          </w:tcPr>
          <w:p w14:paraId="20AE0474" w14:textId="77777777" w:rsidR="00B626E7" w:rsidRDefault="00B626E7">
            <w:pPr>
              <w:rPr>
                <w:rFonts w:ascii="宋体"/>
                <w:vanish/>
              </w:rPr>
            </w:pPr>
          </w:p>
        </w:tc>
        <w:tc>
          <w:tcPr>
            <w:tcW w:w="0" w:type="auto"/>
            <w:gridSpan w:val="3"/>
            <w:shd w:val="clear" w:color="auto" w:fill="auto"/>
          </w:tcPr>
          <w:p w14:paraId="20AE0475" w14:textId="77777777" w:rsidR="00B626E7" w:rsidRDefault="00B626E7">
            <w:pPr>
              <w:rPr>
                <w:rFonts w:ascii="宋体"/>
                <w:vanish/>
              </w:rPr>
            </w:pPr>
          </w:p>
        </w:tc>
        <w:tc>
          <w:tcPr>
            <w:tcW w:w="0" w:type="auto"/>
            <w:gridSpan w:val="3"/>
            <w:shd w:val="clear" w:color="auto" w:fill="auto"/>
          </w:tcPr>
          <w:p w14:paraId="20AE0476" w14:textId="77777777" w:rsidR="00B626E7" w:rsidRDefault="00B626E7">
            <w:pPr>
              <w:rPr>
                <w:rFonts w:ascii="宋体"/>
                <w:vanish/>
              </w:rPr>
            </w:pPr>
          </w:p>
        </w:tc>
        <w:tc>
          <w:tcPr>
            <w:tcW w:w="0" w:type="auto"/>
            <w:gridSpan w:val="3"/>
            <w:shd w:val="clear" w:color="auto" w:fill="auto"/>
          </w:tcPr>
          <w:p w14:paraId="20AE0477" w14:textId="77777777" w:rsidR="00B626E7" w:rsidRDefault="00B626E7">
            <w:pPr>
              <w:rPr>
                <w:rFonts w:ascii="宋体"/>
                <w:vanish/>
              </w:rPr>
            </w:pPr>
          </w:p>
        </w:tc>
        <w:tc>
          <w:tcPr>
            <w:tcW w:w="0" w:type="auto"/>
            <w:gridSpan w:val="3"/>
            <w:shd w:val="clear" w:color="auto" w:fill="auto"/>
          </w:tcPr>
          <w:p w14:paraId="20AE0478" w14:textId="77777777" w:rsidR="00B626E7" w:rsidRDefault="00B626E7">
            <w:pPr>
              <w:rPr>
                <w:rFonts w:ascii="宋体"/>
                <w:vanish/>
              </w:rPr>
            </w:pPr>
          </w:p>
        </w:tc>
        <w:tc>
          <w:tcPr>
            <w:tcW w:w="0" w:type="auto"/>
            <w:gridSpan w:val="3"/>
            <w:shd w:val="clear" w:color="auto" w:fill="auto"/>
          </w:tcPr>
          <w:p w14:paraId="20AE0479" w14:textId="77777777" w:rsidR="00B626E7" w:rsidRDefault="00B626E7">
            <w:pPr>
              <w:rPr>
                <w:rFonts w:ascii="宋体"/>
                <w:vanish/>
              </w:rPr>
            </w:pPr>
          </w:p>
        </w:tc>
        <w:tc>
          <w:tcPr>
            <w:tcW w:w="0" w:type="auto"/>
            <w:gridSpan w:val="3"/>
            <w:shd w:val="clear" w:color="auto" w:fill="auto"/>
          </w:tcPr>
          <w:p w14:paraId="20AE047A" w14:textId="77777777" w:rsidR="00B626E7" w:rsidRDefault="00B626E7">
            <w:pPr>
              <w:rPr>
                <w:rFonts w:ascii="宋体"/>
                <w:vanish/>
              </w:rPr>
            </w:pPr>
          </w:p>
        </w:tc>
        <w:tc>
          <w:tcPr>
            <w:tcW w:w="0" w:type="auto"/>
            <w:gridSpan w:val="3"/>
            <w:shd w:val="clear" w:color="auto" w:fill="auto"/>
          </w:tcPr>
          <w:p w14:paraId="20AE047B" w14:textId="77777777" w:rsidR="00B626E7" w:rsidRDefault="00B626E7">
            <w:pPr>
              <w:rPr>
                <w:rFonts w:ascii="宋体"/>
                <w:vanish/>
              </w:rPr>
            </w:pPr>
          </w:p>
        </w:tc>
        <w:tc>
          <w:tcPr>
            <w:tcW w:w="0" w:type="auto"/>
            <w:gridSpan w:val="3"/>
            <w:shd w:val="clear" w:color="auto" w:fill="auto"/>
          </w:tcPr>
          <w:p w14:paraId="20AE047C" w14:textId="77777777" w:rsidR="00B626E7" w:rsidRDefault="00B626E7">
            <w:pPr>
              <w:rPr>
                <w:rFonts w:ascii="宋体"/>
                <w:vanish/>
              </w:rPr>
            </w:pPr>
          </w:p>
        </w:tc>
        <w:tc>
          <w:tcPr>
            <w:tcW w:w="0" w:type="auto"/>
            <w:gridSpan w:val="3"/>
            <w:shd w:val="clear" w:color="auto" w:fill="auto"/>
          </w:tcPr>
          <w:p w14:paraId="20AE047D" w14:textId="77777777" w:rsidR="00B626E7" w:rsidRDefault="00B626E7">
            <w:pPr>
              <w:rPr>
                <w:rFonts w:ascii="宋体"/>
                <w:vanish/>
              </w:rPr>
            </w:pPr>
          </w:p>
        </w:tc>
        <w:tc>
          <w:tcPr>
            <w:tcW w:w="0" w:type="auto"/>
            <w:shd w:val="clear" w:color="auto" w:fill="auto"/>
          </w:tcPr>
          <w:p w14:paraId="20AE047E" w14:textId="77777777" w:rsidR="00B626E7" w:rsidRDefault="00B626E7">
            <w:pPr>
              <w:rPr>
                <w:rFonts w:ascii="宋体"/>
              </w:rPr>
            </w:pPr>
          </w:p>
        </w:tc>
        <w:tc>
          <w:tcPr>
            <w:tcW w:w="0" w:type="auto"/>
            <w:shd w:val="clear" w:color="auto" w:fill="auto"/>
          </w:tcPr>
          <w:p w14:paraId="20AE047F" w14:textId="77777777" w:rsidR="00B626E7" w:rsidRDefault="00B626E7">
            <w:pPr>
              <w:rPr>
                <w:rFonts w:ascii="宋体"/>
              </w:rPr>
            </w:pPr>
          </w:p>
        </w:tc>
        <w:tc>
          <w:tcPr>
            <w:tcW w:w="0" w:type="auto"/>
            <w:shd w:val="clear" w:color="auto" w:fill="auto"/>
          </w:tcPr>
          <w:p w14:paraId="20AE0480" w14:textId="77777777" w:rsidR="00B626E7" w:rsidRDefault="00B626E7">
            <w:pPr>
              <w:rPr>
                <w:rFonts w:ascii="宋体"/>
              </w:rPr>
            </w:pPr>
          </w:p>
        </w:tc>
        <w:tc>
          <w:tcPr>
            <w:tcW w:w="0" w:type="auto"/>
            <w:shd w:val="clear" w:color="auto" w:fill="auto"/>
          </w:tcPr>
          <w:p w14:paraId="20AE0481" w14:textId="77777777" w:rsidR="00B626E7" w:rsidRDefault="00B626E7">
            <w:pPr>
              <w:rPr>
                <w:rFonts w:ascii="宋体"/>
              </w:rPr>
            </w:pPr>
          </w:p>
        </w:tc>
        <w:tc>
          <w:tcPr>
            <w:tcW w:w="0" w:type="auto"/>
            <w:shd w:val="clear" w:color="auto" w:fill="auto"/>
          </w:tcPr>
          <w:p w14:paraId="20AE0482" w14:textId="77777777" w:rsidR="00B626E7" w:rsidRDefault="00B626E7">
            <w:pPr>
              <w:rPr>
                <w:rFonts w:ascii="宋体"/>
              </w:rPr>
            </w:pPr>
          </w:p>
        </w:tc>
        <w:tc>
          <w:tcPr>
            <w:tcW w:w="0" w:type="auto"/>
            <w:shd w:val="clear" w:color="auto" w:fill="auto"/>
          </w:tcPr>
          <w:p w14:paraId="20AE0483" w14:textId="77777777" w:rsidR="00B626E7" w:rsidRDefault="00B626E7">
            <w:pPr>
              <w:rPr>
                <w:rFonts w:ascii="宋体"/>
              </w:rPr>
            </w:pPr>
          </w:p>
        </w:tc>
        <w:tc>
          <w:tcPr>
            <w:tcW w:w="0" w:type="auto"/>
            <w:shd w:val="clear" w:color="auto" w:fill="auto"/>
          </w:tcPr>
          <w:p w14:paraId="20AE0484" w14:textId="77777777" w:rsidR="00B626E7" w:rsidRDefault="00B626E7">
            <w:pPr>
              <w:rPr>
                <w:rFonts w:ascii="宋体"/>
              </w:rPr>
            </w:pPr>
          </w:p>
        </w:tc>
        <w:tc>
          <w:tcPr>
            <w:tcW w:w="0" w:type="auto"/>
            <w:shd w:val="clear" w:color="auto" w:fill="auto"/>
          </w:tcPr>
          <w:p w14:paraId="20AE0485" w14:textId="77777777" w:rsidR="00B626E7" w:rsidRDefault="00B626E7">
            <w:pPr>
              <w:rPr>
                <w:rFonts w:ascii="宋体"/>
              </w:rPr>
            </w:pPr>
          </w:p>
        </w:tc>
        <w:tc>
          <w:tcPr>
            <w:tcW w:w="0" w:type="auto"/>
            <w:shd w:val="clear" w:color="auto" w:fill="auto"/>
          </w:tcPr>
          <w:p w14:paraId="20AE0486" w14:textId="77777777" w:rsidR="00B626E7" w:rsidRDefault="00B626E7">
            <w:pPr>
              <w:rPr>
                <w:rFonts w:ascii="宋体"/>
              </w:rPr>
            </w:pPr>
          </w:p>
        </w:tc>
      </w:tr>
      <w:tr w:rsidR="00B626E7" w14:paraId="20AE04A1" w14:textId="77777777">
        <w:tc>
          <w:tcPr>
            <w:tcW w:w="0" w:type="auto"/>
            <w:gridSpan w:val="3"/>
            <w:shd w:val="clear" w:color="auto" w:fill="auto"/>
            <w:tcMar>
              <w:top w:w="40" w:type="dxa"/>
              <w:left w:w="20" w:type="dxa"/>
              <w:bottom w:w="40" w:type="dxa"/>
              <w:right w:w="20" w:type="dxa"/>
            </w:tcMar>
            <w:vAlign w:val="bottom"/>
          </w:tcPr>
          <w:p w14:paraId="20AE0488" w14:textId="77777777" w:rsidR="00B626E7" w:rsidRDefault="00175C1D">
            <w:pPr>
              <w:textAlignment w:val="bottom"/>
            </w:pPr>
            <w:r>
              <w:rPr>
                <w:rFonts w:ascii="Arial" w:eastAsia="宋体" w:hAnsi="Arial" w:cs="Arial"/>
                <w:color w:val="333333"/>
                <w:sz w:val="18"/>
                <w:szCs w:val="18"/>
              </w:rPr>
              <w:t>Repurchase of common stock</w:t>
            </w:r>
          </w:p>
        </w:tc>
        <w:tc>
          <w:tcPr>
            <w:tcW w:w="0" w:type="auto"/>
            <w:gridSpan w:val="3"/>
            <w:shd w:val="clear" w:color="auto" w:fill="auto"/>
            <w:tcMar>
              <w:left w:w="20" w:type="dxa"/>
              <w:right w:w="20" w:type="dxa"/>
            </w:tcMar>
            <w:vAlign w:val="bottom"/>
          </w:tcPr>
          <w:p w14:paraId="20AE0489"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48A" w14:textId="77777777" w:rsidR="00B626E7" w:rsidRDefault="00175C1D">
            <w:pPr>
              <w:jc w:val="right"/>
              <w:textAlignment w:val="bottom"/>
            </w:pPr>
            <w:r>
              <w:rPr>
                <w:rFonts w:ascii="Arial" w:eastAsia="宋体" w:hAnsi="Arial" w:cs="Arial"/>
                <w:color w:val="333333"/>
                <w:sz w:val="18"/>
                <w:szCs w:val="18"/>
              </w:rPr>
              <w:t>(67)</w:t>
            </w:r>
          </w:p>
        </w:tc>
        <w:tc>
          <w:tcPr>
            <w:tcW w:w="0" w:type="auto"/>
            <w:shd w:val="clear" w:color="auto" w:fill="auto"/>
            <w:tcMar>
              <w:top w:w="40" w:type="dxa"/>
              <w:bottom w:w="40" w:type="dxa"/>
              <w:right w:w="20" w:type="dxa"/>
            </w:tcMar>
            <w:vAlign w:val="bottom"/>
          </w:tcPr>
          <w:p w14:paraId="20AE048B"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48C"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48D" w14:textId="77777777" w:rsidR="00B626E7" w:rsidRDefault="00175C1D">
            <w:pPr>
              <w:jc w:val="right"/>
              <w:textAlignment w:val="bottom"/>
            </w:pPr>
            <w:r>
              <w:rPr>
                <w:rFonts w:ascii="Arial" w:eastAsia="宋体" w:hAnsi="Arial" w:cs="Arial"/>
                <w:color w:val="333333"/>
                <w:sz w:val="18"/>
                <w:szCs w:val="18"/>
              </w:rPr>
              <w:t>(381)</w:t>
            </w:r>
          </w:p>
        </w:tc>
        <w:tc>
          <w:tcPr>
            <w:tcW w:w="0" w:type="auto"/>
            <w:shd w:val="clear" w:color="auto" w:fill="auto"/>
            <w:tcMar>
              <w:top w:w="40" w:type="dxa"/>
              <w:bottom w:w="40" w:type="dxa"/>
              <w:right w:w="20" w:type="dxa"/>
            </w:tcMar>
            <w:vAlign w:val="bottom"/>
          </w:tcPr>
          <w:p w14:paraId="20AE048E"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48F"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490"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0491"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492"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493" w14:textId="77777777" w:rsidR="00B626E7" w:rsidRDefault="00175C1D">
            <w:pPr>
              <w:jc w:val="right"/>
              <w:textAlignment w:val="bottom"/>
            </w:pPr>
            <w:r>
              <w:rPr>
                <w:rFonts w:ascii="Arial" w:eastAsia="宋体" w:hAnsi="Arial" w:cs="Arial"/>
                <w:color w:val="333333"/>
                <w:sz w:val="18"/>
                <w:szCs w:val="18"/>
              </w:rPr>
              <w:t>(2,764)</w:t>
            </w:r>
          </w:p>
        </w:tc>
        <w:tc>
          <w:tcPr>
            <w:tcW w:w="0" w:type="auto"/>
            <w:shd w:val="clear" w:color="auto" w:fill="auto"/>
            <w:tcMar>
              <w:top w:w="40" w:type="dxa"/>
              <w:bottom w:w="40" w:type="dxa"/>
              <w:right w:w="20" w:type="dxa"/>
            </w:tcMar>
            <w:vAlign w:val="bottom"/>
          </w:tcPr>
          <w:p w14:paraId="20AE0494"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495"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496" w14:textId="77777777" w:rsidR="00B626E7" w:rsidRDefault="00175C1D">
            <w:pPr>
              <w:jc w:val="right"/>
              <w:textAlignment w:val="bottom"/>
            </w:pPr>
            <w:r>
              <w:rPr>
                <w:rFonts w:ascii="Arial" w:eastAsia="宋体" w:hAnsi="Arial" w:cs="Arial"/>
                <w:color w:val="333333"/>
                <w:sz w:val="18"/>
                <w:szCs w:val="18"/>
              </w:rPr>
              <w:t>(3,145)</w:t>
            </w:r>
          </w:p>
        </w:tc>
        <w:tc>
          <w:tcPr>
            <w:tcW w:w="0" w:type="auto"/>
            <w:shd w:val="clear" w:color="auto" w:fill="auto"/>
            <w:tcMar>
              <w:top w:w="40" w:type="dxa"/>
              <w:bottom w:w="40" w:type="dxa"/>
              <w:right w:w="20" w:type="dxa"/>
            </w:tcMar>
            <w:vAlign w:val="bottom"/>
          </w:tcPr>
          <w:p w14:paraId="20AE0497"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0498" w14:textId="77777777" w:rsidR="00B626E7" w:rsidRDefault="00B626E7">
            <w:pPr>
              <w:rPr>
                <w:rFonts w:ascii="宋体"/>
              </w:rPr>
            </w:pPr>
          </w:p>
        </w:tc>
        <w:tc>
          <w:tcPr>
            <w:tcW w:w="0" w:type="auto"/>
            <w:shd w:val="clear" w:color="auto" w:fill="auto"/>
          </w:tcPr>
          <w:p w14:paraId="20AE0499" w14:textId="77777777" w:rsidR="00B626E7" w:rsidRDefault="00B626E7">
            <w:pPr>
              <w:rPr>
                <w:rFonts w:ascii="宋体"/>
              </w:rPr>
            </w:pPr>
          </w:p>
        </w:tc>
        <w:tc>
          <w:tcPr>
            <w:tcW w:w="0" w:type="auto"/>
            <w:shd w:val="clear" w:color="auto" w:fill="auto"/>
          </w:tcPr>
          <w:p w14:paraId="20AE049A" w14:textId="77777777" w:rsidR="00B626E7" w:rsidRDefault="00B626E7">
            <w:pPr>
              <w:rPr>
                <w:rFonts w:ascii="宋体"/>
              </w:rPr>
            </w:pPr>
          </w:p>
        </w:tc>
        <w:tc>
          <w:tcPr>
            <w:tcW w:w="0" w:type="auto"/>
            <w:shd w:val="clear" w:color="auto" w:fill="auto"/>
          </w:tcPr>
          <w:p w14:paraId="20AE049B" w14:textId="77777777" w:rsidR="00B626E7" w:rsidRDefault="00B626E7">
            <w:pPr>
              <w:rPr>
                <w:rFonts w:ascii="宋体"/>
              </w:rPr>
            </w:pPr>
          </w:p>
        </w:tc>
        <w:tc>
          <w:tcPr>
            <w:tcW w:w="0" w:type="auto"/>
            <w:shd w:val="clear" w:color="auto" w:fill="auto"/>
          </w:tcPr>
          <w:p w14:paraId="20AE049C" w14:textId="77777777" w:rsidR="00B626E7" w:rsidRDefault="00B626E7">
            <w:pPr>
              <w:rPr>
                <w:rFonts w:ascii="宋体"/>
              </w:rPr>
            </w:pPr>
          </w:p>
        </w:tc>
        <w:tc>
          <w:tcPr>
            <w:tcW w:w="0" w:type="auto"/>
            <w:shd w:val="clear" w:color="auto" w:fill="auto"/>
          </w:tcPr>
          <w:p w14:paraId="20AE049D" w14:textId="77777777" w:rsidR="00B626E7" w:rsidRDefault="00B626E7">
            <w:pPr>
              <w:rPr>
                <w:rFonts w:ascii="宋体"/>
              </w:rPr>
            </w:pPr>
          </w:p>
        </w:tc>
        <w:tc>
          <w:tcPr>
            <w:tcW w:w="0" w:type="auto"/>
            <w:shd w:val="clear" w:color="auto" w:fill="auto"/>
          </w:tcPr>
          <w:p w14:paraId="20AE049E" w14:textId="77777777" w:rsidR="00B626E7" w:rsidRDefault="00B626E7">
            <w:pPr>
              <w:rPr>
                <w:rFonts w:ascii="宋体"/>
              </w:rPr>
            </w:pPr>
          </w:p>
        </w:tc>
        <w:tc>
          <w:tcPr>
            <w:tcW w:w="0" w:type="auto"/>
            <w:shd w:val="clear" w:color="auto" w:fill="auto"/>
          </w:tcPr>
          <w:p w14:paraId="20AE049F" w14:textId="77777777" w:rsidR="00B626E7" w:rsidRDefault="00B626E7">
            <w:pPr>
              <w:rPr>
                <w:rFonts w:ascii="宋体"/>
              </w:rPr>
            </w:pPr>
          </w:p>
        </w:tc>
        <w:tc>
          <w:tcPr>
            <w:tcW w:w="0" w:type="auto"/>
            <w:shd w:val="clear" w:color="auto" w:fill="auto"/>
          </w:tcPr>
          <w:p w14:paraId="20AE04A0" w14:textId="77777777" w:rsidR="00B626E7" w:rsidRDefault="00B626E7">
            <w:pPr>
              <w:rPr>
                <w:rFonts w:ascii="宋体"/>
              </w:rPr>
            </w:pPr>
          </w:p>
        </w:tc>
      </w:tr>
      <w:tr w:rsidR="00B626E7" w14:paraId="20AE04BB" w14:textId="77777777">
        <w:tc>
          <w:tcPr>
            <w:tcW w:w="0" w:type="auto"/>
            <w:gridSpan w:val="3"/>
            <w:shd w:val="clear" w:color="auto" w:fill="auto"/>
            <w:tcMar>
              <w:top w:w="40" w:type="dxa"/>
              <w:left w:w="20" w:type="dxa"/>
              <w:bottom w:w="40" w:type="dxa"/>
              <w:right w:w="20" w:type="dxa"/>
            </w:tcMar>
            <w:vAlign w:val="bottom"/>
          </w:tcPr>
          <w:p w14:paraId="20AE04A2" w14:textId="77777777" w:rsidR="00B626E7" w:rsidRDefault="00175C1D">
            <w:pPr>
              <w:textAlignment w:val="bottom"/>
            </w:pPr>
            <w:r>
              <w:rPr>
                <w:rFonts w:ascii="Arial" w:eastAsia="宋体" w:hAnsi="Arial" w:cs="Arial"/>
                <w:color w:val="333333"/>
                <w:sz w:val="18"/>
                <w:szCs w:val="18"/>
              </w:rPr>
              <w:t>Restricted stock unit withholdings</w:t>
            </w:r>
          </w:p>
        </w:tc>
        <w:tc>
          <w:tcPr>
            <w:tcW w:w="0" w:type="auto"/>
            <w:gridSpan w:val="3"/>
            <w:shd w:val="clear" w:color="auto" w:fill="auto"/>
            <w:tcMar>
              <w:left w:w="20" w:type="dxa"/>
              <w:right w:w="20" w:type="dxa"/>
            </w:tcMar>
            <w:vAlign w:val="bottom"/>
          </w:tcPr>
          <w:p w14:paraId="20AE04A3"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4A4" w14:textId="77777777" w:rsidR="00B626E7" w:rsidRDefault="00175C1D">
            <w:pPr>
              <w:jc w:val="right"/>
              <w:textAlignment w:val="bottom"/>
            </w:pPr>
            <w:r>
              <w:rPr>
                <w:rFonts w:ascii="Arial" w:eastAsia="宋体" w:hAnsi="Arial" w:cs="Arial"/>
                <w:color w:val="333333"/>
                <w:sz w:val="18"/>
                <w:szCs w:val="18"/>
              </w:rPr>
              <w:t>(7)</w:t>
            </w:r>
          </w:p>
        </w:tc>
        <w:tc>
          <w:tcPr>
            <w:tcW w:w="0" w:type="auto"/>
            <w:shd w:val="clear" w:color="auto" w:fill="auto"/>
            <w:tcMar>
              <w:top w:w="40" w:type="dxa"/>
              <w:bottom w:w="40" w:type="dxa"/>
              <w:right w:w="20" w:type="dxa"/>
            </w:tcMar>
            <w:vAlign w:val="bottom"/>
          </w:tcPr>
          <w:p w14:paraId="20AE04A5"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4A6"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4A7" w14:textId="77777777" w:rsidR="00B626E7" w:rsidRDefault="00175C1D">
            <w:pPr>
              <w:jc w:val="right"/>
              <w:textAlignment w:val="bottom"/>
            </w:pPr>
            <w:r>
              <w:rPr>
                <w:rFonts w:ascii="Arial" w:eastAsia="宋体" w:hAnsi="Arial" w:cs="Arial"/>
                <w:color w:val="333333"/>
                <w:sz w:val="18"/>
                <w:szCs w:val="18"/>
              </w:rPr>
              <w:t>(235)</w:t>
            </w:r>
          </w:p>
        </w:tc>
        <w:tc>
          <w:tcPr>
            <w:tcW w:w="0" w:type="auto"/>
            <w:shd w:val="clear" w:color="auto" w:fill="auto"/>
            <w:tcMar>
              <w:top w:w="40" w:type="dxa"/>
              <w:bottom w:w="40" w:type="dxa"/>
              <w:right w:w="20" w:type="dxa"/>
            </w:tcMar>
            <w:vAlign w:val="bottom"/>
          </w:tcPr>
          <w:p w14:paraId="20AE04A8"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4A9"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4AA"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04AB"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4AC"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4AD" w14:textId="77777777" w:rsidR="00B626E7" w:rsidRDefault="00175C1D">
            <w:pPr>
              <w:jc w:val="right"/>
              <w:textAlignment w:val="bottom"/>
            </w:pPr>
            <w:r>
              <w:rPr>
                <w:rFonts w:ascii="Arial" w:eastAsia="宋体" w:hAnsi="Arial" w:cs="Arial"/>
                <w:color w:val="333333"/>
                <w:sz w:val="18"/>
                <w:szCs w:val="18"/>
              </w:rPr>
              <w:t>(114)</w:t>
            </w:r>
          </w:p>
        </w:tc>
        <w:tc>
          <w:tcPr>
            <w:tcW w:w="0" w:type="auto"/>
            <w:shd w:val="clear" w:color="auto" w:fill="auto"/>
            <w:tcMar>
              <w:top w:w="40" w:type="dxa"/>
              <w:bottom w:w="40" w:type="dxa"/>
              <w:right w:w="20" w:type="dxa"/>
            </w:tcMar>
            <w:vAlign w:val="bottom"/>
          </w:tcPr>
          <w:p w14:paraId="20AE04AE"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4AF"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4B0" w14:textId="77777777" w:rsidR="00B626E7" w:rsidRDefault="00175C1D">
            <w:pPr>
              <w:jc w:val="right"/>
              <w:textAlignment w:val="bottom"/>
            </w:pPr>
            <w:r>
              <w:rPr>
                <w:rFonts w:ascii="Arial" w:eastAsia="宋体" w:hAnsi="Arial" w:cs="Arial"/>
                <w:color w:val="333333"/>
                <w:sz w:val="18"/>
                <w:szCs w:val="18"/>
              </w:rPr>
              <w:t>(349)</w:t>
            </w:r>
          </w:p>
        </w:tc>
        <w:tc>
          <w:tcPr>
            <w:tcW w:w="0" w:type="auto"/>
            <w:shd w:val="clear" w:color="auto" w:fill="auto"/>
            <w:tcMar>
              <w:top w:w="40" w:type="dxa"/>
              <w:bottom w:w="40" w:type="dxa"/>
              <w:right w:w="20" w:type="dxa"/>
            </w:tcMar>
            <w:vAlign w:val="bottom"/>
          </w:tcPr>
          <w:p w14:paraId="20AE04B1"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04B2" w14:textId="77777777" w:rsidR="00B626E7" w:rsidRDefault="00B626E7">
            <w:pPr>
              <w:rPr>
                <w:rFonts w:ascii="宋体"/>
              </w:rPr>
            </w:pPr>
          </w:p>
        </w:tc>
        <w:tc>
          <w:tcPr>
            <w:tcW w:w="0" w:type="auto"/>
            <w:shd w:val="clear" w:color="auto" w:fill="auto"/>
          </w:tcPr>
          <w:p w14:paraId="20AE04B3" w14:textId="77777777" w:rsidR="00B626E7" w:rsidRDefault="00B626E7">
            <w:pPr>
              <w:rPr>
                <w:rFonts w:ascii="宋体"/>
              </w:rPr>
            </w:pPr>
          </w:p>
        </w:tc>
        <w:tc>
          <w:tcPr>
            <w:tcW w:w="0" w:type="auto"/>
            <w:shd w:val="clear" w:color="auto" w:fill="auto"/>
          </w:tcPr>
          <w:p w14:paraId="20AE04B4" w14:textId="77777777" w:rsidR="00B626E7" w:rsidRDefault="00B626E7">
            <w:pPr>
              <w:rPr>
                <w:rFonts w:ascii="宋体"/>
              </w:rPr>
            </w:pPr>
          </w:p>
        </w:tc>
        <w:tc>
          <w:tcPr>
            <w:tcW w:w="0" w:type="auto"/>
            <w:shd w:val="clear" w:color="auto" w:fill="auto"/>
          </w:tcPr>
          <w:p w14:paraId="20AE04B5" w14:textId="77777777" w:rsidR="00B626E7" w:rsidRDefault="00B626E7">
            <w:pPr>
              <w:rPr>
                <w:rFonts w:ascii="宋体"/>
              </w:rPr>
            </w:pPr>
          </w:p>
        </w:tc>
        <w:tc>
          <w:tcPr>
            <w:tcW w:w="0" w:type="auto"/>
            <w:shd w:val="clear" w:color="auto" w:fill="auto"/>
          </w:tcPr>
          <w:p w14:paraId="20AE04B6" w14:textId="77777777" w:rsidR="00B626E7" w:rsidRDefault="00B626E7">
            <w:pPr>
              <w:rPr>
                <w:rFonts w:ascii="宋体"/>
              </w:rPr>
            </w:pPr>
          </w:p>
        </w:tc>
        <w:tc>
          <w:tcPr>
            <w:tcW w:w="0" w:type="auto"/>
            <w:shd w:val="clear" w:color="auto" w:fill="auto"/>
          </w:tcPr>
          <w:p w14:paraId="20AE04B7" w14:textId="77777777" w:rsidR="00B626E7" w:rsidRDefault="00B626E7">
            <w:pPr>
              <w:rPr>
                <w:rFonts w:ascii="宋体"/>
              </w:rPr>
            </w:pPr>
          </w:p>
        </w:tc>
        <w:tc>
          <w:tcPr>
            <w:tcW w:w="0" w:type="auto"/>
            <w:shd w:val="clear" w:color="auto" w:fill="auto"/>
          </w:tcPr>
          <w:p w14:paraId="20AE04B8" w14:textId="77777777" w:rsidR="00B626E7" w:rsidRDefault="00B626E7">
            <w:pPr>
              <w:rPr>
                <w:rFonts w:ascii="宋体"/>
              </w:rPr>
            </w:pPr>
          </w:p>
        </w:tc>
        <w:tc>
          <w:tcPr>
            <w:tcW w:w="0" w:type="auto"/>
            <w:shd w:val="clear" w:color="auto" w:fill="auto"/>
          </w:tcPr>
          <w:p w14:paraId="20AE04B9" w14:textId="77777777" w:rsidR="00B626E7" w:rsidRDefault="00B626E7">
            <w:pPr>
              <w:rPr>
                <w:rFonts w:ascii="宋体"/>
              </w:rPr>
            </w:pPr>
          </w:p>
        </w:tc>
        <w:tc>
          <w:tcPr>
            <w:tcW w:w="0" w:type="auto"/>
            <w:shd w:val="clear" w:color="auto" w:fill="auto"/>
          </w:tcPr>
          <w:p w14:paraId="20AE04BA" w14:textId="77777777" w:rsidR="00B626E7" w:rsidRDefault="00B626E7">
            <w:pPr>
              <w:rPr>
                <w:rFonts w:ascii="宋体"/>
              </w:rPr>
            </w:pPr>
          </w:p>
        </w:tc>
      </w:tr>
      <w:tr w:rsidR="00B626E7" w14:paraId="20AE04D0" w14:textId="77777777">
        <w:trPr>
          <w:hidden/>
        </w:trPr>
        <w:tc>
          <w:tcPr>
            <w:tcW w:w="0" w:type="auto"/>
            <w:gridSpan w:val="3"/>
            <w:shd w:val="clear" w:color="auto" w:fill="auto"/>
          </w:tcPr>
          <w:p w14:paraId="20AE04BC" w14:textId="77777777" w:rsidR="00B626E7" w:rsidRDefault="00B626E7">
            <w:pPr>
              <w:rPr>
                <w:rFonts w:ascii="宋体"/>
                <w:vanish/>
              </w:rPr>
            </w:pPr>
          </w:p>
        </w:tc>
        <w:tc>
          <w:tcPr>
            <w:tcW w:w="0" w:type="auto"/>
            <w:gridSpan w:val="3"/>
            <w:shd w:val="clear" w:color="auto" w:fill="auto"/>
          </w:tcPr>
          <w:p w14:paraId="20AE04BD" w14:textId="77777777" w:rsidR="00B626E7" w:rsidRDefault="00B626E7">
            <w:pPr>
              <w:rPr>
                <w:rFonts w:ascii="宋体"/>
                <w:vanish/>
              </w:rPr>
            </w:pPr>
          </w:p>
        </w:tc>
        <w:tc>
          <w:tcPr>
            <w:tcW w:w="0" w:type="auto"/>
            <w:gridSpan w:val="3"/>
            <w:shd w:val="clear" w:color="auto" w:fill="auto"/>
          </w:tcPr>
          <w:p w14:paraId="20AE04BE" w14:textId="77777777" w:rsidR="00B626E7" w:rsidRDefault="00B626E7">
            <w:pPr>
              <w:rPr>
                <w:rFonts w:ascii="宋体"/>
                <w:vanish/>
              </w:rPr>
            </w:pPr>
          </w:p>
        </w:tc>
        <w:tc>
          <w:tcPr>
            <w:tcW w:w="0" w:type="auto"/>
            <w:gridSpan w:val="3"/>
            <w:shd w:val="clear" w:color="auto" w:fill="auto"/>
          </w:tcPr>
          <w:p w14:paraId="20AE04BF" w14:textId="77777777" w:rsidR="00B626E7" w:rsidRDefault="00B626E7">
            <w:pPr>
              <w:rPr>
                <w:rFonts w:ascii="宋体"/>
                <w:vanish/>
              </w:rPr>
            </w:pPr>
          </w:p>
        </w:tc>
        <w:tc>
          <w:tcPr>
            <w:tcW w:w="0" w:type="auto"/>
            <w:gridSpan w:val="3"/>
            <w:shd w:val="clear" w:color="auto" w:fill="auto"/>
          </w:tcPr>
          <w:p w14:paraId="20AE04C0" w14:textId="77777777" w:rsidR="00B626E7" w:rsidRDefault="00B626E7">
            <w:pPr>
              <w:rPr>
                <w:rFonts w:ascii="宋体"/>
                <w:vanish/>
              </w:rPr>
            </w:pPr>
          </w:p>
        </w:tc>
        <w:tc>
          <w:tcPr>
            <w:tcW w:w="0" w:type="auto"/>
            <w:gridSpan w:val="3"/>
            <w:shd w:val="clear" w:color="auto" w:fill="auto"/>
          </w:tcPr>
          <w:p w14:paraId="20AE04C1" w14:textId="77777777" w:rsidR="00B626E7" w:rsidRDefault="00B626E7">
            <w:pPr>
              <w:rPr>
                <w:rFonts w:ascii="宋体"/>
                <w:vanish/>
              </w:rPr>
            </w:pPr>
          </w:p>
        </w:tc>
        <w:tc>
          <w:tcPr>
            <w:tcW w:w="0" w:type="auto"/>
            <w:gridSpan w:val="3"/>
            <w:shd w:val="clear" w:color="auto" w:fill="auto"/>
          </w:tcPr>
          <w:p w14:paraId="20AE04C2" w14:textId="77777777" w:rsidR="00B626E7" w:rsidRDefault="00B626E7">
            <w:pPr>
              <w:rPr>
                <w:rFonts w:ascii="宋体"/>
                <w:vanish/>
              </w:rPr>
            </w:pPr>
          </w:p>
        </w:tc>
        <w:tc>
          <w:tcPr>
            <w:tcW w:w="0" w:type="auto"/>
            <w:gridSpan w:val="3"/>
            <w:shd w:val="clear" w:color="auto" w:fill="auto"/>
          </w:tcPr>
          <w:p w14:paraId="20AE04C3" w14:textId="77777777" w:rsidR="00B626E7" w:rsidRDefault="00B626E7">
            <w:pPr>
              <w:rPr>
                <w:rFonts w:ascii="宋体"/>
                <w:vanish/>
              </w:rPr>
            </w:pPr>
          </w:p>
        </w:tc>
        <w:tc>
          <w:tcPr>
            <w:tcW w:w="0" w:type="auto"/>
            <w:gridSpan w:val="3"/>
            <w:shd w:val="clear" w:color="auto" w:fill="auto"/>
          </w:tcPr>
          <w:p w14:paraId="20AE04C4" w14:textId="77777777" w:rsidR="00B626E7" w:rsidRDefault="00B626E7">
            <w:pPr>
              <w:rPr>
                <w:rFonts w:ascii="宋体"/>
                <w:vanish/>
              </w:rPr>
            </w:pPr>
          </w:p>
        </w:tc>
        <w:tc>
          <w:tcPr>
            <w:tcW w:w="0" w:type="auto"/>
            <w:gridSpan w:val="3"/>
            <w:shd w:val="clear" w:color="auto" w:fill="auto"/>
          </w:tcPr>
          <w:p w14:paraId="20AE04C5" w14:textId="77777777" w:rsidR="00B626E7" w:rsidRDefault="00B626E7">
            <w:pPr>
              <w:rPr>
                <w:rFonts w:ascii="宋体"/>
                <w:vanish/>
              </w:rPr>
            </w:pPr>
          </w:p>
        </w:tc>
        <w:tc>
          <w:tcPr>
            <w:tcW w:w="0" w:type="auto"/>
            <w:gridSpan w:val="3"/>
            <w:shd w:val="clear" w:color="auto" w:fill="auto"/>
          </w:tcPr>
          <w:p w14:paraId="20AE04C6" w14:textId="77777777" w:rsidR="00B626E7" w:rsidRDefault="00B626E7">
            <w:pPr>
              <w:rPr>
                <w:rFonts w:ascii="宋体"/>
                <w:vanish/>
              </w:rPr>
            </w:pPr>
          </w:p>
        </w:tc>
        <w:tc>
          <w:tcPr>
            <w:tcW w:w="0" w:type="auto"/>
            <w:shd w:val="clear" w:color="auto" w:fill="auto"/>
          </w:tcPr>
          <w:p w14:paraId="20AE04C7" w14:textId="77777777" w:rsidR="00B626E7" w:rsidRDefault="00B626E7">
            <w:pPr>
              <w:rPr>
                <w:rFonts w:ascii="宋体"/>
              </w:rPr>
            </w:pPr>
          </w:p>
        </w:tc>
        <w:tc>
          <w:tcPr>
            <w:tcW w:w="0" w:type="auto"/>
            <w:shd w:val="clear" w:color="auto" w:fill="auto"/>
          </w:tcPr>
          <w:p w14:paraId="20AE04C8" w14:textId="77777777" w:rsidR="00B626E7" w:rsidRDefault="00B626E7">
            <w:pPr>
              <w:rPr>
                <w:rFonts w:ascii="宋体"/>
              </w:rPr>
            </w:pPr>
          </w:p>
        </w:tc>
        <w:tc>
          <w:tcPr>
            <w:tcW w:w="0" w:type="auto"/>
            <w:shd w:val="clear" w:color="auto" w:fill="auto"/>
          </w:tcPr>
          <w:p w14:paraId="20AE04C9" w14:textId="77777777" w:rsidR="00B626E7" w:rsidRDefault="00B626E7">
            <w:pPr>
              <w:rPr>
                <w:rFonts w:ascii="宋体"/>
              </w:rPr>
            </w:pPr>
          </w:p>
        </w:tc>
        <w:tc>
          <w:tcPr>
            <w:tcW w:w="0" w:type="auto"/>
            <w:shd w:val="clear" w:color="auto" w:fill="auto"/>
          </w:tcPr>
          <w:p w14:paraId="20AE04CA" w14:textId="77777777" w:rsidR="00B626E7" w:rsidRDefault="00B626E7">
            <w:pPr>
              <w:rPr>
                <w:rFonts w:ascii="宋体"/>
              </w:rPr>
            </w:pPr>
          </w:p>
        </w:tc>
        <w:tc>
          <w:tcPr>
            <w:tcW w:w="0" w:type="auto"/>
            <w:shd w:val="clear" w:color="auto" w:fill="auto"/>
          </w:tcPr>
          <w:p w14:paraId="20AE04CB" w14:textId="77777777" w:rsidR="00B626E7" w:rsidRDefault="00B626E7">
            <w:pPr>
              <w:rPr>
                <w:rFonts w:ascii="宋体"/>
              </w:rPr>
            </w:pPr>
          </w:p>
        </w:tc>
        <w:tc>
          <w:tcPr>
            <w:tcW w:w="0" w:type="auto"/>
            <w:shd w:val="clear" w:color="auto" w:fill="auto"/>
          </w:tcPr>
          <w:p w14:paraId="20AE04CC" w14:textId="77777777" w:rsidR="00B626E7" w:rsidRDefault="00B626E7">
            <w:pPr>
              <w:rPr>
                <w:rFonts w:ascii="宋体"/>
              </w:rPr>
            </w:pPr>
          </w:p>
        </w:tc>
        <w:tc>
          <w:tcPr>
            <w:tcW w:w="0" w:type="auto"/>
            <w:shd w:val="clear" w:color="auto" w:fill="auto"/>
          </w:tcPr>
          <w:p w14:paraId="20AE04CD" w14:textId="77777777" w:rsidR="00B626E7" w:rsidRDefault="00B626E7">
            <w:pPr>
              <w:rPr>
                <w:rFonts w:ascii="宋体"/>
              </w:rPr>
            </w:pPr>
          </w:p>
        </w:tc>
        <w:tc>
          <w:tcPr>
            <w:tcW w:w="0" w:type="auto"/>
            <w:shd w:val="clear" w:color="auto" w:fill="auto"/>
          </w:tcPr>
          <w:p w14:paraId="20AE04CE" w14:textId="77777777" w:rsidR="00B626E7" w:rsidRDefault="00B626E7">
            <w:pPr>
              <w:rPr>
                <w:rFonts w:ascii="宋体"/>
              </w:rPr>
            </w:pPr>
          </w:p>
        </w:tc>
        <w:tc>
          <w:tcPr>
            <w:tcW w:w="0" w:type="auto"/>
            <w:shd w:val="clear" w:color="auto" w:fill="auto"/>
          </w:tcPr>
          <w:p w14:paraId="20AE04CF" w14:textId="77777777" w:rsidR="00B626E7" w:rsidRDefault="00B626E7">
            <w:pPr>
              <w:rPr>
                <w:rFonts w:ascii="宋体"/>
              </w:rPr>
            </w:pPr>
          </w:p>
        </w:tc>
      </w:tr>
      <w:tr w:rsidR="00B626E7" w14:paraId="20AE04E5" w14:textId="77777777">
        <w:trPr>
          <w:hidden/>
        </w:trPr>
        <w:tc>
          <w:tcPr>
            <w:tcW w:w="0" w:type="auto"/>
            <w:gridSpan w:val="3"/>
            <w:shd w:val="clear" w:color="auto" w:fill="auto"/>
          </w:tcPr>
          <w:p w14:paraId="20AE04D1" w14:textId="77777777" w:rsidR="00B626E7" w:rsidRDefault="00B626E7">
            <w:pPr>
              <w:rPr>
                <w:rFonts w:ascii="宋体"/>
                <w:vanish/>
              </w:rPr>
            </w:pPr>
          </w:p>
        </w:tc>
        <w:tc>
          <w:tcPr>
            <w:tcW w:w="0" w:type="auto"/>
            <w:gridSpan w:val="3"/>
            <w:shd w:val="clear" w:color="auto" w:fill="auto"/>
          </w:tcPr>
          <w:p w14:paraId="20AE04D2" w14:textId="77777777" w:rsidR="00B626E7" w:rsidRDefault="00B626E7">
            <w:pPr>
              <w:rPr>
                <w:rFonts w:ascii="宋体"/>
                <w:vanish/>
              </w:rPr>
            </w:pPr>
          </w:p>
        </w:tc>
        <w:tc>
          <w:tcPr>
            <w:tcW w:w="0" w:type="auto"/>
            <w:gridSpan w:val="3"/>
            <w:shd w:val="clear" w:color="auto" w:fill="auto"/>
          </w:tcPr>
          <w:p w14:paraId="20AE04D3" w14:textId="77777777" w:rsidR="00B626E7" w:rsidRDefault="00B626E7">
            <w:pPr>
              <w:rPr>
                <w:rFonts w:ascii="宋体"/>
                <w:vanish/>
              </w:rPr>
            </w:pPr>
          </w:p>
        </w:tc>
        <w:tc>
          <w:tcPr>
            <w:tcW w:w="0" w:type="auto"/>
            <w:gridSpan w:val="3"/>
            <w:shd w:val="clear" w:color="auto" w:fill="auto"/>
          </w:tcPr>
          <w:p w14:paraId="20AE04D4" w14:textId="77777777" w:rsidR="00B626E7" w:rsidRDefault="00B626E7">
            <w:pPr>
              <w:rPr>
                <w:rFonts w:ascii="宋体"/>
                <w:vanish/>
              </w:rPr>
            </w:pPr>
          </w:p>
        </w:tc>
        <w:tc>
          <w:tcPr>
            <w:tcW w:w="0" w:type="auto"/>
            <w:gridSpan w:val="3"/>
            <w:shd w:val="clear" w:color="auto" w:fill="auto"/>
          </w:tcPr>
          <w:p w14:paraId="20AE04D5" w14:textId="77777777" w:rsidR="00B626E7" w:rsidRDefault="00B626E7">
            <w:pPr>
              <w:rPr>
                <w:rFonts w:ascii="宋体"/>
                <w:vanish/>
              </w:rPr>
            </w:pPr>
          </w:p>
        </w:tc>
        <w:tc>
          <w:tcPr>
            <w:tcW w:w="0" w:type="auto"/>
            <w:gridSpan w:val="3"/>
            <w:shd w:val="clear" w:color="auto" w:fill="auto"/>
          </w:tcPr>
          <w:p w14:paraId="20AE04D6" w14:textId="77777777" w:rsidR="00B626E7" w:rsidRDefault="00B626E7">
            <w:pPr>
              <w:rPr>
                <w:rFonts w:ascii="宋体"/>
                <w:vanish/>
              </w:rPr>
            </w:pPr>
          </w:p>
        </w:tc>
        <w:tc>
          <w:tcPr>
            <w:tcW w:w="0" w:type="auto"/>
            <w:gridSpan w:val="3"/>
            <w:shd w:val="clear" w:color="auto" w:fill="auto"/>
          </w:tcPr>
          <w:p w14:paraId="20AE04D7" w14:textId="77777777" w:rsidR="00B626E7" w:rsidRDefault="00B626E7">
            <w:pPr>
              <w:rPr>
                <w:rFonts w:ascii="宋体"/>
                <w:vanish/>
              </w:rPr>
            </w:pPr>
          </w:p>
        </w:tc>
        <w:tc>
          <w:tcPr>
            <w:tcW w:w="0" w:type="auto"/>
            <w:gridSpan w:val="3"/>
            <w:shd w:val="clear" w:color="auto" w:fill="auto"/>
          </w:tcPr>
          <w:p w14:paraId="20AE04D8" w14:textId="77777777" w:rsidR="00B626E7" w:rsidRDefault="00B626E7">
            <w:pPr>
              <w:rPr>
                <w:rFonts w:ascii="宋体"/>
                <w:vanish/>
              </w:rPr>
            </w:pPr>
          </w:p>
        </w:tc>
        <w:tc>
          <w:tcPr>
            <w:tcW w:w="0" w:type="auto"/>
            <w:gridSpan w:val="3"/>
            <w:shd w:val="clear" w:color="auto" w:fill="auto"/>
          </w:tcPr>
          <w:p w14:paraId="20AE04D9" w14:textId="77777777" w:rsidR="00B626E7" w:rsidRDefault="00B626E7">
            <w:pPr>
              <w:rPr>
                <w:rFonts w:ascii="宋体"/>
                <w:vanish/>
              </w:rPr>
            </w:pPr>
          </w:p>
        </w:tc>
        <w:tc>
          <w:tcPr>
            <w:tcW w:w="0" w:type="auto"/>
            <w:gridSpan w:val="3"/>
            <w:shd w:val="clear" w:color="auto" w:fill="auto"/>
          </w:tcPr>
          <w:p w14:paraId="20AE04DA" w14:textId="77777777" w:rsidR="00B626E7" w:rsidRDefault="00B626E7">
            <w:pPr>
              <w:rPr>
                <w:rFonts w:ascii="宋体"/>
                <w:vanish/>
              </w:rPr>
            </w:pPr>
          </w:p>
        </w:tc>
        <w:tc>
          <w:tcPr>
            <w:tcW w:w="0" w:type="auto"/>
            <w:gridSpan w:val="3"/>
            <w:shd w:val="clear" w:color="auto" w:fill="auto"/>
          </w:tcPr>
          <w:p w14:paraId="20AE04DB" w14:textId="77777777" w:rsidR="00B626E7" w:rsidRDefault="00B626E7">
            <w:pPr>
              <w:rPr>
                <w:rFonts w:ascii="宋体"/>
                <w:vanish/>
              </w:rPr>
            </w:pPr>
          </w:p>
        </w:tc>
        <w:tc>
          <w:tcPr>
            <w:tcW w:w="0" w:type="auto"/>
            <w:shd w:val="clear" w:color="auto" w:fill="auto"/>
          </w:tcPr>
          <w:p w14:paraId="20AE04DC" w14:textId="77777777" w:rsidR="00B626E7" w:rsidRDefault="00B626E7">
            <w:pPr>
              <w:rPr>
                <w:rFonts w:ascii="宋体"/>
              </w:rPr>
            </w:pPr>
          </w:p>
        </w:tc>
        <w:tc>
          <w:tcPr>
            <w:tcW w:w="0" w:type="auto"/>
            <w:shd w:val="clear" w:color="auto" w:fill="auto"/>
          </w:tcPr>
          <w:p w14:paraId="20AE04DD" w14:textId="77777777" w:rsidR="00B626E7" w:rsidRDefault="00B626E7">
            <w:pPr>
              <w:rPr>
                <w:rFonts w:ascii="宋体"/>
              </w:rPr>
            </w:pPr>
          </w:p>
        </w:tc>
        <w:tc>
          <w:tcPr>
            <w:tcW w:w="0" w:type="auto"/>
            <w:shd w:val="clear" w:color="auto" w:fill="auto"/>
          </w:tcPr>
          <w:p w14:paraId="20AE04DE" w14:textId="77777777" w:rsidR="00B626E7" w:rsidRDefault="00B626E7">
            <w:pPr>
              <w:rPr>
                <w:rFonts w:ascii="宋体"/>
              </w:rPr>
            </w:pPr>
          </w:p>
        </w:tc>
        <w:tc>
          <w:tcPr>
            <w:tcW w:w="0" w:type="auto"/>
            <w:shd w:val="clear" w:color="auto" w:fill="auto"/>
          </w:tcPr>
          <w:p w14:paraId="20AE04DF" w14:textId="77777777" w:rsidR="00B626E7" w:rsidRDefault="00B626E7">
            <w:pPr>
              <w:rPr>
                <w:rFonts w:ascii="宋体"/>
              </w:rPr>
            </w:pPr>
          </w:p>
        </w:tc>
        <w:tc>
          <w:tcPr>
            <w:tcW w:w="0" w:type="auto"/>
            <w:shd w:val="clear" w:color="auto" w:fill="auto"/>
          </w:tcPr>
          <w:p w14:paraId="20AE04E0" w14:textId="77777777" w:rsidR="00B626E7" w:rsidRDefault="00B626E7">
            <w:pPr>
              <w:rPr>
                <w:rFonts w:ascii="宋体"/>
              </w:rPr>
            </w:pPr>
          </w:p>
        </w:tc>
        <w:tc>
          <w:tcPr>
            <w:tcW w:w="0" w:type="auto"/>
            <w:shd w:val="clear" w:color="auto" w:fill="auto"/>
          </w:tcPr>
          <w:p w14:paraId="20AE04E1" w14:textId="77777777" w:rsidR="00B626E7" w:rsidRDefault="00B626E7">
            <w:pPr>
              <w:rPr>
                <w:rFonts w:ascii="宋体"/>
              </w:rPr>
            </w:pPr>
          </w:p>
        </w:tc>
        <w:tc>
          <w:tcPr>
            <w:tcW w:w="0" w:type="auto"/>
            <w:shd w:val="clear" w:color="auto" w:fill="auto"/>
          </w:tcPr>
          <w:p w14:paraId="20AE04E2" w14:textId="77777777" w:rsidR="00B626E7" w:rsidRDefault="00B626E7">
            <w:pPr>
              <w:rPr>
                <w:rFonts w:ascii="宋体"/>
              </w:rPr>
            </w:pPr>
          </w:p>
        </w:tc>
        <w:tc>
          <w:tcPr>
            <w:tcW w:w="0" w:type="auto"/>
            <w:shd w:val="clear" w:color="auto" w:fill="auto"/>
          </w:tcPr>
          <w:p w14:paraId="20AE04E3" w14:textId="77777777" w:rsidR="00B626E7" w:rsidRDefault="00B626E7">
            <w:pPr>
              <w:rPr>
                <w:rFonts w:ascii="宋体"/>
              </w:rPr>
            </w:pPr>
          </w:p>
        </w:tc>
        <w:tc>
          <w:tcPr>
            <w:tcW w:w="0" w:type="auto"/>
            <w:shd w:val="clear" w:color="auto" w:fill="auto"/>
          </w:tcPr>
          <w:p w14:paraId="20AE04E4" w14:textId="77777777" w:rsidR="00B626E7" w:rsidRDefault="00B626E7">
            <w:pPr>
              <w:rPr>
                <w:rFonts w:ascii="宋体"/>
              </w:rPr>
            </w:pPr>
          </w:p>
        </w:tc>
      </w:tr>
      <w:tr w:rsidR="00B626E7" w14:paraId="20AE0503" w14:textId="77777777">
        <w:tc>
          <w:tcPr>
            <w:tcW w:w="0" w:type="auto"/>
            <w:gridSpan w:val="3"/>
            <w:shd w:val="clear" w:color="auto" w:fill="auto"/>
            <w:tcMar>
              <w:top w:w="40" w:type="dxa"/>
              <w:left w:w="20" w:type="dxa"/>
              <w:bottom w:w="40" w:type="dxa"/>
              <w:right w:w="20" w:type="dxa"/>
            </w:tcMar>
            <w:vAlign w:val="bottom"/>
          </w:tcPr>
          <w:p w14:paraId="20AE04E6" w14:textId="77777777" w:rsidR="00B626E7" w:rsidRDefault="00175C1D">
            <w:pPr>
              <w:textAlignment w:val="bottom"/>
            </w:pPr>
            <w:r>
              <w:rPr>
                <w:rFonts w:ascii="Arial" w:eastAsia="宋体" w:hAnsi="Arial" w:cs="Arial"/>
                <w:b/>
                <w:bCs/>
                <w:color w:val="333333"/>
                <w:sz w:val="18"/>
                <w:szCs w:val="18"/>
              </w:rPr>
              <w:t>Balance as of June 29, 2019</w:t>
            </w:r>
          </w:p>
        </w:tc>
        <w:tc>
          <w:tcPr>
            <w:tcW w:w="0" w:type="auto"/>
            <w:gridSpan w:val="3"/>
            <w:shd w:val="clear" w:color="auto" w:fill="auto"/>
            <w:tcMar>
              <w:left w:w="20" w:type="dxa"/>
              <w:right w:w="20" w:type="dxa"/>
            </w:tcMar>
            <w:vAlign w:val="bottom"/>
          </w:tcPr>
          <w:p w14:paraId="20AE04E7"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04E8" w14:textId="77777777" w:rsidR="00B626E7" w:rsidRDefault="00175C1D">
            <w:pPr>
              <w:jc w:val="right"/>
              <w:textAlignment w:val="bottom"/>
            </w:pPr>
            <w:r>
              <w:rPr>
                <w:rFonts w:ascii="Arial" w:eastAsia="宋体" w:hAnsi="Arial" w:cs="Arial"/>
                <w:b/>
                <w:bCs/>
                <w:color w:val="333333"/>
                <w:sz w:val="18"/>
                <w:szCs w:val="18"/>
              </w:rPr>
              <w:t>4,430 </w:t>
            </w:r>
          </w:p>
        </w:tc>
        <w:tc>
          <w:tcPr>
            <w:tcW w:w="0" w:type="auto"/>
            <w:tcBorders>
              <w:top w:val="single" w:sz="8" w:space="0" w:color="333333"/>
            </w:tcBorders>
            <w:shd w:val="clear" w:color="auto" w:fill="auto"/>
            <w:tcMar>
              <w:top w:w="40" w:type="dxa"/>
              <w:bottom w:w="40" w:type="dxa"/>
              <w:right w:w="20" w:type="dxa"/>
            </w:tcMar>
            <w:vAlign w:val="bottom"/>
          </w:tcPr>
          <w:p w14:paraId="20AE04E9"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04EA" w14:textId="77777777" w:rsidR="00B626E7" w:rsidRDefault="00B626E7">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20AE04EB"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20AE04EC" w14:textId="77777777" w:rsidR="00B626E7" w:rsidRDefault="00175C1D">
            <w:pPr>
              <w:jc w:val="right"/>
              <w:textAlignment w:val="bottom"/>
            </w:pPr>
            <w:r>
              <w:rPr>
                <w:rFonts w:ascii="Arial" w:eastAsia="宋体" w:hAnsi="Arial" w:cs="Arial"/>
                <w:b/>
                <w:bCs/>
                <w:color w:val="333333"/>
                <w:sz w:val="18"/>
                <w:szCs w:val="18"/>
              </w:rPr>
              <w:t>25,140 </w:t>
            </w:r>
          </w:p>
        </w:tc>
        <w:tc>
          <w:tcPr>
            <w:tcW w:w="0" w:type="auto"/>
            <w:tcBorders>
              <w:top w:val="single" w:sz="8" w:space="0" w:color="333333"/>
            </w:tcBorders>
            <w:shd w:val="clear" w:color="auto" w:fill="auto"/>
            <w:tcMar>
              <w:top w:w="40" w:type="dxa"/>
              <w:bottom w:w="40" w:type="dxa"/>
              <w:right w:w="20" w:type="dxa"/>
            </w:tcMar>
            <w:vAlign w:val="bottom"/>
          </w:tcPr>
          <w:p w14:paraId="20AE04ED"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04EE" w14:textId="77777777" w:rsidR="00B626E7" w:rsidRDefault="00B626E7">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20AE04EF"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20AE04F0" w14:textId="77777777" w:rsidR="00B626E7" w:rsidRDefault="00175C1D">
            <w:pPr>
              <w:jc w:val="right"/>
              <w:textAlignment w:val="bottom"/>
            </w:pPr>
            <w:r>
              <w:rPr>
                <w:rFonts w:ascii="Arial" w:eastAsia="宋体" w:hAnsi="Arial" w:cs="Arial"/>
                <w:b/>
                <w:bCs/>
                <w:color w:val="333333"/>
                <w:sz w:val="18"/>
                <w:szCs w:val="18"/>
              </w:rPr>
              <w:t>(622)</w:t>
            </w:r>
          </w:p>
        </w:tc>
        <w:tc>
          <w:tcPr>
            <w:tcW w:w="0" w:type="auto"/>
            <w:tcBorders>
              <w:top w:val="single" w:sz="8" w:space="0" w:color="333333"/>
            </w:tcBorders>
            <w:shd w:val="clear" w:color="auto" w:fill="auto"/>
            <w:tcMar>
              <w:top w:w="40" w:type="dxa"/>
              <w:bottom w:w="40" w:type="dxa"/>
              <w:right w:w="20" w:type="dxa"/>
            </w:tcMar>
            <w:vAlign w:val="bottom"/>
          </w:tcPr>
          <w:p w14:paraId="20AE04F1"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04F2" w14:textId="77777777" w:rsidR="00B626E7" w:rsidRDefault="00B626E7">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20AE04F3"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20AE04F4" w14:textId="77777777" w:rsidR="00B626E7" w:rsidRDefault="00175C1D">
            <w:pPr>
              <w:jc w:val="right"/>
              <w:textAlignment w:val="bottom"/>
            </w:pPr>
            <w:r>
              <w:rPr>
                <w:rFonts w:ascii="Arial" w:eastAsia="宋体" w:hAnsi="Arial" w:cs="Arial"/>
                <w:b/>
                <w:bCs/>
                <w:color w:val="333333"/>
                <w:sz w:val="18"/>
                <w:szCs w:val="18"/>
              </w:rPr>
              <w:t>50,429 </w:t>
            </w:r>
          </w:p>
        </w:tc>
        <w:tc>
          <w:tcPr>
            <w:tcW w:w="0" w:type="auto"/>
            <w:tcBorders>
              <w:top w:val="single" w:sz="8" w:space="0" w:color="333333"/>
            </w:tcBorders>
            <w:shd w:val="clear" w:color="auto" w:fill="auto"/>
            <w:tcMar>
              <w:top w:w="40" w:type="dxa"/>
              <w:bottom w:w="40" w:type="dxa"/>
              <w:right w:w="20" w:type="dxa"/>
            </w:tcMar>
            <w:vAlign w:val="bottom"/>
          </w:tcPr>
          <w:p w14:paraId="20AE04F5"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04F6" w14:textId="77777777" w:rsidR="00B626E7" w:rsidRDefault="00B626E7">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20AE04F7"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20AE04F8" w14:textId="77777777" w:rsidR="00B626E7" w:rsidRDefault="00175C1D">
            <w:pPr>
              <w:jc w:val="right"/>
              <w:textAlignment w:val="bottom"/>
            </w:pPr>
            <w:r>
              <w:rPr>
                <w:rFonts w:ascii="Arial" w:eastAsia="宋体" w:hAnsi="Arial" w:cs="Arial"/>
                <w:b/>
                <w:bCs/>
                <w:color w:val="333333"/>
                <w:sz w:val="18"/>
                <w:szCs w:val="18"/>
              </w:rPr>
              <w:t>74,947 </w:t>
            </w:r>
          </w:p>
        </w:tc>
        <w:tc>
          <w:tcPr>
            <w:tcW w:w="0" w:type="auto"/>
            <w:tcBorders>
              <w:top w:val="single" w:sz="8" w:space="0" w:color="333333"/>
            </w:tcBorders>
            <w:shd w:val="clear" w:color="auto" w:fill="auto"/>
            <w:tcMar>
              <w:top w:w="40" w:type="dxa"/>
              <w:bottom w:w="40" w:type="dxa"/>
              <w:right w:w="20" w:type="dxa"/>
            </w:tcMar>
            <w:vAlign w:val="bottom"/>
          </w:tcPr>
          <w:p w14:paraId="20AE04F9"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E04FA" w14:textId="77777777" w:rsidR="00B626E7" w:rsidRDefault="00B626E7">
            <w:pPr>
              <w:rPr>
                <w:rFonts w:ascii="宋体"/>
              </w:rPr>
            </w:pPr>
          </w:p>
        </w:tc>
        <w:tc>
          <w:tcPr>
            <w:tcW w:w="0" w:type="auto"/>
            <w:shd w:val="clear" w:color="auto" w:fill="auto"/>
          </w:tcPr>
          <w:p w14:paraId="20AE04FB" w14:textId="77777777" w:rsidR="00B626E7" w:rsidRDefault="00B626E7">
            <w:pPr>
              <w:rPr>
                <w:rFonts w:ascii="宋体"/>
              </w:rPr>
            </w:pPr>
          </w:p>
        </w:tc>
        <w:tc>
          <w:tcPr>
            <w:tcW w:w="0" w:type="auto"/>
            <w:shd w:val="clear" w:color="auto" w:fill="auto"/>
          </w:tcPr>
          <w:p w14:paraId="20AE04FC" w14:textId="77777777" w:rsidR="00B626E7" w:rsidRDefault="00B626E7">
            <w:pPr>
              <w:rPr>
                <w:rFonts w:ascii="宋体"/>
              </w:rPr>
            </w:pPr>
          </w:p>
        </w:tc>
        <w:tc>
          <w:tcPr>
            <w:tcW w:w="0" w:type="auto"/>
            <w:shd w:val="clear" w:color="auto" w:fill="auto"/>
          </w:tcPr>
          <w:p w14:paraId="20AE04FD" w14:textId="77777777" w:rsidR="00B626E7" w:rsidRDefault="00B626E7">
            <w:pPr>
              <w:rPr>
                <w:rFonts w:ascii="宋体"/>
              </w:rPr>
            </w:pPr>
          </w:p>
        </w:tc>
        <w:tc>
          <w:tcPr>
            <w:tcW w:w="0" w:type="auto"/>
            <w:shd w:val="clear" w:color="auto" w:fill="auto"/>
          </w:tcPr>
          <w:p w14:paraId="20AE04FE" w14:textId="77777777" w:rsidR="00B626E7" w:rsidRDefault="00B626E7">
            <w:pPr>
              <w:rPr>
                <w:rFonts w:ascii="宋体"/>
              </w:rPr>
            </w:pPr>
          </w:p>
        </w:tc>
        <w:tc>
          <w:tcPr>
            <w:tcW w:w="0" w:type="auto"/>
            <w:shd w:val="clear" w:color="auto" w:fill="auto"/>
          </w:tcPr>
          <w:p w14:paraId="20AE04FF" w14:textId="77777777" w:rsidR="00B626E7" w:rsidRDefault="00B626E7">
            <w:pPr>
              <w:rPr>
                <w:rFonts w:ascii="宋体"/>
              </w:rPr>
            </w:pPr>
          </w:p>
        </w:tc>
        <w:tc>
          <w:tcPr>
            <w:tcW w:w="0" w:type="auto"/>
            <w:shd w:val="clear" w:color="auto" w:fill="auto"/>
          </w:tcPr>
          <w:p w14:paraId="20AE0500" w14:textId="77777777" w:rsidR="00B626E7" w:rsidRDefault="00B626E7">
            <w:pPr>
              <w:rPr>
                <w:rFonts w:ascii="宋体"/>
              </w:rPr>
            </w:pPr>
          </w:p>
        </w:tc>
        <w:tc>
          <w:tcPr>
            <w:tcW w:w="0" w:type="auto"/>
            <w:shd w:val="clear" w:color="auto" w:fill="auto"/>
          </w:tcPr>
          <w:p w14:paraId="20AE0501" w14:textId="77777777" w:rsidR="00B626E7" w:rsidRDefault="00B626E7">
            <w:pPr>
              <w:rPr>
                <w:rFonts w:ascii="宋体"/>
              </w:rPr>
            </w:pPr>
          </w:p>
        </w:tc>
        <w:tc>
          <w:tcPr>
            <w:tcW w:w="0" w:type="auto"/>
            <w:shd w:val="clear" w:color="auto" w:fill="auto"/>
          </w:tcPr>
          <w:p w14:paraId="20AE0502" w14:textId="77777777" w:rsidR="00B626E7" w:rsidRDefault="00B626E7">
            <w:pPr>
              <w:rPr>
                <w:rFonts w:ascii="宋体"/>
              </w:rPr>
            </w:pPr>
          </w:p>
        </w:tc>
      </w:tr>
      <w:tr w:rsidR="00B626E7" w14:paraId="20AE0518" w14:textId="77777777">
        <w:trPr>
          <w:trHeight w:val="180"/>
        </w:trPr>
        <w:tc>
          <w:tcPr>
            <w:tcW w:w="0" w:type="auto"/>
            <w:gridSpan w:val="3"/>
            <w:shd w:val="clear" w:color="auto" w:fill="auto"/>
            <w:tcMar>
              <w:left w:w="20" w:type="dxa"/>
              <w:right w:w="20" w:type="dxa"/>
            </w:tcMar>
            <w:vAlign w:val="bottom"/>
          </w:tcPr>
          <w:p w14:paraId="20AE0504"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505" w14:textId="77777777" w:rsidR="00B626E7" w:rsidRDefault="00B626E7">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20AE0506"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507" w14:textId="77777777" w:rsidR="00B626E7" w:rsidRDefault="00B626E7">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20AE0508"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509" w14:textId="77777777" w:rsidR="00B626E7" w:rsidRDefault="00B626E7">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20AE050A"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50B" w14:textId="77777777" w:rsidR="00B626E7" w:rsidRDefault="00B626E7">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20AE050C"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50D" w14:textId="77777777" w:rsidR="00B626E7" w:rsidRDefault="00B626E7">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20AE050E" w14:textId="77777777" w:rsidR="00B626E7" w:rsidRDefault="00B626E7">
            <w:pPr>
              <w:rPr>
                <w:rFonts w:ascii="宋体"/>
              </w:rPr>
            </w:pPr>
          </w:p>
        </w:tc>
        <w:tc>
          <w:tcPr>
            <w:tcW w:w="0" w:type="auto"/>
            <w:shd w:val="clear" w:color="auto" w:fill="auto"/>
          </w:tcPr>
          <w:p w14:paraId="20AE050F" w14:textId="77777777" w:rsidR="00B626E7" w:rsidRDefault="00B626E7">
            <w:pPr>
              <w:rPr>
                <w:rFonts w:ascii="宋体"/>
              </w:rPr>
            </w:pPr>
          </w:p>
        </w:tc>
        <w:tc>
          <w:tcPr>
            <w:tcW w:w="0" w:type="auto"/>
            <w:shd w:val="clear" w:color="auto" w:fill="auto"/>
          </w:tcPr>
          <w:p w14:paraId="20AE0510" w14:textId="77777777" w:rsidR="00B626E7" w:rsidRDefault="00B626E7">
            <w:pPr>
              <w:rPr>
                <w:rFonts w:ascii="宋体"/>
              </w:rPr>
            </w:pPr>
          </w:p>
        </w:tc>
        <w:tc>
          <w:tcPr>
            <w:tcW w:w="0" w:type="auto"/>
            <w:shd w:val="clear" w:color="auto" w:fill="auto"/>
          </w:tcPr>
          <w:p w14:paraId="20AE0511" w14:textId="77777777" w:rsidR="00B626E7" w:rsidRDefault="00B626E7">
            <w:pPr>
              <w:rPr>
                <w:rFonts w:ascii="宋体"/>
              </w:rPr>
            </w:pPr>
          </w:p>
        </w:tc>
        <w:tc>
          <w:tcPr>
            <w:tcW w:w="0" w:type="auto"/>
            <w:shd w:val="clear" w:color="auto" w:fill="auto"/>
          </w:tcPr>
          <w:p w14:paraId="20AE0512" w14:textId="77777777" w:rsidR="00B626E7" w:rsidRDefault="00B626E7">
            <w:pPr>
              <w:rPr>
                <w:rFonts w:ascii="宋体"/>
              </w:rPr>
            </w:pPr>
          </w:p>
        </w:tc>
        <w:tc>
          <w:tcPr>
            <w:tcW w:w="0" w:type="auto"/>
            <w:shd w:val="clear" w:color="auto" w:fill="auto"/>
          </w:tcPr>
          <w:p w14:paraId="20AE0513" w14:textId="77777777" w:rsidR="00B626E7" w:rsidRDefault="00B626E7">
            <w:pPr>
              <w:rPr>
                <w:rFonts w:ascii="宋体"/>
              </w:rPr>
            </w:pPr>
          </w:p>
        </w:tc>
        <w:tc>
          <w:tcPr>
            <w:tcW w:w="0" w:type="auto"/>
            <w:shd w:val="clear" w:color="auto" w:fill="auto"/>
          </w:tcPr>
          <w:p w14:paraId="20AE0514" w14:textId="77777777" w:rsidR="00B626E7" w:rsidRDefault="00B626E7">
            <w:pPr>
              <w:rPr>
                <w:rFonts w:ascii="宋体"/>
              </w:rPr>
            </w:pPr>
          </w:p>
        </w:tc>
        <w:tc>
          <w:tcPr>
            <w:tcW w:w="0" w:type="auto"/>
            <w:shd w:val="clear" w:color="auto" w:fill="auto"/>
          </w:tcPr>
          <w:p w14:paraId="20AE0515" w14:textId="77777777" w:rsidR="00B626E7" w:rsidRDefault="00B626E7">
            <w:pPr>
              <w:rPr>
                <w:rFonts w:ascii="宋体"/>
              </w:rPr>
            </w:pPr>
          </w:p>
        </w:tc>
        <w:tc>
          <w:tcPr>
            <w:tcW w:w="0" w:type="auto"/>
            <w:shd w:val="clear" w:color="auto" w:fill="auto"/>
          </w:tcPr>
          <w:p w14:paraId="20AE0516" w14:textId="77777777" w:rsidR="00B626E7" w:rsidRDefault="00B626E7">
            <w:pPr>
              <w:rPr>
                <w:rFonts w:ascii="宋体"/>
              </w:rPr>
            </w:pPr>
          </w:p>
        </w:tc>
        <w:tc>
          <w:tcPr>
            <w:tcW w:w="0" w:type="auto"/>
            <w:shd w:val="clear" w:color="auto" w:fill="auto"/>
          </w:tcPr>
          <w:p w14:paraId="20AE0517" w14:textId="77777777" w:rsidR="00B626E7" w:rsidRDefault="00B626E7">
            <w:pPr>
              <w:rPr>
                <w:rFonts w:ascii="宋体"/>
              </w:rPr>
            </w:pPr>
          </w:p>
        </w:tc>
      </w:tr>
      <w:tr w:rsidR="00B626E7" w14:paraId="20AE052D" w14:textId="77777777">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0519" w14:textId="77777777" w:rsidR="00B626E7" w:rsidRDefault="00175C1D">
            <w:pPr>
              <w:textAlignment w:val="bottom"/>
            </w:pPr>
            <w:r>
              <w:rPr>
                <w:rFonts w:ascii="Arial" w:eastAsia="宋体" w:hAnsi="Arial" w:cs="Arial"/>
                <w:b/>
                <w:bCs/>
                <w:color w:val="333333"/>
                <w:sz w:val="18"/>
                <w:szCs w:val="18"/>
              </w:rPr>
              <w:t>Six Months Ended</w:t>
            </w:r>
          </w:p>
        </w:tc>
        <w:tc>
          <w:tcPr>
            <w:tcW w:w="0" w:type="auto"/>
            <w:gridSpan w:val="3"/>
            <w:tcBorders>
              <w:top w:val="single" w:sz="8" w:space="0" w:color="0071C5"/>
            </w:tcBorders>
            <w:shd w:val="clear" w:color="auto" w:fill="auto"/>
            <w:tcMar>
              <w:left w:w="20" w:type="dxa"/>
              <w:right w:w="20" w:type="dxa"/>
            </w:tcMar>
            <w:vAlign w:val="bottom"/>
          </w:tcPr>
          <w:p w14:paraId="20AE051A"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051B"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051C"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051D"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051E"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051F"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0520"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0521"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0522"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0523" w14:textId="77777777" w:rsidR="00B626E7" w:rsidRDefault="00B626E7">
            <w:pPr>
              <w:rPr>
                <w:rFonts w:ascii="宋体"/>
              </w:rPr>
            </w:pPr>
          </w:p>
        </w:tc>
        <w:tc>
          <w:tcPr>
            <w:tcW w:w="0" w:type="auto"/>
            <w:shd w:val="clear" w:color="auto" w:fill="auto"/>
          </w:tcPr>
          <w:p w14:paraId="20AE0524" w14:textId="77777777" w:rsidR="00B626E7" w:rsidRDefault="00B626E7">
            <w:pPr>
              <w:rPr>
                <w:rFonts w:ascii="宋体"/>
              </w:rPr>
            </w:pPr>
          </w:p>
        </w:tc>
        <w:tc>
          <w:tcPr>
            <w:tcW w:w="0" w:type="auto"/>
            <w:shd w:val="clear" w:color="auto" w:fill="auto"/>
          </w:tcPr>
          <w:p w14:paraId="20AE0525" w14:textId="77777777" w:rsidR="00B626E7" w:rsidRDefault="00B626E7">
            <w:pPr>
              <w:rPr>
                <w:rFonts w:ascii="宋体"/>
              </w:rPr>
            </w:pPr>
          </w:p>
        </w:tc>
        <w:tc>
          <w:tcPr>
            <w:tcW w:w="0" w:type="auto"/>
            <w:shd w:val="clear" w:color="auto" w:fill="auto"/>
          </w:tcPr>
          <w:p w14:paraId="20AE0526" w14:textId="77777777" w:rsidR="00B626E7" w:rsidRDefault="00B626E7">
            <w:pPr>
              <w:rPr>
                <w:rFonts w:ascii="宋体"/>
              </w:rPr>
            </w:pPr>
          </w:p>
        </w:tc>
        <w:tc>
          <w:tcPr>
            <w:tcW w:w="0" w:type="auto"/>
            <w:shd w:val="clear" w:color="auto" w:fill="auto"/>
          </w:tcPr>
          <w:p w14:paraId="20AE0527" w14:textId="77777777" w:rsidR="00B626E7" w:rsidRDefault="00B626E7">
            <w:pPr>
              <w:rPr>
                <w:rFonts w:ascii="宋体"/>
              </w:rPr>
            </w:pPr>
          </w:p>
        </w:tc>
        <w:tc>
          <w:tcPr>
            <w:tcW w:w="0" w:type="auto"/>
            <w:shd w:val="clear" w:color="auto" w:fill="auto"/>
          </w:tcPr>
          <w:p w14:paraId="20AE0528" w14:textId="77777777" w:rsidR="00B626E7" w:rsidRDefault="00B626E7">
            <w:pPr>
              <w:rPr>
                <w:rFonts w:ascii="宋体"/>
              </w:rPr>
            </w:pPr>
          </w:p>
        </w:tc>
        <w:tc>
          <w:tcPr>
            <w:tcW w:w="0" w:type="auto"/>
            <w:shd w:val="clear" w:color="auto" w:fill="auto"/>
          </w:tcPr>
          <w:p w14:paraId="20AE0529" w14:textId="77777777" w:rsidR="00B626E7" w:rsidRDefault="00B626E7">
            <w:pPr>
              <w:rPr>
                <w:rFonts w:ascii="宋体"/>
              </w:rPr>
            </w:pPr>
          </w:p>
        </w:tc>
        <w:tc>
          <w:tcPr>
            <w:tcW w:w="0" w:type="auto"/>
            <w:shd w:val="clear" w:color="auto" w:fill="auto"/>
          </w:tcPr>
          <w:p w14:paraId="20AE052A" w14:textId="77777777" w:rsidR="00B626E7" w:rsidRDefault="00B626E7">
            <w:pPr>
              <w:rPr>
                <w:rFonts w:ascii="宋体"/>
              </w:rPr>
            </w:pPr>
          </w:p>
        </w:tc>
        <w:tc>
          <w:tcPr>
            <w:tcW w:w="0" w:type="auto"/>
            <w:shd w:val="clear" w:color="auto" w:fill="auto"/>
          </w:tcPr>
          <w:p w14:paraId="20AE052B" w14:textId="77777777" w:rsidR="00B626E7" w:rsidRDefault="00B626E7">
            <w:pPr>
              <w:rPr>
                <w:rFonts w:ascii="宋体"/>
              </w:rPr>
            </w:pPr>
          </w:p>
        </w:tc>
        <w:tc>
          <w:tcPr>
            <w:tcW w:w="0" w:type="auto"/>
            <w:shd w:val="clear" w:color="auto" w:fill="auto"/>
          </w:tcPr>
          <w:p w14:paraId="20AE052C" w14:textId="77777777" w:rsidR="00B626E7" w:rsidRDefault="00B626E7">
            <w:pPr>
              <w:rPr>
                <w:rFonts w:ascii="宋体"/>
              </w:rPr>
            </w:pPr>
          </w:p>
        </w:tc>
      </w:tr>
      <w:tr w:rsidR="00B626E7" w14:paraId="20AE0542" w14:textId="77777777">
        <w:trPr>
          <w:trHeight w:val="100"/>
        </w:trPr>
        <w:tc>
          <w:tcPr>
            <w:tcW w:w="0" w:type="auto"/>
            <w:gridSpan w:val="3"/>
            <w:tcBorders>
              <w:top w:val="single" w:sz="8" w:space="0" w:color="0071C5"/>
            </w:tcBorders>
            <w:shd w:val="clear" w:color="auto" w:fill="auto"/>
            <w:tcMar>
              <w:left w:w="20" w:type="dxa"/>
              <w:right w:w="20" w:type="dxa"/>
            </w:tcMar>
            <w:vAlign w:val="bottom"/>
          </w:tcPr>
          <w:p w14:paraId="20AE052E"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052F"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0530"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0531"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0532"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0533"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0534"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0535"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0536"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0537"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0538" w14:textId="77777777" w:rsidR="00B626E7" w:rsidRDefault="00B626E7">
            <w:pPr>
              <w:rPr>
                <w:rFonts w:ascii="宋体"/>
              </w:rPr>
            </w:pPr>
          </w:p>
        </w:tc>
        <w:tc>
          <w:tcPr>
            <w:tcW w:w="0" w:type="auto"/>
            <w:shd w:val="clear" w:color="auto" w:fill="auto"/>
          </w:tcPr>
          <w:p w14:paraId="20AE0539" w14:textId="77777777" w:rsidR="00B626E7" w:rsidRDefault="00B626E7">
            <w:pPr>
              <w:rPr>
                <w:rFonts w:ascii="宋体"/>
              </w:rPr>
            </w:pPr>
          </w:p>
        </w:tc>
        <w:tc>
          <w:tcPr>
            <w:tcW w:w="0" w:type="auto"/>
            <w:shd w:val="clear" w:color="auto" w:fill="auto"/>
          </w:tcPr>
          <w:p w14:paraId="20AE053A" w14:textId="77777777" w:rsidR="00B626E7" w:rsidRDefault="00B626E7">
            <w:pPr>
              <w:rPr>
                <w:rFonts w:ascii="宋体"/>
              </w:rPr>
            </w:pPr>
          </w:p>
        </w:tc>
        <w:tc>
          <w:tcPr>
            <w:tcW w:w="0" w:type="auto"/>
            <w:shd w:val="clear" w:color="auto" w:fill="auto"/>
          </w:tcPr>
          <w:p w14:paraId="20AE053B" w14:textId="77777777" w:rsidR="00B626E7" w:rsidRDefault="00B626E7">
            <w:pPr>
              <w:rPr>
                <w:rFonts w:ascii="宋体"/>
              </w:rPr>
            </w:pPr>
          </w:p>
        </w:tc>
        <w:tc>
          <w:tcPr>
            <w:tcW w:w="0" w:type="auto"/>
            <w:shd w:val="clear" w:color="auto" w:fill="auto"/>
          </w:tcPr>
          <w:p w14:paraId="20AE053C" w14:textId="77777777" w:rsidR="00B626E7" w:rsidRDefault="00B626E7">
            <w:pPr>
              <w:rPr>
                <w:rFonts w:ascii="宋体"/>
              </w:rPr>
            </w:pPr>
          </w:p>
        </w:tc>
        <w:tc>
          <w:tcPr>
            <w:tcW w:w="0" w:type="auto"/>
            <w:shd w:val="clear" w:color="auto" w:fill="auto"/>
          </w:tcPr>
          <w:p w14:paraId="20AE053D" w14:textId="77777777" w:rsidR="00B626E7" w:rsidRDefault="00B626E7">
            <w:pPr>
              <w:rPr>
                <w:rFonts w:ascii="宋体"/>
              </w:rPr>
            </w:pPr>
          </w:p>
        </w:tc>
        <w:tc>
          <w:tcPr>
            <w:tcW w:w="0" w:type="auto"/>
            <w:shd w:val="clear" w:color="auto" w:fill="auto"/>
          </w:tcPr>
          <w:p w14:paraId="20AE053E" w14:textId="77777777" w:rsidR="00B626E7" w:rsidRDefault="00B626E7">
            <w:pPr>
              <w:rPr>
                <w:rFonts w:ascii="宋体"/>
              </w:rPr>
            </w:pPr>
          </w:p>
        </w:tc>
        <w:tc>
          <w:tcPr>
            <w:tcW w:w="0" w:type="auto"/>
            <w:shd w:val="clear" w:color="auto" w:fill="auto"/>
          </w:tcPr>
          <w:p w14:paraId="20AE053F" w14:textId="77777777" w:rsidR="00B626E7" w:rsidRDefault="00B626E7">
            <w:pPr>
              <w:rPr>
                <w:rFonts w:ascii="宋体"/>
              </w:rPr>
            </w:pPr>
          </w:p>
        </w:tc>
        <w:tc>
          <w:tcPr>
            <w:tcW w:w="0" w:type="auto"/>
            <w:shd w:val="clear" w:color="auto" w:fill="auto"/>
          </w:tcPr>
          <w:p w14:paraId="20AE0540" w14:textId="77777777" w:rsidR="00B626E7" w:rsidRDefault="00B626E7">
            <w:pPr>
              <w:rPr>
                <w:rFonts w:ascii="宋体"/>
              </w:rPr>
            </w:pPr>
          </w:p>
        </w:tc>
        <w:tc>
          <w:tcPr>
            <w:tcW w:w="0" w:type="auto"/>
            <w:shd w:val="clear" w:color="auto" w:fill="auto"/>
          </w:tcPr>
          <w:p w14:paraId="20AE0541" w14:textId="77777777" w:rsidR="00B626E7" w:rsidRDefault="00B626E7">
            <w:pPr>
              <w:rPr>
                <w:rFonts w:ascii="宋体"/>
              </w:rPr>
            </w:pPr>
          </w:p>
        </w:tc>
      </w:tr>
      <w:tr w:rsidR="00B626E7" w14:paraId="20AE0560" w14:textId="77777777">
        <w:tc>
          <w:tcPr>
            <w:tcW w:w="0" w:type="auto"/>
            <w:gridSpan w:val="3"/>
            <w:shd w:val="clear" w:color="auto" w:fill="auto"/>
            <w:tcMar>
              <w:top w:w="40" w:type="dxa"/>
              <w:left w:w="20" w:type="dxa"/>
              <w:bottom w:w="40" w:type="dxa"/>
              <w:right w:w="20" w:type="dxa"/>
            </w:tcMar>
            <w:vAlign w:val="bottom"/>
          </w:tcPr>
          <w:p w14:paraId="20AE0543" w14:textId="77777777" w:rsidR="00B626E7" w:rsidRDefault="00175C1D">
            <w:pPr>
              <w:textAlignment w:val="bottom"/>
            </w:pPr>
            <w:r>
              <w:rPr>
                <w:rFonts w:ascii="Arial" w:eastAsia="宋体" w:hAnsi="Arial" w:cs="Arial"/>
                <w:b/>
                <w:bCs/>
                <w:color w:val="333333"/>
                <w:sz w:val="18"/>
                <w:szCs w:val="18"/>
              </w:rPr>
              <w:t>Balance as of December 28, 2019</w:t>
            </w:r>
          </w:p>
        </w:tc>
        <w:tc>
          <w:tcPr>
            <w:tcW w:w="0" w:type="auto"/>
            <w:gridSpan w:val="3"/>
            <w:shd w:val="clear" w:color="auto" w:fill="auto"/>
            <w:tcMar>
              <w:left w:w="20" w:type="dxa"/>
              <w:right w:w="20" w:type="dxa"/>
            </w:tcMar>
            <w:vAlign w:val="bottom"/>
          </w:tcPr>
          <w:p w14:paraId="20AE0544"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545" w14:textId="77777777" w:rsidR="00B626E7" w:rsidRDefault="00175C1D">
            <w:pPr>
              <w:jc w:val="right"/>
              <w:textAlignment w:val="bottom"/>
            </w:pPr>
            <w:r>
              <w:rPr>
                <w:rFonts w:ascii="Arial" w:eastAsia="宋体" w:hAnsi="Arial" w:cs="Arial"/>
                <w:b/>
                <w:bCs/>
                <w:color w:val="333333"/>
                <w:sz w:val="18"/>
                <w:szCs w:val="18"/>
              </w:rPr>
              <w:t>4,290 </w:t>
            </w:r>
          </w:p>
        </w:tc>
        <w:tc>
          <w:tcPr>
            <w:tcW w:w="0" w:type="auto"/>
            <w:shd w:val="clear" w:color="auto" w:fill="auto"/>
            <w:tcMar>
              <w:top w:w="40" w:type="dxa"/>
              <w:bottom w:w="40" w:type="dxa"/>
              <w:right w:w="20" w:type="dxa"/>
            </w:tcMar>
            <w:vAlign w:val="bottom"/>
          </w:tcPr>
          <w:p w14:paraId="20AE0546"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0547"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0548" w14:textId="77777777" w:rsidR="00B626E7" w:rsidRDefault="00175C1D">
            <w:pPr>
              <w:textAlignment w:val="bottom"/>
            </w:pPr>
            <w:r>
              <w:rPr>
                <w:rFonts w:ascii="Arial" w:eastAsia="宋体" w:hAnsi="Arial" w:cs="Arial"/>
                <w:b/>
                <w:bCs/>
                <w:color w:val="333333"/>
                <w:sz w:val="18"/>
                <w:szCs w:val="18"/>
              </w:rPr>
              <w:t>$</w:t>
            </w:r>
          </w:p>
        </w:tc>
        <w:tc>
          <w:tcPr>
            <w:tcW w:w="0" w:type="auto"/>
            <w:shd w:val="clear" w:color="auto" w:fill="auto"/>
            <w:tcMar>
              <w:top w:w="40" w:type="dxa"/>
              <w:bottom w:w="40" w:type="dxa"/>
              <w:right w:w="0" w:type="dxa"/>
            </w:tcMar>
            <w:vAlign w:val="bottom"/>
          </w:tcPr>
          <w:p w14:paraId="20AE0549" w14:textId="77777777" w:rsidR="00B626E7" w:rsidRDefault="00175C1D">
            <w:pPr>
              <w:jc w:val="right"/>
              <w:textAlignment w:val="bottom"/>
            </w:pPr>
            <w:r>
              <w:rPr>
                <w:rFonts w:ascii="Arial" w:eastAsia="宋体" w:hAnsi="Arial" w:cs="Arial"/>
                <w:b/>
                <w:bCs/>
                <w:color w:val="333333"/>
                <w:sz w:val="18"/>
                <w:szCs w:val="18"/>
              </w:rPr>
              <w:t>25,261 </w:t>
            </w:r>
          </w:p>
        </w:tc>
        <w:tc>
          <w:tcPr>
            <w:tcW w:w="0" w:type="auto"/>
            <w:shd w:val="clear" w:color="auto" w:fill="auto"/>
            <w:tcMar>
              <w:top w:w="40" w:type="dxa"/>
              <w:bottom w:w="40" w:type="dxa"/>
              <w:right w:w="20" w:type="dxa"/>
            </w:tcMar>
            <w:vAlign w:val="bottom"/>
          </w:tcPr>
          <w:p w14:paraId="20AE054A"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054B"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054C" w14:textId="77777777" w:rsidR="00B626E7" w:rsidRDefault="00175C1D">
            <w:pPr>
              <w:textAlignment w:val="bottom"/>
            </w:pPr>
            <w:r>
              <w:rPr>
                <w:rFonts w:ascii="Arial" w:eastAsia="宋体" w:hAnsi="Arial" w:cs="Arial"/>
                <w:b/>
                <w:bCs/>
                <w:color w:val="333333"/>
                <w:sz w:val="18"/>
                <w:szCs w:val="18"/>
              </w:rPr>
              <w:t>$</w:t>
            </w:r>
          </w:p>
        </w:tc>
        <w:tc>
          <w:tcPr>
            <w:tcW w:w="0" w:type="auto"/>
            <w:shd w:val="clear" w:color="auto" w:fill="auto"/>
            <w:tcMar>
              <w:top w:w="40" w:type="dxa"/>
              <w:bottom w:w="40" w:type="dxa"/>
              <w:right w:w="0" w:type="dxa"/>
            </w:tcMar>
            <w:vAlign w:val="bottom"/>
          </w:tcPr>
          <w:p w14:paraId="20AE054D" w14:textId="77777777" w:rsidR="00B626E7" w:rsidRDefault="00175C1D">
            <w:pPr>
              <w:jc w:val="right"/>
              <w:textAlignment w:val="bottom"/>
            </w:pPr>
            <w:r>
              <w:rPr>
                <w:rFonts w:ascii="Arial" w:eastAsia="宋体" w:hAnsi="Arial" w:cs="Arial"/>
                <w:b/>
                <w:bCs/>
                <w:color w:val="333333"/>
                <w:sz w:val="18"/>
                <w:szCs w:val="18"/>
              </w:rPr>
              <w:t>(1,280)</w:t>
            </w:r>
          </w:p>
        </w:tc>
        <w:tc>
          <w:tcPr>
            <w:tcW w:w="0" w:type="auto"/>
            <w:shd w:val="clear" w:color="auto" w:fill="auto"/>
            <w:tcMar>
              <w:top w:w="40" w:type="dxa"/>
              <w:bottom w:w="40" w:type="dxa"/>
              <w:right w:w="20" w:type="dxa"/>
            </w:tcMar>
            <w:vAlign w:val="bottom"/>
          </w:tcPr>
          <w:p w14:paraId="20AE054E"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054F"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0550" w14:textId="77777777" w:rsidR="00B626E7" w:rsidRDefault="00175C1D">
            <w:pPr>
              <w:textAlignment w:val="bottom"/>
            </w:pPr>
            <w:r>
              <w:rPr>
                <w:rFonts w:ascii="Arial" w:eastAsia="宋体" w:hAnsi="Arial" w:cs="Arial"/>
                <w:b/>
                <w:bCs/>
                <w:color w:val="333333"/>
                <w:sz w:val="18"/>
                <w:szCs w:val="18"/>
              </w:rPr>
              <w:t>$</w:t>
            </w:r>
          </w:p>
        </w:tc>
        <w:tc>
          <w:tcPr>
            <w:tcW w:w="0" w:type="auto"/>
            <w:shd w:val="clear" w:color="auto" w:fill="auto"/>
            <w:tcMar>
              <w:top w:w="40" w:type="dxa"/>
              <w:bottom w:w="40" w:type="dxa"/>
              <w:right w:w="0" w:type="dxa"/>
            </w:tcMar>
            <w:vAlign w:val="bottom"/>
          </w:tcPr>
          <w:p w14:paraId="20AE0551" w14:textId="77777777" w:rsidR="00B626E7" w:rsidRDefault="00175C1D">
            <w:pPr>
              <w:jc w:val="right"/>
              <w:textAlignment w:val="bottom"/>
            </w:pPr>
            <w:r>
              <w:rPr>
                <w:rFonts w:ascii="Arial" w:eastAsia="宋体" w:hAnsi="Arial" w:cs="Arial"/>
                <w:b/>
                <w:bCs/>
                <w:color w:val="333333"/>
                <w:sz w:val="18"/>
                <w:szCs w:val="18"/>
              </w:rPr>
              <w:t>53,523 </w:t>
            </w:r>
          </w:p>
        </w:tc>
        <w:tc>
          <w:tcPr>
            <w:tcW w:w="0" w:type="auto"/>
            <w:shd w:val="clear" w:color="auto" w:fill="auto"/>
            <w:tcMar>
              <w:top w:w="40" w:type="dxa"/>
              <w:bottom w:w="40" w:type="dxa"/>
              <w:right w:w="20" w:type="dxa"/>
            </w:tcMar>
            <w:vAlign w:val="bottom"/>
          </w:tcPr>
          <w:p w14:paraId="20AE0552"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0553"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0554" w14:textId="77777777" w:rsidR="00B626E7" w:rsidRDefault="00175C1D">
            <w:pPr>
              <w:textAlignment w:val="bottom"/>
            </w:pPr>
            <w:r>
              <w:rPr>
                <w:rFonts w:ascii="Arial" w:eastAsia="宋体" w:hAnsi="Arial" w:cs="Arial"/>
                <w:b/>
                <w:bCs/>
                <w:color w:val="333333"/>
                <w:sz w:val="18"/>
                <w:szCs w:val="18"/>
              </w:rPr>
              <w:t>$</w:t>
            </w:r>
          </w:p>
        </w:tc>
        <w:tc>
          <w:tcPr>
            <w:tcW w:w="0" w:type="auto"/>
            <w:shd w:val="clear" w:color="auto" w:fill="auto"/>
            <w:tcMar>
              <w:top w:w="40" w:type="dxa"/>
              <w:bottom w:w="40" w:type="dxa"/>
              <w:right w:w="0" w:type="dxa"/>
            </w:tcMar>
            <w:vAlign w:val="bottom"/>
          </w:tcPr>
          <w:p w14:paraId="20AE0555" w14:textId="77777777" w:rsidR="00B626E7" w:rsidRDefault="00175C1D">
            <w:pPr>
              <w:jc w:val="right"/>
              <w:textAlignment w:val="bottom"/>
            </w:pPr>
            <w:r>
              <w:rPr>
                <w:rFonts w:ascii="Arial" w:eastAsia="宋体" w:hAnsi="Arial" w:cs="Arial"/>
                <w:b/>
                <w:bCs/>
                <w:color w:val="333333"/>
                <w:sz w:val="18"/>
                <w:szCs w:val="18"/>
              </w:rPr>
              <w:t>77,504 </w:t>
            </w:r>
          </w:p>
        </w:tc>
        <w:tc>
          <w:tcPr>
            <w:tcW w:w="0" w:type="auto"/>
            <w:shd w:val="clear" w:color="auto" w:fill="auto"/>
            <w:tcMar>
              <w:top w:w="40" w:type="dxa"/>
              <w:bottom w:w="40" w:type="dxa"/>
              <w:right w:w="20" w:type="dxa"/>
            </w:tcMar>
            <w:vAlign w:val="bottom"/>
          </w:tcPr>
          <w:p w14:paraId="20AE0556"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E0557" w14:textId="77777777" w:rsidR="00B626E7" w:rsidRDefault="00B626E7">
            <w:pPr>
              <w:rPr>
                <w:rFonts w:ascii="宋体"/>
              </w:rPr>
            </w:pPr>
          </w:p>
        </w:tc>
        <w:tc>
          <w:tcPr>
            <w:tcW w:w="0" w:type="auto"/>
            <w:shd w:val="clear" w:color="auto" w:fill="auto"/>
          </w:tcPr>
          <w:p w14:paraId="20AE0558" w14:textId="77777777" w:rsidR="00B626E7" w:rsidRDefault="00B626E7">
            <w:pPr>
              <w:rPr>
                <w:rFonts w:ascii="宋体"/>
              </w:rPr>
            </w:pPr>
          </w:p>
        </w:tc>
        <w:tc>
          <w:tcPr>
            <w:tcW w:w="0" w:type="auto"/>
            <w:shd w:val="clear" w:color="auto" w:fill="auto"/>
          </w:tcPr>
          <w:p w14:paraId="20AE0559" w14:textId="77777777" w:rsidR="00B626E7" w:rsidRDefault="00B626E7">
            <w:pPr>
              <w:rPr>
                <w:rFonts w:ascii="宋体"/>
              </w:rPr>
            </w:pPr>
          </w:p>
        </w:tc>
        <w:tc>
          <w:tcPr>
            <w:tcW w:w="0" w:type="auto"/>
            <w:shd w:val="clear" w:color="auto" w:fill="auto"/>
          </w:tcPr>
          <w:p w14:paraId="20AE055A" w14:textId="77777777" w:rsidR="00B626E7" w:rsidRDefault="00B626E7">
            <w:pPr>
              <w:rPr>
                <w:rFonts w:ascii="宋体"/>
              </w:rPr>
            </w:pPr>
          </w:p>
        </w:tc>
        <w:tc>
          <w:tcPr>
            <w:tcW w:w="0" w:type="auto"/>
            <w:shd w:val="clear" w:color="auto" w:fill="auto"/>
          </w:tcPr>
          <w:p w14:paraId="20AE055B" w14:textId="77777777" w:rsidR="00B626E7" w:rsidRDefault="00B626E7">
            <w:pPr>
              <w:rPr>
                <w:rFonts w:ascii="宋体"/>
              </w:rPr>
            </w:pPr>
          </w:p>
        </w:tc>
        <w:tc>
          <w:tcPr>
            <w:tcW w:w="0" w:type="auto"/>
            <w:shd w:val="clear" w:color="auto" w:fill="auto"/>
          </w:tcPr>
          <w:p w14:paraId="20AE055C" w14:textId="77777777" w:rsidR="00B626E7" w:rsidRDefault="00B626E7">
            <w:pPr>
              <w:rPr>
                <w:rFonts w:ascii="宋体"/>
              </w:rPr>
            </w:pPr>
          </w:p>
        </w:tc>
        <w:tc>
          <w:tcPr>
            <w:tcW w:w="0" w:type="auto"/>
            <w:shd w:val="clear" w:color="auto" w:fill="auto"/>
          </w:tcPr>
          <w:p w14:paraId="20AE055D" w14:textId="77777777" w:rsidR="00B626E7" w:rsidRDefault="00B626E7">
            <w:pPr>
              <w:rPr>
                <w:rFonts w:ascii="宋体"/>
              </w:rPr>
            </w:pPr>
          </w:p>
        </w:tc>
        <w:tc>
          <w:tcPr>
            <w:tcW w:w="0" w:type="auto"/>
            <w:shd w:val="clear" w:color="auto" w:fill="auto"/>
          </w:tcPr>
          <w:p w14:paraId="20AE055E" w14:textId="77777777" w:rsidR="00B626E7" w:rsidRDefault="00B626E7">
            <w:pPr>
              <w:rPr>
                <w:rFonts w:ascii="宋体"/>
              </w:rPr>
            </w:pPr>
          </w:p>
        </w:tc>
        <w:tc>
          <w:tcPr>
            <w:tcW w:w="0" w:type="auto"/>
            <w:shd w:val="clear" w:color="auto" w:fill="auto"/>
          </w:tcPr>
          <w:p w14:paraId="20AE055F" w14:textId="77777777" w:rsidR="00B626E7" w:rsidRDefault="00B626E7">
            <w:pPr>
              <w:rPr>
                <w:rFonts w:ascii="宋体"/>
              </w:rPr>
            </w:pPr>
          </w:p>
        </w:tc>
      </w:tr>
      <w:tr w:rsidR="00B626E7" w14:paraId="20AE057A" w14:textId="77777777">
        <w:tc>
          <w:tcPr>
            <w:tcW w:w="0" w:type="auto"/>
            <w:gridSpan w:val="3"/>
            <w:shd w:val="clear" w:color="auto" w:fill="auto"/>
            <w:tcMar>
              <w:top w:w="40" w:type="dxa"/>
              <w:left w:w="20" w:type="dxa"/>
              <w:bottom w:w="40" w:type="dxa"/>
              <w:right w:w="20" w:type="dxa"/>
            </w:tcMar>
            <w:vAlign w:val="bottom"/>
          </w:tcPr>
          <w:p w14:paraId="20AE0561" w14:textId="77777777" w:rsidR="00B626E7" w:rsidRDefault="00175C1D">
            <w:pPr>
              <w:textAlignment w:val="bottom"/>
            </w:pPr>
            <w:r>
              <w:rPr>
                <w:rFonts w:ascii="Arial" w:eastAsia="宋体" w:hAnsi="Arial" w:cs="Arial"/>
                <w:color w:val="333333"/>
                <w:sz w:val="18"/>
                <w:szCs w:val="18"/>
              </w:rPr>
              <w:t>Net income</w:t>
            </w:r>
          </w:p>
        </w:tc>
        <w:tc>
          <w:tcPr>
            <w:tcW w:w="0" w:type="auto"/>
            <w:gridSpan w:val="3"/>
            <w:shd w:val="clear" w:color="auto" w:fill="auto"/>
            <w:tcMar>
              <w:left w:w="20" w:type="dxa"/>
              <w:right w:w="20" w:type="dxa"/>
            </w:tcMar>
            <w:vAlign w:val="bottom"/>
          </w:tcPr>
          <w:p w14:paraId="20AE0562"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563"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20AE0564"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565"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566"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20AE0567"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568"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569"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20AE056A"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56B"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56C" w14:textId="77777777" w:rsidR="00B626E7" w:rsidRDefault="00175C1D">
            <w:pPr>
              <w:jc w:val="right"/>
              <w:textAlignment w:val="bottom"/>
            </w:pPr>
            <w:r>
              <w:rPr>
                <w:rFonts w:ascii="Arial" w:eastAsia="宋体" w:hAnsi="Arial" w:cs="Arial"/>
                <w:color w:val="0071C5"/>
                <w:sz w:val="18"/>
                <w:szCs w:val="18"/>
              </w:rPr>
              <w:t>10,766 </w:t>
            </w:r>
          </w:p>
        </w:tc>
        <w:tc>
          <w:tcPr>
            <w:tcW w:w="0" w:type="auto"/>
            <w:shd w:val="clear" w:color="auto" w:fill="auto"/>
            <w:tcMar>
              <w:top w:w="40" w:type="dxa"/>
              <w:bottom w:w="40" w:type="dxa"/>
              <w:right w:w="20" w:type="dxa"/>
            </w:tcMar>
            <w:vAlign w:val="bottom"/>
          </w:tcPr>
          <w:p w14:paraId="20AE056D"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56E"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56F" w14:textId="77777777" w:rsidR="00B626E7" w:rsidRDefault="00175C1D">
            <w:pPr>
              <w:jc w:val="right"/>
              <w:textAlignment w:val="bottom"/>
            </w:pPr>
            <w:r>
              <w:rPr>
                <w:rFonts w:ascii="Arial" w:eastAsia="宋体" w:hAnsi="Arial" w:cs="Arial"/>
                <w:color w:val="0071C5"/>
                <w:sz w:val="18"/>
                <w:szCs w:val="18"/>
              </w:rPr>
              <w:t>10,766 </w:t>
            </w:r>
          </w:p>
        </w:tc>
        <w:tc>
          <w:tcPr>
            <w:tcW w:w="0" w:type="auto"/>
            <w:shd w:val="clear" w:color="auto" w:fill="auto"/>
            <w:tcMar>
              <w:top w:w="40" w:type="dxa"/>
              <w:bottom w:w="40" w:type="dxa"/>
              <w:right w:w="20" w:type="dxa"/>
            </w:tcMar>
            <w:vAlign w:val="bottom"/>
          </w:tcPr>
          <w:p w14:paraId="20AE0570"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Pr>
          <w:p w14:paraId="20AE0571" w14:textId="77777777" w:rsidR="00B626E7" w:rsidRDefault="00B626E7">
            <w:pPr>
              <w:rPr>
                <w:rFonts w:ascii="宋体"/>
              </w:rPr>
            </w:pPr>
          </w:p>
        </w:tc>
        <w:tc>
          <w:tcPr>
            <w:tcW w:w="0" w:type="auto"/>
            <w:shd w:val="clear" w:color="auto" w:fill="auto"/>
          </w:tcPr>
          <w:p w14:paraId="20AE0572" w14:textId="77777777" w:rsidR="00B626E7" w:rsidRDefault="00B626E7">
            <w:pPr>
              <w:rPr>
                <w:rFonts w:ascii="宋体"/>
              </w:rPr>
            </w:pPr>
          </w:p>
        </w:tc>
        <w:tc>
          <w:tcPr>
            <w:tcW w:w="0" w:type="auto"/>
            <w:shd w:val="clear" w:color="auto" w:fill="auto"/>
          </w:tcPr>
          <w:p w14:paraId="20AE0573" w14:textId="77777777" w:rsidR="00B626E7" w:rsidRDefault="00B626E7">
            <w:pPr>
              <w:rPr>
                <w:rFonts w:ascii="宋体"/>
              </w:rPr>
            </w:pPr>
          </w:p>
        </w:tc>
        <w:tc>
          <w:tcPr>
            <w:tcW w:w="0" w:type="auto"/>
            <w:shd w:val="clear" w:color="auto" w:fill="auto"/>
          </w:tcPr>
          <w:p w14:paraId="20AE0574" w14:textId="77777777" w:rsidR="00B626E7" w:rsidRDefault="00B626E7">
            <w:pPr>
              <w:rPr>
                <w:rFonts w:ascii="宋体"/>
              </w:rPr>
            </w:pPr>
          </w:p>
        </w:tc>
        <w:tc>
          <w:tcPr>
            <w:tcW w:w="0" w:type="auto"/>
            <w:shd w:val="clear" w:color="auto" w:fill="auto"/>
          </w:tcPr>
          <w:p w14:paraId="20AE0575" w14:textId="77777777" w:rsidR="00B626E7" w:rsidRDefault="00B626E7">
            <w:pPr>
              <w:rPr>
                <w:rFonts w:ascii="宋体"/>
              </w:rPr>
            </w:pPr>
          </w:p>
        </w:tc>
        <w:tc>
          <w:tcPr>
            <w:tcW w:w="0" w:type="auto"/>
            <w:shd w:val="clear" w:color="auto" w:fill="auto"/>
          </w:tcPr>
          <w:p w14:paraId="20AE0576" w14:textId="77777777" w:rsidR="00B626E7" w:rsidRDefault="00B626E7">
            <w:pPr>
              <w:rPr>
                <w:rFonts w:ascii="宋体"/>
              </w:rPr>
            </w:pPr>
          </w:p>
        </w:tc>
        <w:tc>
          <w:tcPr>
            <w:tcW w:w="0" w:type="auto"/>
            <w:shd w:val="clear" w:color="auto" w:fill="auto"/>
          </w:tcPr>
          <w:p w14:paraId="20AE0577" w14:textId="77777777" w:rsidR="00B626E7" w:rsidRDefault="00B626E7">
            <w:pPr>
              <w:rPr>
                <w:rFonts w:ascii="宋体"/>
              </w:rPr>
            </w:pPr>
          </w:p>
        </w:tc>
        <w:tc>
          <w:tcPr>
            <w:tcW w:w="0" w:type="auto"/>
            <w:shd w:val="clear" w:color="auto" w:fill="auto"/>
          </w:tcPr>
          <w:p w14:paraId="20AE0578" w14:textId="77777777" w:rsidR="00B626E7" w:rsidRDefault="00B626E7">
            <w:pPr>
              <w:rPr>
                <w:rFonts w:ascii="宋体"/>
              </w:rPr>
            </w:pPr>
          </w:p>
        </w:tc>
        <w:tc>
          <w:tcPr>
            <w:tcW w:w="0" w:type="auto"/>
            <w:shd w:val="clear" w:color="auto" w:fill="auto"/>
          </w:tcPr>
          <w:p w14:paraId="20AE0579" w14:textId="77777777" w:rsidR="00B626E7" w:rsidRDefault="00B626E7">
            <w:pPr>
              <w:rPr>
                <w:rFonts w:ascii="宋体"/>
              </w:rPr>
            </w:pPr>
          </w:p>
        </w:tc>
      </w:tr>
      <w:tr w:rsidR="00B626E7" w14:paraId="20AE0594" w14:textId="77777777">
        <w:tc>
          <w:tcPr>
            <w:tcW w:w="0" w:type="auto"/>
            <w:gridSpan w:val="3"/>
            <w:shd w:val="clear" w:color="auto" w:fill="auto"/>
            <w:tcMar>
              <w:top w:w="40" w:type="dxa"/>
              <w:left w:w="20" w:type="dxa"/>
              <w:bottom w:w="40" w:type="dxa"/>
              <w:right w:w="20" w:type="dxa"/>
            </w:tcMar>
            <w:vAlign w:val="bottom"/>
          </w:tcPr>
          <w:p w14:paraId="20AE057B" w14:textId="77777777" w:rsidR="00B626E7" w:rsidRDefault="00175C1D">
            <w:pPr>
              <w:textAlignment w:val="bottom"/>
            </w:pPr>
            <w:r>
              <w:rPr>
                <w:rFonts w:ascii="Arial" w:eastAsia="宋体" w:hAnsi="Arial" w:cs="Arial"/>
                <w:color w:val="333333"/>
                <w:sz w:val="18"/>
                <w:szCs w:val="18"/>
              </w:rPr>
              <w:t>Other comprehensive income (loss)</w:t>
            </w:r>
          </w:p>
        </w:tc>
        <w:tc>
          <w:tcPr>
            <w:tcW w:w="0" w:type="auto"/>
            <w:gridSpan w:val="3"/>
            <w:shd w:val="clear" w:color="auto" w:fill="auto"/>
            <w:tcMar>
              <w:left w:w="20" w:type="dxa"/>
              <w:right w:w="20" w:type="dxa"/>
            </w:tcMar>
            <w:vAlign w:val="bottom"/>
          </w:tcPr>
          <w:p w14:paraId="20AE057C"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57D"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20AE057E"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57F"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580"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20AE0581"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582"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583" w14:textId="77777777" w:rsidR="00B626E7" w:rsidRDefault="00175C1D">
            <w:pPr>
              <w:jc w:val="right"/>
              <w:textAlignment w:val="bottom"/>
            </w:pPr>
            <w:r>
              <w:rPr>
                <w:rFonts w:ascii="Arial" w:eastAsia="宋体" w:hAnsi="Arial" w:cs="Arial"/>
                <w:color w:val="0071C5"/>
                <w:sz w:val="18"/>
                <w:szCs w:val="18"/>
              </w:rPr>
              <w:t>128 </w:t>
            </w:r>
          </w:p>
        </w:tc>
        <w:tc>
          <w:tcPr>
            <w:tcW w:w="0" w:type="auto"/>
            <w:shd w:val="clear" w:color="auto" w:fill="auto"/>
            <w:tcMar>
              <w:top w:w="40" w:type="dxa"/>
              <w:bottom w:w="40" w:type="dxa"/>
              <w:right w:w="20" w:type="dxa"/>
            </w:tcMar>
            <w:vAlign w:val="bottom"/>
          </w:tcPr>
          <w:p w14:paraId="20AE0584"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585"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586"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20AE0587"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588"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589" w14:textId="77777777" w:rsidR="00B626E7" w:rsidRDefault="00175C1D">
            <w:pPr>
              <w:jc w:val="right"/>
              <w:textAlignment w:val="bottom"/>
            </w:pPr>
            <w:r>
              <w:rPr>
                <w:rFonts w:ascii="Arial" w:eastAsia="宋体" w:hAnsi="Arial" w:cs="Arial"/>
                <w:color w:val="0071C5"/>
                <w:sz w:val="18"/>
                <w:szCs w:val="18"/>
              </w:rPr>
              <w:t>128 </w:t>
            </w:r>
          </w:p>
        </w:tc>
        <w:tc>
          <w:tcPr>
            <w:tcW w:w="0" w:type="auto"/>
            <w:shd w:val="clear" w:color="auto" w:fill="auto"/>
            <w:tcMar>
              <w:top w:w="40" w:type="dxa"/>
              <w:bottom w:w="40" w:type="dxa"/>
              <w:right w:w="20" w:type="dxa"/>
            </w:tcMar>
            <w:vAlign w:val="bottom"/>
          </w:tcPr>
          <w:p w14:paraId="20AE058A"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Pr>
          <w:p w14:paraId="20AE058B" w14:textId="77777777" w:rsidR="00B626E7" w:rsidRDefault="00B626E7">
            <w:pPr>
              <w:rPr>
                <w:rFonts w:ascii="宋体"/>
              </w:rPr>
            </w:pPr>
          </w:p>
        </w:tc>
        <w:tc>
          <w:tcPr>
            <w:tcW w:w="0" w:type="auto"/>
            <w:shd w:val="clear" w:color="auto" w:fill="auto"/>
          </w:tcPr>
          <w:p w14:paraId="20AE058C" w14:textId="77777777" w:rsidR="00B626E7" w:rsidRDefault="00B626E7">
            <w:pPr>
              <w:rPr>
                <w:rFonts w:ascii="宋体"/>
              </w:rPr>
            </w:pPr>
          </w:p>
        </w:tc>
        <w:tc>
          <w:tcPr>
            <w:tcW w:w="0" w:type="auto"/>
            <w:shd w:val="clear" w:color="auto" w:fill="auto"/>
          </w:tcPr>
          <w:p w14:paraId="20AE058D" w14:textId="77777777" w:rsidR="00B626E7" w:rsidRDefault="00B626E7">
            <w:pPr>
              <w:rPr>
                <w:rFonts w:ascii="宋体"/>
              </w:rPr>
            </w:pPr>
          </w:p>
        </w:tc>
        <w:tc>
          <w:tcPr>
            <w:tcW w:w="0" w:type="auto"/>
            <w:shd w:val="clear" w:color="auto" w:fill="auto"/>
          </w:tcPr>
          <w:p w14:paraId="20AE058E" w14:textId="77777777" w:rsidR="00B626E7" w:rsidRDefault="00B626E7">
            <w:pPr>
              <w:rPr>
                <w:rFonts w:ascii="宋体"/>
              </w:rPr>
            </w:pPr>
          </w:p>
        </w:tc>
        <w:tc>
          <w:tcPr>
            <w:tcW w:w="0" w:type="auto"/>
            <w:shd w:val="clear" w:color="auto" w:fill="auto"/>
          </w:tcPr>
          <w:p w14:paraId="20AE058F" w14:textId="77777777" w:rsidR="00B626E7" w:rsidRDefault="00B626E7">
            <w:pPr>
              <w:rPr>
                <w:rFonts w:ascii="宋体"/>
              </w:rPr>
            </w:pPr>
          </w:p>
        </w:tc>
        <w:tc>
          <w:tcPr>
            <w:tcW w:w="0" w:type="auto"/>
            <w:shd w:val="clear" w:color="auto" w:fill="auto"/>
          </w:tcPr>
          <w:p w14:paraId="20AE0590" w14:textId="77777777" w:rsidR="00B626E7" w:rsidRDefault="00B626E7">
            <w:pPr>
              <w:rPr>
                <w:rFonts w:ascii="宋体"/>
              </w:rPr>
            </w:pPr>
          </w:p>
        </w:tc>
        <w:tc>
          <w:tcPr>
            <w:tcW w:w="0" w:type="auto"/>
            <w:shd w:val="clear" w:color="auto" w:fill="auto"/>
          </w:tcPr>
          <w:p w14:paraId="20AE0591" w14:textId="77777777" w:rsidR="00B626E7" w:rsidRDefault="00B626E7">
            <w:pPr>
              <w:rPr>
                <w:rFonts w:ascii="宋体"/>
              </w:rPr>
            </w:pPr>
          </w:p>
        </w:tc>
        <w:tc>
          <w:tcPr>
            <w:tcW w:w="0" w:type="auto"/>
            <w:shd w:val="clear" w:color="auto" w:fill="auto"/>
          </w:tcPr>
          <w:p w14:paraId="20AE0592" w14:textId="77777777" w:rsidR="00B626E7" w:rsidRDefault="00B626E7">
            <w:pPr>
              <w:rPr>
                <w:rFonts w:ascii="宋体"/>
              </w:rPr>
            </w:pPr>
          </w:p>
        </w:tc>
        <w:tc>
          <w:tcPr>
            <w:tcW w:w="0" w:type="auto"/>
            <w:shd w:val="clear" w:color="auto" w:fill="auto"/>
          </w:tcPr>
          <w:p w14:paraId="20AE0593" w14:textId="77777777" w:rsidR="00B626E7" w:rsidRDefault="00B626E7">
            <w:pPr>
              <w:rPr>
                <w:rFonts w:ascii="宋体"/>
              </w:rPr>
            </w:pPr>
          </w:p>
        </w:tc>
      </w:tr>
      <w:tr w:rsidR="00B626E7" w14:paraId="20AE05AE" w14:textId="77777777">
        <w:tc>
          <w:tcPr>
            <w:tcW w:w="0" w:type="auto"/>
            <w:gridSpan w:val="3"/>
            <w:shd w:val="clear" w:color="auto" w:fill="auto"/>
            <w:tcMar>
              <w:top w:w="40" w:type="dxa"/>
              <w:left w:w="20" w:type="dxa"/>
              <w:bottom w:w="40" w:type="dxa"/>
              <w:right w:w="20" w:type="dxa"/>
            </w:tcMar>
            <w:vAlign w:val="bottom"/>
          </w:tcPr>
          <w:p w14:paraId="20AE0595" w14:textId="77777777" w:rsidR="00B626E7" w:rsidRDefault="00175C1D">
            <w:pPr>
              <w:textAlignment w:val="bottom"/>
            </w:pPr>
            <w:r>
              <w:rPr>
                <w:rFonts w:ascii="Arial" w:eastAsia="宋体" w:hAnsi="Arial" w:cs="Arial"/>
                <w:color w:val="333333"/>
                <w:sz w:val="18"/>
                <w:szCs w:val="18"/>
              </w:rPr>
              <w:t>Employee equity incentive plans and other</w:t>
            </w:r>
          </w:p>
        </w:tc>
        <w:tc>
          <w:tcPr>
            <w:tcW w:w="0" w:type="auto"/>
            <w:gridSpan w:val="3"/>
            <w:shd w:val="clear" w:color="auto" w:fill="auto"/>
            <w:tcMar>
              <w:left w:w="20" w:type="dxa"/>
              <w:right w:w="20" w:type="dxa"/>
            </w:tcMar>
            <w:vAlign w:val="bottom"/>
          </w:tcPr>
          <w:p w14:paraId="20AE0596"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597" w14:textId="77777777" w:rsidR="00B626E7" w:rsidRDefault="00175C1D">
            <w:pPr>
              <w:jc w:val="right"/>
              <w:textAlignment w:val="bottom"/>
            </w:pPr>
            <w:r>
              <w:rPr>
                <w:rFonts w:ascii="Arial" w:eastAsia="宋体" w:hAnsi="Arial" w:cs="Arial"/>
                <w:color w:val="0071C5"/>
                <w:sz w:val="18"/>
                <w:szCs w:val="18"/>
              </w:rPr>
              <w:t>42 </w:t>
            </w:r>
          </w:p>
        </w:tc>
        <w:tc>
          <w:tcPr>
            <w:tcW w:w="0" w:type="auto"/>
            <w:shd w:val="clear" w:color="auto" w:fill="auto"/>
            <w:tcMar>
              <w:top w:w="40" w:type="dxa"/>
              <w:bottom w:w="40" w:type="dxa"/>
              <w:right w:w="20" w:type="dxa"/>
            </w:tcMar>
            <w:vAlign w:val="bottom"/>
          </w:tcPr>
          <w:p w14:paraId="20AE0598"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599"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59A" w14:textId="77777777" w:rsidR="00B626E7" w:rsidRDefault="00175C1D">
            <w:pPr>
              <w:jc w:val="right"/>
              <w:textAlignment w:val="bottom"/>
            </w:pPr>
            <w:r>
              <w:rPr>
                <w:rFonts w:ascii="Arial" w:eastAsia="宋体" w:hAnsi="Arial" w:cs="Arial"/>
                <w:color w:val="0071C5"/>
                <w:sz w:val="18"/>
                <w:szCs w:val="18"/>
              </w:rPr>
              <w:t>629 </w:t>
            </w:r>
          </w:p>
        </w:tc>
        <w:tc>
          <w:tcPr>
            <w:tcW w:w="0" w:type="auto"/>
            <w:shd w:val="clear" w:color="auto" w:fill="auto"/>
            <w:tcMar>
              <w:top w:w="40" w:type="dxa"/>
              <w:bottom w:w="40" w:type="dxa"/>
              <w:right w:w="20" w:type="dxa"/>
            </w:tcMar>
            <w:vAlign w:val="bottom"/>
          </w:tcPr>
          <w:p w14:paraId="20AE059B"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59C"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59D"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20AE059E"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59F"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5A0"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20AE05A1"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5A2"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5A3" w14:textId="77777777" w:rsidR="00B626E7" w:rsidRDefault="00175C1D">
            <w:pPr>
              <w:jc w:val="right"/>
              <w:textAlignment w:val="bottom"/>
            </w:pPr>
            <w:r>
              <w:rPr>
                <w:rFonts w:ascii="Arial" w:eastAsia="宋体" w:hAnsi="Arial" w:cs="Arial"/>
                <w:color w:val="0071C5"/>
                <w:sz w:val="18"/>
                <w:szCs w:val="18"/>
              </w:rPr>
              <w:t>629 </w:t>
            </w:r>
          </w:p>
        </w:tc>
        <w:tc>
          <w:tcPr>
            <w:tcW w:w="0" w:type="auto"/>
            <w:shd w:val="clear" w:color="auto" w:fill="auto"/>
            <w:tcMar>
              <w:top w:w="40" w:type="dxa"/>
              <w:bottom w:w="40" w:type="dxa"/>
              <w:right w:w="20" w:type="dxa"/>
            </w:tcMar>
            <w:vAlign w:val="bottom"/>
          </w:tcPr>
          <w:p w14:paraId="20AE05A4"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Pr>
          <w:p w14:paraId="20AE05A5" w14:textId="77777777" w:rsidR="00B626E7" w:rsidRDefault="00B626E7">
            <w:pPr>
              <w:rPr>
                <w:rFonts w:ascii="宋体"/>
              </w:rPr>
            </w:pPr>
          </w:p>
        </w:tc>
        <w:tc>
          <w:tcPr>
            <w:tcW w:w="0" w:type="auto"/>
            <w:shd w:val="clear" w:color="auto" w:fill="auto"/>
          </w:tcPr>
          <w:p w14:paraId="20AE05A6" w14:textId="77777777" w:rsidR="00B626E7" w:rsidRDefault="00B626E7">
            <w:pPr>
              <w:rPr>
                <w:rFonts w:ascii="宋体"/>
              </w:rPr>
            </w:pPr>
          </w:p>
        </w:tc>
        <w:tc>
          <w:tcPr>
            <w:tcW w:w="0" w:type="auto"/>
            <w:shd w:val="clear" w:color="auto" w:fill="auto"/>
          </w:tcPr>
          <w:p w14:paraId="20AE05A7" w14:textId="77777777" w:rsidR="00B626E7" w:rsidRDefault="00B626E7">
            <w:pPr>
              <w:rPr>
                <w:rFonts w:ascii="宋体"/>
              </w:rPr>
            </w:pPr>
          </w:p>
        </w:tc>
        <w:tc>
          <w:tcPr>
            <w:tcW w:w="0" w:type="auto"/>
            <w:shd w:val="clear" w:color="auto" w:fill="auto"/>
          </w:tcPr>
          <w:p w14:paraId="20AE05A8" w14:textId="77777777" w:rsidR="00B626E7" w:rsidRDefault="00B626E7">
            <w:pPr>
              <w:rPr>
                <w:rFonts w:ascii="宋体"/>
              </w:rPr>
            </w:pPr>
          </w:p>
        </w:tc>
        <w:tc>
          <w:tcPr>
            <w:tcW w:w="0" w:type="auto"/>
            <w:shd w:val="clear" w:color="auto" w:fill="auto"/>
          </w:tcPr>
          <w:p w14:paraId="20AE05A9" w14:textId="77777777" w:rsidR="00B626E7" w:rsidRDefault="00B626E7">
            <w:pPr>
              <w:rPr>
                <w:rFonts w:ascii="宋体"/>
              </w:rPr>
            </w:pPr>
          </w:p>
        </w:tc>
        <w:tc>
          <w:tcPr>
            <w:tcW w:w="0" w:type="auto"/>
            <w:shd w:val="clear" w:color="auto" w:fill="auto"/>
          </w:tcPr>
          <w:p w14:paraId="20AE05AA" w14:textId="77777777" w:rsidR="00B626E7" w:rsidRDefault="00B626E7">
            <w:pPr>
              <w:rPr>
                <w:rFonts w:ascii="宋体"/>
              </w:rPr>
            </w:pPr>
          </w:p>
        </w:tc>
        <w:tc>
          <w:tcPr>
            <w:tcW w:w="0" w:type="auto"/>
            <w:shd w:val="clear" w:color="auto" w:fill="auto"/>
          </w:tcPr>
          <w:p w14:paraId="20AE05AB" w14:textId="77777777" w:rsidR="00B626E7" w:rsidRDefault="00B626E7">
            <w:pPr>
              <w:rPr>
                <w:rFonts w:ascii="宋体"/>
              </w:rPr>
            </w:pPr>
          </w:p>
        </w:tc>
        <w:tc>
          <w:tcPr>
            <w:tcW w:w="0" w:type="auto"/>
            <w:shd w:val="clear" w:color="auto" w:fill="auto"/>
          </w:tcPr>
          <w:p w14:paraId="20AE05AC" w14:textId="77777777" w:rsidR="00B626E7" w:rsidRDefault="00B626E7">
            <w:pPr>
              <w:rPr>
                <w:rFonts w:ascii="宋体"/>
              </w:rPr>
            </w:pPr>
          </w:p>
        </w:tc>
        <w:tc>
          <w:tcPr>
            <w:tcW w:w="0" w:type="auto"/>
            <w:shd w:val="clear" w:color="auto" w:fill="auto"/>
          </w:tcPr>
          <w:p w14:paraId="20AE05AD" w14:textId="77777777" w:rsidR="00B626E7" w:rsidRDefault="00B626E7">
            <w:pPr>
              <w:rPr>
                <w:rFonts w:ascii="宋体"/>
              </w:rPr>
            </w:pPr>
          </w:p>
        </w:tc>
      </w:tr>
      <w:tr w:rsidR="00B626E7" w14:paraId="20AE05C8" w14:textId="77777777">
        <w:tc>
          <w:tcPr>
            <w:tcW w:w="0" w:type="auto"/>
            <w:gridSpan w:val="3"/>
            <w:shd w:val="clear" w:color="auto" w:fill="auto"/>
            <w:tcMar>
              <w:top w:w="40" w:type="dxa"/>
              <w:left w:w="20" w:type="dxa"/>
              <w:bottom w:w="40" w:type="dxa"/>
              <w:right w:w="20" w:type="dxa"/>
            </w:tcMar>
            <w:vAlign w:val="bottom"/>
          </w:tcPr>
          <w:p w14:paraId="20AE05AF" w14:textId="77777777" w:rsidR="00B626E7" w:rsidRDefault="00175C1D">
            <w:pPr>
              <w:textAlignment w:val="bottom"/>
            </w:pPr>
            <w:r>
              <w:rPr>
                <w:rFonts w:ascii="Arial" w:eastAsia="宋体" w:hAnsi="Arial" w:cs="Arial"/>
                <w:color w:val="333333"/>
                <w:sz w:val="18"/>
                <w:szCs w:val="18"/>
              </w:rPr>
              <w:t>Share-based compensation</w:t>
            </w:r>
          </w:p>
        </w:tc>
        <w:tc>
          <w:tcPr>
            <w:tcW w:w="0" w:type="auto"/>
            <w:gridSpan w:val="3"/>
            <w:shd w:val="clear" w:color="auto" w:fill="auto"/>
            <w:tcMar>
              <w:left w:w="20" w:type="dxa"/>
              <w:right w:w="20" w:type="dxa"/>
            </w:tcMar>
            <w:vAlign w:val="bottom"/>
          </w:tcPr>
          <w:p w14:paraId="20AE05B0"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5B1"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20AE05B2"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5B3"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5B4" w14:textId="77777777" w:rsidR="00B626E7" w:rsidRDefault="00175C1D">
            <w:pPr>
              <w:jc w:val="right"/>
              <w:textAlignment w:val="bottom"/>
            </w:pPr>
            <w:r>
              <w:rPr>
                <w:rFonts w:ascii="Arial" w:eastAsia="宋体" w:hAnsi="Arial" w:cs="Arial"/>
                <w:color w:val="0071C5"/>
                <w:sz w:val="18"/>
                <w:szCs w:val="18"/>
              </w:rPr>
              <w:t>941 </w:t>
            </w:r>
          </w:p>
        </w:tc>
        <w:tc>
          <w:tcPr>
            <w:tcW w:w="0" w:type="auto"/>
            <w:shd w:val="clear" w:color="auto" w:fill="auto"/>
            <w:tcMar>
              <w:top w:w="40" w:type="dxa"/>
              <w:bottom w:w="40" w:type="dxa"/>
              <w:right w:w="20" w:type="dxa"/>
            </w:tcMar>
            <w:vAlign w:val="bottom"/>
          </w:tcPr>
          <w:p w14:paraId="20AE05B5"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5B6"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5B7"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20AE05B8"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5B9"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5BA"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20AE05BB"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5BC"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5BD" w14:textId="77777777" w:rsidR="00B626E7" w:rsidRDefault="00175C1D">
            <w:pPr>
              <w:jc w:val="right"/>
              <w:textAlignment w:val="bottom"/>
            </w:pPr>
            <w:r>
              <w:rPr>
                <w:rFonts w:ascii="Arial" w:eastAsia="宋体" w:hAnsi="Arial" w:cs="Arial"/>
                <w:color w:val="0071C5"/>
                <w:sz w:val="18"/>
                <w:szCs w:val="18"/>
              </w:rPr>
              <w:t>941 </w:t>
            </w:r>
          </w:p>
        </w:tc>
        <w:tc>
          <w:tcPr>
            <w:tcW w:w="0" w:type="auto"/>
            <w:shd w:val="clear" w:color="auto" w:fill="auto"/>
            <w:tcMar>
              <w:top w:w="40" w:type="dxa"/>
              <w:bottom w:w="40" w:type="dxa"/>
              <w:right w:w="20" w:type="dxa"/>
            </w:tcMar>
            <w:vAlign w:val="bottom"/>
          </w:tcPr>
          <w:p w14:paraId="20AE05BE"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Pr>
          <w:p w14:paraId="20AE05BF" w14:textId="77777777" w:rsidR="00B626E7" w:rsidRDefault="00B626E7">
            <w:pPr>
              <w:rPr>
                <w:rFonts w:ascii="宋体"/>
              </w:rPr>
            </w:pPr>
          </w:p>
        </w:tc>
        <w:tc>
          <w:tcPr>
            <w:tcW w:w="0" w:type="auto"/>
            <w:shd w:val="clear" w:color="auto" w:fill="auto"/>
          </w:tcPr>
          <w:p w14:paraId="20AE05C0" w14:textId="77777777" w:rsidR="00B626E7" w:rsidRDefault="00B626E7">
            <w:pPr>
              <w:rPr>
                <w:rFonts w:ascii="宋体"/>
              </w:rPr>
            </w:pPr>
          </w:p>
        </w:tc>
        <w:tc>
          <w:tcPr>
            <w:tcW w:w="0" w:type="auto"/>
            <w:shd w:val="clear" w:color="auto" w:fill="auto"/>
          </w:tcPr>
          <w:p w14:paraId="20AE05C1" w14:textId="77777777" w:rsidR="00B626E7" w:rsidRDefault="00B626E7">
            <w:pPr>
              <w:rPr>
                <w:rFonts w:ascii="宋体"/>
              </w:rPr>
            </w:pPr>
          </w:p>
        </w:tc>
        <w:tc>
          <w:tcPr>
            <w:tcW w:w="0" w:type="auto"/>
            <w:shd w:val="clear" w:color="auto" w:fill="auto"/>
          </w:tcPr>
          <w:p w14:paraId="20AE05C2" w14:textId="77777777" w:rsidR="00B626E7" w:rsidRDefault="00B626E7">
            <w:pPr>
              <w:rPr>
                <w:rFonts w:ascii="宋体"/>
              </w:rPr>
            </w:pPr>
          </w:p>
        </w:tc>
        <w:tc>
          <w:tcPr>
            <w:tcW w:w="0" w:type="auto"/>
            <w:shd w:val="clear" w:color="auto" w:fill="auto"/>
          </w:tcPr>
          <w:p w14:paraId="20AE05C3" w14:textId="77777777" w:rsidR="00B626E7" w:rsidRDefault="00B626E7">
            <w:pPr>
              <w:rPr>
                <w:rFonts w:ascii="宋体"/>
              </w:rPr>
            </w:pPr>
          </w:p>
        </w:tc>
        <w:tc>
          <w:tcPr>
            <w:tcW w:w="0" w:type="auto"/>
            <w:shd w:val="clear" w:color="auto" w:fill="auto"/>
          </w:tcPr>
          <w:p w14:paraId="20AE05C4" w14:textId="77777777" w:rsidR="00B626E7" w:rsidRDefault="00B626E7">
            <w:pPr>
              <w:rPr>
                <w:rFonts w:ascii="宋体"/>
              </w:rPr>
            </w:pPr>
          </w:p>
        </w:tc>
        <w:tc>
          <w:tcPr>
            <w:tcW w:w="0" w:type="auto"/>
            <w:shd w:val="clear" w:color="auto" w:fill="auto"/>
          </w:tcPr>
          <w:p w14:paraId="20AE05C5" w14:textId="77777777" w:rsidR="00B626E7" w:rsidRDefault="00B626E7">
            <w:pPr>
              <w:rPr>
                <w:rFonts w:ascii="宋体"/>
              </w:rPr>
            </w:pPr>
          </w:p>
        </w:tc>
        <w:tc>
          <w:tcPr>
            <w:tcW w:w="0" w:type="auto"/>
            <w:shd w:val="clear" w:color="auto" w:fill="auto"/>
          </w:tcPr>
          <w:p w14:paraId="20AE05C6" w14:textId="77777777" w:rsidR="00B626E7" w:rsidRDefault="00B626E7">
            <w:pPr>
              <w:rPr>
                <w:rFonts w:ascii="宋体"/>
              </w:rPr>
            </w:pPr>
          </w:p>
        </w:tc>
        <w:tc>
          <w:tcPr>
            <w:tcW w:w="0" w:type="auto"/>
            <w:shd w:val="clear" w:color="auto" w:fill="auto"/>
          </w:tcPr>
          <w:p w14:paraId="20AE05C7" w14:textId="77777777" w:rsidR="00B626E7" w:rsidRDefault="00B626E7">
            <w:pPr>
              <w:rPr>
                <w:rFonts w:ascii="宋体"/>
              </w:rPr>
            </w:pPr>
          </w:p>
        </w:tc>
      </w:tr>
      <w:tr w:rsidR="00B626E7" w14:paraId="20AE05E2" w14:textId="77777777">
        <w:tc>
          <w:tcPr>
            <w:tcW w:w="0" w:type="auto"/>
            <w:gridSpan w:val="3"/>
            <w:shd w:val="clear" w:color="auto" w:fill="auto"/>
            <w:tcMar>
              <w:top w:w="40" w:type="dxa"/>
              <w:left w:w="20" w:type="dxa"/>
              <w:bottom w:w="40" w:type="dxa"/>
              <w:right w:w="20" w:type="dxa"/>
            </w:tcMar>
            <w:vAlign w:val="bottom"/>
          </w:tcPr>
          <w:p w14:paraId="20AE05C9" w14:textId="77777777" w:rsidR="00B626E7" w:rsidRDefault="00175C1D">
            <w:pPr>
              <w:textAlignment w:val="bottom"/>
            </w:pPr>
            <w:r>
              <w:rPr>
                <w:rFonts w:ascii="Arial" w:eastAsia="宋体" w:hAnsi="Arial" w:cs="Arial"/>
                <w:color w:val="333333"/>
                <w:sz w:val="18"/>
                <w:szCs w:val="18"/>
              </w:rPr>
              <w:t>Temporary equity reduction</w:t>
            </w:r>
          </w:p>
        </w:tc>
        <w:tc>
          <w:tcPr>
            <w:tcW w:w="0" w:type="auto"/>
            <w:gridSpan w:val="3"/>
            <w:shd w:val="clear" w:color="auto" w:fill="auto"/>
            <w:tcMar>
              <w:left w:w="20" w:type="dxa"/>
              <w:right w:w="20" w:type="dxa"/>
            </w:tcMar>
            <w:vAlign w:val="bottom"/>
          </w:tcPr>
          <w:p w14:paraId="20AE05CA"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5CB"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20AE05CC"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5CD"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5CE" w14:textId="77777777" w:rsidR="00B626E7" w:rsidRDefault="00175C1D">
            <w:pPr>
              <w:jc w:val="right"/>
              <w:textAlignment w:val="bottom"/>
            </w:pPr>
            <w:r>
              <w:rPr>
                <w:rFonts w:ascii="Arial" w:eastAsia="宋体" w:hAnsi="Arial" w:cs="Arial"/>
                <w:color w:val="0071C5"/>
                <w:sz w:val="18"/>
                <w:szCs w:val="18"/>
              </w:rPr>
              <w:t>155 </w:t>
            </w:r>
          </w:p>
        </w:tc>
        <w:tc>
          <w:tcPr>
            <w:tcW w:w="0" w:type="auto"/>
            <w:shd w:val="clear" w:color="auto" w:fill="auto"/>
            <w:tcMar>
              <w:top w:w="40" w:type="dxa"/>
              <w:bottom w:w="40" w:type="dxa"/>
              <w:right w:w="20" w:type="dxa"/>
            </w:tcMar>
            <w:vAlign w:val="bottom"/>
          </w:tcPr>
          <w:p w14:paraId="20AE05CF"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5D0"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5D1"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20AE05D2"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5D3"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5D4"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20AE05D5"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5D6"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5D7" w14:textId="77777777" w:rsidR="00B626E7" w:rsidRDefault="00175C1D">
            <w:pPr>
              <w:jc w:val="right"/>
              <w:textAlignment w:val="bottom"/>
            </w:pPr>
            <w:r>
              <w:rPr>
                <w:rFonts w:ascii="Arial" w:eastAsia="宋体" w:hAnsi="Arial" w:cs="Arial"/>
                <w:color w:val="0071C5"/>
                <w:sz w:val="18"/>
                <w:szCs w:val="18"/>
              </w:rPr>
              <w:t>155 </w:t>
            </w:r>
          </w:p>
        </w:tc>
        <w:tc>
          <w:tcPr>
            <w:tcW w:w="0" w:type="auto"/>
            <w:shd w:val="clear" w:color="auto" w:fill="auto"/>
            <w:tcMar>
              <w:top w:w="40" w:type="dxa"/>
              <w:bottom w:w="40" w:type="dxa"/>
              <w:right w:w="20" w:type="dxa"/>
            </w:tcMar>
            <w:vAlign w:val="bottom"/>
          </w:tcPr>
          <w:p w14:paraId="20AE05D8"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Pr>
          <w:p w14:paraId="20AE05D9" w14:textId="77777777" w:rsidR="00B626E7" w:rsidRDefault="00B626E7">
            <w:pPr>
              <w:rPr>
                <w:rFonts w:ascii="宋体"/>
              </w:rPr>
            </w:pPr>
          </w:p>
        </w:tc>
        <w:tc>
          <w:tcPr>
            <w:tcW w:w="0" w:type="auto"/>
            <w:shd w:val="clear" w:color="auto" w:fill="auto"/>
          </w:tcPr>
          <w:p w14:paraId="20AE05DA" w14:textId="77777777" w:rsidR="00B626E7" w:rsidRDefault="00B626E7">
            <w:pPr>
              <w:rPr>
                <w:rFonts w:ascii="宋体"/>
              </w:rPr>
            </w:pPr>
          </w:p>
        </w:tc>
        <w:tc>
          <w:tcPr>
            <w:tcW w:w="0" w:type="auto"/>
            <w:shd w:val="clear" w:color="auto" w:fill="auto"/>
          </w:tcPr>
          <w:p w14:paraId="20AE05DB" w14:textId="77777777" w:rsidR="00B626E7" w:rsidRDefault="00B626E7">
            <w:pPr>
              <w:rPr>
                <w:rFonts w:ascii="宋体"/>
              </w:rPr>
            </w:pPr>
          </w:p>
        </w:tc>
        <w:tc>
          <w:tcPr>
            <w:tcW w:w="0" w:type="auto"/>
            <w:shd w:val="clear" w:color="auto" w:fill="auto"/>
          </w:tcPr>
          <w:p w14:paraId="20AE05DC" w14:textId="77777777" w:rsidR="00B626E7" w:rsidRDefault="00B626E7">
            <w:pPr>
              <w:rPr>
                <w:rFonts w:ascii="宋体"/>
              </w:rPr>
            </w:pPr>
          </w:p>
        </w:tc>
        <w:tc>
          <w:tcPr>
            <w:tcW w:w="0" w:type="auto"/>
            <w:shd w:val="clear" w:color="auto" w:fill="auto"/>
          </w:tcPr>
          <w:p w14:paraId="20AE05DD" w14:textId="77777777" w:rsidR="00B626E7" w:rsidRDefault="00B626E7">
            <w:pPr>
              <w:rPr>
                <w:rFonts w:ascii="宋体"/>
              </w:rPr>
            </w:pPr>
          </w:p>
        </w:tc>
        <w:tc>
          <w:tcPr>
            <w:tcW w:w="0" w:type="auto"/>
            <w:shd w:val="clear" w:color="auto" w:fill="auto"/>
          </w:tcPr>
          <w:p w14:paraId="20AE05DE" w14:textId="77777777" w:rsidR="00B626E7" w:rsidRDefault="00B626E7">
            <w:pPr>
              <w:rPr>
                <w:rFonts w:ascii="宋体"/>
              </w:rPr>
            </w:pPr>
          </w:p>
        </w:tc>
        <w:tc>
          <w:tcPr>
            <w:tcW w:w="0" w:type="auto"/>
            <w:shd w:val="clear" w:color="auto" w:fill="auto"/>
          </w:tcPr>
          <w:p w14:paraId="20AE05DF" w14:textId="77777777" w:rsidR="00B626E7" w:rsidRDefault="00B626E7">
            <w:pPr>
              <w:rPr>
                <w:rFonts w:ascii="宋体"/>
              </w:rPr>
            </w:pPr>
          </w:p>
        </w:tc>
        <w:tc>
          <w:tcPr>
            <w:tcW w:w="0" w:type="auto"/>
            <w:shd w:val="clear" w:color="auto" w:fill="auto"/>
          </w:tcPr>
          <w:p w14:paraId="20AE05E0" w14:textId="77777777" w:rsidR="00B626E7" w:rsidRDefault="00B626E7">
            <w:pPr>
              <w:rPr>
                <w:rFonts w:ascii="宋体"/>
              </w:rPr>
            </w:pPr>
          </w:p>
        </w:tc>
        <w:tc>
          <w:tcPr>
            <w:tcW w:w="0" w:type="auto"/>
            <w:shd w:val="clear" w:color="auto" w:fill="auto"/>
          </w:tcPr>
          <w:p w14:paraId="20AE05E1" w14:textId="77777777" w:rsidR="00B626E7" w:rsidRDefault="00B626E7">
            <w:pPr>
              <w:rPr>
                <w:rFonts w:ascii="宋体"/>
              </w:rPr>
            </w:pPr>
          </w:p>
        </w:tc>
      </w:tr>
      <w:tr w:rsidR="00B626E7" w14:paraId="20AE05FC" w14:textId="77777777">
        <w:tc>
          <w:tcPr>
            <w:tcW w:w="0" w:type="auto"/>
            <w:gridSpan w:val="3"/>
            <w:shd w:val="clear" w:color="auto" w:fill="auto"/>
            <w:tcMar>
              <w:top w:w="40" w:type="dxa"/>
              <w:left w:w="20" w:type="dxa"/>
              <w:bottom w:w="40" w:type="dxa"/>
              <w:right w:w="20" w:type="dxa"/>
            </w:tcMar>
            <w:vAlign w:val="bottom"/>
          </w:tcPr>
          <w:p w14:paraId="20AE05E3" w14:textId="77777777" w:rsidR="00B626E7" w:rsidRDefault="00175C1D">
            <w:pPr>
              <w:textAlignment w:val="bottom"/>
            </w:pPr>
            <w:r>
              <w:rPr>
                <w:rFonts w:ascii="Arial" w:eastAsia="宋体" w:hAnsi="Arial" w:cs="Arial"/>
                <w:color w:val="333333"/>
                <w:sz w:val="18"/>
                <w:szCs w:val="18"/>
              </w:rPr>
              <w:t>Convertible debt</w:t>
            </w:r>
          </w:p>
        </w:tc>
        <w:tc>
          <w:tcPr>
            <w:tcW w:w="0" w:type="auto"/>
            <w:gridSpan w:val="3"/>
            <w:shd w:val="clear" w:color="auto" w:fill="auto"/>
            <w:tcMar>
              <w:left w:w="20" w:type="dxa"/>
              <w:right w:w="20" w:type="dxa"/>
            </w:tcMar>
            <w:vAlign w:val="bottom"/>
          </w:tcPr>
          <w:p w14:paraId="20AE05E4"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5E5"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20AE05E6"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5E7"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5E8" w14:textId="77777777" w:rsidR="00B626E7" w:rsidRDefault="00175C1D">
            <w:pPr>
              <w:jc w:val="right"/>
              <w:textAlignment w:val="bottom"/>
            </w:pPr>
            <w:r>
              <w:rPr>
                <w:rFonts w:ascii="Arial" w:eastAsia="宋体" w:hAnsi="Arial" w:cs="Arial"/>
                <w:color w:val="0071C5"/>
                <w:sz w:val="18"/>
                <w:szCs w:val="18"/>
              </w:rPr>
              <w:t>(750)</w:t>
            </w:r>
          </w:p>
        </w:tc>
        <w:tc>
          <w:tcPr>
            <w:tcW w:w="0" w:type="auto"/>
            <w:shd w:val="clear" w:color="auto" w:fill="auto"/>
            <w:tcMar>
              <w:top w:w="40" w:type="dxa"/>
              <w:bottom w:w="40" w:type="dxa"/>
              <w:right w:w="20" w:type="dxa"/>
            </w:tcMar>
            <w:vAlign w:val="bottom"/>
          </w:tcPr>
          <w:p w14:paraId="20AE05E9"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5EA"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5EB"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20AE05EC"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5ED"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5EE"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20AE05EF"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5F0"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5F1" w14:textId="77777777" w:rsidR="00B626E7" w:rsidRDefault="00175C1D">
            <w:pPr>
              <w:jc w:val="right"/>
              <w:textAlignment w:val="bottom"/>
            </w:pPr>
            <w:r>
              <w:rPr>
                <w:rFonts w:ascii="Arial" w:eastAsia="宋体" w:hAnsi="Arial" w:cs="Arial"/>
                <w:color w:val="0071C5"/>
                <w:sz w:val="18"/>
                <w:szCs w:val="18"/>
              </w:rPr>
              <w:t>(750)</w:t>
            </w:r>
          </w:p>
        </w:tc>
        <w:tc>
          <w:tcPr>
            <w:tcW w:w="0" w:type="auto"/>
            <w:shd w:val="clear" w:color="auto" w:fill="auto"/>
            <w:tcMar>
              <w:top w:w="40" w:type="dxa"/>
              <w:bottom w:w="40" w:type="dxa"/>
              <w:right w:w="20" w:type="dxa"/>
            </w:tcMar>
            <w:vAlign w:val="bottom"/>
          </w:tcPr>
          <w:p w14:paraId="20AE05F2"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Pr>
          <w:p w14:paraId="20AE05F3" w14:textId="77777777" w:rsidR="00B626E7" w:rsidRDefault="00B626E7">
            <w:pPr>
              <w:rPr>
                <w:rFonts w:ascii="宋体"/>
              </w:rPr>
            </w:pPr>
          </w:p>
        </w:tc>
        <w:tc>
          <w:tcPr>
            <w:tcW w:w="0" w:type="auto"/>
            <w:shd w:val="clear" w:color="auto" w:fill="auto"/>
          </w:tcPr>
          <w:p w14:paraId="20AE05F4" w14:textId="77777777" w:rsidR="00B626E7" w:rsidRDefault="00B626E7">
            <w:pPr>
              <w:rPr>
                <w:rFonts w:ascii="宋体"/>
              </w:rPr>
            </w:pPr>
          </w:p>
        </w:tc>
        <w:tc>
          <w:tcPr>
            <w:tcW w:w="0" w:type="auto"/>
            <w:shd w:val="clear" w:color="auto" w:fill="auto"/>
          </w:tcPr>
          <w:p w14:paraId="20AE05F5" w14:textId="77777777" w:rsidR="00B626E7" w:rsidRDefault="00B626E7">
            <w:pPr>
              <w:rPr>
                <w:rFonts w:ascii="宋体"/>
              </w:rPr>
            </w:pPr>
          </w:p>
        </w:tc>
        <w:tc>
          <w:tcPr>
            <w:tcW w:w="0" w:type="auto"/>
            <w:shd w:val="clear" w:color="auto" w:fill="auto"/>
          </w:tcPr>
          <w:p w14:paraId="20AE05F6" w14:textId="77777777" w:rsidR="00B626E7" w:rsidRDefault="00B626E7">
            <w:pPr>
              <w:rPr>
                <w:rFonts w:ascii="宋体"/>
              </w:rPr>
            </w:pPr>
          </w:p>
        </w:tc>
        <w:tc>
          <w:tcPr>
            <w:tcW w:w="0" w:type="auto"/>
            <w:shd w:val="clear" w:color="auto" w:fill="auto"/>
          </w:tcPr>
          <w:p w14:paraId="20AE05F7" w14:textId="77777777" w:rsidR="00B626E7" w:rsidRDefault="00B626E7">
            <w:pPr>
              <w:rPr>
                <w:rFonts w:ascii="宋体"/>
              </w:rPr>
            </w:pPr>
          </w:p>
        </w:tc>
        <w:tc>
          <w:tcPr>
            <w:tcW w:w="0" w:type="auto"/>
            <w:shd w:val="clear" w:color="auto" w:fill="auto"/>
          </w:tcPr>
          <w:p w14:paraId="20AE05F8" w14:textId="77777777" w:rsidR="00B626E7" w:rsidRDefault="00B626E7">
            <w:pPr>
              <w:rPr>
                <w:rFonts w:ascii="宋体"/>
              </w:rPr>
            </w:pPr>
          </w:p>
        </w:tc>
        <w:tc>
          <w:tcPr>
            <w:tcW w:w="0" w:type="auto"/>
            <w:shd w:val="clear" w:color="auto" w:fill="auto"/>
          </w:tcPr>
          <w:p w14:paraId="20AE05F9" w14:textId="77777777" w:rsidR="00B626E7" w:rsidRDefault="00B626E7">
            <w:pPr>
              <w:rPr>
                <w:rFonts w:ascii="宋体"/>
              </w:rPr>
            </w:pPr>
          </w:p>
        </w:tc>
        <w:tc>
          <w:tcPr>
            <w:tcW w:w="0" w:type="auto"/>
            <w:shd w:val="clear" w:color="auto" w:fill="auto"/>
          </w:tcPr>
          <w:p w14:paraId="20AE05FA" w14:textId="77777777" w:rsidR="00B626E7" w:rsidRDefault="00B626E7">
            <w:pPr>
              <w:rPr>
                <w:rFonts w:ascii="宋体"/>
              </w:rPr>
            </w:pPr>
          </w:p>
        </w:tc>
        <w:tc>
          <w:tcPr>
            <w:tcW w:w="0" w:type="auto"/>
            <w:shd w:val="clear" w:color="auto" w:fill="auto"/>
          </w:tcPr>
          <w:p w14:paraId="20AE05FB" w14:textId="77777777" w:rsidR="00B626E7" w:rsidRDefault="00B626E7">
            <w:pPr>
              <w:rPr>
                <w:rFonts w:ascii="宋体"/>
              </w:rPr>
            </w:pPr>
          </w:p>
        </w:tc>
      </w:tr>
      <w:tr w:rsidR="00B626E7" w14:paraId="20AE0611" w14:textId="77777777">
        <w:trPr>
          <w:hidden/>
        </w:trPr>
        <w:tc>
          <w:tcPr>
            <w:tcW w:w="0" w:type="auto"/>
            <w:gridSpan w:val="3"/>
            <w:shd w:val="clear" w:color="auto" w:fill="auto"/>
          </w:tcPr>
          <w:p w14:paraId="20AE05FD" w14:textId="77777777" w:rsidR="00B626E7" w:rsidRDefault="00B626E7">
            <w:pPr>
              <w:rPr>
                <w:rFonts w:ascii="宋体"/>
                <w:vanish/>
              </w:rPr>
            </w:pPr>
          </w:p>
        </w:tc>
        <w:tc>
          <w:tcPr>
            <w:tcW w:w="0" w:type="auto"/>
            <w:gridSpan w:val="3"/>
            <w:shd w:val="clear" w:color="auto" w:fill="auto"/>
          </w:tcPr>
          <w:p w14:paraId="20AE05FE" w14:textId="77777777" w:rsidR="00B626E7" w:rsidRDefault="00B626E7">
            <w:pPr>
              <w:rPr>
                <w:rFonts w:ascii="宋体"/>
                <w:vanish/>
              </w:rPr>
            </w:pPr>
          </w:p>
        </w:tc>
        <w:tc>
          <w:tcPr>
            <w:tcW w:w="0" w:type="auto"/>
            <w:gridSpan w:val="3"/>
            <w:shd w:val="clear" w:color="auto" w:fill="auto"/>
          </w:tcPr>
          <w:p w14:paraId="20AE05FF" w14:textId="77777777" w:rsidR="00B626E7" w:rsidRDefault="00B626E7">
            <w:pPr>
              <w:rPr>
                <w:rFonts w:ascii="宋体"/>
                <w:vanish/>
              </w:rPr>
            </w:pPr>
          </w:p>
        </w:tc>
        <w:tc>
          <w:tcPr>
            <w:tcW w:w="0" w:type="auto"/>
            <w:gridSpan w:val="3"/>
            <w:shd w:val="clear" w:color="auto" w:fill="auto"/>
          </w:tcPr>
          <w:p w14:paraId="20AE0600" w14:textId="77777777" w:rsidR="00B626E7" w:rsidRDefault="00B626E7">
            <w:pPr>
              <w:rPr>
                <w:rFonts w:ascii="宋体"/>
                <w:vanish/>
              </w:rPr>
            </w:pPr>
          </w:p>
        </w:tc>
        <w:tc>
          <w:tcPr>
            <w:tcW w:w="0" w:type="auto"/>
            <w:gridSpan w:val="3"/>
            <w:shd w:val="clear" w:color="auto" w:fill="auto"/>
          </w:tcPr>
          <w:p w14:paraId="20AE0601" w14:textId="77777777" w:rsidR="00B626E7" w:rsidRDefault="00B626E7">
            <w:pPr>
              <w:rPr>
                <w:rFonts w:ascii="宋体"/>
                <w:vanish/>
              </w:rPr>
            </w:pPr>
          </w:p>
        </w:tc>
        <w:tc>
          <w:tcPr>
            <w:tcW w:w="0" w:type="auto"/>
            <w:gridSpan w:val="3"/>
            <w:shd w:val="clear" w:color="auto" w:fill="auto"/>
          </w:tcPr>
          <w:p w14:paraId="20AE0602" w14:textId="77777777" w:rsidR="00B626E7" w:rsidRDefault="00B626E7">
            <w:pPr>
              <w:rPr>
                <w:rFonts w:ascii="宋体"/>
                <w:vanish/>
              </w:rPr>
            </w:pPr>
          </w:p>
        </w:tc>
        <w:tc>
          <w:tcPr>
            <w:tcW w:w="0" w:type="auto"/>
            <w:gridSpan w:val="3"/>
            <w:shd w:val="clear" w:color="auto" w:fill="auto"/>
          </w:tcPr>
          <w:p w14:paraId="20AE0603" w14:textId="77777777" w:rsidR="00B626E7" w:rsidRDefault="00B626E7">
            <w:pPr>
              <w:rPr>
                <w:rFonts w:ascii="宋体"/>
                <w:vanish/>
              </w:rPr>
            </w:pPr>
          </w:p>
        </w:tc>
        <w:tc>
          <w:tcPr>
            <w:tcW w:w="0" w:type="auto"/>
            <w:gridSpan w:val="3"/>
            <w:shd w:val="clear" w:color="auto" w:fill="auto"/>
          </w:tcPr>
          <w:p w14:paraId="20AE0604" w14:textId="77777777" w:rsidR="00B626E7" w:rsidRDefault="00B626E7">
            <w:pPr>
              <w:rPr>
                <w:rFonts w:ascii="宋体"/>
                <w:vanish/>
              </w:rPr>
            </w:pPr>
          </w:p>
        </w:tc>
        <w:tc>
          <w:tcPr>
            <w:tcW w:w="0" w:type="auto"/>
            <w:gridSpan w:val="3"/>
            <w:shd w:val="clear" w:color="auto" w:fill="auto"/>
          </w:tcPr>
          <w:p w14:paraId="20AE0605" w14:textId="77777777" w:rsidR="00B626E7" w:rsidRDefault="00B626E7">
            <w:pPr>
              <w:rPr>
                <w:rFonts w:ascii="宋体"/>
                <w:vanish/>
              </w:rPr>
            </w:pPr>
          </w:p>
        </w:tc>
        <w:tc>
          <w:tcPr>
            <w:tcW w:w="0" w:type="auto"/>
            <w:gridSpan w:val="3"/>
            <w:shd w:val="clear" w:color="auto" w:fill="auto"/>
          </w:tcPr>
          <w:p w14:paraId="20AE0606" w14:textId="77777777" w:rsidR="00B626E7" w:rsidRDefault="00B626E7">
            <w:pPr>
              <w:rPr>
                <w:rFonts w:ascii="宋体"/>
                <w:vanish/>
              </w:rPr>
            </w:pPr>
          </w:p>
        </w:tc>
        <w:tc>
          <w:tcPr>
            <w:tcW w:w="0" w:type="auto"/>
            <w:gridSpan w:val="3"/>
            <w:shd w:val="clear" w:color="auto" w:fill="auto"/>
          </w:tcPr>
          <w:p w14:paraId="20AE0607" w14:textId="77777777" w:rsidR="00B626E7" w:rsidRDefault="00B626E7">
            <w:pPr>
              <w:rPr>
                <w:rFonts w:ascii="宋体"/>
                <w:vanish/>
              </w:rPr>
            </w:pPr>
          </w:p>
        </w:tc>
        <w:tc>
          <w:tcPr>
            <w:tcW w:w="0" w:type="auto"/>
            <w:shd w:val="clear" w:color="auto" w:fill="auto"/>
          </w:tcPr>
          <w:p w14:paraId="20AE0608" w14:textId="77777777" w:rsidR="00B626E7" w:rsidRDefault="00B626E7">
            <w:pPr>
              <w:rPr>
                <w:rFonts w:ascii="宋体"/>
              </w:rPr>
            </w:pPr>
          </w:p>
        </w:tc>
        <w:tc>
          <w:tcPr>
            <w:tcW w:w="0" w:type="auto"/>
            <w:shd w:val="clear" w:color="auto" w:fill="auto"/>
          </w:tcPr>
          <w:p w14:paraId="20AE0609" w14:textId="77777777" w:rsidR="00B626E7" w:rsidRDefault="00B626E7">
            <w:pPr>
              <w:rPr>
                <w:rFonts w:ascii="宋体"/>
              </w:rPr>
            </w:pPr>
          </w:p>
        </w:tc>
        <w:tc>
          <w:tcPr>
            <w:tcW w:w="0" w:type="auto"/>
            <w:shd w:val="clear" w:color="auto" w:fill="auto"/>
          </w:tcPr>
          <w:p w14:paraId="20AE060A" w14:textId="77777777" w:rsidR="00B626E7" w:rsidRDefault="00B626E7">
            <w:pPr>
              <w:rPr>
                <w:rFonts w:ascii="宋体"/>
              </w:rPr>
            </w:pPr>
          </w:p>
        </w:tc>
        <w:tc>
          <w:tcPr>
            <w:tcW w:w="0" w:type="auto"/>
            <w:shd w:val="clear" w:color="auto" w:fill="auto"/>
          </w:tcPr>
          <w:p w14:paraId="20AE060B" w14:textId="77777777" w:rsidR="00B626E7" w:rsidRDefault="00B626E7">
            <w:pPr>
              <w:rPr>
                <w:rFonts w:ascii="宋体"/>
              </w:rPr>
            </w:pPr>
          </w:p>
        </w:tc>
        <w:tc>
          <w:tcPr>
            <w:tcW w:w="0" w:type="auto"/>
            <w:shd w:val="clear" w:color="auto" w:fill="auto"/>
          </w:tcPr>
          <w:p w14:paraId="20AE060C" w14:textId="77777777" w:rsidR="00B626E7" w:rsidRDefault="00B626E7">
            <w:pPr>
              <w:rPr>
                <w:rFonts w:ascii="宋体"/>
              </w:rPr>
            </w:pPr>
          </w:p>
        </w:tc>
        <w:tc>
          <w:tcPr>
            <w:tcW w:w="0" w:type="auto"/>
            <w:shd w:val="clear" w:color="auto" w:fill="auto"/>
          </w:tcPr>
          <w:p w14:paraId="20AE060D" w14:textId="77777777" w:rsidR="00B626E7" w:rsidRDefault="00B626E7">
            <w:pPr>
              <w:rPr>
                <w:rFonts w:ascii="宋体"/>
              </w:rPr>
            </w:pPr>
          </w:p>
        </w:tc>
        <w:tc>
          <w:tcPr>
            <w:tcW w:w="0" w:type="auto"/>
            <w:shd w:val="clear" w:color="auto" w:fill="auto"/>
          </w:tcPr>
          <w:p w14:paraId="20AE060E" w14:textId="77777777" w:rsidR="00B626E7" w:rsidRDefault="00B626E7">
            <w:pPr>
              <w:rPr>
                <w:rFonts w:ascii="宋体"/>
              </w:rPr>
            </w:pPr>
          </w:p>
        </w:tc>
        <w:tc>
          <w:tcPr>
            <w:tcW w:w="0" w:type="auto"/>
            <w:shd w:val="clear" w:color="auto" w:fill="auto"/>
          </w:tcPr>
          <w:p w14:paraId="20AE060F" w14:textId="77777777" w:rsidR="00B626E7" w:rsidRDefault="00B626E7">
            <w:pPr>
              <w:rPr>
                <w:rFonts w:ascii="宋体"/>
              </w:rPr>
            </w:pPr>
          </w:p>
        </w:tc>
        <w:tc>
          <w:tcPr>
            <w:tcW w:w="0" w:type="auto"/>
            <w:shd w:val="clear" w:color="auto" w:fill="auto"/>
          </w:tcPr>
          <w:p w14:paraId="20AE0610" w14:textId="77777777" w:rsidR="00B626E7" w:rsidRDefault="00B626E7">
            <w:pPr>
              <w:rPr>
                <w:rFonts w:ascii="宋体"/>
              </w:rPr>
            </w:pPr>
          </w:p>
        </w:tc>
      </w:tr>
      <w:tr w:rsidR="00B626E7" w14:paraId="20AE062B" w14:textId="77777777">
        <w:tc>
          <w:tcPr>
            <w:tcW w:w="0" w:type="auto"/>
            <w:gridSpan w:val="3"/>
            <w:shd w:val="clear" w:color="auto" w:fill="auto"/>
            <w:tcMar>
              <w:top w:w="40" w:type="dxa"/>
              <w:left w:w="20" w:type="dxa"/>
              <w:bottom w:w="40" w:type="dxa"/>
              <w:right w:w="20" w:type="dxa"/>
            </w:tcMar>
            <w:vAlign w:val="bottom"/>
          </w:tcPr>
          <w:p w14:paraId="20AE0612" w14:textId="77777777" w:rsidR="00B626E7" w:rsidRDefault="00175C1D">
            <w:pPr>
              <w:textAlignment w:val="bottom"/>
            </w:pPr>
            <w:r>
              <w:rPr>
                <w:rFonts w:ascii="Arial" w:eastAsia="宋体" w:hAnsi="Arial" w:cs="Arial"/>
                <w:color w:val="333333"/>
                <w:sz w:val="18"/>
                <w:szCs w:val="18"/>
              </w:rPr>
              <w:t>Repurchase of common stock</w:t>
            </w:r>
          </w:p>
        </w:tc>
        <w:tc>
          <w:tcPr>
            <w:tcW w:w="0" w:type="auto"/>
            <w:gridSpan w:val="3"/>
            <w:shd w:val="clear" w:color="auto" w:fill="auto"/>
            <w:tcMar>
              <w:left w:w="20" w:type="dxa"/>
              <w:right w:w="20" w:type="dxa"/>
            </w:tcMar>
            <w:vAlign w:val="bottom"/>
          </w:tcPr>
          <w:p w14:paraId="20AE0613"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614" w14:textId="77777777" w:rsidR="00B626E7" w:rsidRDefault="00175C1D">
            <w:pPr>
              <w:jc w:val="right"/>
              <w:textAlignment w:val="bottom"/>
            </w:pPr>
            <w:r>
              <w:rPr>
                <w:rFonts w:ascii="Arial" w:eastAsia="宋体" w:hAnsi="Arial" w:cs="Arial"/>
                <w:color w:val="0071C5"/>
                <w:sz w:val="18"/>
                <w:szCs w:val="18"/>
              </w:rPr>
              <w:t>(71)</w:t>
            </w:r>
          </w:p>
        </w:tc>
        <w:tc>
          <w:tcPr>
            <w:tcW w:w="0" w:type="auto"/>
            <w:shd w:val="clear" w:color="auto" w:fill="auto"/>
            <w:tcMar>
              <w:top w:w="40" w:type="dxa"/>
              <w:bottom w:w="40" w:type="dxa"/>
              <w:right w:w="20" w:type="dxa"/>
            </w:tcMar>
            <w:vAlign w:val="bottom"/>
          </w:tcPr>
          <w:p w14:paraId="20AE0615"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616"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617" w14:textId="77777777" w:rsidR="00B626E7" w:rsidRDefault="00175C1D">
            <w:pPr>
              <w:jc w:val="right"/>
              <w:textAlignment w:val="bottom"/>
            </w:pPr>
            <w:r>
              <w:rPr>
                <w:rFonts w:ascii="Arial" w:eastAsia="宋体" w:hAnsi="Arial" w:cs="Arial"/>
                <w:color w:val="0071C5"/>
                <w:sz w:val="18"/>
                <w:szCs w:val="18"/>
              </w:rPr>
              <w:t>(420)</w:t>
            </w:r>
          </w:p>
        </w:tc>
        <w:tc>
          <w:tcPr>
            <w:tcW w:w="0" w:type="auto"/>
            <w:shd w:val="clear" w:color="auto" w:fill="auto"/>
            <w:tcMar>
              <w:top w:w="40" w:type="dxa"/>
              <w:bottom w:w="40" w:type="dxa"/>
              <w:right w:w="20" w:type="dxa"/>
            </w:tcMar>
            <w:vAlign w:val="bottom"/>
          </w:tcPr>
          <w:p w14:paraId="20AE0618"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619"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61A"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20AE061B"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61C"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61D" w14:textId="77777777" w:rsidR="00B626E7" w:rsidRDefault="00175C1D">
            <w:pPr>
              <w:jc w:val="right"/>
              <w:textAlignment w:val="bottom"/>
            </w:pPr>
            <w:r>
              <w:rPr>
                <w:rFonts w:ascii="Arial" w:eastAsia="宋体" w:hAnsi="Arial" w:cs="Arial"/>
                <w:color w:val="0071C5"/>
                <w:sz w:val="18"/>
                <w:szCs w:val="18"/>
              </w:rPr>
              <w:t>(3,689)</w:t>
            </w:r>
          </w:p>
        </w:tc>
        <w:tc>
          <w:tcPr>
            <w:tcW w:w="0" w:type="auto"/>
            <w:shd w:val="clear" w:color="auto" w:fill="auto"/>
            <w:tcMar>
              <w:top w:w="40" w:type="dxa"/>
              <w:bottom w:w="40" w:type="dxa"/>
              <w:right w:w="20" w:type="dxa"/>
            </w:tcMar>
            <w:vAlign w:val="bottom"/>
          </w:tcPr>
          <w:p w14:paraId="20AE061E"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61F"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620" w14:textId="77777777" w:rsidR="00B626E7" w:rsidRDefault="00175C1D">
            <w:pPr>
              <w:jc w:val="right"/>
              <w:textAlignment w:val="bottom"/>
            </w:pPr>
            <w:r>
              <w:rPr>
                <w:rFonts w:ascii="Arial" w:eastAsia="宋体" w:hAnsi="Arial" w:cs="Arial"/>
                <w:color w:val="0071C5"/>
                <w:sz w:val="18"/>
                <w:szCs w:val="18"/>
              </w:rPr>
              <w:t>(4,109)</w:t>
            </w:r>
          </w:p>
        </w:tc>
        <w:tc>
          <w:tcPr>
            <w:tcW w:w="0" w:type="auto"/>
            <w:shd w:val="clear" w:color="auto" w:fill="auto"/>
            <w:tcMar>
              <w:top w:w="40" w:type="dxa"/>
              <w:bottom w:w="40" w:type="dxa"/>
              <w:right w:w="20" w:type="dxa"/>
            </w:tcMar>
            <w:vAlign w:val="bottom"/>
          </w:tcPr>
          <w:p w14:paraId="20AE0621"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Pr>
          <w:p w14:paraId="20AE0622" w14:textId="77777777" w:rsidR="00B626E7" w:rsidRDefault="00B626E7">
            <w:pPr>
              <w:rPr>
                <w:rFonts w:ascii="宋体"/>
              </w:rPr>
            </w:pPr>
          </w:p>
        </w:tc>
        <w:tc>
          <w:tcPr>
            <w:tcW w:w="0" w:type="auto"/>
            <w:shd w:val="clear" w:color="auto" w:fill="auto"/>
          </w:tcPr>
          <w:p w14:paraId="20AE0623" w14:textId="77777777" w:rsidR="00B626E7" w:rsidRDefault="00B626E7">
            <w:pPr>
              <w:rPr>
                <w:rFonts w:ascii="宋体"/>
              </w:rPr>
            </w:pPr>
          </w:p>
        </w:tc>
        <w:tc>
          <w:tcPr>
            <w:tcW w:w="0" w:type="auto"/>
            <w:shd w:val="clear" w:color="auto" w:fill="auto"/>
          </w:tcPr>
          <w:p w14:paraId="20AE0624" w14:textId="77777777" w:rsidR="00B626E7" w:rsidRDefault="00B626E7">
            <w:pPr>
              <w:rPr>
                <w:rFonts w:ascii="宋体"/>
              </w:rPr>
            </w:pPr>
          </w:p>
        </w:tc>
        <w:tc>
          <w:tcPr>
            <w:tcW w:w="0" w:type="auto"/>
            <w:shd w:val="clear" w:color="auto" w:fill="auto"/>
          </w:tcPr>
          <w:p w14:paraId="20AE0625" w14:textId="77777777" w:rsidR="00B626E7" w:rsidRDefault="00B626E7">
            <w:pPr>
              <w:rPr>
                <w:rFonts w:ascii="宋体"/>
              </w:rPr>
            </w:pPr>
          </w:p>
        </w:tc>
        <w:tc>
          <w:tcPr>
            <w:tcW w:w="0" w:type="auto"/>
            <w:shd w:val="clear" w:color="auto" w:fill="auto"/>
          </w:tcPr>
          <w:p w14:paraId="20AE0626" w14:textId="77777777" w:rsidR="00B626E7" w:rsidRDefault="00B626E7">
            <w:pPr>
              <w:rPr>
                <w:rFonts w:ascii="宋体"/>
              </w:rPr>
            </w:pPr>
          </w:p>
        </w:tc>
        <w:tc>
          <w:tcPr>
            <w:tcW w:w="0" w:type="auto"/>
            <w:shd w:val="clear" w:color="auto" w:fill="auto"/>
          </w:tcPr>
          <w:p w14:paraId="20AE0627" w14:textId="77777777" w:rsidR="00B626E7" w:rsidRDefault="00B626E7">
            <w:pPr>
              <w:rPr>
                <w:rFonts w:ascii="宋体"/>
              </w:rPr>
            </w:pPr>
          </w:p>
        </w:tc>
        <w:tc>
          <w:tcPr>
            <w:tcW w:w="0" w:type="auto"/>
            <w:shd w:val="clear" w:color="auto" w:fill="auto"/>
          </w:tcPr>
          <w:p w14:paraId="20AE0628" w14:textId="77777777" w:rsidR="00B626E7" w:rsidRDefault="00B626E7">
            <w:pPr>
              <w:rPr>
                <w:rFonts w:ascii="宋体"/>
              </w:rPr>
            </w:pPr>
          </w:p>
        </w:tc>
        <w:tc>
          <w:tcPr>
            <w:tcW w:w="0" w:type="auto"/>
            <w:shd w:val="clear" w:color="auto" w:fill="auto"/>
          </w:tcPr>
          <w:p w14:paraId="20AE0629" w14:textId="77777777" w:rsidR="00B626E7" w:rsidRDefault="00B626E7">
            <w:pPr>
              <w:rPr>
                <w:rFonts w:ascii="宋体"/>
              </w:rPr>
            </w:pPr>
          </w:p>
        </w:tc>
        <w:tc>
          <w:tcPr>
            <w:tcW w:w="0" w:type="auto"/>
            <w:shd w:val="clear" w:color="auto" w:fill="auto"/>
          </w:tcPr>
          <w:p w14:paraId="20AE062A" w14:textId="77777777" w:rsidR="00B626E7" w:rsidRDefault="00B626E7">
            <w:pPr>
              <w:rPr>
                <w:rFonts w:ascii="宋体"/>
              </w:rPr>
            </w:pPr>
          </w:p>
        </w:tc>
      </w:tr>
      <w:tr w:rsidR="00B626E7" w14:paraId="20AE0645" w14:textId="77777777">
        <w:tc>
          <w:tcPr>
            <w:tcW w:w="0" w:type="auto"/>
            <w:gridSpan w:val="3"/>
            <w:shd w:val="clear" w:color="auto" w:fill="auto"/>
            <w:tcMar>
              <w:top w:w="40" w:type="dxa"/>
              <w:left w:w="20" w:type="dxa"/>
              <w:bottom w:w="40" w:type="dxa"/>
              <w:right w:w="20" w:type="dxa"/>
            </w:tcMar>
            <w:vAlign w:val="bottom"/>
          </w:tcPr>
          <w:p w14:paraId="20AE062C" w14:textId="77777777" w:rsidR="00B626E7" w:rsidRDefault="00175C1D">
            <w:pPr>
              <w:textAlignment w:val="bottom"/>
            </w:pPr>
            <w:r>
              <w:rPr>
                <w:rFonts w:ascii="Arial" w:eastAsia="宋体" w:hAnsi="Arial" w:cs="Arial"/>
                <w:color w:val="333333"/>
                <w:sz w:val="18"/>
                <w:szCs w:val="18"/>
              </w:rPr>
              <w:t>Restricted stock unit withholdings</w:t>
            </w:r>
          </w:p>
        </w:tc>
        <w:tc>
          <w:tcPr>
            <w:tcW w:w="0" w:type="auto"/>
            <w:gridSpan w:val="3"/>
            <w:shd w:val="clear" w:color="auto" w:fill="auto"/>
            <w:tcMar>
              <w:left w:w="20" w:type="dxa"/>
              <w:right w:w="20" w:type="dxa"/>
            </w:tcMar>
            <w:vAlign w:val="bottom"/>
          </w:tcPr>
          <w:p w14:paraId="20AE062D"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62E" w14:textId="77777777" w:rsidR="00B626E7" w:rsidRDefault="00175C1D">
            <w:pPr>
              <w:jc w:val="right"/>
              <w:textAlignment w:val="bottom"/>
            </w:pPr>
            <w:r>
              <w:rPr>
                <w:rFonts w:ascii="Arial" w:eastAsia="宋体" w:hAnsi="Arial" w:cs="Arial"/>
                <w:color w:val="0071C5"/>
                <w:sz w:val="18"/>
                <w:szCs w:val="18"/>
              </w:rPr>
              <w:t>(8)</w:t>
            </w:r>
          </w:p>
        </w:tc>
        <w:tc>
          <w:tcPr>
            <w:tcW w:w="0" w:type="auto"/>
            <w:shd w:val="clear" w:color="auto" w:fill="auto"/>
            <w:tcMar>
              <w:top w:w="40" w:type="dxa"/>
              <w:bottom w:w="40" w:type="dxa"/>
              <w:right w:w="20" w:type="dxa"/>
            </w:tcMar>
            <w:vAlign w:val="bottom"/>
          </w:tcPr>
          <w:p w14:paraId="20AE062F"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630"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631" w14:textId="77777777" w:rsidR="00B626E7" w:rsidRDefault="00175C1D">
            <w:pPr>
              <w:jc w:val="right"/>
              <w:textAlignment w:val="bottom"/>
            </w:pPr>
            <w:r>
              <w:rPr>
                <w:rFonts w:ascii="Arial" w:eastAsia="宋体" w:hAnsi="Arial" w:cs="Arial"/>
                <w:color w:val="0071C5"/>
                <w:sz w:val="18"/>
                <w:szCs w:val="18"/>
              </w:rPr>
              <w:t>(300)</w:t>
            </w:r>
          </w:p>
        </w:tc>
        <w:tc>
          <w:tcPr>
            <w:tcW w:w="0" w:type="auto"/>
            <w:shd w:val="clear" w:color="auto" w:fill="auto"/>
            <w:tcMar>
              <w:top w:w="40" w:type="dxa"/>
              <w:bottom w:w="40" w:type="dxa"/>
              <w:right w:w="20" w:type="dxa"/>
            </w:tcMar>
            <w:vAlign w:val="bottom"/>
          </w:tcPr>
          <w:p w14:paraId="20AE0632"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633"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634"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20AE0635"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636"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637" w14:textId="77777777" w:rsidR="00B626E7" w:rsidRDefault="00175C1D">
            <w:pPr>
              <w:jc w:val="right"/>
              <w:textAlignment w:val="bottom"/>
            </w:pPr>
            <w:r>
              <w:rPr>
                <w:rFonts w:ascii="Arial" w:eastAsia="宋体" w:hAnsi="Arial" w:cs="Arial"/>
                <w:color w:val="0071C5"/>
                <w:sz w:val="18"/>
                <w:szCs w:val="18"/>
              </w:rPr>
              <w:t>(135)</w:t>
            </w:r>
          </w:p>
        </w:tc>
        <w:tc>
          <w:tcPr>
            <w:tcW w:w="0" w:type="auto"/>
            <w:shd w:val="clear" w:color="auto" w:fill="auto"/>
            <w:tcMar>
              <w:top w:w="40" w:type="dxa"/>
              <w:bottom w:w="40" w:type="dxa"/>
              <w:right w:w="20" w:type="dxa"/>
            </w:tcMar>
            <w:vAlign w:val="bottom"/>
          </w:tcPr>
          <w:p w14:paraId="20AE0638"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639"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63A" w14:textId="77777777" w:rsidR="00B626E7" w:rsidRDefault="00175C1D">
            <w:pPr>
              <w:jc w:val="right"/>
              <w:textAlignment w:val="bottom"/>
            </w:pPr>
            <w:r>
              <w:rPr>
                <w:rFonts w:ascii="Arial" w:eastAsia="宋体" w:hAnsi="Arial" w:cs="Arial"/>
                <w:color w:val="0071C5"/>
                <w:sz w:val="18"/>
                <w:szCs w:val="18"/>
              </w:rPr>
              <w:t>(435)</w:t>
            </w:r>
          </w:p>
        </w:tc>
        <w:tc>
          <w:tcPr>
            <w:tcW w:w="0" w:type="auto"/>
            <w:shd w:val="clear" w:color="auto" w:fill="auto"/>
            <w:tcMar>
              <w:top w:w="40" w:type="dxa"/>
              <w:bottom w:w="40" w:type="dxa"/>
              <w:right w:w="20" w:type="dxa"/>
            </w:tcMar>
            <w:vAlign w:val="bottom"/>
          </w:tcPr>
          <w:p w14:paraId="20AE063B"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Pr>
          <w:p w14:paraId="20AE063C" w14:textId="77777777" w:rsidR="00B626E7" w:rsidRDefault="00B626E7">
            <w:pPr>
              <w:rPr>
                <w:rFonts w:ascii="宋体"/>
              </w:rPr>
            </w:pPr>
          </w:p>
        </w:tc>
        <w:tc>
          <w:tcPr>
            <w:tcW w:w="0" w:type="auto"/>
            <w:shd w:val="clear" w:color="auto" w:fill="auto"/>
          </w:tcPr>
          <w:p w14:paraId="20AE063D" w14:textId="77777777" w:rsidR="00B626E7" w:rsidRDefault="00B626E7">
            <w:pPr>
              <w:rPr>
                <w:rFonts w:ascii="宋体"/>
              </w:rPr>
            </w:pPr>
          </w:p>
        </w:tc>
        <w:tc>
          <w:tcPr>
            <w:tcW w:w="0" w:type="auto"/>
            <w:shd w:val="clear" w:color="auto" w:fill="auto"/>
          </w:tcPr>
          <w:p w14:paraId="20AE063E" w14:textId="77777777" w:rsidR="00B626E7" w:rsidRDefault="00B626E7">
            <w:pPr>
              <w:rPr>
                <w:rFonts w:ascii="宋体"/>
              </w:rPr>
            </w:pPr>
          </w:p>
        </w:tc>
        <w:tc>
          <w:tcPr>
            <w:tcW w:w="0" w:type="auto"/>
            <w:shd w:val="clear" w:color="auto" w:fill="auto"/>
          </w:tcPr>
          <w:p w14:paraId="20AE063F" w14:textId="77777777" w:rsidR="00B626E7" w:rsidRDefault="00B626E7">
            <w:pPr>
              <w:rPr>
                <w:rFonts w:ascii="宋体"/>
              </w:rPr>
            </w:pPr>
          </w:p>
        </w:tc>
        <w:tc>
          <w:tcPr>
            <w:tcW w:w="0" w:type="auto"/>
            <w:shd w:val="clear" w:color="auto" w:fill="auto"/>
          </w:tcPr>
          <w:p w14:paraId="20AE0640" w14:textId="77777777" w:rsidR="00B626E7" w:rsidRDefault="00B626E7">
            <w:pPr>
              <w:rPr>
                <w:rFonts w:ascii="宋体"/>
              </w:rPr>
            </w:pPr>
          </w:p>
        </w:tc>
        <w:tc>
          <w:tcPr>
            <w:tcW w:w="0" w:type="auto"/>
            <w:shd w:val="clear" w:color="auto" w:fill="auto"/>
          </w:tcPr>
          <w:p w14:paraId="20AE0641" w14:textId="77777777" w:rsidR="00B626E7" w:rsidRDefault="00B626E7">
            <w:pPr>
              <w:rPr>
                <w:rFonts w:ascii="宋体"/>
              </w:rPr>
            </w:pPr>
          </w:p>
        </w:tc>
        <w:tc>
          <w:tcPr>
            <w:tcW w:w="0" w:type="auto"/>
            <w:shd w:val="clear" w:color="auto" w:fill="auto"/>
          </w:tcPr>
          <w:p w14:paraId="20AE0642" w14:textId="77777777" w:rsidR="00B626E7" w:rsidRDefault="00B626E7">
            <w:pPr>
              <w:rPr>
                <w:rFonts w:ascii="宋体"/>
              </w:rPr>
            </w:pPr>
          </w:p>
        </w:tc>
        <w:tc>
          <w:tcPr>
            <w:tcW w:w="0" w:type="auto"/>
            <w:shd w:val="clear" w:color="auto" w:fill="auto"/>
          </w:tcPr>
          <w:p w14:paraId="20AE0643" w14:textId="77777777" w:rsidR="00B626E7" w:rsidRDefault="00B626E7">
            <w:pPr>
              <w:rPr>
                <w:rFonts w:ascii="宋体"/>
              </w:rPr>
            </w:pPr>
          </w:p>
        </w:tc>
        <w:tc>
          <w:tcPr>
            <w:tcW w:w="0" w:type="auto"/>
            <w:shd w:val="clear" w:color="auto" w:fill="auto"/>
          </w:tcPr>
          <w:p w14:paraId="20AE0644" w14:textId="77777777" w:rsidR="00B626E7" w:rsidRDefault="00B626E7">
            <w:pPr>
              <w:rPr>
                <w:rFonts w:ascii="宋体"/>
              </w:rPr>
            </w:pPr>
          </w:p>
        </w:tc>
      </w:tr>
      <w:tr w:rsidR="00B626E7" w14:paraId="20AE065F" w14:textId="77777777">
        <w:tc>
          <w:tcPr>
            <w:tcW w:w="0" w:type="auto"/>
            <w:gridSpan w:val="3"/>
            <w:shd w:val="clear" w:color="auto" w:fill="auto"/>
            <w:tcMar>
              <w:top w:w="40" w:type="dxa"/>
              <w:left w:w="20" w:type="dxa"/>
              <w:bottom w:w="40" w:type="dxa"/>
              <w:right w:w="20" w:type="dxa"/>
            </w:tcMar>
            <w:vAlign w:val="bottom"/>
          </w:tcPr>
          <w:p w14:paraId="20AE0646" w14:textId="77777777" w:rsidR="00B626E7" w:rsidRDefault="00175C1D">
            <w:pPr>
              <w:textAlignment w:val="bottom"/>
            </w:pPr>
            <w:r>
              <w:rPr>
                <w:rFonts w:ascii="Arial" w:eastAsia="宋体" w:hAnsi="Arial" w:cs="Arial"/>
                <w:color w:val="333333"/>
                <w:sz w:val="18"/>
                <w:szCs w:val="18"/>
              </w:rPr>
              <w:t>Cash dividends declared ($0.66 per share)</w:t>
            </w:r>
          </w:p>
        </w:tc>
        <w:tc>
          <w:tcPr>
            <w:tcW w:w="0" w:type="auto"/>
            <w:gridSpan w:val="3"/>
            <w:shd w:val="clear" w:color="auto" w:fill="auto"/>
            <w:tcMar>
              <w:left w:w="20" w:type="dxa"/>
              <w:right w:w="20" w:type="dxa"/>
            </w:tcMar>
            <w:vAlign w:val="bottom"/>
          </w:tcPr>
          <w:p w14:paraId="20AE0647"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648"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20AE0649"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64A"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64B"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20AE064C"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64D"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64E"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20AE064F"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650"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651" w14:textId="77777777" w:rsidR="00B626E7" w:rsidRDefault="00175C1D">
            <w:pPr>
              <w:jc w:val="right"/>
              <w:textAlignment w:val="bottom"/>
            </w:pPr>
            <w:r>
              <w:rPr>
                <w:rFonts w:ascii="Arial" w:eastAsia="宋体" w:hAnsi="Arial" w:cs="Arial"/>
                <w:color w:val="0071C5"/>
                <w:sz w:val="18"/>
                <w:szCs w:val="18"/>
              </w:rPr>
              <w:t>(2,819)</w:t>
            </w:r>
          </w:p>
        </w:tc>
        <w:tc>
          <w:tcPr>
            <w:tcW w:w="0" w:type="auto"/>
            <w:shd w:val="clear" w:color="auto" w:fill="auto"/>
            <w:tcMar>
              <w:top w:w="40" w:type="dxa"/>
              <w:bottom w:w="40" w:type="dxa"/>
              <w:right w:w="20" w:type="dxa"/>
            </w:tcMar>
            <w:vAlign w:val="bottom"/>
          </w:tcPr>
          <w:p w14:paraId="20AE0652"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653"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654" w14:textId="77777777" w:rsidR="00B626E7" w:rsidRDefault="00175C1D">
            <w:pPr>
              <w:jc w:val="right"/>
              <w:textAlignment w:val="bottom"/>
            </w:pPr>
            <w:r>
              <w:rPr>
                <w:rFonts w:ascii="Arial" w:eastAsia="宋体" w:hAnsi="Arial" w:cs="Arial"/>
                <w:color w:val="0071C5"/>
                <w:sz w:val="18"/>
                <w:szCs w:val="18"/>
              </w:rPr>
              <w:t>(2,819)</w:t>
            </w:r>
          </w:p>
        </w:tc>
        <w:tc>
          <w:tcPr>
            <w:tcW w:w="0" w:type="auto"/>
            <w:shd w:val="clear" w:color="auto" w:fill="auto"/>
            <w:tcMar>
              <w:top w:w="40" w:type="dxa"/>
              <w:bottom w:w="40" w:type="dxa"/>
              <w:right w:w="20" w:type="dxa"/>
            </w:tcMar>
            <w:vAlign w:val="bottom"/>
          </w:tcPr>
          <w:p w14:paraId="20AE0655"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Pr>
          <w:p w14:paraId="20AE0656" w14:textId="77777777" w:rsidR="00B626E7" w:rsidRDefault="00B626E7">
            <w:pPr>
              <w:rPr>
                <w:rFonts w:ascii="宋体"/>
              </w:rPr>
            </w:pPr>
          </w:p>
        </w:tc>
        <w:tc>
          <w:tcPr>
            <w:tcW w:w="0" w:type="auto"/>
            <w:shd w:val="clear" w:color="auto" w:fill="auto"/>
          </w:tcPr>
          <w:p w14:paraId="20AE0657" w14:textId="77777777" w:rsidR="00B626E7" w:rsidRDefault="00B626E7">
            <w:pPr>
              <w:rPr>
                <w:rFonts w:ascii="宋体"/>
              </w:rPr>
            </w:pPr>
          </w:p>
        </w:tc>
        <w:tc>
          <w:tcPr>
            <w:tcW w:w="0" w:type="auto"/>
            <w:shd w:val="clear" w:color="auto" w:fill="auto"/>
          </w:tcPr>
          <w:p w14:paraId="20AE0658" w14:textId="77777777" w:rsidR="00B626E7" w:rsidRDefault="00B626E7">
            <w:pPr>
              <w:rPr>
                <w:rFonts w:ascii="宋体"/>
              </w:rPr>
            </w:pPr>
          </w:p>
        </w:tc>
        <w:tc>
          <w:tcPr>
            <w:tcW w:w="0" w:type="auto"/>
            <w:shd w:val="clear" w:color="auto" w:fill="auto"/>
          </w:tcPr>
          <w:p w14:paraId="20AE0659" w14:textId="77777777" w:rsidR="00B626E7" w:rsidRDefault="00B626E7">
            <w:pPr>
              <w:rPr>
                <w:rFonts w:ascii="宋体"/>
              </w:rPr>
            </w:pPr>
          </w:p>
        </w:tc>
        <w:tc>
          <w:tcPr>
            <w:tcW w:w="0" w:type="auto"/>
            <w:shd w:val="clear" w:color="auto" w:fill="auto"/>
          </w:tcPr>
          <w:p w14:paraId="20AE065A" w14:textId="77777777" w:rsidR="00B626E7" w:rsidRDefault="00B626E7">
            <w:pPr>
              <w:rPr>
                <w:rFonts w:ascii="宋体"/>
              </w:rPr>
            </w:pPr>
          </w:p>
        </w:tc>
        <w:tc>
          <w:tcPr>
            <w:tcW w:w="0" w:type="auto"/>
            <w:shd w:val="clear" w:color="auto" w:fill="auto"/>
          </w:tcPr>
          <w:p w14:paraId="20AE065B" w14:textId="77777777" w:rsidR="00B626E7" w:rsidRDefault="00B626E7">
            <w:pPr>
              <w:rPr>
                <w:rFonts w:ascii="宋体"/>
              </w:rPr>
            </w:pPr>
          </w:p>
        </w:tc>
        <w:tc>
          <w:tcPr>
            <w:tcW w:w="0" w:type="auto"/>
            <w:shd w:val="clear" w:color="auto" w:fill="auto"/>
          </w:tcPr>
          <w:p w14:paraId="20AE065C" w14:textId="77777777" w:rsidR="00B626E7" w:rsidRDefault="00B626E7">
            <w:pPr>
              <w:rPr>
                <w:rFonts w:ascii="宋体"/>
              </w:rPr>
            </w:pPr>
          </w:p>
        </w:tc>
        <w:tc>
          <w:tcPr>
            <w:tcW w:w="0" w:type="auto"/>
            <w:shd w:val="clear" w:color="auto" w:fill="auto"/>
          </w:tcPr>
          <w:p w14:paraId="20AE065D" w14:textId="77777777" w:rsidR="00B626E7" w:rsidRDefault="00B626E7">
            <w:pPr>
              <w:rPr>
                <w:rFonts w:ascii="宋体"/>
              </w:rPr>
            </w:pPr>
          </w:p>
        </w:tc>
        <w:tc>
          <w:tcPr>
            <w:tcW w:w="0" w:type="auto"/>
            <w:shd w:val="clear" w:color="auto" w:fill="auto"/>
          </w:tcPr>
          <w:p w14:paraId="20AE065E" w14:textId="77777777" w:rsidR="00B626E7" w:rsidRDefault="00B626E7">
            <w:pPr>
              <w:rPr>
                <w:rFonts w:ascii="宋体"/>
              </w:rPr>
            </w:pPr>
          </w:p>
        </w:tc>
      </w:tr>
      <w:tr w:rsidR="00B626E7" w14:paraId="20AE067D" w14:textId="77777777">
        <w:tc>
          <w:tcPr>
            <w:tcW w:w="0" w:type="auto"/>
            <w:gridSpan w:val="3"/>
            <w:shd w:val="clear" w:color="auto" w:fill="auto"/>
            <w:tcMar>
              <w:top w:w="40" w:type="dxa"/>
              <w:left w:w="20" w:type="dxa"/>
              <w:bottom w:w="40" w:type="dxa"/>
              <w:right w:w="20" w:type="dxa"/>
            </w:tcMar>
            <w:vAlign w:val="bottom"/>
          </w:tcPr>
          <w:p w14:paraId="20AE0660" w14:textId="77777777" w:rsidR="00B626E7" w:rsidRDefault="00175C1D">
            <w:pPr>
              <w:textAlignment w:val="bottom"/>
            </w:pPr>
            <w:r>
              <w:rPr>
                <w:rFonts w:ascii="Arial" w:eastAsia="宋体" w:hAnsi="Arial" w:cs="Arial"/>
                <w:b/>
                <w:bCs/>
                <w:color w:val="333333"/>
                <w:sz w:val="18"/>
                <w:szCs w:val="18"/>
              </w:rPr>
              <w:t>Balance as of June 27, 2020</w:t>
            </w:r>
          </w:p>
        </w:tc>
        <w:tc>
          <w:tcPr>
            <w:tcW w:w="0" w:type="auto"/>
            <w:gridSpan w:val="3"/>
            <w:shd w:val="clear" w:color="auto" w:fill="auto"/>
            <w:tcMar>
              <w:left w:w="20" w:type="dxa"/>
              <w:right w:w="20" w:type="dxa"/>
            </w:tcMar>
            <w:vAlign w:val="bottom"/>
          </w:tcPr>
          <w:p w14:paraId="20AE0661"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0662" w14:textId="77777777" w:rsidR="00B626E7" w:rsidRDefault="00175C1D">
            <w:pPr>
              <w:jc w:val="right"/>
              <w:textAlignment w:val="bottom"/>
            </w:pPr>
            <w:r>
              <w:rPr>
                <w:rFonts w:ascii="Arial" w:eastAsia="宋体" w:hAnsi="Arial" w:cs="Arial"/>
                <w:b/>
                <w:bCs/>
                <w:color w:val="0071C5"/>
                <w:sz w:val="18"/>
                <w:szCs w:val="18"/>
              </w:rPr>
              <w:t>4,253 </w:t>
            </w:r>
          </w:p>
        </w:tc>
        <w:tc>
          <w:tcPr>
            <w:tcW w:w="0" w:type="auto"/>
            <w:tcBorders>
              <w:top w:val="single" w:sz="8" w:space="0" w:color="333333"/>
            </w:tcBorders>
            <w:shd w:val="clear" w:color="auto" w:fill="auto"/>
            <w:tcMar>
              <w:top w:w="40" w:type="dxa"/>
              <w:bottom w:w="40" w:type="dxa"/>
              <w:right w:w="20" w:type="dxa"/>
            </w:tcMar>
            <w:vAlign w:val="bottom"/>
          </w:tcPr>
          <w:p w14:paraId="20AE0663"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0664" w14:textId="77777777" w:rsidR="00B626E7" w:rsidRDefault="00B626E7">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20AE0665" w14:textId="77777777" w:rsidR="00B626E7" w:rsidRDefault="00175C1D">
            <w:pPr>
              <w:textAlignment w:val="bottom"/>
            </w:pPr>
            <w:r>
              <w:rPr>
                <w:rFonts w:ascii="Arial" w:eastAsia="宋体" w:hAnsi="Arial" w:cs="Arial"/>
                <w:b/>
                <w:bCs/>
                <w:color w:val="0071C5"/>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20AE0666" w14:textId="77777777" w:rsidR="00B626E7" w:rsidRDefault="00175C1D">
            <w:pPr>
              <w:jc w:val="right"/>
              <w:textAlignment w:val="bottom"/>
            </w:pPr>
            <w:r>
              <w:rPr>
                <w:rFonts w:ascii="Arial" w:eastAsia="宋体" w:hAnsi="Arial" w:cs="Arial"/>
                <w:b/>
                <w:bCs/>
                <w:color w:val="0071C5"/>
                <w:sz w:val="18"/>
                <w:szCs w:val="18"/>
              </w:rPr>
              <w:t>25,516 </w:t>
            </w:r>
          </w:p>
        </w:tc>
        <w:tc>
          <w:tcPr>
            <w:tcW w:w="0" w:type="auto"/>
            <w:tcBorders>
              <w:top w:val="single" w:sz="8" w:space="0" w:color="333333"/>
            </w:tcBorders>
            <w:shd w:val="clear" w:color="auto" w:fill="auto"/>
            <w:tcMar>
              <w:top w:w="40" w:type="dxa"/>
              <w:bottom w:w="40" w:type="dxa"/>
              <w:right w:w="20" w:type="dxa"/>
            </w:tcMar>
            <w:vAlign w:val="bottom"/>
          </w:tcPr>
          <w:p w14:paraId="20AE0667"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0668" w14:textId="77777777" w:rsidR="00B626E7" w:rsidRDefault="00B626E7">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20AE0669" w14:textId="77777777" w:rsidR="00B626E7" w:rsidRDefault="00175C1D">
            <w:pPr>
              <w:textAlignment w:val="bottom"/>
            </w:pPr>
            <w:r>
              <w:rPr>
                <w:rFonts w:ascii="Arial" w:eastAsia="宋体" w:hAnsi="Arial" w:cs="Arial"/>
                <w:b/>
                <w:bCs/>
                <w:color w:val="0071C5"/>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20AE066A" w14:textId="77777777" w:rsidR="00B626E7" w:rsidRDefault="00175C1D">
            <w:pPr>
              <w:jc w:val="right"/>
              <w:textAlignment w:val="bottom"/>
            </w:pPr>
            <w:r>
              <w:rPr>
                <w:rFonts w:ascii="Arial" w:eastAsia="宋体" w:hAnsi="Arial" w:cs="Arial"/>
                <w:b/>
                <w:bCs/>
                <w:color w:val="0071C5"/>
                <w:sz w:val="18"/>
                <w:szCs w:val="18"/>
              </w:rPr>
              <w:t>(1,152)</w:t>
            </w:r>
          </w:p>
        </w:tc>
        <w:tc>
          <w:tcPr>
            <w:tcW w:w="0" w:type="auto"/>
            <w:tcBorders>
              <w:top w:val="single" w:sz="8" w:space="0" w:color="333333"/>
            </w:tcBorders>
            <w:shd w:val="clear" w:color="auto" w:fill="auto"/>
            <w:tcMar>
              <w:top w:w="40" w:type="dxa"/>
              <w:bottom w:w="40" w:type="dxa"/>
              <w:right w:w="20" w:type="dxa"/>
            </w:tcMar>
            <w:vAlign w:val="bottom"/>
          </w:tcPr>
          <w:p w14:paraId="20AE066B"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066C" w14:textId="77777777" w:rsidR="00B626E7" w:rsidRDefault="00B626E7">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20AE066D" w14:textId="77777777" w:rsidR="00B626E7" w:rsidRDefault="00175C1D">
            <w:pPr>
              <w:textAlignment w:val="bottom"/>
            </w:pPr>
            <w:r>
              <w:rPr>
                <w:rFonts w:ascii="Arial" w:eastAsia="宋体" w:hAnsi="Arial" w:cs="Arial"/>
                <w:b/>
                <w:bCs/>
                <w:color w:val="0071C5"/>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20AE066E" w14:textId="77777777" w:rsidR="00B626E7" w:rsidRDefault="00175C1D">
            <w:pPr>
              <w:jc w:val="right"/>
              <w:textAlignment w:val="bottom"/>
            </w:pPr>
            <w:r>
              <w:rPr>
                <w:rFonts w:ascii="Arial" w:eastAsia="宋体" w:hAnsi="Arial" w:cs="Arial"/>
                <w:b/>
                <w:bCs/>
                <w:color w:val="0071C5"/>
                <w:sz w:val="18"/>
                <w:szCs w:val="18"/>
              </w:rPr>
              <w:t>57,646 </w:t>
            </w:r>
          </w:p>
        </w:tc>
        <w:tc>
          <w:tcPr>
            <w:tcW w:w="0" w:type="auto"/>
            <w:tcBorders>
              <w:top w:val="single" w:sz="8" w:space="0" w:color="333333"/>
            </w:tcBorders>
            <w:shd w:val="clear" w:color="auto" w:fill="auto"/>
            <w:tcMar>
              <w:top w:w="40" w:type="dxa"/>
              <w:bottom w:w="40" w:type="dxa"/>
              <w:right w:w="20" w:type="dxa"/>
            </w:tcMar>
            <w:vAlign w:val="bottom"/>
          </w:tcPr>
          <w:p w14:paraId="20AE066F"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0670" w14:textId="77777777" w:rsidR="00B626E7" w:rsidRDefault="00B626E7">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20AE0671" w14:textId="77777777" w:rsidR="00B626E7" w:rsidRDefault="00175C1D">
            <w:pPr>
              <w:textAlignment w:val="bottom"/>
            </w:pPr>
            <w:r>
              <w:rPr>
                <w:rFonts w:ascii="Arial" w:eastAsia="宋体" w:hAnsi="Arial" w:cs="Arial"/>
                <w:b/>
                <w:bCs/>
                <w:color w:val="0071C5"/>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20AE0672" w14:textId="77777777" w:rsidR="00B626E7" w:rsidRDefault="00175C1D">
            <w:pPr>
              <w:jc w:val="right"/>
              <w:textAlignment w:val="bottom"/>
            </w:pPr>
            <w:r>
              <w:rPr>
                <w:rFonts w:ascii="Arial" w:eastAsia="宋体" w:hAnsi="Arial" w:cs="Arial"/>
                <w:b/>
                <w:bCs/>
                <w:color w:val="0071C5"/>
                <w:sz w:val="18"/>
                <w:szCs w:val="18"/>
              </w:rPr>
              <w:t>82,010 </w:t>
            </w:r>
          </w:p>
        </w:tc>
        <w:tc>
          <w:tcPr>
            <w:tcW w:w="0" w:type="auto"/>
            <w:tcBorders>
              <w:top w:val="single" w:sz="8" w:space="0" w:color="333333"/>
            </w:tcBorders>
            <w:shd w:val="clear" w:color="auto" w:fill="auto"/>
            <w:tcMar>
              <w:top w:w="40" w:type="dxa"/>
              <w:bottom w:w="40" w:type="dxa"/>
              <w:right w:w="20" w:type="dxa"/>
            </w:tcMar>
            <w:vAlign w:val="bottom"/>
          </w:tcPr>
          <w:p w14:paraId="20AE0673" w14:textId="77777777" w:rsidR="00B626E7" w:rsidRDefault="00175C1D">
            <w:pPr>
              <w:jc w:val="right"/>
              <w:textAlignment w:val="bottom"/>
            </w:pPr>
            <w:r>
              <w:rPr>
                <w:rFonts w:ascii="Arial" w:eastAsia="宋体" w:hAnsi="Arial" w:cs="Arial"/>
                <w:b/>
                <w:bCs/>
                <w:color w:val="0071C5"/>
                <w:sz w:val="18"/>
                <w:szCs w:val="18"/>
              </w:rPr>
              <w:t> </w:t>
            </w:r>
          </w:p>
        </w:tc>
        <w:tc>
          <w:tcPr>
            <w:tcW w:w="0" w:type="auto"/>
            <w:shd w:val="clear" w:color="auto" w:fill="auto"/>
          </w:tcPr>
          <w:p w14:paraId="20AE0674" w14:textId="77777777" w:rsidR="00B626E7" w:rsidRDefault="00B626E7">
            <w:pPr>
              <w:rPr>
                <w:rFonts w:ascii="宋体"/>
              </w:rPr>
            </w:pPr>
          </w:p>
        </w:tc>
        <w:tc>
          <w:tcPr>
            <w:tcW w:w="0" w:type="auto"/>
            <w:shd w:val="clear" w:color="auto" w:fill="auto"/>
          </w:tcPr>
          <w:p w14:paraId="20AE0675" w14:textId="77777777" w:rsidR="00B626E7" w:rsidRDefault="00B626E7">
            <w:pPr>
              <w:rPr>
                <w:rFonts w:ascii="宋体"/>
              </w:rPr>
            </w:pPr>
          </w:p>
        </w:tc>
        <w:tc>
          <w:tcPr>
            <w:tcW w:w="0" w:type="auto"/>
            <w:shd w:val="clear" w:color="auto" w:fill="auto"/>
          </w:tcPr>
          <w:p w14:paraId="20AE0676" w14:textId="77777777" w:rsidR="00B626E7" w:rsidRDefault="00B626E7">
            <w:pPr>
              <w:rPr>
                <w:rFonts w:ascii="宋体"/>
              </w:rPr>
            </w:pPr>
          </w:p>
        </w:tc>
        <w:tc>
          <w:tcPr>
            <w:tcW w:w="0" w:type="auto"/>
            <w:shd w:val="clear" w:color="auto" w:fill="auto"/>
          </w:tcPr>
          <w:p w14:paraId="20AE0677" w14:textId="77777777" w:rsidR="00B626E7" w:rsidRDefault="00B626E7">
            <w:pPr>
              <w:rPr>
                <w:rFonts w:ascii="宋体"/>
              </w:rPr>
            </w:pPr>
          </w:p>
        </w:tc>
        <w:tc>
          <w:tcPr>
            <w:tcW w:w="0" w:type="auto"/>
            <w:shd w:val="clear" w:color="auto" w:fill="auto"/>
          </w:tcPr>
          <w:p w14:paraId="20AE0678" w14:textId="77777777" w:rsidR="00B626E7" w:rsidRDefault="00B626E7">
            <w:pPr>
              <w:rPr>
                <w:rFonts w:ascii="宋体"/>
              </w:rPr>
            </w:pPr>
          </w:p>
        </w:tc>
        <w:tc>
          <w:tcPr>
            <w:tcW w:w="0" w:type="auto"/>
            <w:shd w:val="clear" w:color="auto" w:fill="auto"/>
          </w:tcPr>
          <w:p w14:paraId="20AE0679" w14:textId="77777777" w:rsidR="00B626E7" w:rsidRDefault="00B626E7">
            <w:pPr>
              <w:rPr>
                <w:rFonts w:ascii="宋体"/>
              </w:rPr>
            </w:pPr>
          </w:p>
        </w:tc>
        <w:tc>
          <w:tcPr>
            <w:tcW w:w="0" w:type="auto"/>
            <w:shd w:val="clear" w:color="auto" w:fill="auto"/>
          </w:tcPr>
          <w:p w14:paraId="20AE067A" w14:textId="77777777" w:rsidR="00B626E7" w:rsidRDefault="00B626E7">
            <w:pPr>
              <w:rPr>
                <w:rFonts w:ascii="宋体"/>
              </w:rPr>
            </w:pPr>
          </w:p>
        </w:tc>
        <w:tc>
          <w:tcPr>
            <w:tcW w:w="0" w:type="auto"/>
            <w:shd w:val="clear" w:color="auto" w:fill="auto"/>
          </w:tcPr>
          <w:p w14:paraId="20AE067B" w14:textId="77777777" w:rsidR="00B626E7" w:rsidRDefault="00B626E7">
            <w:pPr>
              <w:rPr>
                <w:rFonts w:ascii="宋体"/>
              </w:rPr>
            </w:pPr>
          </w:p>
        </w:tc>
        <w:tc>
          <w:tcPr>
            <w:tcW w:w="0" w:type="auto"/>
            <w:shd w:val="clear" w:color="auto" w:fill="auto"/>
          </w:tcPr>
          <w:p w14:paraId="20AE067C" w14:textId="77777777" w:rsidR="00B626E7" w:rsidRDefault="00B626E7">
            <w:pPr>
              <w:rPr>
                <w:rFonts w:ascii="宋体"/>
              </w:rPr>
            </w:pPr>
          </w:p>
        </w:tc>
      </w:tr>
      <w:tr w:rsidR="00B626E7" w14:paraId="20AE0692" w14:textId="77777777">
        <w:trPr>
          <w:trHeight w:val="160"/>
        </w:trPr>
        <w:tc>
          <w:tcPr>
            <w:tcW w:w="0" w:type="auto"/>
            <w:gridSpan w:val="3"/>
            <w:shd w:val="clear" w:color="auto" w:fill="auto"/>
            <w:tcMar>
              <w:left w:w="20" w:type="dxa"/>
              <w:right w:w="20" w:type="dxa"/>
            </w:tcMar>
            <w:vAlign w:val="bottom"/>
          </w:tcPr>
          <w:p w14:paraId="20AE067E"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67F" w14:textId="77777777" w:rsidR="00B626E7" w:rsidRDefault="00B626E7">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20AE0680"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681" w14:textId="77777777" w:rsidR="00B626E7" w:rsidRDefault="00B626E7">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20AE0682"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683" w14:textId="77777777" w:rsidR="00B626E7" w:rsidRDefault="00B626E7">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20AE0684"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685" w14:textId="77777777" w:rsidR="00B626E7" w:rsidRDefault="00B626E7">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20AE0686"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687" w14:textId="77777777" w:rsidR="00B626E7" w:rsidRDefault="00B626E7">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20AE0688" w14:textId="77777777" w:rsidR="00B626E7" w:rsidRDefault="00B626E7">
            <w:pPr>
              <w:rPr>
                <w:rFonts w:ascii="宋体"/>
              </w:rPr>
            </w:pPr>
          </w:p>
        </w:tc>
        <w:tc>
          <w:tcPr>
            <w:tcW w:w="0" w:type="auto"/>
            <w:shd w:val="clear" w:color="auto" w:fill="auto"/>
          </w:tcPr>
          <w:p w14:paraId="20AE0689" w14:textId="77777777" w:rsidR="00B626E7" w:rsidRDefault="00B626E7">
            <w:pPr>
              <w:rPr>
                <w:rFonts w:ascii="宋体"/>
              </w:rPr>
            </w:pPr>
          </w:p>
        </w:tc>
        <w:tc>
          <w:tcPr>
            <w:tcW w:w="0" w:type="auto"/>
            <w:shd w:val="clear" w:color="auto" w:fill="auto"/>
          </w:tcPr>
          <w:p w14:paraId="20AE068A" w14:textId="77777777" w:rsidR="00B626E7" w:rsidRDefault="00B626E7">
            <w:pPr>
              <w:rPr>
                <w:rFonts w:ascii="宋体"/>
              </w:rPr>
            </w:pPr>
          </w:p>
        </w:tc>
        <w:tc>
          <w:tcPr>
            <w:tcW w:w="0" w:type="auto"/>
            <w:shd w:val="clear" w:color="auto" w:fill="auto"/>
          </w:tcPr>
          <w:p w14:paraId="20AE068B" w14:textId="77777777" w:rsidR="00B626E7" w:rsidRDefault="00B626E7">
            <w:pPr>
              <w:rPr>
                <w:rFonts w:ascii="宋体"/>
              </w:rPr>
            </w:pPr>
          </w:p>
        </w:tc>
        <w:tc>
          <w:tcPr>
            <w:tcW w:w="0" w:type="auto"/>
            <w:shd w:val="clear" w:color="auto" w:fill="auto"/>
          </w:tcPr>
          <w:p w14:paraId="20AE068C" w14:textId="77777777" w:rsidR="00B626E7" w:rsidRDefault="00B626E7">
            <w:pPr>
              <w:rPr>
                <w:rFonts w:ascii="宋体"/>
              </w:rPr>
            </w:pPr>
          </w:p>
        </w:tc>
        <w:tc>
          <w:tcPr>
            <w:tcW w:w="0" w:type="auto"/>
            <w:shd w:val="clear" w:color="auto" w:fill="auto"/>
          </w:tcPr>
          <w:p w14:paraId="20AE068D" w14:textId="77777777" w:rsidR="00B626E7" w:rsidRDefault="00B626E7">
            <w:pPr>
              <w:rPr>
                <w:rFonts w:ascii="宋体"/>
              </w:rPr>
            </w:pPr>
          </w:p>
        </w:tc>
        <w:tc>
          <w:tcPr>
            <w:tcW w:w="0" w:type="auto"/>
            <w:shd w:val="clear" w:color="auto" w:fill="auto"/>
          </w:tcPr>
          <w:p w14:paraId="20AE068E" w14:textId="77777777" w:rsidR="00B626E7" w:rsidRDefault="00B626E7">
            <w:pPr>
              <w:rPr>
                <w:rFonts w:ascii="宋体"/>
              </w:rPr>
            </w:pPr>
          </w:p>
        </w:tc>
        <w:tc>
          <w:tcPr>
            <w:tcW w:w="0" w:type="auto"/>
            <w:shd w:val="clear" w:color="auto" w:fill="auto"/>
          </w:tcPr>
          <w:p w14:paraId="20AE068F" w14:textId="77777777" w:rsidR="00B626E7" w:rsidRDefault="00B626E7">
            <w:pPr>
              <w:rPr>
                <w:rFonts w:ascii="宋体"/>
              </w:rPr>
            </w:pPr>
          </w:p>
        </w:tc>
        <w:tc>
          <w:tcPr>
            <w:tcW w:w="0" w:type="auto"/>
            <w:shd w:val="clear" w:color="auto" w:fill="auto"/>
          </w:tcPr>
          <w:p w14:paraId="20AE0690" w14:textId="77777777" w:rsidR="00B626E7" w:rsidRDefault="00B626E7">
            <w:pPr>
              <w:rPr>
                <w:rFonts w:ascii="宋体"/>
              </w:rPr>
            </w:pPr>
          </w:p>
        </w:tc>
        <w:tc>
          <w:tcPr>
            <w:tcW w:w="0" w:type="auto"/>
            <w:shd w:val="clear" w:color="auto" w:fill="auto"/>
          </w:tcPr>
          <w:p w14:paraId="20AE0691" w14:textId="77777777" w:rsidR="00B626E7" w:rsidRDefault="00B626E7">
            <w:pPr>
              <w:rPr>
                <w:rFonts w:ascii="宋体"/>
              </w:rPr>
            </w:pPr>
          </w:p>
        </w:tc>
      </w:tr>
      <w:tr w:rsidR="00B626E7" w14:paraId="20AE06B0" w14:textId="77777777">
        <w:tc>
          <w:tcPr>
            <w:tcW w:w="0" w:type="auto"/>
            <w:gridSpan w:val="3"/>
            <w:shd w:val="clear" w:color="auto" w:fill="auto"/>
            <w:tcMar>
              <w:top w:w="40" w:type="dxa"/>
              <w:left w:w="20" w:type="dxa"/>
              <w:bottom w:w="40" w:type="dxa"/>
              <w:right w:w="20" w:type="dxa"/>
            </w:tcMar>
            <w:vAlign w:val="bottom"/>
          </w:tcPr>
          <w:p w14:paraId="20AE0693" w14:textId="77777777" w:rsidR="00B626E7" w:rsidRDefault="00175C1D">
            <w:pPr>
              <w:textAlignment w:val="bottom"/>
            </w:pPr>
            <w:r>
              <w:rPr>
                <w:rFonts w:ascii="Arial" w:eastAsia="宋体" w:hAnsi="Arial" w:cs="Arial"/>
                <w:b/>
                <w:bCs/>
                <w:color w:val="333333"/>
                <w:sz w:val="18"/>
                <w:szCs w:val="18"/>
              </w:rPr>
              <w:t>Balance as of December 29, 2018</w:t>
            </w:r>
          </w:p>
        </w:tc>
        <w:tc>
          <w:tcPr>
            <w:tcW w:w="0" w:type="auto"/>
            <w:gridSpan w:val="3"/>
            <w:shd w:val="clear" w:color="auto" w:fill="auto"/>
            <w:tcMar>
              <w:left w:w="20" w:type="dxa"/>
              <w:right w:w="20" w:type="dxa"/>
            </w:tcMar>
            <w:vAlign w:val="bottom"/>
          </w:tcPr>
          <w:p w14:paraId="20AE0694"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695" w14:textId="77777777" w:rsidR="00B626E7" w:rsidRDefault="00175C1D">
            <w:pPr>
              <w:jc w:val="right"/>
              <w:textAlignment w:val="bottom"/>
            </w:pPr>
            <w:r>
              <w:rPr>
                <w:rFonts w:ascii="Arial" w:eastAsia="宋体" w:hAnsi="Arial" w:cs="Arial"/>
                <w:b/>
                <w:bCs/>
                <w:color w:val="333333"/>
                <w:sz w:val="18"/>
                <w:szCs w:val="18"/>
              </w:rPr>
              <w:t>4,516 </w:t>
            </w:r>
          </w:p>
        </w:tc>
        <w:tc>
          <w:tcPr>
            <w:tcW w:w="0" w:type="auto"/>
            <w:shd w:val="clear" w:color="auto" w:fill="auto"/>
            <w:tcMar>
              <w:top w:w="40" w:type="dxa"/>
              <w:bottom w:w="40" w:type="dxa"/>
              <w:right w:w="20" w:type="dxa"/>
            </w:tcMar>
            <w:vAlign w:val="bottom"/>
          </w:tcPr>
          <w:p w14:paraId="20AE0696"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0697"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0698" w14:textId="77777777" w:rsidR="00B626E7" w:rsidRDefault="00175C1D">
            <w:pPr>
              <w:textAlignment w:val="bottom"/>
            </w:pPr>
            <w:r>
              <w:rPr>
                <w:rFonts w:ascii="Arial" w:eastAsia="宋体" w:hAnsi="Arial" w:cs="Arial"/>
                <w:b/>
                <w:bCs/>
                <w:color w:val="333333"/>
                <w:sz w:val="18"/>
                <w:szCs w:val="18"/>
              </w:rPr>
              <w:t>$</w:t>
            </w:r>
          </w:p>
        </w:tc>
        <w:tc>
          <w:tcPr>
            <w:tcW w:w="0" w:type="auto"/>
            <w:shd w:val="clear" w:color="auto" w:fill="auto"/>
            <w:tcMar>
              <w:top w:w="40" w:type="dxa"/>
              <w:bottom w:w="40" w:type="dxa"/>
              <w:right w:w="0" w:type="dxa"/>
            </w:tcMar>
            <w:vAlign w:val="bottom"/>
          </w:tcPr>
          <w:p w14:paraId="20AE0699" w14:textId="77777777" w:rsidR="00B626E7" w:rsidRDefault="00175C1D">
            <w:pPr>
              <w:jc w:val="right"/>
              <w:textAlignment w:val="bottom"/>
            </w:pPr>
            <w:r>
              <w:rPr>
                <w:rFonts w:ascii="Arial" w:eastAsia="宋体" w:hAnsi="Arial" w:cs="Arial"/>
                <w:b/>
                <w:bCs/>
                <w:color w:val="333333"/>
                <w:sz w:val="18"/>
                <w:szCs w:val="18"/>
              </w:rPr>
              <w:t>25,365 </w:t>
            </w:r>
          </w:p>
        </w:tc>
        <w:tc>
          <w:tcPr>
            <w:tcW w:w="0" w:type="auto"/>
            <w:shd w:val="clear" w:color="auto" w:fill="auto"/>
            <w:tcMar>
              <w:top w:w="40" w:type="dxa"/>
              <w:bottom w:w="40" w:type="dxa"/>
              <w:right w:w="20" w:type="dxa"/>
            </w:tcMar>
            <w:vAlign w:val="bottom"/>
          </w:tcPr>
          <w:p w14:paraId="20AE069A"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069B"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069C" w14:textId="77777777" w:rsidR="00B626E7" w:rsidRDefault="00175C1D">
            <w:pPr>
              <w:textAlignment w:val="bottom"/>
            </w:pPr>
            <w:r>
              <w:rPr>
                <w:rFonts w:ascii="Arial" w:eastAsia="宋体" w:hAnsi="Arial" w:cs="Arial"/>
                <w:b/>
                <w:bCs/>
                <w:color w:val="333333"/>
                <w:sz w:val="18"/>
                <w:szCs w:val="18"/>
              </w:rPr>
              <w:t>$</w:t>
            </w:r>
          </w:p>
        </w:tc>
        <w:tc>
          <w:tcPr>
            <w:tcW w:w="0" w:type="auto"/>
            <w:shd w:val="clear" w:color="auto" w:fill="auto"/>
            <w:tcMar>
              <w:top w:w="40" w:type="dxa"/>
              <w:bottom w:w="40" w:type="dxa"/>
              <w:right w:w="0" w:type="dxa"/>
            </w:tcMar>
            <w:vAlign w:val="bottom"/>
          </w:tcPr>
          <w:p w14:paraId="20AE069D" w14:textId="77777777" w:rsidR="00B626E7" w:rsidRDefault="00175C1D">
            <w:pPr>
              <w:jc w:val="right"/>
              <w:textAlignment w:val="bottom"/>
            </w:pPr>
            <w:r>
              <w:rPr>
                <w:rFonts w:ascii="Arial" w:eastAsia="宋体" w:hAnsi="Arial" w:cs="Arial"/>
                <w:b/>
                <w:bCs/>
                <w:color w:val="333333"/>
                <w:sz w:val="18"/>
                <w:szCs w:val="18"/>
              </w:rPr>
              <w:t>(974)</w:t>
            </w:r>
          </w:p>
        </w:tc>
        <w:tc>
          <w:tcPr>
            <w:tcW w:w="0" w:type="auto"/>
            <w:shd w:val="clear" w:color="auto" w:fill="auto"/>
            <w:tcMar>
              <w:top w:w="40" w:type="dxa"/>
              <w:bottom w:w="40" w:type="dxa"/>
              <w:right w:w="20" w:type="dxa"/>
            </w:tcMar>
            <w:vAlign w:val="bottom"/>
          </w:tcPr>
          <w:p w14:paraId="20AE069E"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069F"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06A0" w14:textId="77777777" w:rsidR="00B626E7" w:rsidRDefault="00175C1D">
            <w:pPr>
              <w:textAlignment w:val="bottom"/>
            </w:pPr>
            <w:r>
              <w:rPr>
                <w:rFonts w:ascii="Arial" w:eastAsia="宋体" w:hAnsi="Arial" w:cs="Arial"/>
                <w:b/>
                <w:bCs/>
                <w:color w:val="333333"/>
                <w:sz w:val="18"/>
                <w:szCs w:val="18"/>
              </w:rPr>
              <w:t>$</w:t>
            </w:r>
          </w:p>
        </w:tc>
        <w:tc>
          <w:tcPr>
            <w:tcW w:w="0" w:type="auto"/>
            <w:shd w:val="clear" w:color="auto" w:fill="auto"/>
            <w:tcMar>
              <w:top w:w="40" w:type="dxa"/>
              <w:bottom w:w="40" w:type="dxa"/>
              <w:right w:w="0" w:type="dxa"/>
            </w:tcMar>
            <w:vAlign w:val="bottom"/>
          </w:tcPr>
          <w:p w14:paraId="20AE06A1" w14:textId="77777777" w:rsidR="00B626E7" w:rsidRDefault="00175C1D">
            <w:pPr>
              <w:jc w:val="right"/>
              <w:textAlignment w:val="bottom"/>
            </w:pPr>
            <w:r>
              <w:rPr>
                <w:rFonts w:ascii="Arial" w:eastAsia="宋体" w:hAnsi="Arial" w:cs="Arial"/>
                <w:b/>
                <w:bCs/>
                <w:color w:val="333333"/>
                <w:sz w:val="18"/>
                <w:szCs w:val="18"/>
              </w:rPr>
              <w:t>50,172 </w:t>
            </w:r>
          </w:p>
        </w:tc>
        <w:tc>
          <w:tcPr>
            <w:tcW w:w="0" w:type="auto"/>
            <w:shd w:val="clear" w:color="auto" w:fill="auto"/>
            <w:tcMar>
              <w:top w:w="40" w:type="dxa"/>
              <w:bottom w:w="40" w:type="dxa"/>
              <w:right w:w="20" w:type="dxa"/>
            </w:tcMar>
            <w:vAlign w:val="bottom"/>
          </w:tcPr>
          <w:p w14:paraId="20AE06A2"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06A3"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06A4" w14:textId="77777777" w:rsidR="00B626E7" w:rsidRDefault="00175C1D">
            <w:pPr>
              <w:textAlignment w:val="bottom"/>
            </w:pPr>
            <w:r>
              <w:rPr>
                <w:rFonts w:ascii="Arial" w:eastAsia="宋体" w:hAnsi="Arial" w:cs="Arial"/>
                <w:b/>
                <w:bCs/>
                <w:color w:val="333333"/>
                <w:sz w:val="18"/>
                <w:szCs w:val="18"/>
              </w:rPr>
              <w:t>$</w:t>
            </w:r>
          </w:p>
        </w:tc>
        <w:tc>
          <w:tcPr>
            <w:tcW w:w="0" w:type="auto"/>
            <w:shd w:val="clear" w:color="auto" w:fill="auto"/>
            <w:tcMar>
              <w:top w:w="40" w:type="dxa"/>
              <w:bottom w:w="40" w:type="dxa"/>
              <w:right w:w="0" w:type="dxa"/>
            </w:tcMar>
            <w:vAlign w:val="bottom"/>
          </w:tcPr>
          <w:p w14:paraId="20AE06A5" w14:textId="77777777" w:rsidR="00B626E7" w:rsidRDefault="00175C1D">
            <w:pPr>
              <w:jc w:val="right"/>
              <w:textAlignment w:val="bottom"/>
            </w:pPr>
            <w:r>
              <w:rPr>
                <w:rFonts w:ascii="Arial" w:eastAsia="宋体" w:hAnsi="Arial" w:cs="Arial"/>
                <w:b/>
                <w:bCs/>
                <w:color w:val="333333"/>
                <w:sz w:val="18"/>
                <w:szCs w:val="18"/>
              </w:rPr>
              <w:t>74,563 </w:t>
            </w:r>
          </w:p>
        </w:tc>
        <w:tc>
          <w:tcPr>
            <w:tcW w:w="0" w:type="auto"/>
            <w:shd w:val="clear" w:color="auto" w:fill="auto"/>
            <w:tcMar>
              <w:top w:w="40" w:type="dxa"/>
              <w:bottom w:w="40" w:type="dxa"/>
              <w:right w:w="20" w:type="dxa"/>
            </w:tcMar>
            <w:vAlign w:val="bottom"/>
          </w:tcPr>
          <w:p w14:paraId="20AE06A6"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E06A7" w14:textId="77777777" w:rsidR="00B626E7" w:rsidRDefault="00B626E7">
            <w:pPr>
              <w:rPr>
                <w:rFonts w:ascii="宋体"/>
              </w:rPr>
            </w:pPr>
          </w:p>
        </w:tc>
        <w:tc>
          <w:tcPr>
            <w:tcW w:w="0" w:type="auto"/>
            <w:shd w:val="clear" w:color="auto" w:fill="auto"/>
          </w:tcPr>
          <w:p w14:paraId="20AE06A8" w14:textId="77777777" w:rsidR="00B626E7" w:rsidRDefault="00B626E7">
            <w:pPr>
              <w:rPr>
                <w:rFonts w:ascii="宋体"/>
              </w:rPr>
            </w:pPr>
          </w:p>
        </w:tc>
        <w:tc>
          <w:tcPr>
            <w:tcW w:w="0" w:type="auto"/>
            <w:shd w:val="clear" w:color="auto" w:fill="auto"/>
          </w:tcPr>
          <w:p w14:paraId="20AE06A9" w14:textId="77777777" w:rsidR="00B626E7" w:rsidRDefault="00B626E7">
            <w:pPr>
              <w:rPr>
                <w:rFonts w:ascii="宋体"/>
              </w:rPr>
            </w:pPr>
          </w:p>
        </w:tc>
        <w:tc>
          <w:tcPr>
            <w:tcW w:w="0" w:type="auto"/>
            <w:shd w:val="clear" w:color="auto" w:fill="auto"/>
          </w:tcPr>
          <w:p w14:paraId="20AE06AA" w14:textId="77777777" w:rsidR="00B626E7" w:rsidRDefault="00B626E7">
            <w:pPr>
              <w:rPr>
                <w:rFonts w:ascii="宋体"/>
              </w:rPr>
            </w:pPr>
          </w:p>
        </w:tc>
        <w:tc>
          <w:tcPr>
            <w:tcW w:w="0" w:type="auto"/>
            <w:shd w:val="clear" w:color="auto" w:fill="auto"/>
          </w:tcPr>
          <w:p w14:paraId="20AE06AB" w14:textId="77777777" w:rsidR="00B626E7" w:rsidRDefault="00B626E7">
            <w:pPr>
              <w:rPr>
                <w:rFonts w:ascii="宋体"/>
              </w:rPr>
            </w:pPr>
          </w:p>
        </w:tc>
        <w:tc>
          <w:tcPr>
            <w:tcW w:w="0" w:type="auto"/>
            <w:shd w:val="clear" w:color="auto" w:fill="auto"/>
          </w:tcPr>
          <w:p w14:paraId="20AE06AC" w14:textId="77777777" w:rsidR="00B626E7" w:rsidRDefault="00B626E7">
            <w:pPr>
              <w:rPr>
                <w:rFonts w:ascii="宋体"/>
              </w:rPr>
            </w:pPr>
          </w:p>
        </w:tc>
        <w:tc>
          <w:tcPr>
            <w:tcW w:w="0" w:type="auto"/>
            <w:shd w:val="clear" w:color="auto" w:fill="auto"/>
          </w:tcPr>
          <w:p w14:paraId="20AE06AD" w14:textId="77777777" w:rsidR="00B626E7" w:rsidRDefault="00B626E7">
            <w:pPr>
              <w:rPr>
                <w:rFonts w:ascii="宋体"/>
              </w:rPr>
            </w:pPr>
          </w:p>
        </w:tc>
        <w:tc>
          <w:tcPr>
            <w:tcW w:w="0" w:type="auto"/>
            <w:shd w:val="clear" w:color="auto" w:fill="auto"/>
          </w:tcPr>
          <w:p w14:paraId="20AE06AE" w14:textId="77777777" w:rsidR="00B626E7" w:rsidRDefault="00B626E7">
            <w:pPr>
              <w:rPr>
                <w:rFonts w:ascii="宋体"/>
              </w:rPr>
            </w:pPr>
          </w:p>
        </w:tc>
        <w:tc>
          <w:tcPr>
            <w:tcW w:w="0" w:type="auto"/>
            <w:shd w:val="clear" w:color="auto" w:fill="auto"/>
          </w:tcPr>
          <w:p w14:paraId="20AE06AF" w14:textId="77777777" w:rsidR="00B626E7" w:rsidRDefault="00B626E7">
            <w:pPr>
              <w:rPr>
                <w:rFonts w:ascii="宋体"/>
              </w:rPr>
            </w:pPr>
          </w:p>
        </w:tc>
      </w:tr>
      <w:tr w:rsidR="00B626E7" w14:paraId="20AE06CA" w14:textId="77777777">
        <w:tc>
          <w:tcPr>
            <w:tcW w:w="0" w:type="auto"/>
            <w:gridSpan w:val="3"/>
            <w:shd w:val="clear" w:color="auto" w:fill="auto"/>
            <w:tcMar>
              <w:top w:w="40" w:type="dxa"/>
              <w:left w:w="20" w:type="dxa"/>
              <w:bottom w:w="40" w:type="dxa"/>
              <w:right w:w="20" w:type="dxa"/>
            </w:tcMar>
            <w:vAlign w:val="bottom"/>
          </w:tcPr>
          <w:p w14:paraId="20AE06B1" w14:textId="77777777" w:rsidR="00B626E7" w:rsidRDefault="00175C1D">
            <w:pPr>
              <w:textAlignment w:val="bottom"/>
            </w:pPr>
            <w:r>
              <w:rPr>
                <w:rFonts w:ascii="Arial" w:eastAsia="宋体" w:hAnsi="Arial" w:cs="Arial"/>
                <w:color w:val="333333"/>
                <w:sz w:val="18"/>
                <w:szCs w:val="18"/>
              </w:rPr>
              <w:t>Net income</w:t>
            </w:r>
          </w:p>
        </w:tc>
        <w:tc>
          <w:tcPr>
            <w:tcW w:w="0" w:type="auto"/>
            <w:gridSpan w:val="3"/>
            <w:shd w:val="clear" w:color="auto" w:fill="auto"/>
            <w:tcMar>
              <w:left w:w="20" w:type="dxa"/>
              <w:right w:w="20" w:type="dxa"/>
            </w:tcMar>
            <w:vAlign w:val="bottom"/>
          </w:tcPr>
          <w:p w14:paraId="20AE06B2"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6B3"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06B4"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6B5"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6B6"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06B7"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6B8"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6B9"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06BA"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6BB"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6BC" w14:textId="77777777" w:rsidR="00B626E7" w:rsidRDefault="00175C1D">
            <w:pPr>
              <w:jc w:val="right"/>
              <w:textAlignment w:val="bottom"/>
            </w:pPr>
            <w:r>
              <w:rPr>
                <w:rFonts w:ascii="Arial" w:eastAsia="宋体" w:hAnsi="Arial" w:cs="Arial"/>
                <w:color w:val="333333"/>
                <w:sz w:val="18"/>
                <w:szCs w:val="18"/>
              </w:rPr>
              <w:t>8,153 </w:t>
            </w:r>
          </w:p>
        </w:tc>
        <w:tc>
          <w:tcPr>
            <w:tcW w:w="0" w:type="auto"/>
            <w:shd w:val="clear" w:color="auto" w:fill="auto"/>
            <w:tcMar>
              <w:top w:w="40" w:type="dxa"/>
              <w:bottom w:w="40" w:type="dxa"/>
              <w:right w:w="20" w:type="dxa"/>
            </w:tcMar>
            <w:vAlign w:val="bottom"/>
          </w:tcPr>
          <w:p w14:paraId="20AE06BD"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6BE"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6BF" w14:textId="77777777" w:rsidR="00B626E7" w:rsidRDefault="00175C1D">
            <w:pPr>
              <w:jc w:val="right"/>
              <w:textAlignment w:val="bottom"/>
            </w:pPr>
            <w:r>
              <w:rPr>
                <w:rFonts w:ascii="Arial" w:eastAsia="宋体" w:hAnsi="Arial" w:cs="Arial"/>
                <w:color w:val="333333"/>
                <w:sz w:val="18"/>
                <w:szCs w:val="18"/>
              </w:rPr>
              <w:t>8,153 </w:t>
            </w:r>
          </w:p>
        </w:tc>
        <w:tc>
          <w:tcPr>
            <w:tcW w:w="0" w:type="auto"/>
            <w:shd w:val="clear" w:color="auto" w:fill="auto"/>
            <w:tcMar>
              <w:top w:w="40" w:type="dxa"/>
              <w:bottom w:w="40" w:type="dxa"/>
              <w:right w:w="20" w:type="dxa"/>
            </w:tcMar>
            <w:vAlign w:val="bottom"/>
          </w:tcPr>
          <w:p w14:paraId="20AE06C0"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06C1" w14:textId="77777777" w:rsidR="00B626E7" w:rsidRDefault="00B626E7">
            <w:pPr>
              <w:rPr>
                <w:rFonts w:ascii="宋体"/>
              </w:rPr>
            </w:pPr>
          </w:p>
        </w:tc>
        <w:tc>
          <w:tcPr>
            <w:tcW w:w="0" w:type="auto"/>
            <w:shd w:val="clear" w:color="auto" w:fill="auto"/>
          </w:tcPr>
          <w:p w14:paraId="20AE06C2" w14:textId="77777777" w:rsidR="00B626E7" w:rsidRDefault="00B626E7">
            <w:pPr>
              <w:rPr>
                <w:rFonts w:ascii="宋体"/>
              </w:rPr>
            </w:pPr>
          </w:p>
        </w:tc>
        <w:tc>
          <w:tcPr>
            <w:tcW w:w="0" w:type="auto"/>
            <w:shd w:val="clear" w:color="auto" w:fill="auto"/>
          </w:tcPr>
          <w:p w14:paraId="20AE06C3" w14:textId="77777777" w:rsidR="00B626E7" w:rsidRDefault="00B626E7">
            <w:pPr>
              <w:rPr>
                <w:rFonts w:ascii="宋体"/>
              </w:rPr>
            </w:pPr>
          </w:p>
        </w:tc>
        <w:tc>
          <w:tcPr>
            <w:tcW w:w="0" w:type="auto"/>
            <w:shd w:val="clear" w:color="auto" w:fill="auto"/>
          </w:tcPr>
          <w:p w14:paraId="20AE06C4" w14:textId="77777777" w:rsidR="00B626E7" w:rsidRDefault="00B626E7">
            <w:pPr>
              <w:rPr>
                <w:rFonts w:ascii="宋体"/>
              </w:rPr>
            </w:pPr>
          </w:p>
        </w:tc>
        <w:tc>
          <w:tcPr>
            <w:tcW w:w="0" w:type="auto"/>
            <w:shd w:val="clear" w:color="auto" w:fill="auto"/>
          </w:tcPr>
          <w:p w14:paraId="20AE06C5" w14:textId="77777777" w:rsidR="00B626E7" w:rsidRDefault="00B626E7">
            <w:pPr>
              <w:rPr>
                <w:rFonts w:ascii="宋体"/>
              </w:rPr>
            </w:pPr>
          </w:p>
        </w:tc>
        <w:tc>
          <w:tcPr>
            <w:tcW w:w="0" w:type="auto"/>
            <w:shd w:val="clear" w:color="auto" w:fill="auto"/>
          </w:tcPr>
          <w:p w14:paraId="20AE06C6" w14:textId="77777777" w:rsidR="00B626E7" w:rsidRDefault="00B626E7">
            <w:pPr>
              <w:rPr>
                <w:rFonts w:ascii="宋体"/>
              </w:rPr>
            </w:pPr>
          </w:p>
        </w:tc>
        <w:tc>
          <w:tcPr>
            <w:tcW w:w="0" w:type="auto"/>
            <w:shd w:val="clear" w:color="auto" w:fill="auto"/>
          </w:tcPr>
          <w:p w14:paraId="20AE06C7" w14:textId="77777777" w:rsidR="00B626E7" w:rsidRDefault="00B626E7">
            <w:pPr>
              <w:rPr>
                <w:rFonts w:ascii="宋体"/>
              </w:rPr>
            </w:pPr>
          </w:p>
        </w:tc>
        <w:tc>
          <w:tcPr>
            <w:tcW w:w="0" w:type="auto"/>
            <w:shd w:val="clear" w:color="auto" w:fill="auto"/>
          </w:tcPr>
          <w:p w14:paraId="20AE06C8" w14:textId="77777777" w:rsidR="00B626E7" w:rsidRDefault="00B626E7">
            <w:pPr>
              <w:rPr>
                <w:rFonts w:ascii="宋体"/>
              </w:rPr>
            </w:pPr>
          </w:p>
        </w:tc>
        <w:tc>
          <w:tcPr>
            <w:tcW w:w="0" w:type="auto"/>
            <w:shd w:val="clear" w:color="auto" w:fill="auto"/>
          </w:tcPr>
          <w:p w14:paraId="20AE06C9" w14:textId="77777777" w:rsidR="00B626E7" w:rsidRDefault="00B626E7">
            <w:pPr>
              <w:rPr>
                <w:rFonts w:ascii="宋体"/>
              </w:rPr>
            </w:pPr>
          </w:p>
        </w:tc>
      </w:tr>
      <w:tr w:rsidR="00B626E7" w14:paraId="20AE06E4" w14:textId="77777777">
        <w:tc>
          <w:tcPr>
            <w:tcW w:w="0" w:type="auto"/>
            <w:gridSpan w:val="3"/>
            <w:shd w:val="clear" w:color="auto" w:fill="auto"/>
            <w:tcMar>
              <w:top w:w="40" w:type="dxa"/>
              <w:left w:w="20" w:type="dxa"/>
              <w:bottom w:w="40" w:type="dxa"/>
              <w:right w:w="20" w:type="dxa"/>
            </w:tcMar>
            <w:vAlign w:val="bottom"/>
          </w:tcPr>
          <w:p w14:paraId="20AE06CB" w14:textId="77777777" w:rsidR="00B626E7" w:rsidRDefault="00175C1D">
            <w:pPr>
              <w:textAlignment w:val="bottom"/>
            </w:pPr>
            <w:r>
              <w:rPr>
                <w:rFonts w:ascii="Arial" w:eastAsia="宋体" w:hAnsi="Arial" w:cs="Arial"/>
                <w:color w:val="333333"/>
                <w:sz w:val="18"/>
                <w:szCs w:val="18"/>
              </w:rPr>
              <w:t>Other comprehensive income (loss)</w:t>
            </w:r>
          </w:p>
        </w:tc>
        <w:tc>
          <w:tcPr>
            <w:tcW w:w="0" w:type="auto"/>
            <w:gridSpan w:val="3"/>
            <w:shd w:val="clear" w:color="auto" w:fill="auto"/>
            <w:tcMar>
              <w:left w:w="20" w:type="dxa"/>
              <w:right w:w="20" w:type="dxa"/>
            </w:tcMar>
            <w:vAlign w:val="bottom"/>
          </w:tcPr>
          <w:p w14:paraId="20AE06CC"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6CD"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06CE"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6CF"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6D0"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06D1"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6D2"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6D3" w14:textId="77777777" w:rsidR="00B626E7" w:rsidRDefault="00175C1D">
            <w:pPr>
              <w:jc w:val="right"/>
              <w:textAlignment w:val="bottom"/>
            </w:pPr>
            <w:r>
              <w:rPr>
                <w:rFonts w:ascii="Arial" w:eastAsia="宋体" w:hAnsi="Arial" w:cs="Arial"/>
                <w:color w:val="333333"/>
                <w:sz w:val="18"/>
                <w:szCs w:val="18"/>
              </w:rPr>
              <w:t>352 </w:t>
            </w:r>
          </w:p>
        </w:tc>
        <w:tc>
          <w:tcPr>
            <w:tcW w:w="0" w:type="auto"/>
            <w:shd w:val="clear" w:color="auto" w:fill="auto"/>
            <w:tcMar>
              <w:top w:w="40" w:type="dxa"/>
              <w:bottom w:w="40" w:type="dxa"/>
              <w:right w:w="20" w:type="dxa"/>
            </w:tcMar>
            <w:vAlign w:val="bottom"/>
          </w:tcPr>
          <w:p w14:paraId="20AE06D4"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6D5"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6D6"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06D7"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6D8"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6D9" w14:textId="77777777" w:rsidR="00B626E7" w:rsidRDefault="00175C1D">
            <w:pPr>
              <w:jc w:val="right"/>
              <w:textAlignment w:val="bottom"/>
            </w:pPr>
            <w:r>
              <w:rPr>
                <w:rFonts w:ascii="Arial" w:eastAsia="宋体" w:hAnsi="Arial" w:cs="Arial"/>
                <w:color w:val="333333"/>
                <w:sz w:val="18"/>
                <w:szCs w:val="18"/>
              </w:rPr>
              <w:t>352 </w:t>
            </w:r>
          </w:p>
        </w:tc>
        <w:tc>
          <w:tcPr>
            <w:tcW w:w="0" w:type="auto"/>
            <w:shd w:val="clear" w:color="auto" w:fill="auto"/>
            <w:tcMar>
              <w:top w:w="40" w:type="dxa"/>
              <w:bottom w:w="40" w:type="dxa"/>
              <w:right w:w="20" w:type="dxa"/>
            </w:tcMar>
            <w:vAlign w:val="bottom"/>
          </w:tcPr>
          <w:p w14:paraId="20AE06DA"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06DB" w14:textId="77777777" w:rsidR="00B626E7" w:rsidRDefault="00B626E7">
            <w:pPr>
              <w:rPr>
                <w:rFonts w:ascii="宋体"/>
              </w:rPr>
            </w:pPr>
          </w:p>
        </w:tc>
        <w:tc>
          <w:tcPr>
            <w:tcW w:w="0" w:type="auto"/>
            <w:shd w:val="clear" w:color="auto" w:fill="auto"/>
          </w:tcPr>
          <w:p w14:paraId="20AE06DC" w14:textId="77777777" w:rsidR="00B626E7" w:rsidRDefault="00B626E7">
            <w:pPr>
              <w:rPr>
                <w:rFonts w:ascii="宋体"/>
              </w:rPr>
            </w:pPr>
          </w:p>
        </w:tc>
        <w:tc>
          <w:tcPr>
            <w:tcW w:w="0" w:type="auto"/>
            <w:shd w:val="clear" w:color="auto" w:fill="auto"/>
          </w:tcPr>
          <w:p w14:paraId="20AE06DD" w14:textId="77777777" w:rsidR="00B626E7" w:rsidRDefault="00B626E7">
            <w:pPr>
              <w:rPr>
                <w:rFonts w:ascii="宋体"/>
              </w:rPr>
            </w:pPr>
          </w:p>
        </w:tc>
        <w:tc>
          <w:tcPr>
            <w:tcW w:w="0" w:type="auto"/>
            <w:shd w:val="clear" w:color="auto" w:fill="auto"/>
          </w:tcPr>
          <w:p w14:paraId="20AE06DE" w14:textId="77777777" w:rsidR="00B626E7" w:rsidRDefault="00B626E7">
            <w:pPr>
              <w:rPr>
                <w:rFonts w:ascii="宋体"/>
              </w:rPr>
            </w:pPr>
          </w:p>
        </w:tc>
        <w:tc>
          <w:tcPr>
            <w:tcW w:w="0" w:type="auto"/>
            <w:shd w:val="clear" w:color="auto" w:fill="auto"/>
          </w:tcPr>
          <w:p w14:paraId="20AE06DF" w14:textId="77777777" w:rsidR="00B626E7" w:rsidRDefault="00B626E7">
            <w:pPr>
              <w:rPr>
                <w:rFonts w:ascii="宋体"/>
              </w:rPr>
            </w:pPr>
          </w:p>
        </w:tc>
        <w:tc>
          <w:tcPr>
            <w:tcW w:w="0" w:type="auto"/>
            <w:shd w:val="clear" w:color="auto" w:fill="auto"/>
          </w:tcPr>
          <w:p w14:paraId="20AE06E0" w14:textId="77777777" w:rsidR="00B626E7" w:rsidRDefault="00B626E7">
            <w:pPr>
              <w:rPr>
                <w:rFonts w:ascii="宋体"/>
              </w:rPr>
            </w:pPr>
          </w:p>
        </w:tc>
        <w:tc>
          <w:tcPr>
            <w:tcW w:w="0" w:type="auto"/>
            <w:shd w:val="clear" w:color="auto" w:fill="auto"/>
          </w:tcPr>
          <w:p w14:paraId="20AE06E1" w14:textId="77777777" w:rsidR="00B626E7" w:rsidRDefault="00B626E7">
            <w:pPr>
              <w:rPr>
                <w:rFonts w:ascii="宋体"/>
              </w:rPr>
            </w:pPr>
          </w:p>
        </w:tc>
        <w:tc>
          <w:tcPr>
            <w:tcW w:w="0" w:type="auto"/>
            <w:shd w:val="clear" w:color="auto" w:fill="auto"/>
          </w:tcPr>
          <w:p w14:paraId="20AE06E2" w14:textId="77777777" w:rsidR="00B626E7" w:rsidRDefault="00B626E7">
            <w:pPr>
              <w:rPr>
                <w:rFonts w:ascii="宋体"/>
              </w:rPr>
            </w:pPr>
          </w:p>
        </w:tc>
        <w:tc>
          <w:tcPr>
            <w:tcW w:w="0" w:type="auto"/>
            <w:shd w:val="clear" w:color="auto" w:fill="auto"/>
          </w:tcPr>
          <w:p w14:paraId="20AE06E3" w14:textId="77777777" w:rsidR="00B626E7" w:rsidRDefault="00B626E7">
            <w:pPr>
              <w:rPr>
                <w:rFonts w:ascii="宋体"/>
              </w:rPr>
            </w:pPr>
          </w:p>
        </w:tc>
      </w:tr>
      <w:tr w:rsidR="00B626E7" w14:paraId="20AE06FE" w14:textId="77777777">
        <w:tc>
          <w:tcPr>
            <w:tcW w:w="0" w:type="auto"/>
            <w:gridSpan w:val="3"/>
            <w:shd w:val="clear" w:color="auto" w:fill="auto"/>
            <w:tcMar>
              <w:top w:w="40" w:type="dxa"/>
              <w:left w:w="20" w:type="dxa"/>
              <w:bottom w:w="40" w:type="dxa"/>
              <w:right w:w="20" w:type="dxa"/>
            </w:tcMar>
            <w:vAlign w:val="bottom"/>
          </w:tcPr>
          <w:p w14:paraId="20AE06E5" w14:textId="77777777" w:rsidR="00B626E7" w:rsidRDefault="00175C1D">
            <w:pPr>
              <w:textAlignment w:val="bottom"/>
            </w:pPr>
            <w:r>
              <w:rPr>
                <w:rFonts w:ascii="Arial" w:eastAsia="宋体" w:hAnsi="Arial" w:cs="Arial"/>
                <w:color w:val="333333"/>
                <w:sz w:val="18"/>
                <w:szCs w:val="18"/>
              </w:rPr>
              <w:t>Employee equity incentive plans and other¹</w:t>
            </w:r>
          </w:p>
        </w:tc>
        <w:tc>
          <w:tcPr>
            <w:tcW w:w="0" w:type="auto"/>
            <w:gridSpan w:val="3"/>
            <w:shd w:val="clear" w:color="auto" w:fill="auto"/>
            <w:tcMar>
              <w:left w:w="20" w:type="dxa"/>
              <w:right w:w="20" w:type="dxa"/>
            </w:tcMar>
            <w:vAlign w:val="bottom"/>
          </w:tcPr>
          <w:p w14:paraId="20AE06E6"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6E7" w14:textId="77777777" w:rsidR="00B626E7" w:rsidRDefault="00175C1D">
            <w:pPr>
              <w:jc w:val="right"/>
              <w:textAlignment w:val="bottom"/>
            </w:pPr>
            <w:r>
              <w:rPr>
                <w:rFonts w:ascii="Arial" w:eastAsia="宋体" w:hAnsi="Arial" w:cs="Arial"/>
                <w:color w:val="333333"/>
                <w:sz w:val="18"/>
                <w:szCs w:val="18"/>
              </w:rPr>
              <w:t>38 </w:t>
            </w:r>
          </w:p>
        </w:tc>
        <w:tc>
          <w:tcPr>
            <w:tcW w:w="0" w:type="auto"/>
            <w:shd w:val="clear" w:color="auto" w:fill="auto"/>
            <w:tcMar>
              <w:top w:w="40" w:type="dxa"/>
              <w:bottom w:w="40" w:type="dxa"/>
              <w:right w:w="20" w:type="dxa"/>
            </w:tcMar>
            <w:vAlign w:val="bottom"/>
          </w:tcPr>
          <w:p w14:paraId="20AE06E8"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6E9"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6EA" w14:textId="77777777" w:rsidR="00B626E7" w:rsidRDefault="00175C1D">
            <w:pPr>
              <w:jc w:val="right"/>
              <w:textAlignment w:val="bottom"/>
            </w:pPr>
            <w:r>
              <w:rPr>
                <w:rFonts w:ascii="Arial" w:eastAsia="宋体" w:hAnsi="Arial" w:cs="Arial"/>
                <w:color w:val="333333"/>
                <w:sz w:val="18"/>
                <w:szCs w:val="18"/>
              </w:rPr>
              <w:t>403 </w:t>
            </w:r>
          </w:p>
        </w:tc>
        <w:tc>
          <w:tcPr>
            <w:tcW w:w="0" w:type="auto"/>
            <w:shd w:val="clear" w:color="auto" w:fill="auto"/>
            <w:tcMar>
              <w:top w:w="40" w:type="dxa"/>
              <w:bottom w:w="40" w:type="dxa"/>
              <w:right w:w="20" w:type="dxa"/>
            </w:tcMar>
            <w:vAlign w:val="bottom"/>
          </w:tcPr>
          <w:p w14:paraId="20AE06EB"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6EC"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6ED"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06EE"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6EF"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6F0"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06F1"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6F2"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6F3" w14:textId="77777777" w:rsidR="00B626E7" w:rsidRDefault="00175C1D">
            <w:pPr>
              <w:jc w:val="right"/>
              <w:textAlignment w:val="bottom"/>
            </w:pPr>
            <w:r>
              <w:rPr>
                <w:rFonts w:ascii="Arial" w:eastAsia="宋体" w:hAnsi="Arial" w:cs="Arial"/>
                <w:color w:val="333333"/>
                <w:sz w:val="18"/>
                <w:szCs w:val="18"/>
              </w:rPr>
              <w:t>403 </w:t>
            </w:r>
          </w:p>
        </w:tc>
        <w:tc>
          <w:tcPr>
            <w:tcW w:w="0" w:type="auto"/>
            <w:shd w:val="clear" w:color="auto" w:fill="auto"/>
            <w:tcMar>
              <w:top w:w="40" w:type="dxa"/>
              <w:bottom w:w="40" w:type="dxa"/>
              <w:right w:w="20" w:type="dxa"/>
            </w:tcMar>
            <w:vAlign w:val="bottom"/>
          </w:tcPr>
          <w:p w14:paraId="20AE06F4"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06F5" w14:textId="77777777" w:rsidR="00B626E7" w:rsidRDefault="00B626E7">
            <w:pPr>
              <w:rPr>
                <w:rFonts w:ascii="宋体"/>
              </w:rPr>
            </w:pPr>
          </w:p>
        </w:tc>
        <w:tc>
          <w:tcPr>
            <w:tcW w:w="0" w:type="auto"/>
            <w:shd w:val="clear" w:color="auto" w:fill="auto"/>
          </w:tcPr>
          <w:p w14:paraId="20AE06F6" w14:textId="77777777" w:rsidR="00B626E7" w:rsidRDefault="00B626E7">
            <w:pPr>
              <w:rPr>
                <w:rFonts w:ascii="宋体"/>
              </w:rPr>
            </w:pPr>
          </w:p>
        </w:tc>
        <w:tc>
          <w:tcPr>
            <w:tcW w:w="0" w:type="auto"/>
            <w:shd w:val="clear" w:color="auto" w:fill="auto"/>
          </w:tcPr>
          <w:p w14:paraId="20AE06F7" w14:textId="77777777" w:rsidR="00B626E7" w:rsidRDefault="00B626E7">
            <w:pPr>
              <w:rPr>
                <w:rFonts w:ascii="宋体"/>
              </w:rPr>
            </w:pPr>
          </w:p>
        </w:tc>
        <w:tc>
          <w:tcPr>
            <w:tcW w:w="0" w:type="auto"/>
            <w:shd w:val="clear" w:color="auto" w:fill="auto"/>
          </w:tcPr>
          <w:p w14:paraId="20AE06F8" w14:textId="77777777" w:rsidR="00B626E7" w:rsidRDefault="00B626E7">
            <w:pPr>
              <w:rPr>
                <w:rFonts w:ascii="宋体"/>
              </w:rPr>
            </w:pPr>
          </w:p>
        </w:tc>
        <w:tc>
          <w:tcPr>
            <w:tcW w:w="0" w:type="auto"/>
            <w:shd w:val="clear" w:color="auto" w:fill="auto"/>
          </w:tcPr>
          <w:p w14:paraId="20AE06F9" w14:textId="77777777" w:rsidR="00B626E7" w:rsidRDefault="00B626E7">
            <w:pPr>
              <w:rPr>
                <w:rFonts w:ascii="宋体"/>
              </w:rPr>
            </w:pPr>
          </w:p>
        </w:tc>
        <w:tc>
          <w:tcPr>
            <w:tcW w:w="0" w:type="auto"/>
            <w:shd w:val="clear" w:color="auto" w:fill="auto"/>
          </w:tcPr>
          <w:p w14:paraId="20AE06FA" w14:textId="77777777" w:rsidR="00B626E7" w:rsidRDefault="00B626E7">
            <w:pPr>
              <w:rPr>
                <w:rFonts w:ascii="宋体"/>
              </w:rPr>
            </w:pPr>
          </w:p>
        </w:tc>
        <w:tc>
          <w:tcPr>
            <w:tcW w:w="0" w:type="auto"/>
            <w:shd w:val="clear" w:color="auto" w:fill="auto"/>
          </w:tcPr>
          <w:p w14:paraId="20AE06FB" w14:textId="77777777" w:rsidR="00B626E7" w:rsidRDefault="00B626E7">
            <w:pPr>
              <w:rPr>
                <w:rFonts w:ascii="宋体"/>
              </w:rPr>
            </w:pPr>
          </w:p>
        </w:tc>
        <w:tc>
          <w:tcPr>
            <w:tcW w:w="0" w:type="auto"/>
            <w:shd w:val="clear" w:color="auto" w:fill="auto"/>
          </w:tcPr>
          <w:p w14:paraId="20AE06FC" w14:textId="77777777" w:rsidR="00B626E7" w:rsidRDefault="00B626E7">
            <w:pPr>
              <w:rPr>
                <w:rFonts w:ascii="宋体"/>
              </w:rPr>
            </w:pPr>
          </w:p>
        </w:tc>
        <w:tc>
          <w:tcPr>
            <w:tcW w:w="0" w:type="auto"/>
            <w:shd w:val="clear" w:color="auto" w:fill="auto"/>
          </w:tcPr>
          <w:p w14:paraId="20AE06FD" w14:textId="77777777" w:rsidR="00B626E7" w:rsidRDefault="00B626E7">
            <w:pPr>
              <w:rPr>
                <w:rFonts w:ascii="宋体"/>
              </w:rPr>
            </w:pPr>
          </w:p>
        </w:tc>
      </w:tr>
      <w:tr w:rsidR="00B626E7" w14:paraId="20AE0718" w14:textId="77777777">
        <w:tc>
          <w:tcPr>
            <w:tcW w:w="0" w:type="auto"/>
            <w:gridSpan w:val="3"/>
            <w:shd w:val="clear" w:color="auto" w:fill="auto"/>
            <w:tcMar>
              <w:top w:w="40" w:type="dxa"/>
              <w:left w:w="20" w:type="dxa"/>
              <w:bottom w:w="40" w:type="dxa"/>
              <w:right w:w="20" w:type="dxa"/>
            </w:tcMar>
            <w:vAlign w:val="bottom"/>
          </w:tcPr>
          <w:p w14:paraId="20AE06FF" w14:textId="77777777" w:rsidR="00B626E7" w:rsidRDefault="00175C1D">
            <w:pPr>
              <w:textAlignment w:val="bottom"/>
            </w:pPr>
            <w:r>
              <w:rPr>
                <w:rFonts w:ascii="Arial" w:eastAsia="宋体" w:hAnsi="Arial" w:cs="Arial"/>
                <w:color w:val="333333"/>
                <w:sz w:val="18"/>
                <w:szCs w:val="18"/>
              </w:rPr>
              <w:t>Share-based compensation</w:t>
            </w:r>
          </w:p>
        </w:tc>
        <w:tc>
          <w:tcPr>
            <w:tcW w:w="0" w:type="auto"/>
            <w:gridSpan w:val="3"/>
            <w:shd w:val="clear" w:color="auto" w:fill="auto"/>
            <w:tcMar>
              <w:left w:w="20" w:type="dxa"/>
              <w:right w:w="20" w:type="dxa"/>
            </w:tcMar>
            <w:vAlign w:val="bottom"/>
          </w:tcPr>
          <w:p w14:paraId="20AE0700"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701"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0702"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703"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704" w14:textId="77777777" w:rsidR="00B626E7" w:rsidRDefault="00175C1D">
            <w:pPr>
              <w:jc w:val="right"/>
              <w:textAlignment w:val="bottom"/>
            </w:pPr>
            <w:r>
              <w:rPr>
                <w:rFonts w:ascii="Arial" w:eastAsia="宋体" w:hAnsi="Arial" w:cs="Arial"/>
                <w:color w:val="333333"/>
                <w:sz w:val="18"/>
                <w:szCs w:val="18"/>
              </w:rPr>
              <w:t>860 </w:t>
            </w:r>
          </w:p>
        </w:tc>
        <w:tc>
          <w:tcPr>
            <w:tcW w:w="0" w:type="auto"/>
            <w:shd w:val="clear" w:color="auto" w:fill="auto"/>
            <w:tcMar>
              <w:top w:w="40" w:type="dxa"/>
              <w:bottom w:w="40" w:type="dxa"/>
              <w:right w:w="20" w:type="dxa"/>
            </w:tcMar>
            <w:vAlign w:val="bottom"/>
          </w:tcPr>
          <w:p w14:paraId="20AE0705"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706"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707"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0708"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709"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70A"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070B"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70C"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70D" w14:textId="77777777" w:rsidR="00B626E7" w:rsidRDefault="00175C1D">
            <w:pPr>
              <w:jc w:val="right"/>
              <w:textAlignment w:val="bottom"/>
            </w:pPr>
            <w:r>
              <w:rPr>
                <w:rFonts w:ascii="Arial" w:eastAsia="宋体" w:hAnsi="Arial" w:cs="Arial"/>
                <w:color w:val="333333"/>
                <w:sz w:val="18"/>
                <w:szCs w:val="18"/>
              </w:rPr>
              <w:t>860 </w:t>
            </w:r>
          </w:p>
        </w:tc>
        <w:tc>
          <w:tcPr>
            <w:tcW w:w="0" w:type="auto"/>
            <w:shd w:val="clear" w:color="auto" w:fill="auto"/>
            <w:tcMar>
              <w:top w:w="40" w:type="dxa"/>
              <w:bottom w:w="40" w:type="dxa"/>
              <w:right w:w="20" w:type="dxa"/>
            </w:tcMar>
            <w:vAlign w:val="bottom"/>
          </w:tcPr>
          <w:p w14:paraId="20AE070E"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070F" w14:textId="77777777" w:rsidR="00B626E7" w:rsidRDefault="00B626E7">
            <w:pPr>
              <w:rPr>
                <w:rFonts w:ascii="宋体"/>
              </w:rPr>
            </w:pPr>
          </w:p>
        </w:tc>
        <w:tc>
          <w:tcPr>
            <w:tcW w:w="0" w:type="auto"/>
            <w:shd w:val="clear" w:color="auto" w:fill="auto"/>
          </w:tcPr>
          <w:p w14:paraId="20AE0710" w14:textId="77777777" w:rsidR="00B626E7" w:rsidRDefault="00B626E7">
            <w:pPr>
              <w:rPr>
                <w:rFonts w:ascii="宋体"/>
              </w:rPr>
            </w:pPr>
          </w:p>
        </w:tc>
        <w:tc>
          <w:tcPr>
            <w:tcW w:w="0" w:type="auto"/>
            <w:shd w:val="clear" w:color="auto" w:fill="auto"/>
          </w:tcPr>
          <w:p w14:paraId="20AE0711" w14:textId="77777777" w:rsidR="00B626E7" w:rsidRDefault="00B626E7">
            <w:pPr>
              <w:rPr>
                <w:rFonts w:ascii="宋体"/>
              </w:rPr>
            </w:pPr>
          </w:p>
        </w:tc>
        <w:tc>
          <w:tcPr>
            <w:tcW w:w="0" w:type="auto"/>
            <w:shd w:val="clear" w:color="auto" w:fill="auto"/>
          </w:tcPr>
          <w:p w14:paraId="20AE0712" w14:textId="77777777" w:rsidR="00B626E7" w:rsidRDefault="00B626E7">
            <w:pPr>
              <w:rPr>
                <w:rFonts w:ascii="宋体"/>
              </w:rPr>
            </w:pPr>
          </w:p>
        </w:tc>
        <w:tc>
          <w:tcPr>
            <w:tcW w:w="0" w:type="auto"/>
            <w:shd w:val="clear" w:color="auto" w:fill="auto"/>
          </w:tcPr>
          <w:p w14:paraId="20AE0713" w14:textId="77777777" w:rsidR="00B626E7" w:rsidRDefault="00B626E7">
            <w:pPr>
              <w:rPr>
                <w:rFonts w:ascii="宋体"/>
              </w:rPr>
            </w:pPr>
          </w:p>
        </w:tc>
        <w:tc>
          <w:tcPr>
            <w:tcW w:w="0" w:type="auto"/>
            <w:shd w:val="clear" w:color="auto" w:fill="auto"/>
          </w:tcPr>
          <w:p w14:paraId="20AE0714" w14:textId="77777777" w:rsidR="00B626E7" w:rsidRDefault="00B626E7">
            <w:pPr>
              <w:rPr>
                <w:rFonts w:ascii="宋体"/>
              </w:rPr>
            </w:pPr>
          </w:p>
        </w:tc>
        <w:tc>
          <w:tcPr>
            <w:tcW w:w="0" w:type="auto"/>
            <w:shd w:val="clear" w:color="auto" w:fill="auto"/>
          </w:tcPr>
          <w:p w14:paraId="20AE0715" w14:textId="77777777" w:rsidR="00B626E7" w:rsidRDefault="00B626E7">
            <w:pPr>
              <w:rPr>
                <w:rFonts w:ascii="宋体"/>
              </w:rPr>
            </w:pPr>
          </w:p>
        </w:tc>
        <w:tc>
          <w:tcPr>
            <w:tcW w:w="0" w:type="auto"/>
            <w:shd w:val="clear" w:color="auto" w:fill="auto"/>
          </w:tcPr>
          <w:p w14:paraId="20AE0716" w14:textId="77777777" w:rsidR="00B626E7" w:rsidRDefault="00B626E7">
            <w:pPr>
              <w:rPr>
                <w:rFonts w:ascii="宋体"/>
              </w:rPr>
            </w:pPr>
          </w:p>
        </w:tc>
        <w:tc>
          <w:tcPr>
            <w:tcW w:w="0" w:type="auto"/>
            <w:shd w:val="clear" w:color="auto" w:fill="auto"/>
          </w:tcPr>
          <w:p w14:paraId="20AE0717" w14:textId="77777777" w:rsidR="00B626E7" w:rsidRDefault="00B626E7">
            <w:pPr>
              <w:rPr>
                <w:rFonts w:ascii="宋体"/>
              </w:rPr>
            </w:pPr>
          </w:p>
        </w:tc>
      </w:tr>
      <w:tr w:rsidR="00B626E7" w14:paraId="20AE0732" w14:textId="77777777">
        <w:tc>
          <w:tcPr>
            <w:tcW w:w="0" w:type="auto"/>
            <w:gridSpan w:val="3"/>
            <w:shd w:val="clear" w:color="auto" w:fill="auto"/>
            <w:tcMar>
              <w:top w:w="40" w:type="dxa"/>
              <w:left w:w="20" w:type="dxa"/>
              <w:bottom w:w="40" w:type="dxa"/>
              <w:right w:w="20" w:type="dxa"/>
            </w:tcMar>
            <w:vAlign w:val="bottom"/>
          </w:tcPr>
          <w:p w14:paraId="20AE0719" w14:textId="77777777" w:rsidR="00B626E7" w:rsidRDefault="00175C1D">
            <w:pPr>
              <w:textAlignment w:val="bottom"/>
            </w:pPr>
            <w:r>
              <w:rPr>
                <w:rFonts w:ascii="Arial" w:eastAsia="宋体" w:hAnsi="Arial" w:cs="Arial"/>
                <w:color w:val="333333"/>
                <w:sz w:val="18"/>
                <w:szCs w:val="18"/>
              </w:rPr>
              <w:t>Temporary equity reduction</w:t>
            </w:r>
          </w:p>
        </w:tc>
        <w:tc>
          <w:tcPr>
            <w:tcW w:w="0" w:type="auto"/>
            <w:gridSpan w:val="3"/>
            <w:shd w:val="clear" w:color="auto" w:fill="auto"/>
            <w:tcMar>
              <w:left w:w="20" w:type="dxa"/>
              <w:right w:w="20" w:type="dxa"/>
            </w:tcMar>
            <w:vAlign w:val="bottom"/>
          </w:tcPr>
          <w:p w14:paraId="20AE071A"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71B"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071C"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71D"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71E" w14:textId="77777777" w:rsidR="00B626E7" w:rsidRDefault="00175C1D">
            <w:pPr>
              <w:jc w:val="right"/>
              <w:textAlignment w:val="bottom"/>
            </w:pPr>
            <w:r>
              <w:rPr>
                <w:rFonts w:ascii="Arial" w:eastAsia="宋体" w:hAnsi="Arial" w:cs="Arial"/>
                <w:color w:val="333333"/>
                <w:sz w:val="18"/>
                <w:szCs w:val="18"/>
              </w:rPr>
              <w:t>173 </w:t>
            </w:r>
          </w:p>
        </w:tc>
        <w:tc>
          <w:tcPr>
            <w:tcW w:w="0" w:type="auto"/>
            <w:shd w:val="clear" w:color="auto" w:fill="auto"/>
            <w:tcMar>
              <w:top w:w="40" w:type="dxa"/>
              <w:bottom w:w="40" w:type="dxa"/>
              <w:right w:w="20" w:type="dxa"/>
            </w:tcMar>
            <w:vAlign w:val="bottom"/>
          </w:tcPr>
          <w:p w14:paraId="20AE071F"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720"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721"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0722"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723"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724"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0725"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726"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727" w14:textId="77777777" w:rsidR="00B626E7" w:rsidRDefault="00175C1D">
            <w:pPr>
              <w:jc w:val="right"/>
              <w:textAlignment w:val="bottom"/>
            </w:pPr>
            <w:r>
              <w:rPr>
                <w:rFonts w:ascii="Arial" w:eastAsia="宋体" w:hAnsi="Arial" w:cs="Arial"/>
                <w:color w:val="333333"/>
                <w:sz w:val="18"/>
                <w:szCs w:val="18"/>
              </w:rPr>
              <w:t>173 </w:t>
            </w:r>
          </w:p>
        </w:tc>
        <w:tc>
          <w:tcPr>
            <w:tcW w:w="0" w:type="auto"/>
            <w:shd w:val="clear" w:color="auto" w:fill="auto"/>
            <w:tcMar>
              <w:top w:w="40" w:type="dxa"/>
              <w:bottom w:w="40" w:type="dxa"/>
              <w:right w:w="20" w:type="dxa"/>
            </w:tcMar>
            <w:vAlign w:val="bottom"/>
          </w:tcPr>
          <w:p w14:paraId="20AE0728"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0729" w14:textId="77777777" w:rsidR="00B626E7" w:rsidRDefault="00B626E7">
            <w:pPr>
              <w:rPr>
                <w:rFonts w:ascii="宋体"/>
              </w:rPr>
            </w:pPr>
          </w:p>
        </w:tc>
        <w:tc>
          <w:tcPr>
            <w:tcW w:w="0" w:type="auto"/>
            <w:shd w:val="clear" w:color="auto" w:fill="auto"/>
          </w:tcPr>
          <w:p w14:paraId="20AE072A" w14:textId="77777777" w:rsidR="00B626E7" w:rsidRDefault="00B626E7">
            <w:pPr>
              <w:rPr>
                <w:rFonts w:ascii="宋体"/>
              </w:rPr>
            </w:pPr>
          </w:p>
        </w:tc>
        <w:tc>
          <w:tcPr>
            <w:tcW w:w="0" w:type="auto"/>
            <w:shd w:val="clear" w:color="auto" w:fill="auto"/>
          </w:tcPr>
          <w:p w14:paraId="20AE072B" w14:textId="77777777" w:rsidR="00B626E7" w:rsidRDefault="00B626E7">
            <w:pPr>
              <w:rPr>
                <w:rFonts w:ascii="宋体"/>
              </w:rPr>
            </w:pPr>
          </w:p>
        </w:tc>
        <w:tc>
          <w:tcPr>
            <w:tcW w:w="0" w:type="auto"/>
            <w:shd w:val="clear" w:color="auto" w:fill="auto"/>
          </w:tcPr>
          <w:p w14:paraId="20AE072C" w14:textId="77777777" w:rsidR="00B626E7" w:rsidRDefault="00B626E7">
            <w:pPr>
              <w:rPr>
                <w:rFonts w:ascii="宋体"/>
              </w:rPr>
            </w:pPr>
          </w:p>
        </w:tc>
        <w:tc>
          <w:tcPr>
            <w:tcW w:w="0" w:type="auto"/>
            <w:shd w:val="clear" w:color="auto" w:fill="auto"/>
          </w:tcPr>
          <w:p w14:paraId="20AE072D" w14:textId="77777777" w:rsidR="00B626E7" w:rsidRDefault="00B626E7">
            <w:pPr>
              <w:rPr>
                <w:rFonts w:ascii="宋体"/>
              </w:rPr>
            </w:pPr>
          </w:p>
        </w:tc>
        <w:tc>
          <w:tcPr>
            <w:tcW w:w="0" w:type="auto"/>
            <w:shd w:val="clear" w:color="auto" w:fill="auto"/>
          </w:tcPr>
          <w:p w14:paraId="20AE072E" w14:textId="77777777" w:rsidR="00B626E7" w:rsidRDefault="00B626E7">
            <w:pPr>
              <w:rPr>
                <w:rFonts w:ascii="宋体"/>
              </w:rPr>
            </w:pPr>
          </w:p>
        </w:tc>
        <w:tc>
          <w:tcPr>
            <w:tcW w:w="0" w:type="auto"/>
            <w:shd w:val="clear" w:color="auto" w:fill="auto"/>
          </w:tcPr>
          <w:p w14:paraId="20AE072F" w14:textId="77777777" w:rsidR="00B626E7" w:rsidRDefault="00B626E7">
            <w:pPr>
              <w:rPr>
                <w:rFonts w:ascii="宋体"/>
              </w:rPr>
            </w:pPr>
          </w:p>
        </w:tc>
        <w:tc>
          <w:tcPr>
            <w:tcW w:w="0" w:type="auto"/>
            <w:shd w:val="clear" w:color="auto" w:fill="auto"/>
          </w:tcPr>
          <w:p w14:paraId="20AE0730" w14:textId="77777777" w:rsidR="00B626E7" w:rsidRDefault="00B626E7">
            <w:pPr>
              <w:rPr>
                <w:rFonts w:ascii="宋体"/>
              </w:rPr>
            </w:pPr>
          </w:p>
        </w:tc>
        <w:tc>
          <w:tcPr>
            <w:tcW w:w="0" w:type="auto"/>
            <w:shd w:val="clear" w:color="auto" w:fill="auto"/>
          </w:tcPr>
          <w:p w14:paraId="20AE0731" w14:textId="77777777" w:rsidR="00B626E7" w:rsidRDefault="00B626E7">
            <w:pPr>
              <w:rPr>
                <w:rFonts w:ascii="宋体"/>
              </w:rPr>
            </w:pPr>
          </w:p>
        </w:tc>
      </w:tr>
      <w:tr w:rsidR="00B626E7" w14:paraId="20AE074C" w14:textId="77777777">
        <w:tc>
          <w:tcPr>
            <w:tcW w:w="0" w:type="auto"/>
            <w:gridSpan w:val="3"/>
            <w:shd w:val="clear" w:color="auto" w:fill="auto"/>
            <w:tcMar>
              <w:top w:w="40" w:type="dxa"/>
              <w:left w:w="20" w:type="dxa"/>
              <w:bottom w:w="40" w:type="dxa"/>
              <w:right w:w="20" w:type="dxa"/>
            </w:tcMar>
            <w:vAlign w:val="bottom"/>
          </w:tcPr>
          <w:p w14:paraId="20AE0733" w14:textId="77777777" w:rsidR="00B626E7" w:rsidRDefault="00175C1D">
            <w:pPr>
              <w:textAlignment w:val="bottom"/>
            </w:pPr>
            <w:r>
              <w:rPr>
                <w:rFonts w:ascii="Arial" w:eastAsia="宋体" w:hAnsi="Arial" w:cs="Arial"/>
                <w:color w:val="333333"/>
                <w:sz w:val="18"/>
                <w:szCs w:val="18"/>
              </w:rPr>
              <w:t>Convertible debt</w:t>
            </w:r>
          </w:p>
        </w:tc>
        <w:tc>
          <w:tcPr>
            <w:tcW w:w="0" w:type="auto"/>
            <w:gridSpan w:val="3"/>
            <w:shd w:val="clear" w:color="auto" w:fill="auto"/>
            <w:tcMar>
              <w:left w:w="20" w:type="dxa"/>
              <w:right w:w="20" w:type="dxa"/>
            </w:tcMar>
            <w:vAlign w:val="bottom"/>
          </w:tcPr>
          <w:p w14:paraId="20AE0734"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735"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0736"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737"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738" w14:textId="77777777" w:rsidR="00B626E7" w:rsidRDefault="00175C1D">
            <w:pPr>
              <w:jc w:val="right"/>
              <w:textAlignment w:val="bottom"/>
            </w:pPr>
            <w:r>
              <w:rPr>
                <w:rFonts w:ascii="Arial" w:eastAsia="宋体" w:hAnsi="Arial" w:cs="Arial"/>
                <w:color w:val="333333"/>
                <w:sz w:val="18"/>
                <w:szCs w:val="18"/>
              </w:rPr>
              <w:t>(712)</w:t>
            </w:r>
          </w:p>
        </w:tc>
        <w:tc>
          <w:tcPr>
            <w:tcW w:w="0" w:type="auto"/>
            <w:shd w:val="clear" w:color="auto" w:fill="auto"/>
            <w:tcMar>
              <w:top w:w="40" w:type="dxa"/>
              <w:bottom w:w="40" w:type="dxa"/>
              <w:right w:w="20" w:type="dxa"/>
            </w:tcMar>
            <w:vAlign w:val="bottom"/>
          </w:tcPr>
          <w:p w14:paraId="20AE0739"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73A"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73B"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073C"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73D"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73E"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073F"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740"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741" w14:textId="77777777" w:rsidR="00B626E7" w:rsidRDefault="00175C1D">
            <w:pPr>
              <w:jc w:val="right"/>
              <w:textAlignment w:val="bottom"/>
            </w:pPr>
            <w:r>
              <w:rPr>
                <w:rFonts w:ascii="Arial" w:eastAsia="宋体" w:hAnsi="Arial" w:cs="Arial"/>
                <w:color w:val="333333"/>
                <w:sz w:val="18"/>
                <w:szCs w:val="18"/>
              </w:rPr>
              <w:t>(712)</w:t>
            </w:r>
          </w:p>
        </w:tc>
        <w:tc>
          <w:tcPr>
            <w:tcW w:w="0" w:type="auto"/>
            <w:shd w:val="clear" w:color="auto" w:fill="auto"/>
            <w:tcMar>
              <w:top w:w="40" w:type="dxa"/>
              <w:bottom w:w="40" w:type="dxa"/>
              <w:right w:w="20" w:type="dxa"/>
            </w:tcMar>
            <w:vAlign w:val="bottom"/>
          </w:tcPr>
          <w:p w14:paraId="20AE0742"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0743" w14:textId="77777777" w:rsidR="00B626E7" w:rsidRDefault="00B626E7">
            <w:pPr>
              <w:rPr>
                <w:rFonts w:ascii="宋体"/>
              </w:rPr>
            </w:pPr>
          </w:p>
        </w:tc>
        <w:tc>
          <w:tcPr>
            <w:tcW w:w="0" w:type="auto"/>
            <w:shd w:val="clear" w:color="auto" w:fill="auto"/>
          </w:tcPr>
          <w:p w14:paraId="20AE0744" w14:textId="77777777" w:rsidR="00B626E7" w:rsidRDefault="00B626E7">
            <w:pPr>
              <w:rPr>
                <w:rFonts w:ascii="宋体"/>
              </w:rPr>
            </w:pPr>
          </w:p>
        </w:tc>
        <w:tc>
          <w:tcPr>
            <w:tcW w:w="0" w:type="auto"/>
            <w:shd w:val="clear" w:color="auto" w:fill="auto"/>
          </w:tcPr>
          <w:p w14:paraId="20AE0745" w14:textId="77777777" w:rsidR="00B626E7" w:rsidRDefault="00B626E7">
            <w:pPr>
              <w:rPr>
                <w:rFonts w:ascii="宋体"/>
              </w:rPr>
            </w:pPr>
          </w:p>
        </w:tc>
        <w:tc>
          <w:tcPr>
            <w:tcW w:w="0" w:type="auto"/>
            <w:shd w:val="clear" w:color="auto" w:fill="auto"/>
          </w:tcPr>
          <w:p w14:paraId="20AE0746" w14:textId="77777777" w:rsidR="00B626E7" w:rsidRDefault="00B626E7">
            <w:pPr>
              <w:rPr>
                <w:rFonts w:ascii="宋体"/>
              </w:rPr>
            </w:pPr>
          </w:p>
        </w:tc>
        <w:tc>
          <w:tcPr>
            <w:tcW w:w="0" w:type="auto"/>
            <w:shd w:val="clear" w:color="auto" w:fill="auto"/>
          </w:tcPr>
          <w:p w14:paraId="20AE0747" w14:textId="77777777" w:rsidR="00B626E7" w:rsidRDefault="00B626E7">
            <w:pPr>
              <w:rPr>
                <w:rFonts w:ascii="宋体"/>
              </w:rPr>
            </w:pPr>
          </w:p>
        </w:tc>
        <w:tc>
          <w:tcPr>
            <w:tcW w:w="0" w:type="auto"/>
            <w:shd w:val="clear" w:color="auto" w:fill="auto"/>
          </w:tcPr>
          <w:p w14:paraId="20AE0748" w14:textId="77777777" w:rsidR="00B626E7" w:rsidRDefault="00B626E7">
            <w:pPr>
              <w:rPr>
                <w:rFonts w:ascii="宋体"/>
              </w:rPr>
            </w:pPr>
          </w:p>
        </w:tc>
        <w:tc>
          <w:tcPr>
            <w:tcW w:w="0" w:type="auto"/>
            <w:shd w:val="clear" w:color="auto" w:fill="auto"/>
          </w:tcPr>
          <w:p w14:paraId="20AE0749" w14:textId="77777777" w:rsidR="00B626E7" w:rsidRDefault="00B626E7">
            <w:pPr>
              <w:rPr>
                <w:rFonts w:ascii="宋体"/>
              </w:rPr>
            </w:pPr>
          </w:p>
        </w:tc>
        <w:tc>
          <w:tcPr>
            <w:tcW w:w="0" w:type="auto"/>
            <w:shd w:val="clear" w:color="auto" w:fill="auto"/>
          </w:tcPr>
          <w:p w14:paraId="20AE074A" w14:textId="77777777" w:rsidR="00B626E7" w:rsidRDefault="00B626E7">
            <w:pPr>
              <w:rPr>
                <w:rFonts w:ascii="宋体"/>
              </w:rPr>
            </w:pPr>
          </w:p>
        </w:tc>
        <w:tc>
          <w:tcPr>
            <w:tcW w:w="0" w:type="auto"/>
            <w:shd w:val="clear" w:color="auto" w:fill="auto"/>
          </w:tcPr>
          <w:p w14:paraId="20AE074B" w14:textId="77777777" w:rsidR="00B626E7" w:rsidRDefault="00B626E7">
            <w:pPr>
              <w:rPr>
                <w:rFonts w:ascii="宋体"/>
              </w:rPr>
            </w:pPr>
          </w:p>
        </w:tc>
      </w:tr>
      <w:tr w:rsidR="00B626E7" w14:paraId="20AE0766" w14:textId="77777777">
        <w:tc>
          <w:tcPr>
            <w:tcW w:w="0" w:type="auto"/>
            <w:gridSpan w:val="3"/>
            <w:shd w:val="clear" w:color="auto" w:fill="auto"/>
            <w:tcMar>
              <w:top w:w="40" w:type="dxa"/>
              <w:left w:w="20" w:type="dxa"/>
              <w:bottom w:w="40" w:type="dxa"/>
              <w:right w:w="20" w:type="dxa"/>
            </w:tcMar>
            <w:vAlign w:val="bottom"/>
          </w:tcPr>
          <w:p w14:paraId="20AE074D" w14:textId="77777777" w:rsidR="00B626E7" w:rsidRDefault="00175C1D">
            <w:pPr>
              <w:textAlignment w:val="bottom"/>
            </w:pPr>
            <w:r>
              <w:rPr>
                <w:rFonts w:ascii="Arial" w:eastAsia="宋体" w:hAnsi="Arial" w:cs="Arial"/>
                <w:color w:val="333333"/>
                <w:sz w:val="18"/>
                <w:szCs w:val="18"/>
              </w:rPr>
              <w:t>Repurchase of common stock</w:t>
            </w:r>
          </w:p>
        </w:tc>
        <w:tc>
          <w:tcPr>
            <w:tcW w:w="0" w:type="auto"/>
            <w:gridSpan w:val="3"/>
            <w:shd w:val="clear" w:color="auto" w:fill="auto"/>
            <w:tcMar>
              <w:left w:w="20" w:type="dxa"/>
              <w:right w:w="20" w:type="dxa"/>
            </w:tcMar>
            <w:vAlign w:val="bottom"/>
          </w:tcPr>
          <w:p w14:paraId="20AE074E" w14:textId="77777777" w:rsidR="00B626E7" w:rsidRDefault="00B626E7">
            <w:pPr>
              <w:rPr>
                <w:rFonts w:ascii="宋体"/>
              </w:rPr>
            </w:pPr>
          </w:p>
        </w:tc>
        <w:tc>
          <w:tcPr>
            <w:tcW w:w="0" w:type="auto"/>
            <w:gridSpan w:val="2"/>
            <w:shd w:val="clear" w:color="auto" w:fill="FFFFFF"/>
            <w:tcMar>
              <w:top w:w="40" w:type="dxa"/>
              <w:left w:w="20" w:type="dxa"/>
              <w:bottom w:w="40" w:type="dxa"/>
              <w:right w:w="0" w:type="dxa"/>
            </w:tcMar>
            <w:vAlign w:val="bottom"/>
          </w:tcPr>
          <w:p w14:paraId="20AE074F" w14:textId="77777777" w:rsidR="00B626E7" w:rsidRDefault="00175C1D">
            <w:pPr>
              <w:jc w:val="right"/>
              <w:textAlignment w:val="bottom"/>
            </w:pPr>
            <w:r>
              <w:rPr>
                <w:rFonts w:ascii="Arial" w:eastAsia="宋体" w:hAnsi="Arial" w:cs="Arial"/>
                <w:color w:val="000000"/>
                <w:sz w:val="18"/>
                <w:szCs w:val="18"/>
              </w:rPr>
              <w:t>(116)</w:t>
            </w:r>
          </w:p>
        </w:tc>
        <w:tc>
          <w:tcPr>
            <w:tcW w:w="0" w:type="auto"/>
            <w:shd w:val="clear" w:color="auto" w:fill="FFFFFF"/>
            <w:tcMar>
              <w:top w:w="40" w:type="dxa"/>
              <w:bottom w:w="40" w:type="dxa"/>
              <w:right w:w="20" w:type="dxa"/>
            </w:tcMar>
            <w:vAlign w:val="bottom"/>
          </w:tcPr>
          <w:p w14:paraId="20AE0750" w14:textId="77777777" w:rsidR="00B626E7" w:rsidRDefault="00175C1D">
            <w:pPr>
              <w:jc w:val="right"/>
              <w:textAlignment w:val="bottom"/>
            </w:pPr>
            <w:r>
              <w:rPr>
                <w:rFonts w:ascii="Arial" w:eastAsia="宋体" w:hAnsi="Arial" w:cs="Arial"/>
                <w:color w:val="000000"/>
                <w:sz w:val="18"/>
                <w:szCs w:val="18"/>
              </w:rPr>
              <w:t> </w:t>
            </w:r>
          </w:p>
        </w:tc>
        <w:tc>
          <w:tcPr>
            <w:tcW w:w="0" w:type="auto"/>
            <w:gridSpan w:val="3"/>
            <w:shd w:val="clear" w:color="auto" w:fill="auto"/>
            <w:tcMar>
              <w:left w:w="20" w:type="dxa"/>
              <w:right w:w="20" w:type="dxa"/>
            </w:tcMar>
            <w:vAlign w:val="bottom"/>
          </w:tcPr>
          <w:p w14:paraId="20AE0751"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752" w14:textId="77777777" w:rsidR="00B626E7" w:rsidRDefault="00175C1D">
            <w:pPr>
              <w:jc w:val="right"/>
              <w:textAlignment w:val="bottom"/>
            </w:pPr>
            <w:r>
              <w:rPr>
                <w:rFonts w:ascii="Arial" w:eastAsia="宋体" w:hAnsi="Arial" w:cs="Arial"/>
                <w:color w:val="333333"/>
                <w:sz w:val="18"/>
                <w:szCs w:val="18"/>
              </w:rPr>
              <w:t>(659)</w:t>
            </w:r>
          </w:p>
        </w:tc>
        <w:tc>
          <w:tcPr>
            <w:tcW w:w="0" w:type="auto"/>
            <w:shd w:val="clear" w:color="auto" w:fill="auto"/>
            <w:tcMar>
              <w:top w:w="40" w:type="dxa"/>
              <w:bottom w:w="40" w:type="dxa"/>
              <w:right w:w="20" w:type="dxa"/>
            </w:tcMar>
            <w:vAlign w:val="bottom"/>
          </w:tcPr>
          <w:p w14:paraId="20AE0753"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754"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755"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0756"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757"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758" w14:textId="77777777" w:rsidR="00B626E7" w:rsidRDefault="00175C1D">
            <w:pPr>
              <w:jc w:val="right"/>
              <w:textAlignment w:val="bottom"/>
            </w:pPr>
            <w:r>
              <w:rPr>
                <w:rFonts w:ascii="Arial" w:eastAsia="宋体" w:hAnsi="Arial" w:cs="Arial"/>
                <w:color w:val="333333"/>
                <w:sz w:val="18"/>
                <w:szCs w:val="18"/>
              </w:rPr>
              <w:t>(4,936)</w:t>
            </w:r>
          </w:p>
        </w:tc>
        <w:tc>
          <w:tcPr>
            <w:tcW w:w="0" w:type="auto"/>
            <w:shd w:val="clear" w:color="auto" w:fill="auto"/>
            <w:tcMar>
              <w:top w:w="40" w:type="dxa"/>
              <w:bottom w:w="40" w:type="dxa"/>
              <w:right w:w="20" w:type="dxa"/>
            </w:tcMar>
            <w:vAlign w:val="bottom"/>
          </w:tcPr>
          <w:p w14:paraId="20AE0759"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75A"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75B" w14:textId="77777777" w:rsidR="00B626E7" w:rsidRDefault="00175C1D">
            <w:pPr>
              <w:jc w:val="right"/>
              <w:textAlignment w:val="bottom"/>
            </w:pPr>
            <w:r>
              <w:rPr>
                <w:rFonts w:ascii="Arial" w:eastAsia="宋体" w:hAnsi="Arial" w:cs="Arial"/>
                <w:color w:val="333333"/>
                <w:sz w:val="18"/>
                <w:szCs w:val="18"/>
              </w:rPr>
              <w:t>(5,595)</w:t>
            </w:r>
          </w:p>
        </w:tc>
        <w:tc>
          <w:tcPr>
            <w:tcW w:w="0" w:type="auto"/>
            <w:shd w:val="clear" w:color="auto" w:fill="auto"/>
            <w:tcMar>
              <w:top w:w="40" w:type="dxa"/>
              <w:bottom w:w="40" w:type="dxa"/>
              <w:right w:w="20" w:type="dxa"/>
            </w:tcMar>
            <w:vAlign w:val="bottom"/>
          </w:tcPr>
          <w:p w14:paraId="20AE075C"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075D" w14:textId="77777777" w:rsidR="00B626E7" w:rsidRDefault="00B626E7">
            <w:pPr>
              <w:rPr>
                <w:rFonts w:ascii="宋体"/>
              </w:rPr>
            </w:pPr>
          </w:p>
        </w:tc>
        <w:tc>
          <w:tcPr>
            <w:tcW w:w="0" w:type="auto"/>
            <w:shd w:val="clear" w:color="auto" w:fill="auto"/>
          </w:tcPr>
          <w:p w14:paraId="20AE075E" w14:textId="77777777" w:rsidR="00B626E7" w:rsidRDefault="00B626E7">
            <w:pPr>
              <w:rPr>
                <w:rFonts w:ascii="宋体"/>
              </w:rPr>
            </w:pPr>
          </w:p>
        </w:tc>
        <w:tc>
          <w:tcPr>
            <w:tcW w:w="0" w:type="auto"/>
            <w:shd w:val="clear" w:color="auto" w:fill="auto"/>
          </w:tcPr>
          <w:p w14:paraId="20AE075F" w14:textId="77777777" w:rsidR="00B626E7" w:rsidRDefault="00B626E7">
            <w:pPr>
              <w:rPr>
                <w:rFonts w:ascii="宋体"/>
              </w:rPr>
            </w:pPr>
          </w:p>
        </w:tc>
        <w:tc>
          <w:tcPr>
            <w:tcW w:w="0" w:type="auto"/>
            <w:shd w:val="clear" w:color="auto" w:fill="auto"/>
          </w:tcPr>
          <w:p w14:paraId="20AE0760" w14:textId="77777777" w:rsidR="00B626E7" w:rsidRDefault="00B626E7">
            <w:pPr>
              <w:rPr>
                <w:rFonts w:ascii="宋体"/>
              </w:rPr>
            </w:pPr>
          </w:p>
        </w:tc>
        <w:tc>
          <w:tcPr>
            <w:tcW w:w="0" w:type="auto"/>
            <w:shd w:val="clear" w:color="auto" w:fill="auto"/>
          </w:tcPr>
          <w:p w14:paraId="20AE0761" w14:textId="77777777" w:rsidR="00B626E7" w:rsidRDefault="00B626E7">
            <w:pPr>
              <w:rPr>
                <w:rFonts w:ascii="宋体"/>
              </w:rPr>
            </w:pPr>
          </w:p>
        </w:tc>
        <w:tc>
          <w:tcPr>
            <w:tcW w:w="0" w:type="auto"/>
            <w:shd w:val="clear" w:color="auto" w:fill="auto"/>
          </w:tcPr>
          <w:p w14:paraId="20AE0762" w14:textId="77777777" w:rsidR="00B626E7" w:rsidRDefault="00B626E7">
            <w:pPr>
              <w:rPr>
                <w:rFonts w:ascii="宋体"/>
              </w:rPr>
            </w:pPr>
          </w:p>
        </w:tc>
        <w:tc>
          <w:tcPr>
            <w:tcW w:w="0" w:type="auto"/>
            <w:shd w:val="clear" w:color="auto" w:fill="auto"/>
          </w:tcPr>
          <w:p w14:paraId="20AE0763" w14:textId="77777777" w:rsidR="00B626E7" w:rsidRDefault="00B626E7">
            <w:pPr>
              <w:rPr>
                <w:rFonts w:ascii="宋体"/>
              </w:rPr>
            </w:pPr>
          </w:p>
        </w:tc>
        <w:tc>
          <w:tcPr>
            <w:tcW w:w="0" w:type="auto"/>
            <w:shd w:val="clear" w:color="auto" w:fill="auto"/>
          </w:tcPr>
          <w:p w14:paraId="20AE0764" w14:textId="77777777" w:rsidR="00B626E7" w:rsidRDefault="00B626E7">
            <w:pPr>
              <w:rPr>
                <w:rFonts w:ascii="宋体"/>
              </w:rPr>
            </w:pPr>
          </w:p>
        </w:tc>
        <w:tc>
          <w:tcPr>
            <w:tcW w:w="0" w:type="auto"/>
            <w:shd w:val="clear" w:color="auto" w:fill="auto"/>
          </w:tcPr>
          <w:p w14:paraId="20AE0765" w14:textId="77777777" w:rsidR="00B626E7" w:rsidRDefault="00B626E7">
            <w:pPr>
              <w:rPr>
                <w:rFonts w:ascii="宋体"/>
              </w:rPr>
            </w:pPr>
          </w:p>
        </w:tc>
      </w:tr>
      <w:tr w:rsidR="00B626E7" w14:paraId="20AE0780" w14:textId="77777777">
        <w:tc>
          <w:tcPr>
            <w:tcW w:w="0" w:type="auto"/>
            <w:gridSpan w:val="3"/>
            <w:shd w:val="clear" w:color="auto" w:fill="auto"/>
            <w:tcMar>
              <w:top w:w="40" w:type="dxa"/>
              <w:left w:w="20" w:type="dxa"/>
              <w:bottom w:w="40" w:type="dxa"/>
              <w:right w:w="20" w:type="dxa"/>
            </w:tcMar>
            <w:vAlign w:val="bottom"/>
          </w:tcPr>
          <w:p w14:paraId="20AE0767" w14:textId="77777777" w:rsidR="00B626E7" w:rsidRDefault="00175C1D">
            <w:pPr>
              <w:textAlignment w:val="bottom"/>
            </w:pPr>
            <w:r>
              <w:rPr>
                <w:rFonts w:ascii="Arial" w:eastAsia="宋体" w:hAnsi="Arial" w:cs="Arial"/>
                <w:color w:val="333333"/>
                <w:sz w:val="18"/>
                <w:szCs w:val="18"/>
              </w:rPr>
              <w:t>Restricted stock unit withholdings</w:t>
            </w:r>
          </w:p>
        </w:tc>
        <w:tc>
          <w:tcPr>
            <w:tcW w:w="0" w:type="auto"/>
            <w:gridSpan w:val="3"/>
            <w:shd w:val="clear" w:color="auto" w:fill="auto"/>
            <w:tcMar>
              <w:left w:w="20" w:type="dxa"/>
              <w:right w:w="20" w:type="dxa"/>
            </w:tcMar>
            <w:vAlign w:val="bottom"/>
          </w:tcPr>
          <w:p w14:paraId="20AE0768"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769" w14:textId="77777777" w:rsidR="00B626E7" w:rsidRDefault="00175C1D">
            <w:pPr>
              <w:jc w:val="right"/>
              <w:textAlignment w:val="bottom"/>
            </w:pPr>
            <w:r>
              <w:rPr>
                <w:rFonts w:ascii="Arial" w:eastAsia="宋体" w:hAnsi="Arial" w:cs="Arial"/>
                <w:color w:val="333333"/>
                <w:sz w:val="18"/>
                <w:szCs w:val="18"/>
              </w:rPr>
              <w:t>(8)</w:t>
            </w:r>
          </w:p>
        </w:tc>
        <w:tc>
          <w:tcPr>
            <w:tcW w:w="0" w:type="auto"/>
            <w:shd w:val="clear" w:color="auto" w:fill="auto"/>
            <w:tcMar>
              <w:top w:w="40" w:type="dxa"/>
              <w:bottom w:w="40" w:type="dxa"/>
              <w:right w:w="20" w:type="dxa"/>
            </w:tcMar>
            <w:vAlign w:val="bottom"/>
          </w:tcPr>
          <w:p w14:paraId="20AE076A"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76B"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76C" w14:textId="77777777" w:rsidR="00B626E7" w:rsidRDefault="00175C1D">
            <w:pPr>
              <w:jc w:val="right"/>
              <w:textAlignment w:val="bottom"/>
            </w:pPr>
            <w:r>
              <w:rPr>
                <w:rFonts w:ascii="Arial" w:eastAsia="宋体" w:hAnsi="Arial" w:cs="Arial"/>
                <w:color w:val="333333"/>
                <w:sz w:val="18"/>
                <w:szCs w:val="18"/>
              </w:rPr>
              <w:t>(290)</w:t>
            </w:r>
          </w:p>
        </w:tc>
        <w:tc>
          <w:tcPr>
            <w:tcW w:w="0" w:type="auto"/>
            <w:shd w:val="clear" w:color="auto" w:fill="auto"/>
            <w:tcMar>
              <w:top w:w="40" w:type="dxa"/>
              <w:bottom w:w="40" w:type="dxa"/>
              <w:right w:w="20" w:type="dxa"/>
            </w:tcMar>
            <w:vAlign w:val="bottom"/>
          </w:tcPr>
          <w:p w14:paraId="20AE076D"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76E"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76F"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0770"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771"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772" w14:textId="77777777" w:rsidR="00B626E7" w:rsidRDefault="00175C1D">
            <w:pPr>
              <w:jc w:val="right"/>
              <w:textAlignment w:val="bottom"/>
            </w:pPr>
            <w:r>
              <w:rPr>
                <w:rFonts w:ascii="Arial" w:eastAsia="宋体" w:hAnsi="Arial" w:cs="Arial"/>
                <w:color w:val="333333"/>
                <w:sz w:val="18"/>
                <w:szCs w:val="18"/>
              </w:rPr>
              <w:t>(131)</w:t>
            </w:r>
          </w:p>
        </w:tc>
        <w:tc>
          <w:tcPr>
            <w:tcW w:w="0" w:type="auto"/>
            <w:shd w:val="clear" w:color="auto" w:fill="auto"/>
            <w:tcMar>
              <w:top w:w="40" w:type="dxa"/>
              <w:bottom w:w="40" w:type="dxa"/>
              <w:right w:w="20" w:type="dxa"/>
            </w:tcMar>
            <w:vAlign w:val="bottom"/>
          </w:tcPr>
          <w:p w14:paraId="20AE0773"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774"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775" w14:textId="77777777" w:rsidR="00B626E7" w:rsidRDefault="00175C1D">
            <w:pPr>
              <w:jc w:val="right"/>
              <w:textAlignment w:val="bottom"/>
            </w:pPr>
            <w:r>
              <w:rPr>
                <w:rFonts w:ascii="Arial" w:eastAsia="宋体" w:hAnsi="Arial" w:cs="Arial"/>
                <w:color w:val="333333"/>
                <w:sz w:val="18"/>
                <w:szCs w:val="18"/>
              </w:rPr>
              <w:t>(421)</w:t>
            </w:r>
          </w:p>
        </w:tc>
        <w:tc>
          <w:tcPr>
            <w:tcW w:w="0" w:type="auto"/>
            <w:shd w:val="clear" w:color="auto" w:fill="auto"/>
            <w:tcMar>
              <w:top w:w="40" w:type="dxa"/>
              <w:bottom w:w="40" w:type="dxa"/>
              <w:right w:w="20" w:type="dxa"/>
            </w:tcMar>
            <w:vAlign w:val="bottom"/>
          </w:tcPr>
          <w:p w14:paraId="20AE0776"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0777" w14:textId="77777777" w:rsidR="00B626E7" w:rsidRDefault="00B626E7">
            <w:pPr>
              <w:rPr>
                <w:rFonts w:ascii="宋体"/>
              </w:rPr>
            </w:pPr>
          </w:p>
        </w:tc>
        <w:tc>
          <w:tcPr>
            <w:tcW w:w="0" w:type="auto"/>
            <w:shd w:val="clear" w:color="auto" w:fill="auto"/>
          </w:tcPr>
          <w:p w14:paraId="20AE0778" w14:textId="77777777" w:rsidR="00B626E7" w:rsidRDefault="00B626E7">
            <w:pPr>
              <w:rPr>
                <w:rFonts w:ascii="宋体"/>
              </w:rPr>
            </w:pPr>
          </w:p>
        </w:tc>
        <w:tc>
          <w:tcPr>
            <w:tcW w:w="0" w:type="auto"/>
            <w:shd w:val="clear" w:color="auto" w:fill="auto"/>
          </w:tcPr>
          <w:p w14:paraId="20AE0779" w14:textId="77777777" w:rsidR="00B626E7" w:rsidRDefault="00B626E7">
            <w:pPr>
              <w:rPr>
                <w:rFonts w:ascii="宋体"/>
              </w:rPr>
            </w:pPr>
          </w:p>
        </w:tc>
        <w:tc>
          <w:tcPr>
            <w:tcW w:w="0" w:type="auto"/>
            <w:shd w:val="clear" w:color="auto" w:fill="auto"/>
          </w:tcPr>
          <w:p w14:paraId="20AE077A" w14:textId="77777777" w:rsidR="00B626E7" w:rsidRDefault="00B626E7">
            <w:pPr>
              <w:rPr>
                <w:rFonts w:ascii="宋体"/>
              </w:rPr>
            </w:pPr>
          </w:p>
        </w:tc>
        <w:tc>
          <w:tcPr>
            <w:tcW w:w="0" w:type="auto"/>
            <w:shd w:val="clear" w:color="auto" w:fill="auto"/>
          </w:tcPr>
          <w:p w14:paraId="20AE077B" w14:textId="77777777" w:rsidR="00B626E7" w:rsidRDefault="00B626E7">
            <w:pPr>
              <w:rPr>
                <w:rFonts w:ascii="宋体"/>
              </w:rPr>
            </w:pPr>
          </w:p>
        </w:tc>
        <w:tc>
          <w:tcPr>
            <w:tcW w:w="0" w:type="auto"/>
            <w:shd w:val="clear" w:color="auto" w:fill="auto"/>
          </w:tcPr>
          <w:p w14:paraId="20AE077C" w14:textId="77777777" w:rsidR="00B626E7" w:rsidRDefault="00B626E7">
            <w:pPr>
              <w:rPr>
                <w:rFonts w:ascii="宋体"/>
              </w:rPr>
            </w:pPr>
          </w:p>
        </w:tc>
        <w:tc>
          <w:tcPr>
            <w:tcW w:w="0" w:type="auto"/>
            <w:shd w:val="clear" w:color="auto" w:fill="auto"/>
          </w:tcPr>
          <w:p w14:paraId="20AE077D" w14:textId="77777777" w:rsidR="00B626E7" w:rsidRDefault="00B626E7">
            <w:pPr>
              <w:rPr>
                <w:rFonts w:ascii="宋体"/>
              </w:rPr>
            </w:pPr>
          </w:p>
        </w:tc>
        <w:tc>
          <w:tcPr>
            <w:tcW w:w="0" w:type="auto"/>
            <w:shd w:val="clear" w:color="auto" w:fill="auto"/>
          </w:tcPr>
          <w:p w14:paraId="20AE077E" w14:textId="77777777" w:rsidR="00B626E7" w:rsidRDefault="00B626E7">
            <w:pPr>
              <w:rPr>
                <w:rFonts w:ascii="宋体"/>
              </w:rPr>
            </w:pPr>
          </w:p>
        </w:tc>
        <w:tc>
          <w:tcPr>
            <w:tcW w:w="0" w:type="auto"/>
            <w:shd w:val="clear" w:color="auto" w:fill="auto"/>
          </w:tcPr>
          <w:p w14:paraId="20AE077F" w14:textId="77777777" w:rsidR="00B626E7" w:rsidRDefault="00B626E7">
            <w:pPr>
              <w:rPr>
                <w:rFonts w:ascii="宋体"/>
              </w:rPr>
            </w:pPr>
          </w:p>
        </w:tc>
      </w:tr>
      <w:tr w:rsidR="00B626E7" w14:paraId="20AE079A" w14:textId="77777777">
        <w:tc>
          <w:tcPr>
            <w:tcW w:w="0" w:type="auto"/>
            <w:gridSpan w:val="3"/>
            <w:shd w:val="clear" w:color="auto" w:fill="auto"/>
            <w:tcMar>
              <w:top w:w="40" w:type="dxa"/>
              <w:left w:w="20" w:type="dxa"/>
              <w:bottom w:w="40" w:type="dxa"/>
              <w:right w:w="20" w:type="dxa"/>
            </w:tcMar>
            <w:vAlign w:val="bottom"/>
          </w:tcPr>
          <w:p w14:paraId="20AE0781" w14:textId="77777777" w:rsidR="00B626E7" w:rsidRDefault="00175C1D">
            <w:pPr>
              <w:textAlignment w:val="bottom"/>
            </w:pPr>
            <w:r>
              <w:rPr>
                <w:rFonts w:ascii="Arial" w:eastAsia="宋体" w:hAnsi="Arial" w:cs="Arial"/>
                <w:color w:val="333333"/>
                <w:sz w:val="18"/>
                <w:szCs w:val="18"/>
              </w:rPr>
              <w:t>Cash dividends declared ($0.63 per share)</w:t>
            </w:r>
          </w:p>
        </w:tc>
        <w:tc>
          <w:tcPr>
            <w:tcW w:w="0" w:type="auto"/>
            <w:gridSpan w:val="3"/>
            <w:shd w:val="clear" w:color="auto" w:fill="auto"/>
            <w:tcMar>
              <w:left w:w="20" w:type="dxa"/>
              <w:right w:w="20" w:type="dxa"/>
            </w:tcMar>
            <w:vAlign w:val="bottom"/>
          </w:tcPr>
          <w:p w14:paraId="20AE0782"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783"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0784"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785"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786"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0787"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788"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789"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078A"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78B"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78C" w14:textId="77777777" w:rsidR="00B626E7" w:rsidRDefault="00175C1D">
            <w:pPr>
              <w:jc w:val="right"/>
              <w:textAlignment w:val="bottom"/>
            </w:pPr>
            <w:r>
              <w:rPr>
                <w:rFonts w:ascii="Arial" w:eastAsia="宋体" w:hAnsi="Arial" w:cs="Arial"/>
                <w:color w:val="333333"/>
                <w:sz w:val="18"/>
                <w:szCs w:val="18"/>
              </w:rPr>
              <w:t>(2,829)</w:t>
            </w:r>
          </w:p>
        </w:tc>
        <w:tc>
          <w:tcPr>
            <w:tcW w:w="0" w:type="auto"/>
            <w:shd w:val="clear" w:color="auto" w:fill="auto"/>
            <w:tcMar>
              <w:top w:w="40" w:type="dxa"/>
              <w:bottom w:w="40" w:type="dxa"/>
              <w:right w:w="20" w:type="dxa"/>
            </w:tcMar>
            <w:vAlign w:val="bottom"/>
          </w:tcPr>
          <w:p w14:paraId="20AE078D"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78E"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78F" w14:textId="77777777" w:rsidR="00B626E7" w:rsidRDefault="00175C1D">
            <w:pPr>
              <w:jc w:val="right"/>
              <w:textAlignment w:val="bottom"/>
            </w:pPr>
            <w:r>
              <w:rPr>
                <w:rFonts w:ascii="Arial" w:eastAsia="宋体" w:hAnsi="Arial" w:cs="Arial"/>
                <w:color w:val="333333"/>
                <w:sz w:val="18"/>
                <w:szCs w:val="18"/>
              </w:rPr>
              <w:t>(2,829)</w:t>
            </w:r>
          </w:p>
        </w:tc>
        <w:tc>
          <w:tcPr>
            <w:tcW w:w="0" w:type="auto"/>
            <w:shd w:val="clear" w:color="auto" w:fill="auto"/>
            <w:tcMar>
              <w:top w:w="40" w:type="dxa"/>
              <w:bottom w:w="40" w:type="dxa"/>
              <w:right w:w="20" w:type="dxa"/>
            </w:tcMar>
            <w:vAlign w:val="bottom"/>
          </w:tcPr>
          <w:p w14:paraId="20AE0790"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0791" w14:textId="77777777" w:rsidR="00B626E7" w:rsidRDefault="00B626E7">
            <w:pPr>
              <w:rPr>
                <w:rFonts w:ascii="宋体"/>
              </w:rPr>
            </w:pPr>
          </w:p>
        </w:tc>
        <w:tc>
          <w:tcPr>
            <w:tcW w:w="0" w:type="auto"/>
            <w:shd w:val="clear" w:color="auto" w:fill="auto"/>
          </w:tcPr>
          <w:p w14:paraId="20AE0792" w14:textId="77777777" w:rsidR="00B626E7" w:rsidRDefault="00B626E7">
            <w:pPr>
              <w:rPr>
                <w:rFonts w:ascii="宋体"/>
              </w:rPr>
            </w:pPr>
          </w:p>
        </w:tc>
        <w:tc>
          <w:tcPr>
            <w:tcW w:w="0" w:type="auto"/>
            <w:shd w:val="clear" w:color="auto" w:fill="auto"/>
          </w:tcPr>
          <w:p w14:paraId="20AE0793" w14:textId="77777777" w:rsidR="00B626E7" w:rsidRDefault="00B626E7">
            <w:pPr>
              <w:rPr>
                <w:rFonts w:ascii="宋体"/>
              </w:rPr>
            </w:pPr>
          </w:p>
        </w:tc>
        <w:tc>
          <w:tcPr>
            <w:tcW w:w="0" w:type="auto"/>
            <w:shd w:val="clear" w:color="auto" w:fill="auto"/>
          </w:tcPr>
          <w:p w14:paraId="20AE0794" w14:textId="77777777" w:rsidR="00B626E7" w:rsidRDefault="00B626E7">
            <w:pPr>
              <w:rPr>
                <w:rFonts w:ascii="宋体"/>
              </w:rPr>
            </w:pPr>
          </w:p>
        </w:tc>
        <w:tc>
          <w:tcPr>
            <w:tcW w:w="0" w:type="auto"/>
            <w:shd w:val="clear" w:color="auto" w:fill="auto"/>
          </w:tcPr>
          <w:p w14:paraId="20AE0795" w14:textId="77777777" w:rsidR="00B626E7" w:rsidRDefault="00B626E7">
            <w:pPr>
              <w:rPr>
                <w:rFonts w:ascii="宋体"/>
              </w:rPr>
            </w:pPr>
          </w:p>
        </w:tc>
        <w:tc>
          <w:tcPr>
            <w:tcW w:w="0" w:type="auto"/>
            <w:shd w:val="clear" w:color="auto" w:fill="auto"/>
          </w:tcPr>
          <w:p w14:paraId="20AE0796" w14:textId="77777777" w:rsidR="00B626E7" w:rsidRDefault="00B626E7">
            <w:pPr>
              <w:rPr>
                <w:rFonts w:ascii="宋体"/>
              </w:rPr>
            </w:pPr>
          </w:p>
        </w:tc>
        <w:tc>
          <w:tcPr>
            <w:tcW w:w="0" w:type="auto"/>
            <w:shd w:val="clear" w:color="auto" w:fill="auto"/>
          </w:tcPr>
          <w:p w14:paraId="20AE0797" w14:textId="77777777" w:rsidR="00B626E7" w:rsidRDefault="00B626E7">
            <w:pPr>
              <w:rPr>
                <w:rFonts w:ascii="宋体"/>
              </w:rPr>
            </w:pPr>
          </w:p>
        </w:tc>
        <w:tc>
          <w:tcPr>
            <w:tcW w:w="0" w:type="auto"/>
            <w:shd w:val="clear" w:color="auto" w:fill="auto"/>
          </w:tcPr>
          <w:p w14:paraId="20AE0798" w14:textId="77777777" w:rsidR="00B626E7" w:rsidRDefault="00B626E7">
            <w:pPr>
              <w:rPr>
                <w:rFonts w:ascii="宋体"/>
              </w:rPr>
            </w:pPr>
          </w:p>
        </w:tc>
        <w:tc>
          <w:tcPr>
            <w:tcW w:w="0" w:type="auto"/>
            <w:shd w:val="clear" w:color="auto" w:fill="auto"/>
          </w:tcPr>
          <w:p w14:paraId="20AE0799" w14:textId="77777777" w:rsidR="00B626E7" w:rsidRDefault="00B626E7">
            <w:pPr>
              <w:rPr>
                <w:rFonts w:ascii="宋体"/>
              </w:rPr>
            </w:pPr>
          </w:p>
        </w:tc>
      </w:tr>
      <w:tr w:rsidR="00B626E7" w14:paraId="20AE07B8" w14:textId="77777777">
        <w:tc>
          <w:tcPr>
            <w:tcW w:w="0" w:type="auto"/>
            <w:gridSpan w:val="3"/>
            <w:shd w:val="clear" w:color="auto" w:fill="auto"/>
            <w:tcMar>
              <w:top w:w="40" w:type="dxa"/>
              <w:left w:w="20" w:type="dxa"/>
              <w:bottom w:w="40" w:type="dxa"/>
              <w:right w:w="20" w:type="dxa"/>
            </w:tcMar>
            <w:vAlign w:val="bottom"/>
          </w:tcPr>
          <w:p w14:paraId="20AE079B" w14:textId="77777777" w:rsidR="00B626E7" w:rsidRDefault="00175C1D">
            <w:pPr>
              <w:textAlignment w:val="bottom"/>
            </w:pPr>
            <w:r>
              <w:rPr>
                <w:rFonts w:ascii="Arial" w:eastAsia="宋体" w:hAnsi="Arial" w:cs="Arial"/>
                <w:b/>
                <w:bCs/>
                <w:color w:val="333333"/>
                <w:sz w:val="18"/>
                <w:szCs w:val="18"/>
              </w:rPr>
              <w:t>Balance as of June 29, 2019</w:t>
            </w:r>
          </w:p>
        </w:tc>
        <w:tc>
          <w:tcPr>
            <w:tcW w:w="0" w:type="auto"/>
            <w:gridSpan w:val="3"/>
            <w:shd w:val="clear" w:color="auto" w:fill="auto"/>
            <w:tcMar>
              <w:left w:w="20" w:type="dxa"/>
              <w:right w:w="20" w:type="dxa"/>
            </w:tcMar>
            <w:vAlign w:val="bottom"/>
          </w:tcPr>
          <w:p w14:paraId="20AE079C" w14:textId="77777777" w:rsidR="00B626E7" w:rsidRDefault="00B626E7">
            <w:pPr>
              <w:rPr>
                <w:rFonts w:ascii="宋体"/>
              </w:rPr>
            </w:pPr>
          </w:p>
        </w:tc>
        <w:tc>
          <w:tcPr>
            <w:tcW w:w="0" w:type="auto"/>
            <w:gridSpan w:val="2"/>
            <w:tcBorders>
              <w:top w:val="single" w:sz="8" w:space="0" w:color="333333"/>
              <w:bottom w:val="double" w:sz="6" w:space="0" w:color="000000"/>
            </w:tcBorders>
            <w:shd w:val="clear" w:color="auto" w:fill="auto"/>
            <w:tcMar>
              <w:top w:w="40" w:type="dxa"/>
              <w:left w:w="20" w:type="dxa"/>
              <w:bottom w:w="40" w:type="dxa"/>
              <w:right w:w="0" w:type="dxa"/>
            </w:tcMar>
            <w:vAlign w:val="bottom"/>
          </w:tcPr>
          <w:p w14:paraId="20AE079D" w14:textId="77777777" w:rsidR="00B626E7" w:rsidRDefault="00175C1D">
            <w:pPr>
              <w:jc w:val="right"/>
              <w:textAlignment w:val="bottom"/>
            </w:pPr>
            <w:r>
              <w:rPr>
                <w:rFonts w:ascii="Arial" w:eastAsia="宋体" w:hAnsi="Arial" w:cs="Arial"/>
                <w:b/>
                <w:bCs/>
                <w:color w:val="333333"/>
                <w:sz w:val="18"/>
                <w:szCs w:val="18"/>
              </w:rPr>
              <w:t>4,430 </w:t>
            </w:r>
          </w:p>
        </w:tc>
        <w:tc>
          <w:tcPr>
            <w:tcW w:w="0" w:type="auto"/>
            <w:tcBorders>
              <w:top w:val="single" w:sz="8" w:space="0" w:color="333333"/>
              <w:bottom w:val="double" w:sz="6" w:space="0" w:color="000000"/>
            </w:tcBorders>
            <w:shd w:val="clear" w:color="auto" w:fill="auto"/>
            <w:tcMar>
              <w:top w:w="40" w:type="dxa"/>
              <w:bottom w:w="40" w:type="dxa"/>
              <w:right w:w="20" w:type="dxa"/>
            </w:tcMar>
            <w:vAlign w:val="bottom"/>
          </w:tcPr>
          <w:p w14:paraId="20AE079E"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079F" w14:textId="77777777" w:rsidR="00B626E7" w:rsidRDefault="00B626E7">
            <w:pPr>
              <w:rPr>
                <w:rFonts w:ascii="宋体"/>
              </w:rPr>
            </w:pPr>
          </w:p>
        </w:tc>
        <w:tc>
          <w:tcPr>
            <w:tcW w:w="0" w:type="auto"/>
            <w:tcBorders>
              <w:top w:val="single" w:sz="8" w:space="0" w:color="333333"/>
              <w:bottom w:val="double" w:sz="6" w:space="0" w:color="000000"/>
            </w:tcBorders>
            <w:shd w:val="clear" w:color="auto" w:fill="auto"/>
            <w:tcMar>
              <w:top w:w="40" w:type="dxa"/>
              <w:left w:w="20" w:type="dxa"/>
              <w:bottom w:w="40" w:type="dxa"/>
            </w:tcMar>
            <w:vAlign w:val="bottom"/>
          </w:tcPr>
          <w:p w14:paraId="20AE07A0"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000000"/>
            </w:tcBorders>
            <w:shd w:val="clear" w:color="auto" w:fill="auto"/>
            <w:tcMar>
              <w:top w:w="40" w:type="dxa"/>
              <w:bottom w:w="40" w:type="dxa"/>
              <w:right w:w="0" w:type="dxa"/>
            </w:tcMar>
            <w:vAlign w:val="bottom"/>
          </w:tcPr>
          <w:p w14:paraId="20AE07A1" w14:textId="77777777" w:rsidR="00B626E7" w:rsidRDefault="00175C1D">
            <w:pPr>
              <w:jc w:val="right"/>
              <w:textAlignment w:val="bottom"/>
            </w:pPr>
            <w:r>
              <w:rPr>
                <w:rFonts w:ascii="Arial" w:eastAsia="宋体" w:hAnsi="Arial" w:cs="Arial"/>
                <w:b/>
                <w:bCs/>
                <w:color w:val="333333"/>
                <w:sz w:val="18"/>
                <w:szCs w:val="18"/>
              </w:rPr>
              <w:t>25,140 </w:t>
            </w:r>
          </w:p>
        </w:tc>
        <w:tc>
          <w:tcPr>
            <w:tcW w:w="0" w:type="auto"/>
            <w:tcBorders>
              <w:top w:val="single" w:sz="8" w:space="0" w:color="333333"/>
              <w:bottom w:val="double" w:sz="6" w:space="0" w:color="000000"/>
            </w:tcBorders>
            <w:shd w:val="clear" w:color="auto" w:fill="auto"/>
            <w:tcMar>
              <w:top w:w="40" w:type="dxa"/>
              <w:bottom w:w="40" w:type="dxa"/>
              <w:right w:w="20" w:type="dxa"/>
            </w:tcMar>
            <w:vAlign w:val="bottom"/>
          </w:tcPr>
          <w:p w14:paraId="20AE07A2"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07A3" w14:textId="77777777" w:rsidR="00B626E7" w:rsidRDefault="00B626E7">
            <w:pPr>
              <w:rPr>
                <w:rFonts w:ascii="宋体"/>
              </w:rPr>
            </w:pPr>
          </w:p>
        </w:tc>
        <w:tc>
          <w:tcPr>
            <w:tcW w:w="0" w:type="auto"/>
            <w:tcBorders>
              <w:top w:val="single" w:sz="8" w:space="0" w:color="333333"/>
              <w:bottom w:val="double" w:sz="6" w:space="0" w:color="000000"/>
            </w:tcBorders>
            <w:shd w:val="clear" w:color="auto" w:fill="auto"/>
            <w:tcMar>
              <w:top w:w="40" w:type="dxa"/>
              <w:left w:w="20" w:type="dxa"/>
              <w:bottom w:w="40" w:type="dxa"/>
            </w:tcMar>
            <w:vAlign w:val="bottom"/>
          </w:tcPr>
          <w:p w14:paraId="20AE07A4"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000000"/>
            </w:tcBorders>
            <w:shd w:val="clear" w:color="auto" w:fill="auto"/>
            <w:tcMar>
              <w:top w:w="40" w:type="dxa"/>
              <w:bottom w:w="40" w:type="dxa"/>
              <w:right w:w="0" w:type="dxa"/>
            </w:tcMar>
            <w:vAlign w:val="bottom"/>
          </w:tcPr>
          <w:p w14:paraId="20AE07A5" w14:textId="77777777" w:rsidR="00B626E7" w:rsidRDefault="00175C1D">
            <w:pPr>
              <w:jc w:val="right"/>
              <w:textAlignment w:val="bottom"/>
            </w:pPr>
            <w:r>
              <w:rPr>
                <w:rFonts w:ascii="Arial" w:eastAsia="宋体" w:hAnsi="Arial" w:cs="Arial"/>
                <w:b/>
                <w:bCs/>
                <w:color w:val="333333"/>
                <w:sz w:val="18"/>
                <w:szCs w:val="18"/>
              </w:rPr>
              <w:t>(622)</w:t>
            </w:r>
          </w:p>
        </w:tc>
        <w:tc>
          <w:tcPr>
            <w:tcW w:w="0" w:type="auto"/>
            <w:tcBorders>
              <w:top w:val="single" w:sz="8" w:space="0" w:color="333333"/>
              <w:bottom w:val="double" w:sz="6" w:space="0" w:color="000000"/>
            </w:tcBorders>
            <w:shd w:val="clear" w:color="auto" w:fill="auto"/>
            <w:tcMar>
              <w:top w:w="40" w:type="dxa"/>
              <w:bottom w:w="40" w:type="dxa"/>
              <w:right w:w="20" w:type="dxa"/>
            </w:tcMar>
            <w:vAlign w:val="bottom"/>
          </w:tcPr>
          <w:p w14:paraId="20AE07A6"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07A7" w14:textId="77777777" w:rsidR="00B626E7" w:rsidRDefault="00B626E7">
            <w:pPr>
              <w:rPr>
                <w:rFonts w:ascii="宋体"/>
              </w:rPr>
            </w:pPr>
          </w:p>
        </w:tc>
        <w:tc>
          <w:tcPr>
            <w:tcW w:w="0" w:type="auto"/>
            <w:tcBorders>
              <w:top w:val="single" w:sz="8" w:space="0" w:color="333333"/>
              <w:bottom w:val="double" w:sz="6" w:space="0" w:color="000000"/>
            </w:tcBorders>
            <w:shd w:val="clear" w:color="auto" w:fill="auto"/>
            <w:tcMar>
              <w:top w:w="40" w:type="dxa"/>
              <w:left w:w="20" w:type="dxa"/>
              <w:bottom w:w="40" w:type="dxa"/>
            </w:tcMar>
            <w:vAlign w:val="bottom"/>
          </w:tcPr>
          <w:p w14:paraId="20AE07A8"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000000"/>
            </w:tcBorders>
            <w:shd w:val="clear" w:color="auto" w:fill="auto"/>
            <w:tcMar>
              <w:top w:w="40" w:type="dxa"/>
              <w:bottom w:w="40" w:type="dxa"/>
              <w:right w:w="0" w:type="dxa"/>
            </w:tcMar>
            <w:vAlign w:val="bottom"/>
          </w:tcPr>
          <w:p w14:paraId="20AE07A9" w14:textId="77777777" w:rsidR="00B626E7" w:rsidRDefault="00175C1D">
            <w:pPr>
              <w:jc w:val="right"/>
              <w:textAlignment w:val="bottom"/>
            </w:pPr>
            <w:r>
              <w:rPr>
                <w:rFonts w:ascii="Arial" w:eastAsia="宋体" w:hAnsi="Arial" w:cs="Arial"/>
                <w:b/>
                <w:bCs/>
                <w:color w:val="333333"/>
                <w:sz w:val="18"/>
                <w:szCs w:val="18"/>
              </w:rPr>
              <w:t>50,429 </w:t>
            </w:r>
          </w:p>
        </w:tc>
        <w:tc>
          <w:tcPr>
            <w:tcW w:w="0" w:type="auto"/>
            <w:tcBorders>
              <w:top w:val="single" w:sz="8" w:space="0" w:color="333333"/>
              <w:bottom w:val="double" w:sz="6" w:space="0" w:color="000000"/>
            </w:tcBorders>
            <w:shd w:val="clear" w:color="auto" w:fill="auto"/>
            <w:tcMar>
              <w:top w:w="40" w:type="dxa"/>
              <w:bottom w:w="40" w:type="dxa"/>
              <w:right w:w="20" w:type="dxa"/>
            </w:tcMar>
            <w:vAlign w:val="bottom"/>
          </w:tcPr>
          <w:p w14:paraId="20AE07AA"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07AB" w14:textId="77777777" w:rsidR="00B626E7" w:rsidRDefault="00B626E7">
            <w:pPr>
              <w:rPr>
                <w:rFonts w:ascii="宋体"/>
              </w:rPr>
            </w:pPr>
          </w:p>
        </w:tc>
        <w:tc>
          <w:tcPr>
            <w:tcW w:w="0" w:type="auto"/>
            <w:tcBorders>
              <w:top w:val="single" w:sz="8" w:space="0" w:color="333333"/>
              <w:bottom w:val="double" w:sz="6" w:space="0" w:color="000000"/>
            </w:tcBorders>
            <w:shd w:val="clear" w:color="auto" w:fill="auto"/>
            <w:tcMar>
              <w:top w:w="40" w:type="dxa"/>
              <w:left w:w="20" w:type="dxa"/>
              <w:bottom w:w="40" w:type="dxa"/>
            </w:tcMar>
            <w:vAlign w:val="bottom"/>
          </w:tcPr>
          <w:p w14:paraId="20AE07AC"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000000"/>
            </w:tcBorders>
            <w:shd w:val="clear" w:color="auto" w:fill="auto"/>
            <w:tcMar>
              <w:top w:w="40" w:type="dxa"/>
              <w:bottom w:w="40" w:type="dxa"/>
              <w:right w:w="0" w:type="dxa"/>
            </w:tcMar>
            <w:vAlign w:val="bottom"/>
          </w:tcPr>
          <w:p w14:paraId="20AE07AD" w14:textId="77777777" w:rsidR="00B626E7" w:rsidRDefault="00175C1D">
            <w:pPr>
              <w:jc w:val="right"/>
              <w:textAlignment w:val="bottom"/>
            </w:pPr>
            <w:r>
              <w:rPr>
                <w:rFonts w:ascii="Arial" w:eastAsia="宋体" w:hAnsi="Arial" w:cs="Arial"/>
                <w:b/>
                <w:bCs/>
                <w:color w:val="333333"/>
                <w:sz w:val="18"/>
                <w:szCs w:val="18"/>
              </w:rPr>
              <w:t>74,947 </w:t>
            </w:r>
          </w:p>
        </w:tc>
        <w:tc>
          <w:tcPr>
            <w:tcW w:w="0" w:type="auto"/>
            <w:tcBorders>
              <w:top w:val="single" w:sz="8" w:space="0" w:color="333333"/>
              <w:bottom w:val="double" w:sz="6" w:space="0" w:color="000000"/>
            </w:tcBorders>
            <w:shd w:val="clear" w:color="auto" w:fill="auto"/>
            <w:tcMar>
              <w:top w:w="40" w:type="dxa"/>
              <w:bottom w:w="40" w:type="dxa"/>
              <w:right w:w="20" w:type="dxa"/>
            </w:tcMar>
            <w:vAlign w:val="bottom"/>
          </w:tcPr>
          <w:p w14:paraId="20AE07AE"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E07AF" w14:textId="77777777" w:rsidR="00B626E7" w:rsidRDefault="00B626E7">
            <w:pPr>
              <w:rPr>
                <w:rFonts w:ascii="宋体"/>
              </w:rPr>
            </w:pPr>
          </w:p>
        </w:tc>
        <w:tc>
          <w:tcPr>
            <w:tcW w:w="0" w:type="auto"/>
            <w:shd w:val="clear" w:color="auto" w:fill="auto"/>
          </w:tcPr>
          <w:p w14:paraId="20AE07B0" w14:textId="77777777" w:rsidR="00B626E7" w:rsidRDefault="00B626E7">
            <w:pPr>
              <w:rPr>
                <w:rFonts w:ascii="宋体"/>
              </w:rPr>
            </w:pPr>
          </w:p>
        </w:tc>
        <w:tc>
          <w:tcPr>
            <w:tcW w:w="0" w:type="auto"/>
            <w:shd w:val="clear" w:color="auto" w:fill="auto"/>
          </w:tcPr>
          <w:p w14:paraId="20AE07B1" w14:textId="77777777" w:rsidR="00B626E7" w:rsidRDefault="00B626E7">
            <w:pPr>
              <w:rPr>
                <w:rFonts w:ascii="宋体"/>
              </w:rPr>
            </w:pPr>
          </w:p>
        </w:tc>
        <w:tc>
          <w:tcPr>
            <w:tcW w:w="0" w:type="auto"/>
            <w:shd w:val="clear" w:color="auto" w:fill="auto"/>
          </w:tcPr>
          <w:p w14:paraId="20AE07B2" w14:textId="77777777" w:rsidR="00B626E7" w:rsidRDefault="00B626E7">
            <w:pPr>
              <w:rPr>
                <w:rFonts w:ascii="宋体"/>
              </w:rPr>
            </w:pPr>
          </w:p>
        </w:tc>
        <w:tc>
          <w:tcPr>
            <w:tcW w:w="0" w:type="auto"/>
            <w:shd w:val="clear" w:color="auto" w:fill="auto"/>
          </w:tcPr>
          <w:p w14:paraId="20AE07B3" w14:textId="77777777" w:rsidR="00B626E7" w:rsidRDefault="00B626E7">
            <w:pPr>
              <w:rPr>
                <w:rFonts w:ascii="宋体"/>
              </w:rPr>
            </w:pPr>
          </w:p>
        </w:tc>
        <w:tc>
          <w:tcPr>
            <w:tcW w:w="0" w:type="auto"/>
            <w:shd w:val="clear" w:color="auto" w:fill="auto"/>
          </w:tcPr>
          <w:p w14:paraId="20AE07B4" w14:textId="77777777" w:rsidR="00B626E7" w:rsidRDefault="00B626E7">
            <w:pPr>
              <w:rPr>
                <w:rFonts w:ascii="宋体"/>
              </w:rPr>
            </w:pPr>
          </w:p>
        </w:tc>
        <w:tc>
          <w:tcPr>
            <w:tcW w:w="0" w:type="auto"/>
            <w:shd w:val="clear" w:color="auto" w:fill="auto"/>
          </w:tcPr>
          <w:p w14:paraId="20AE07B5" w14:textId="77777777" w:rsidR="00B626E7" w:rsidRDefault="00B626E7">
            <w:pPr>
              <w:rPr>
                <w:rFonts w:ascii="宋体"/>
              </w:rPr>
            </w:pPr>
          </w:p>
        </w:tc>
        <w:tc>
          <w:tcPr>
            <w:tcW w:w="0" w:type="auto"/>
            <w:shd w:val="clear" w:color="auto" w:fill="auto"/>
          </w:tcPr>
          <w:p w14:paraId="20AE07B6" w14:textId="77777777" w:rsidR="00B626E7" w:rsidRDefault="00B626E7">
            <w:pPr>
              <w:rPr>
                <w:rFonts w:ascii="宋体"/>
              </w:rPr>
            </w:pPr>
          </w:p>
        </w:tc>
        <w:tc>
          <w:tcPr>
            <w:tcW w:w="0" w:type="auto"/>
            <w:shd w:val="clear" w:color="auto" w:fill="auto"/>
          </w:tcPr>
          <w:p w14:paraId="20AE07B7" w14:textId="77777777" w:rsidR="00B626E7" w:rsidRDefault="00B626E7">
            <w:pPr>
              <w:rPr>
                <w:rFonts w:ascii="宋体"/>
              </w:rPr>
            </w:pPr>
          </w:p>
        </w:tc>
      </w:tr>
    </w:tbl>
    <w:p w14:paraId="20AE07B9" w14:textId="77777777" w:rsidR="00B626E7" w:rsidRDefault="00175C1D">
      <w:pPr>
        <w:spacing w:after="180"/>
        <w:ind w:hanging="180"/>
      </w:pPr>
      <w:r>
        <w:rPr>
          <w:rFonts w:ascii="Arial" w:eastAsia="宋体" w:hAnsi="Arial" w:cs="Arial"/>
          <w:i/>
          <w:iCs/>
          <w:color w:val="333333"/>
          <w:sz w:val="16"/>
          <w:szCs w:val="16"/>
        </w:rPr>
        <w:t>See accompanying notes.</w:t>
      </w:r>
    </w:p>
    <w:tbl>
      <w:tblPr>
        <w:tblW w:w="5000" w:type="pct"/>
        <w:tblCellMar>
          <w:top w:w="15" w:type="dxa"/>
          <w:left w:w="15" w:type="dxa"/>
          <w:bottom w:w="15" w:type="dxa"/>
          <w:right w:w="15" w:type="dxa"/>
        </w:tblCellMar>
        <w:tblLook w:val="04A0" w:firstRow="1" w:lastRow="0" w:firstColumn="1" w:lastColumn="0" w:noHBand="0" w:noVBand="1"/>
      </w:tblPr>
      <w:tblGrid>
        <w:gridCol w:w="84"/>
        <w:gridCol w:w="2423"/>
        <w:gridCol w:w="84"/>
        <w:gridCol w:w="83"/>
        <w:gridCol w:w="3471"/>
        <w:gridCol w:w="83"/>
        <w:gridCol w:w="83"/>
        <w:gridCol w:w="1942"/>
        <w:gridCol w:w="83"/>
      </w:tblGrid>
      <w:tr w:rsidR="00B626E7" w14:paraId="20AE07C3" w14:textId="77777777">
        <w:tc>
          <w:tcPr>
            <w:tcW w:w="50" w:type="pct"/>
            <w:shd w:val="clear" w:color="auto" w:fill="auto"/>
            <w:vAlign w:val="bottom"/>
          </w:tcPr>
          <w:p w14:paraId="20AE07BA" w14:textId="77777777" w:rsidR="00B626E7" w:rsidRDefault="00B626E7">
            <w:pPr>
              <w:rPr>
                <w:rFonts w:ascii="宋体"/>
              </w:rPr>
            </w:pPr>
          </w:p>
        </w:tc>
        <w:tc>
          <w:tcPr>
            <w:tcW w:w="1452" w:type="pct"/>
            <w:shd w:val="clear" w:color="auto" w:fill="auto"/>
            <w:vAlign w:val="bottom"/>
          </w:tcPr>
          <w:p w14:paraId="20AE07BB" w14:textId="77777777" w:rsidR="00B626E7" w:rsidRDefault="00B626E7">
            <w:pPr>
              <w:rPr>
                <w:rFonts w:ascii="宋体"/>
              </w:rPr>
            </w:pPr>
          </w:p>
        </w:tc>
        <w:tc>
          <w:tcPr>
            <w:tcW w:w="50" w:type="pct"/>
            <w:shd w:val="clear" w:color="auto" w:fill="auto"/>
            <w:vAlign w:val="bottom"/>
          </w:tcPr>
          <w:p w14:paraId="20AE07BC" w14:textId="77777777" w:rsidR="00B626E7" w:rsidRDefault="00B626E7">
            <w:pPr>
              <w:rPr>
                <w:rFonts w:ascii="宋体"/>
              </w:rPr>
            </w:pPr>
          </w:p>
        </w:tc>
        <w:tc>
          <w:tcPr>
            <w:tcW w:w="50" w:type="pct"/>
            <w:shd w:val="clear" w:color="auto" w:fill="auto"/>
            <w:vAlign w:val="bottom"/>
          </w:tcPr>
          <w:p w14:paraId="20AE07BD" w14:textId="77777777" w:rsidR="00B626E7" w:rsidRDefault="00B626E7">
            <w:pPr>
              <w:rPr>
                <w:rFonts w:ascii="宋体"/>
              </w:rPr>
            </w:pPr>
          </w:p>
        </w:tc>
        <w:tc>
          <w:tcPr>
            <w:tcW w:w="2081" w:type="pct"/>
            <w:shd w:val="clear" w:color="auto" w:fill="auto"/>
            <w:vAlign w:val="bottom"/>
          </w:tcPr>
          <w:p w14:paraId="20AE07BE" w14:textId="77777777" w:rsidR="00B626E7" w:rsidRDefault="00B626E7">
            <w:pPr>
              <w:rPr>
                <w:rFonts w:ascii="宋体"/>
              </w:rPr>
            </w:pPr>
          </w:p>
        </w:tc>
        <w:tc>
          <w:tcPr>
            <w:tcW w:w="50" w:type="pct"/>
            <w:shd w:val="clear" w:color="auto" w:fill="auto"/>
            <w:vAlign w:val="bottom"/>
          </w:tcPr>
          <w:p w14:paraId="20AE07BF" w14:textId="77777777" w:rsidR="00B626E7" w:rsidRDefault="00B626E7">
            <w:pPr>
              <w:rPr>
                <w:rFonts w:ascii="宋体"/>
              </w:rPr>
            </w:pPr>
          </w:p>
        </w:tc>
        <w:tc>
          <w:tcPr>
            <w:tcW w:w="50" w:type="pct"/>
            <w:shd w:val="clear" w:color="auto" w:fill="auto"/>
            <w:vAlign w:val="bottom"/>
          </w:tcPr>
          <w:p w14:paraId="20AE07C0" w14:textId="77777777" w:rsidR="00B626E7" w:rsidRDefault="00B626E7">
            <w:pPr>
              <w:rPr>
                <w:rFonts w:ascii="宋体"/>
              </w:rPr>
            </w:pPr>
          </w:p>
        </w:tc>
        <w:tc>
          <w:tcPr>
            <w:tcW w:w="1165" w:type="pct"/>
            <w:shd w:val="clear" w:color="auto" w:fill="auto"/>
            <w:vAlign w:val="bottom"/>
          </w:tcPr>
          <w:p w14:paraId="20AE07C1" w14:textId="77777777" w:rsidR="00B626E7" w:rsidRDefault="00B626E7">
            <w:pPr>
              <w:rPr>
                <w:rFonts w:ascii="宋体"/>
              </w:rPr>
            </w:pPr>
          </w:p>
        </w:tc>
        <w:tc>
          <w:tcPr>
            <w:tcW w:w="50" w:type="pct"/>
            <w:shd w:val="clear" w:color="auto" w:fill="auto"/>
            <w:vAlign w:val="bottom"/>
          </w:tcPr>
          <w:p w14:paraId="20AE07C2" w14:textId="77777777" w:rsidR="00B626E7" w:rsidRDefault="00B626E7">
            <w:pPr>
              <w:rPr>
                <w:rFonts w:ascii="宋体"/>
              </w:rPr>
            </w:pPr>
          </w:p>
        </w:tc>
      </w:tr>
      <w:tr w:rsidR="00B626E7" w14:paraId="20AE07C7" w14:textId="77777777">
        <w:tc>
          <w:tcPr>
            <w:tcW w:w="0" w:type="auto"/>
            <w:gridSpan w:val="3"/>
            <w:tcBorders>
              <w:top w:val="single" w:sz="8" w:space="0" w:color="0071C5"/>
            </w:tcBorders>
            <w:shd w:val="clear" w:color="auto" w:fill="auto"/>
            <w:tcMar>
              <w:top w:w="40" w:type="dxa"/>
              <w:left w:w="20" w:type="dxa"/>
              <w:bottom w:w="40" w:type="dxa"/>
              <w:right w:w="20" w:type="dxa"/>
            </w:tcMar>
            <w:vAlign w:val="center"/>
          </w:tcPr>
          <w:p w14:paraId="20AE07C4" w14:textId="77777777" w:rsidR="00B626E7" w:rsidRDefault="00175C1D">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Viewer10_files/intc-20200627_g14.jpg"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32" wp14:editId="20AE3C33">
                  <wp:extent cx="304800" cy="304800"/>
                  <wp:effectExtent l="0" t="0" r="0" b="0"/>
                  <wp:docPr id="22" name="图片 57"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7" descr="IMG_26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Arial" w:eastAsia="宋体" w:hAnsi="Arial" w:cs="Arial"/>
                <w:color w:val="333333"/>
                <w:sz w:val="16"/>
                <w:szCs w:val="16"/>
              </w:rPr>
              <w:t>FINANCIAL STATEMENTS</w:t>
            </w:r>
          </w:p>
        </w:tc>
        <w:tc>
          <w:tcPr>
            <w:tcW w:w="0" w:type="auto"/>
            <w:gridSpan w:val="3"/>
            <w:tcBorders>
              <w:top w:val="single" w:sz="8" w:space="0" w:color="0071C5"/>
              <w:left w:val="single" w:sz="24" w:space="0" w:color="0071C5"/>
            </w:tcBorders>
            <w:shd w:val="clear" w:color="auto" w:fill="auto"/>
            <w:tcMar>
              <w:top w:w="40" w:type="dxa"/>
              <w:left w:w="20" w:type="dxa"/>
              <w:bottom w:w="40" w:type="dxa"/>
              <w:right w:w="20" w:type="dxa"/>
            </w:tcMar>
            <w:vAlign w:val="bottom"/>
          </w:tcPr>
          <w:p w14:paraId="20AE07C5" w14:textId="77777777" w:rsidR="00B626E7" w:rsidRDefault="00175C1D">
            <w:pPr>
              <w:textAlignment w:val="bottom"/>
            </w:pPr>
            <w:r>
              <w:rPr>
                <w:rFonts w:ascii="Arial" w:eastAsia="宋体" w:hAnsi="Arial" w:cs="Arial"/>
                <w:color w:val="333333"/>
                <w:sz w:val="16"/>
                <w:szCs w:val="16"/>
              </w:rPr>
              <w:t>  Consolidated Condensed Statements of Stockholders' Equity</w:t>
            </w: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07C6" w14:textId="77777777" w:rsidR="00B626E7" w:rsidRDefault="00175C1D">
            <w:pPr>
              <w:jc w:val="right"/>
              <w:textAlignment w:val="bottom"/>
            </w:pPr>
            <w:r>
              <w:rPr>
                <w:rFonts w:ascii="Arial" w:eastAsia="宋体" w:hAnsi="Arial" w:cs="Arial"/>
                <w:color w:val="333333"/>
                <w:sz w:val="16"/>
                <w:szCs w:val="16"/>
              </w:rPr>
              <w:t>9</w:t>
            </w:r>
          </w:p>
        </w:tc>
      </w:tr>
    </w:tbl>
    <w:p w14:paraId="20AE07C8" w14:textId="77777777" w:rsidR="00B626E7" w:rsidRDefault="00175C1D">
      <w:r>
        <w:pict w14:anchorId="20AE3C34">
          <v:rect id="_x0000_i1035" style="width:415.3pt;height:1.5pt" o:hralign="center" o:hrstd="t" o:hr="t" fillcolor="#a0a0a0" stroked="f"/>
        </w:pict>
      </w:r>
    </w:p>
    <w:p w14:paraId="20AE07C9" w14:textId="77777777" w:rsidR="00B626E7" w:rsidRDefault="00175C1D">
      <w:pPr>
        <w:spacing w:after="180"/>
        <w:jc w:val="right"/>
      </w:pPr>
      <w:hyperlink r:id="rId37" w:anchor="ib035cc8759904e51927d703ec8414366_7" w:history="1">
        <w:r>
          <w:rPr>
            <w:rStyle w:val="a5"/>
            <w:rFonts w:ascii="Arial" w:eastAsia="宋体" w:hAnsi="Arial" w:cs="Arial"/>
            <w:b/>
            <w:bCs/>
            <w:sz w:val="16"/>
            <w:szCs w:val="16"/>
          </w:rPr>
          <w:t>Table of Contents</w:t>
        </w:r>
      </w:hyperlink>
    </w:p>
    <w:p w14:paraId="20AE07CA" w14:textId="77777777" w:rsidR="00B626E7" w:rsidRDefault="00B626E7">
      <w:pPr>
        <w:spacing w:after="180"/>
        <w:jc w:val="right"/>
      </w:pPr>
    </w:p>
    <w:tbl>
      <w:tblPr>
        <w:tblW w:w="5000" w:type="pct"/>
        <w:jc w:val="center"/>
        <w:tblCellMar>
          <w:top w:w="15" w:type="dxa"/>
          <w:left w:w="15" w:type="dxa"/>
          <w:bottom w:w="15" w:type="dxa"/>
          <w:right w:w="15" w:type="dxa"/>
        </w:tblCellMar>
        <w:tblLook w:val="04A0" w:firstRow="1" w:lastRow="0" w:firstColumn="1" w:lastColumn="0" w:noHBand="0" w:noVBand="1"/>
      </w:tblPr>
      <w:tblGrid>
        <w:gridCol w:w="84"/>
        <w:gridCol w:w="8169"/>
        <w:gridCol w:w="83"/>
      </w:tblGrid>
      <w:tr w:rsidR="00B626E7" w14:paraId="20AE07CE" w14:textId="77777777">
        <w:trPr>
          <w:jc w:val="center"/>
        </w:trPr>
        <w:tc>
          <w:tcPr>
            <w:tcW w:w="50" w:type="pct"/>
            <w:shd w:val="clear" w:color="auto" w:fill="auto"/>
          </w:tcPr>
          <w:p w14:paraId="20AE07CB" w14:textId="77777777" w:rsidR="00B626E7" w:rsidRDefault="00B626E7">
            <w:pPr>
              <w:rPr>
                <w:rFonts w:ascii="宋体"/>
              </w:rPr>
            </w:pPr>
          </w:p>
        </w:tc>
        <w:tc>
          <w:tcPr>
            <w:tcW w:w="4900" w:type="pct"/>
            <w:shd w:val="clear" w:color="auto" w:fill="auto"/>
          </w:tcPr>
          <w:p w14:paraId="20AE07CC" w14:textId="77777777" w:rsidR="00B626E7" w:rsidRDefault="00B626E7">
            <w:pPr>
              <w:rPr>
                <w:rFonts w:ascii="宋体"/>
              </w:rPr>
            </w:pPr>
          </w:p>
        </w:tc>
        <w:tc>
          <w:tcPr>
            <w:tcW w:w="50" w:type="pct"/>
            <w:shd w:val="clear" w:color="auto" w:fill="auto"/>
          </w:tcPr>
          <w:p w14:paraId="20AE07CD" w14:textId="77777777" w:rsidR="00B626E7" w:rsidRDefault="00B626E7">
            <w:pPr>
              <w:rPr>
                <w:rFonts w:ascii="宋体"/>
              </w:rPr>
            </w:pPr>
          </w:p>
        </w:tc>
      </w:tr>
      <w:tr w:rsidR="00B626E7" w14:paraId="20AE07D0" w14:textId="77777777">
        <w:trPr>
          <w:jc w:val="center"/>
        </w:trPr>
        <w:tc>
          <w:tcPr>
            <w:tcW w:w="0" w:type="auto"/>
            <w:gridSpan w:val="3"/>
            <w:shd w:val="clear" w:color="auto" w:fill="0071C5"/>
            <w:tcMar>
              <w:top w:w="40" w:type="dxa"/>
              <w:left w:w="20" w:type="dxa"/>
              <w:bottom w:w="40" w:type="dxa"/>
              <w:right w:w="20" w:type="dxa"/>
            </w:tcMar>
            <w:vAlign w:val="bottom"/>
          </w:tcPr>
          <w:p w14:paraId="20AE07CF" w14:textId="77777777" w:rsidR="00B626E7" w:rsidRDefault="00175C1D">
            <w:pPr>
              <w:textAlignment w:val="bottom"/>
            </w:pPr>
            <w:r>
              <w:rPr>
                <w:rFonts w:ascii="Arial" w:eastAsia="宋体" w:hAnsi="Arial" w:cs="Arial"/>
                <w:b/>
                <w:bCs/>
                <w:color w:val="FFFFFF"/>
                <w:sz w:val="28"/>
                <w:szCs w:val="28"/>
              </w:rPr>
              <w:t xml:space="preserve">NOTES TO CONSOLIDATED CONDENSED FINANCIAL STATEMENTS </w:t>
            </w:r>
          </w:p>
        </w:tc>
      </w:tr>
    </w:tbl>
    <w:p w14:paraId="20AE07D1" w14:textId="77777777" w:rsidR="00B626E7" w:rsidRDefault="00B626E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84"/>
        <w:gridCol w:w="937"/>
        <w:gridCol w:w="83"/>
        <w:gridCol w:w="83"/>
        <w:gridCol w:w="7066"/>
        <w:gridCol w:w="83"/>
      </w:tblGrid>
      <w:tr w:rsidR="00B626E7" w14:paraId="20AE07D8" w14:textId="77777777">
        <w:tc>
          <w:tcPr>
            <w:tcW w:w="50" w:type="pct"/>
            <w:shd w:val="clear" w:color="auto" w:fill="auto"/>
          </w:tcPr>
          <w:p w14:paraId="20AE07D2" w14:textId="77777777" w:rsidR="00B626E7" w:rsidRDefault="00B626E7">
            <w:pPr>
              <w:rPr>
                <w:rFonts w:ascii="宋体"/>
              </w:rPr>
            </w:pPr>
          </w:p>
        </w:tc>
        <w:tc>
          <w:tcPr>
            <w:tcW w:w="562" w:type="pct"/>
            <w:shd w:val="clear" w:color="auto" w:fill="auto"/>
          </w:tcPr>
          <w:p w14:paraId="20AE07D3" w14:textId="77777777" w:rsidR="00B626E7" w:rsidRDefault="00B626E7">
            <w:pPr>
              <w:rPr>
                <w:rFonts w:ascii="宋体"/>
              </w:rPr>
            </w:pPr>
          </w:p>
        </w:tc>
        <w:tc>
          <w:tcPr>
            <w:tcW w:w="50" w:type="pct"/>
            <w:shd w:val="clear" w:color="auto" w:fill="auto"/>
          </w:tcPr>
          <w:p w14:paraId="20AE07D4" w14:textId="77777777" w:rsidR="00B626E7" w:rsidRDefault="00B626E7">
            <w:pPr>
              <w:rPr>
                <w:rFonts w:ascii="宋体"/>
              </w:rPr>
            </w:pPr>
          </w:p>
        </w:tc>
        <w:tc>
          <w:tcPr>
            <w:tcW w:w="50" w:type="pct"/>
            <w:shd w:val="clear" w:color="auto" w:fill="auto"/>
          </w:tcPr>
          <w:p w14:paraId="20AE07D5" w14:textId="77777777" w:rsidR="00B626E7" w:rsidRDefault="00B626E7">
            <w:pPr>
              <w:rPr>
                <w:rFonts w:ascii="宋体"/>
              </w:rPr>
            </w:pPr>
          </w:p>
        </w:tc>
        <w:tc>
          <w:tcPr>
            <w:tcW w:w="4237" w:type="pct"/>
            <w:shd w:val="clear" w:color="auto" w:fill="auto"/>
          </w:tcPr>
          <w:p w14:paraId="20AE07D6" w14:textId="77777777" w:rsidR="00B626E7" w:rsidRDefault="00B626E7">
            <w:pPr>
              <w:rPr>
                <w:rFonts w:ascii="宋体"/>
              </w:rPr>
            </w:pPr>
          </w:p>
        </w:tc>
        <w:tc>
          <w:tcPr>
            <w:tcW w:w="50" w:type="pct"/>
            <w:shd w:val="clear" w:color="auto" w:fill="auto"/>
          </w:tcPr>
          <w:p w14:paraId="20AE07D7" w14:textId="77777777" w:rsidR="00B626E7" w:rsidRDefault="00B626E7">
            <w:pPr>
              <w:rPr>
                <w:rFonts w:ascii="宋体"/>
              </w:rPr>
            </w:pPr>
          </w:p>
        </w:tc>
      </w:tr>
      <w:tr w:rsidR="00B626E7" w14:paraId="20AE07DB" w14:textId="77777777">
        <w:tc>
          <w:tcPr>
            <w:tcW w:w="0" w:type="auto"/>
            <w:gridSpan w:val="3"/>
            <w:tcBorders>
              <w:bottom w:val="single" w:sz="8" w:space="0" w:color="0071C5"/>
            </w:tcBorders>
            <w:shd w:val="clear" w:color="auto" w:fill="0071C5"/>
            <w:tcMar>
              <w:top w:w="40" w:type="dxa"/>
              <w:left w:w="20" w:type="dxa"/>
              <w:bottom w:w="40" w:type="dxa"/>
              <w:right w:w="20" w:type="dxa"/>
            </w:tcMar>
            <w:vAlign w:val="bottom"/>
          </w:tcPr>
          <w:p w14:paraId="20AE07D9" w14:textId="77777777" w:rsidR="00B626E7" w:rsidRDefault="00175C1D">
            <w:pPr>
              <w:textAlignment w:val="bottom"/>
            </w:pPr>
            <w:r>
              <w:rPr>
                <w:rFonts w:ascii="Arial" w:eastAsia="宋体" w:hAnsi="Arial" w:cs="Arial"/>
                <w:b/>
                <w:bCs/>
                <w:color w:val="FFFFFF"/>
                <w:sz w:val="28"/>
                <w:szCs w:val="28"/>
              </w:rPr>
              <w:t xml:space="preserve">NOTE 1 : </w:t>
            </w:r>
          </w:p>
        </w:tc>
        <w:tc>
          <w:tcPr>
            <w:tcW w:w="0" w:type="auto"/>
            <w:gridSpan w:val="3"/>
            <w:tcBorders>
              <w:bottom w:val="single" w:sz="8" w:space="0" w:color="0071C5"/>
            </w:tcBorders>
            <w:shd w:val="clear" w:color="auto" w:fill="auto"/>
            <w:tcMar>
              <w:top w:w="40" w:type="dxa"/>
              <w:left w:w="20" w:type="dxa"/>
              <w:bottom w:w="40" w:type="dxa"/>
              <w:right w:w="20" w:type="dxa"/>
            </w:tcMar>
            <w:vAlign w:val="bottom"/>
          </w:tcPr>
          <w:p w14:paraId="20AE07DA" w14:textId="77777777" w:rsidR="00B626E7" w:rsidRDefault="00175C1D">
            <w:pPr>
              <w:textAlignment w:val="bottom"/>
            </w:pPr>
            <w:r>
              <w:rPr>
                <w:rFonts w:ascii="Arial" w:eastAsia="宋体" w:hAnsi="Arial" w:cs="Arial"/>
                <w:b/>
                <w:bCs/>
                <w:color w:val="0071C5"/>
                <w:sz w:val="28"/>
                <w:szCs w:val="28"/>
              </w:rPr>
              <w:t>BASIS OF PRESENTATION</w:t>
            </w:r>
          </w:p>
        </w:tc>
      </w:tr>
    </w:tbl>
    <w:p w14:paraId="20AE07DC" w14:textId="77777777" w:rsidR="00B626E7" w:rsidRDefault="00175C1D">
      <w:pPr>
        <w:spacing w:after="180"/>
      </w:pPr>
      <w:r>
        <w:rPr>
          <w:rFonts w:ascii="Arial" w:eastAsia="宋体" w:hAnsi="Arial" w:cs="Arial"/>
          <w:color w:val="333333"/>
          <w:sz w:val="18"/>
          <w:szCs w:val="18"/>
        </w:rPr>
        <w:t xml:space="preserve">We prepared our interim Consolidated Condensed Financial Statements that accompany these notes in conformity with U.S. GAAP, consistent in all material </w:t>
      </w:r>
      <w:r>
        <w:rPr>
          <w:rFonts w:ascii="Arial" w:eastAsia="宋体" w:hAnsi="Arial" w:cs="Arial"/>
          <w:color w:val="333333"/>
          <w:sz w:val="18"/>
          <w:szCs w:val="18"/>
        </w:rPr>
        <w:t>respects with those applied in our 2019 Form 10-K.</w:t>
      </w:r>
    </w:p>
    <w:p w14:paraId="20AE07DD" w14:textId="77777777" w:rsidR="00B626E7" w:rsidRDefault="00175C1D">
      <w:pPr>
        <w:spacing w:after="180"/>
      </w:pPr>
      <w:r>
        <w:rPr>
          <w:rFonts w:ascii="Arial" w:eastAsia="宋体" w:hAnsi="Arial" w:cs="Arial"/>
          <w:color w:val="333333"/>
          <w:sz w:val="18"/>
          <w:szCs w:val="18"/>
        </w:rPr>
        <w:t>We have made estimates and judgments affecting the amounts reported in our Consolidated Condensed Financial Statements and the accompanying notes. The inputs into our judgments and estimates consider the e</w:t>
      </w:r>
      <w:r>
        <w:rPr>
          <w:rFonts w:ascii="Arial" w:eastAsia="宋体" w:hAnsi="Arial" w:cs="Arial"/>
          <w:color w:val="333333"/>
          <w:sz w:val="18"/>
          <w:szCs w:val="18"/>
        </w:rPr>
        <w:t xml:space="preserve">conomic implications of COVID-19 on our critical and significant accounting estimates. The actual results that we experience may differ materially from our estimates. The interim financial information is unaudited, and reflects all normal adjustments that </w:t>
      </w:r>
      <w:r>
        <w:rPr>
          <w:rFonts w:ascii="Arial" w:eastAsia="宋体" w:hAnsi="Arial" w:cs="Arial"/>
          <w:color w:val="333333"/>
          <w:sz w:val="18"/>
          <w:szCs w:val="18"/>
        </w:rPr>
        <w:t>are, in our opinion, necessary to provide a fair statement of results for the interim periods presented. This report should be read in conjunction with the Consolidated Financial Statements in our 2019 Form 10-K where we include additional information abou</w:t>
      </w:r>
      <w:r>
        <w:rPr>
          <w:rFonts w:ascii="Arial" w:eastAsia="宋体" w:hAnsi="Arial" w:cs="Arial"/>
          <w:color w:val="333333"/>
          <w:sz w:val="18"/>
          <w:szCs w:val="18"/>
        </w:rPr>
        <w:t>t our policies and the methods and assumptions used in our estimates.</w:t>
      </w:r>
    </w:p>
    <w:tbl>
      <w:tblPr>
        <w:tblW w:w="5000" w:type="pct"/>
        <w:tblCellMar>
          <w:top w:w="15" w:type="dxa"/>
          <w:left w:w="15" w:type="dxa"/>
          <w:bottom w:w="15" w:type="dxa"/>
          <w:right w:w="15" w:type="dxa"/>
        </w:tblCellMar>
        <w:tblLook w:val="04A0" w:firstRow="1" w:lastRow="0" w:firstColumn="1" w:lastColumn="0" w:noHBand="0" w:noVBand="1"/>
      </w:tblPr>
      <w:tblGrid>
        <w:gridCol w:w="84"/>
        <w:gridCol w:w="937"/>
        <w:gridCol w:w="83"/>
        <w:gridCol w:w="83"/>
        <w:gridCol w:w="7066"/>
        <w:gridCol w:w="83"/>
      </w:tblGrid>
      <w:tr w:rsidR="00B626E7" w14:paraId="20AE07E4" w14:textId="77777777">
        <w:tc>
          <w:tcPr>
            <w:tcW w:w="50" w:type="pct"/>
            <w:shd w:val="clear" w:color="auto" w:fill="auto"/>
          </w:tcPr>
          <w:p w14:paraId="20AE07DE" w14:textId="77777777" w:rsidR="00B626E7" w:rsidRDefault="00B626E7">
            <w:pPr>
              <w:rPr>
                <w:rFonts w:ascii="宋体"/>
              </w:rPr>
            </w:pPr>
          </w:p>
        </w:tc>
        <w:tc>
          <w:tcPr>
            <w:tcW w:w="562" w:type="pct"/>
            <w:shd w:val="clear" w:color="auto" w:fill="auto"/>
          </w:tcPr>
          <w:p w14:paraId="20AE07DF" w14:textId="77777777" w:rsidR="00B626E7" w:rsidRDefault="00B626E7">
            <w:pPr>
              <w:rPr>
                <w:rFonts w:ascii="宋体"/>
              </w:rPr>
            </w:pPr>
          </w:p>
        </w:tc>
        <w:tc>
          <w:tcPr>
            <w:tcW w:w="50" w:type="pct"/>
            <w:shd w:val="clear" w:color="auto" w:fill="auto"/>
          </w:tcPr>
          <w:p w14:paraId="20AE07E0" w14:textId="77777777" w:rsidR="00B626E7" w:rsidRDefault="00B626E7">
            <w:pPr>
              <w:rPr>
                <w:rFonts w:ascii="宋体"/>
              </w:rPr>
            </w:pPr>
          </w:p>
        </w:tc>
        <w:tc>
          <w:tcPr>
            <w:tcW w:w="50" w:type="pct"/>
            <w:shd w:val="clear" w:color="auto" w:fill="auto"/>
          </w:tcPr>
          <w:p w14:paraId="20AE07E1" w14:textId="77777777" w:rsidR="00B626E7" w:rsidRDefault="00B626E7">
            <w:pPr>
              <w:rPr>
                <w:rFonts w:ascii="宋体"/>
              </w:rPr>
            </w:pPr>
          </w:p>
        </w:tc>
        <w:tc>
          <w:tcPr>
            <w:tcW w:w="4237" w:type="pct"/>
            <w:shd w:val="clear" w:color="auto" w:fill="auto"/>
          </w:tcPr>
          <w:p w14:paraId="20AE07E2" w14:textId="77777777" w:rsidR="00B626E7" w:rsidRDefault="00B626E7">
            <w:pPr>
              <w:rPr>
                <w:rFonts w:ascii="宋体"/>
              </w:rPr>
            </w:pPr>
          </w:p>
        </w:tc>
        <w:tc>
          <w:tcPr>
            <w:tcW w:w="50" w:type="pct"/>
            <w:shd w:val="clear" w:color="auto" w:fill="auto"/>
          </w:tcPr>
          <w:p w14:paraId="20AE07E3" w14:textId="77777777" w:rsidR="00B626E7" w:rsidRDefault="00B626E7">
            <w:pPr>
              <w:rPr>
                <w:rFonts w:ascii="宋体"/>
              </w:rPr>
            </w:pPr>
          </w:p>
        </w:tc>
      </w:tr>
      <w:tr w:rsidR="00B626E7" w14:paraId="20AE07E7" w14:textId="77777777">
        <w:tc>
          <w:tcPr>
            <w:tcW w:w="0" w:type="auto"/>
            <w:gridSpan w:val="3"/>
            <w:tcBorders>
              <w:bottom w:val="single" w:sz="8" w:space="0" w:color="0071C5"/>
            </w:tcBorders>
            <w:shd w:val="clear" w:color="auto" w:fill="0071C5"/>
            <w:tcMar>
              <w:top w:w="40" w:type="dxa"/>
              <w:left w:w="20" w:type="dxa"/>
              <w:bottom w:w="40" w:type="dxa"/>
              <w:right w:w="20" w:type="dxa"/>
            </w:tcMar>
            <w:vAlign w:val="bottom"/>
          </w:tcPr>
          <w:p w14:paraId="20AE07E5" w14:textId="77777777" w:rsidR="00B626E7" w:rsidRDefault="00175C1D">
            <w:pPr>
              <w:textAlignment w:val="bottom"/>
            </w:pPr>
            <w:r>
              <w:rPr>
                <w:rFonts w:ascii="Arial" w:eastAsia="宋体" w:hAnsi="Arial" w:cs="Arial"/>
                <w:b/>
                <w:bCs/>
                <w:color w:val="FFFFFF"/>
                <w:sz w:val="28"/>
                <w:szCs w:val="28"/>
              </w:rPr>
              <w:t xml:space="preserve">NOTE 2 : </w:t>
            </w:r>
          </w:p>
        </w:tc>
        <w:tc>
          <w:tcPr>
            <w:tcW w:w="0" w:type="auto"/>
            <w:gridSpan w:val="3"/>
            <w:tcBorders>
              <w:bottom w:val="single" w:sz="8" w:space="0" w:color="0071C5"/>
            </w:tcBorders>
            <w:shd w:val="clear" w:color="auto" w:fill="auto"/>
            <w:tcMar>
              <w:top w:w="40" w:type="dxa"/>
              <w:left w:w="20" w:type="dxa"/>
              <w:bottom w:w="40" w:type="dxa"/>
              <w:right w:w="20" w:type="dxa"/>
            </w:tcMar>
            <w:vAlign w:val="bottom"/>
          </w:tcPr>
          <w:p w14:paraId="20AE07E6" w14:textId="77777777" w:rsidR="00B626E7" w:rsidRDefault="00175C1D">
            <w:pPr>
              <w:textAlignment w:val="bottom"/>
            </w:pPr>
            <w:r>
              <w:rPr>
                <w:rFonts w:ascii="Arial" w:eastAsia="宋体" w:hAnsi="Arial" w:cs="Arial"/>
                <w:b/>
                <w:bCs/>
                <w:color w:val="0071C5"/>
                <w:sz w:val="28"/>
                <w:szCs w:val="28"/>
              </w:rPr>
              <w:t>OPERATING SEGMENTS</w:t>
            </w:r>
          </w:p>
        </w:tc>
      </w:tr>
    </w:tbl>
    <w:p w14:paraId="20AE07E8" w14:textId="77777777" w:rsidR="00B626E7" w:rsidRDefault="00175C1D">
      <w:pPr>
        <w:spacing w:before="180" w:after="120"/>
      </w:pPr>
      <w:r>
        <w:rPr>
          <w:rFonts w:ascii="Arial" w:eastAsia="宋体" w:hAnsi="Arial" w:cs="Arial"/>
          <w:color w:val="333333"/>
          <w:sz w:val="18"/>
          <w:szCs w:val="18"/>
        </w:rPr>
        <w:t>We manage our business through the following operating segments:</w:t>
      </w:r>
    </w:p>
    <w:p w14:paraId="20AE07E9" w14:textId="77777777" w:rsidR="00B626E7" w:rsidRDefault="00175C1D">
      <w:pPr>
        <w:spacing w:after="60"/>
        <w:ind w:hanging="360"/>
      </w:pPr>
      <w:r>
        <w:rPr>
          <w:rFonts w:ascii="Arial" w:eastAsia="宋体" w:hAnsi="Arial" w:cs="Arial"/>
          <w:b/>
          <w:bCs/>
          <w:color w:val="0071C5"/>
          <w:sz w:val="20"/>
          <w:szCs w:val="20"/>
        </w:rPr>
        <w:t>•</w:t>
      </w:r>
      <w:r>
        <w:rPr>
          <w:rFonts w:ascii="Arial" w:eastAsia="宋体" w:hAnsi="Arial" w:cs="Arial"/>
          <w:color w:val="333333"/>
          <w:sz w:val="18"/>
          <w:szCs w:val="18"/>
        </w:rPr>
        <w:t>DCG</w:t>
      </w:r>
    </w:p>
    <w:p w14:paraId="20AE07EA" w14:textId="77777777" w:rsidR="00B626E7" w:rsidRDefault="00175C1D">
      <w:pPr>
        <w:spacing w:after="60"/>
        <w:ind w:hanging="360"/>
      </w:pPr>
      <w:r>
        <w:rPr>
          <w:rFonts w:ascii="Arial" w:eastAsia="宋体" w:hAnsi="Arial" w:cs="Arial"/>
          <w:b/>
          <w:bCs/>
          <w:color w:val="0071C5"/>
          <w:sz w:val="20"/>
          <w:szCs w:val="20"/>
        </w:rPr>
        <w:t>•</w:t>
      </w:r>
      <w:r>
        <w:rPr>
          <w:rFonts w:ascii="Arial" w:eastAsia="宋体" w:hAnsi="Arial" w:cs="Arial"/>
          <w:color w:val="333333"/>
          <w:sz w:val="18"/>
          <w:szCs w:val="18"/>
        </w:rPr>
        <w:t>IOTG</w:t>
      </w:r>
    </w:p>
    <w:p w14:paraId="20AE07EB" w14:textId="77777777" w:rsidR="00B626E7" w:rsidRDefault="00175C1D">
      <w:pPr>
        <w:spacing w:after="60"/>
        <w:ind w:hanging="360"/>
      </w:pPr>
      <w:r>
        <w:rPr>
          <w:rFonts w:ascii="Arial" w:eastAsia="宋体" w:hAnsi="Arial" w:cs="Arial"/>
          <w:b/>
          <w:bCs/>
          <w:color w:val="0071C5"/>
          <w:sz w:val="20"/>
          <w:szCs w:val="20"/>
        </w:rPr>
        <w:t>•</w:t>
      </w:r>
      <w:r>
        <w:rPr>
          <w:rFonts w:ascii="Arial" w:eastAsia="宋体" w:hAnsi="Arial" w:cs="Arial"/>
          <w:color w:val="333333"/>
          <w:sz w:val="18"/>
          <w:szCs w:val="18"/>
        </w:rPr>
        <w:t xml:space="preserve">Mobileye </w:t>
      </w:r>
    </w:p>
    <w:p w14:paraId="20AE07EC" w14:textId="77777777" w:rsidR="00B626E7" w:rsidRDefault="00175C1D">
      <w:pPr>
        <w:spacing w:after="60"/>
        <w:ind w:hanging="360"/>
      </w:pPr>
      <w:r>
        <w:rPr>
          <w:rFonts w:ascii="Arial" w:eastAsia="宋体" w:hAnsi="Arial" w:cs="Arial"/>
          <w:b/>
          <w:bCs/>
          <w:color w:val="0071C5"/>
          <w:sz w:val="20"/>
          <w:szCs w:val="20"/>
        </w:rPr>
        <w:t>•</w:t>
      </w:r>
      <w:r>
        <w:rPr>
          <w:rFonts w:ascii="Arial" w:eastAsia="宋体" w:hAnsi="Arial" w:cs="Arial"/>
          <w:color w:val="333333"/>
          <w:sz w:val="18"/>
          <w:szCs w:val="18"/>
        </w:rPr>
        <w:t>NSG</w:t>
      </w:r>
    </w:p>
    <w:p w14:paraId="20AE07ED" w14:textId="77777777" w:rsidR="00B626E7" w:rsidRDefault="00175C1D">
      <w:pPr>
        <w:spacing w:after="60"/>
        <w:ind w:hanging="360"/>
      </w:pPr>
      <w:r>
        <w:rPr>
          <w:rFonts w:ascii="Arial" w:eastAsia="宋体" w:hAnsi="Arial" w:cs="Arial"/>
          <w:b/>
          <w:bCs/>
          <w:color w:val="0071C5"/>
          <w:sz w:val="20"/>
          <w:szCs w:val="20"/>
        </w:rPr>
        <w:t>•</w:t>
      </w:r>
      <w:r>
        <w:rPr>
          <w:rFonts w:ascii="Arial" w:eastAsia="宋体" w:hAnsi="Arial" w:cs="Arial"/>
          <w:color w:val="333333"/>
          <w:sz w:val="18"/>
          <w:szCs w:val="18"/>
        </w:rPr>
        <w:t>PSG</w:t>
      </w:r>
    </w:p>
    <w:p w14:paraId="20AE07EE" w14:textId="77777777" w:rsidR="00B626E7" w:rsidRDefault="00175C1D">
      <w:pPr>
        <w:spacing w:after="180"/>
        <w:ind w:hanging="360"/>
      </w:pPr>
      <w:r>
        <w:rPr>
          <w:rFonts w:ascii="Arial" w:eastAsia="宋体" w:hAnsi="Arial" w:cs="Arial"/>
          <w:b/>
          <w:bCs/>
          <w:color w:val="0071C5"/>
          <w:sz w:val="20"/>
          <w:szCs w:val="20"/>
        </w:rPr>
        <w:t>•</w:t>
      </w:r>
      <w:r>
        <w:rPr>
          <w:rFonts w:ascii="Arial" w:eastAsia="宋体" w:hAnsi="Arial" w:cs="Arial"/>
          <w:color w:val="333333"/>
          <w:sz w:val="18"/>
          <w:szCs w:val="18"/>
        </w:rPr>
        <w:t>CCG</w:t>
      </w:r>
    </w:p>
    <w:p w14:paraId="20AE07EF" w14:textId="77777777" w:rsidR="00B626E7" w:rsidRDefault="00175C1D">
      <w:pPr>
        <w:spacing w:after="180"/>
      </w:pPr>
      <w:r>
        <w:rPr>
          <w:rFonts w:ascii="Arial" w:eastAsia="宋体" w:hAnsi="Arial" w:cs="Arial"/>
          <w:color w:val="333333"/>
          <w:sz w:val="18"/>
          <w:szCs w:val="18"/>
        </w:rPr>
        <w:t>We derive a substantial majority of our revenue from platform products, which are our principal products and considered as one class of product. We offer platform products that incorporate various components and technologies, including a microprocessor and</w:t>
      </w:r>
      <w:r>
        <w:rPr>
          <w:rFonts w:ascii="Arial" w:eastAsia="宋体" w:hAnsi="Arial" w:cs="Arial"/>
          <w:color w:val="333333"/>
          <w:sz w:val="18"/>
          <w:szCs w:val="18"/>
        </w:rPr>
        <w:t xml:space="preserve"> chipset, a stand-alone SoC, or a multichip package. Platform products are used in various form factors across our DCG, IOTG, and CCG operating segments. Our non-platform, or adjacent products, can be combined with platform products to form comprehensive p</w:t>
      </w:r>
      <w:r>
        <w:rPr>
          <w:rFonts w:ascii="Arial" w:eastAsia="宋体" w:hAnsi="Arial" w:cs="Arial"/>
          <w:color w:val="333333"/>
          <w:sz w:val="18"/>
          <w:szCs w:val="18"/>
        </w:rPr>
        <w:t xml:space="preserve">latform solutions to meet customer needs. </w:t>
      </w:r>
    </w:p>
    <w:p w14:paraId="20AE07F0" w14:textId="77777777" w:rsidR="00B626E7" w:rsidRDefault="00175C1D">
      <w:pPr>
        <w:spacing w:after="180"/>
      </w:pPr>
      <w:r>
        <w:rPr>
          <w:rFonts w:ascii="Arial" w:eastAsia="宋体" w:hAnsi="Arial" w:cs="Arial"/>
          <w:color w:val="333333"/>
          <w:sz w:val="18"/>
          <w:szCs w:val="18"/>
        </w:rPr>
        <w:t>DCG and CCG are our reportable operating segments. IOTG, Mobileye, NSG, and PSG do not meet the quantitative thresholds to qualify as reportable operating segments; however, we have elected to disclose the results</w:t>
      </w:r>
      <w:r>
        <w:rPr>
          <w:rFonts w:ascii="Arial" w:eastAsia="宋体" w:hAnsi="Arial" w:cs="Arial"/>
          <w:color w:val="333333"/>
          <w:sz w:val="18"/>
          <w:szCs w:val="18"/>
        </w:rPr>
        <w:t xml:space="preserve"> of these non-reportable operating segments. Our Internet of Things portfolio, presented as Internet of Things, is comprised of IOTG and Mobileye operating segments. </w:t>
      </w:r>
    </w:p>
    <w:p w14:paraId="20AE07F1" w14:textId="77777777" w:rsidR="00B626E7" w:rsidRDefault="00175C1D">
      <w:pPr>
        <w:spacing w:after="180"/>
      </w:pPr>
      <w:r>
        <w:rPr>
          <w:rFonts w:ascii="Arial" w:eastAsia="宋体" w:hAnsi="Arial" w:cs="Arial"/>
          <w:color w:val="333333"/>
          <w:sz w:val="18"/>
          <w:szCs w:val="18"/>
        </w:rPr>
        <w:t>We have an “all other” category that includes revenue, expenses, and charges such as:</w:t>
      </w:r>
    </w:p>
    <w:p w14:paraId="20AE07F2" w14:textId="77777777" w:rsidR="00B626E7" w:rsidRDefault="00175C1D">
      <w:pPr>
        <w:spacing w:after="60"/>
        <w:ind w:hanging="360"/>
      </w:pPr>
      <w:r>
        <w:rPr>
          <w:rFonts w:ascii="Arial" w:eastAsia="宋体" w:hAnsi="Arial" w:cs="Arial"/>
          <w:b/>
          <w:bCs/>
          <w:color w:val="0071C5"/>
          <w:sz w:val="20"/>
          <w:szCs w:val="20"/>
        </w:rPr>
        <w:t>•</w:t>
      </w:r>
      <w:r>
        <w:rPr>
          <w:rFonts w:ascii="Arial" w:eastAsia="宋体" w:hAnsi="Arial" w:cs="Arial"/>
          <w:color w:val="333333"/>
          <w:sz w:val="18"/>
          <w:szCs w:val="18"/>
        </w:rPr>
        <w:t>re</w:t>
      </w:r>
      <w:r>
        <w:rPr>
          <w:rFonts w:ascii="Arial" w:eastAsia="宋体" w:hAnsi="Arial" w:cs="Arial"/>
          <w:color w:val="333333"/>
          <w:sz w:val="18"/>
          <w:szCs w:val="18"/>
        </w:rPr>
        <w:t>sults of operations from non-reportable segments not otherwise presented;</w:t>
      </w:r>
    </w:p>
    <w:p w14:paraId="20AE07F3" w14:textId="77777777" w:rsidR="00B626E7" w:rsidRDefault="00175C1D">
      <w:pPr>
        <w:spacing w:after="60"/>
        <w:ind w:hanging="360"/>
      </w:pPr>
      <w:r>
        <w:rPr>
          <w:rFonts w:ascii="Arial" w:eastAsia="宋体" w:hAnsi="Arial" w:cs="Arial"/>
          <w:b/>
          <w:bCs/>
          <w:color w:val="0071C5"/>
          <w:sz w:val="20"/>
          <w:szCs w:val="20"/>
        </w:rPr>
        <w:t>•</w:t>
      </w:r>
      <w:r>
        <w:rPr>
          <w:rFonts w:ascii="Arial" w:eastAsia="宋体" w:hAnsi="Arial" w:cs="Arial"/>
          <w:color w:val="333333"/>
          <w:sz w:val="18"/>
          <w:szCs w:val="18"/>
        </w:rPr>
        <w:t xml:space="preserve">historical results of operations from divested businesses; </w:t>
      </w:r>
    </w:p>
    <w:p w14:paraId="20AE07F4" w14:textId="77777777" w:rsidR="00B626E7" w:rsidRDefault="00175C1D">
      <w:pPr>
        <w:spacing w:after="60"/>
        <w:ind w:hanging="360"/>
      </w:pPr>
      <w:r>
        <w:rPr>
          <w:rFonts w:ascii="Arial" w:eastAsia="宋体" w:hAnsi="Arial" w:cs="Arial"/>
          <w:b/>
          <w:bCs/>
          <w:color w:val="0071C5"/>
          <w:sz w:val="20"/>
          <w:szCs w:val="20"/>
        </w:rPr>
        <w:t>•</w:t>
      </w:r>
      <w:r>
        <w:rPr>
          <w:rFonts w:ascii="Arial" w:eastAsia="宋体" w:hAnsi="Arial" w:cs="Arial"/>
          <w:color w:val="333333"/>
          <w:sz w:val="18"/>
          <w:szCs w:val="18"/>
        </w:rPr>
        <w:t xml:space="preserve">results of operations of start-up businesses that support our initiatives, including our foundry business; </w:t>
      </w:r>
    </w:p>
    <w:p w14:paraId="20AE07F5" w14:textId="77777777" w:rsidR="00B626E7" w:rsidRDefault="00175C1D">
      <w:pPr>
        <w:spacing w:after="60"/>
        <w:ind w:hanging="360"/>
      </w:pPr>
      <w:r>
        <w:rPr>
          <w:rFonts w:ascii="Arial" w:eastAsia="宋体" w:hAnsi="Arial" w:cs="Arial"/>
          <w:b/>
          <w:bCs/>
          <w:color w:val="0071C5"/>
          <w:sz w:val="20"/>
          <w:szCs w:val="20"/>
        </w:rPr>
        <w:t>•</w:t>
      </w:r>
      <w:r>
        <w:rPr>
          <w:rFonts w:ascii="Arial" w:eastAsia="宋体" w:hAnsi="Arial" w:cs="Arial"/>
          <w:color w:val="333333"/>
          <w:sz w:val="18"/>
          <w:szCs w:val="18"/>
        </w:rPr>
        <w:t>amounts inc</w:t>
      </w:r>
      <w:r>
        <w:rPr>
          <w:rFonts w:ascii="Arial" w:eastAsia="宋体" w:hAnsi="Arial" w:cs="Arial"/>
          <w:color w:val="333333"/>
          <w:sz w:val="18"/>
          <w:szCs w:val="18"/>
        </w:rPr>
        <w:t xml:space="preserve">luded within restructuring and other charges; </w:t>
      </w:r>
    </w:p>
    <w:p w14:paraId="20AE07F6" w14:textId="77777777" w:rsidR="00B626E7" w:rsidRDefault="00175C1D">
      <w:pPr>
        <w:spacing w:after="60"/>
        <w:ind w:hanging="360"/>
      </w:pPr>
      <w:r>
        <w:rPr>
          <w:rFonts w:ascii="Arial" w:eastAsia="宋体" w:hAnsi="Arial" w:cs="Arial"/>
          <w:b/>
          <w:bCs/>
          <w:color w:val="0071C5"/>
          <w:sz w:val="20"/>
          <w:szCs w:val="20"/>
        </w:rPr>
        <w:t>•</w:t>
      </w:r>
      <w:r>
        <w:rPr>
          <w:rFonts w:ascii="Arial" w:eastAsia="宋体" w:hAnsi="Arial" w:cs="Arial"/>
          <w:color w:val="333333"/>
          <w:sz w:val="18"/>
          <w:szCs w:val="18"/>
        </w:rPr>
        <w:t xml:space="preserve">a portion of employee benefits, compensation, and other expenses not allocated to the operating segments; and </w:t>
      </w:r>
    </w:p>
    <w:p w14:paraId="20AE07F7" w14:textId="77777777" w:rsidR="00B626E7" w:rsidRDefault="00175C1D">
      <w:pPr>
        <w:spacing w:after="180"/>
        <w:ind w:hanging="360"/>
      </w:pPr>
      <w:r>
        <w:rPr>
          <w:rFonts w:ascii="Arial" w:eastAsia="宋体" w:hAnsi="Arial" w:cs="Arial"/>
          <w:b/>
          <w:bCs/>
          <w:color w:val="0071C5"/>
          <w:sz w:val="20"/>
          <w:szCs w:val="20"/>
        </w:rPr>
        <w:t>•</w:t>
      </w:r>
      <w:r>
        <w:rPr>
          <w:rFonts w:ascii="Arial" w:eastAsia="宋体" w:hAnsi="Arial" w:cs="Arial"/>
          <w:color w:val="333333"/>
          <w:sz w:val="18"/>
          <w:szCs w:val="18"/>
        </w:rPr>
        <w:t>acquisition-related costs, including amortization and any impairment of acquisition-related inta</w:t>
      </w:r>
      <w:r>
        <w:rPr>
          <w:rFonts w:ascii="Arial" w:eastAsia="宋体" w:hAnsi="Arial" w:cs="Arial"/>
          <w:color w:val="333333"/>
          <w:sz w:val="18"/>
          <w:szCs w:val="18"/>
        </w:rPr>
        <w:t xml:space="preserve">ngibles and goodwill. </w:t>
      </w:r>
    </w:p>
    <w:p w14:paraId="20AE07F8" w14:textId="77777777" w:rsidR="00B626E7" w:rsidRDefault="00175C1D">
      <w:pPr>
        <w:spacing w:after="180"/>
      </w:pPr>
      <w:r>
        <w:rPr>
          <w:rFonts w:ascii="Arial" w:eastAsia="宋体" w:hAnsi="Arial" w:cs="Arial"/>
          <w:color w:val="333333"/>
          <w:sz w:val="18"/>
          <w:szCs w:val="18"/>
        </w:rPr>
        <w:t xml:space="preserve">The CODM, who is our CEO, does not evaluate operating segments using discrete asset information. Operating segments do not record inter-segment revenue. We do not allocate gains and losses from equity investments, interest and other </w:t>
      </w:r>
      <w:r>
        <w:rPr>
          <w:rFonts w:ascii="Arial" w:eastAsia="宋体" w:hAnsi="Arial" w:cs="Arial"/>
          <w:color w:val="333333"/>
          <w:sz w:val="18"/>
          <w:szCs w:val="18"/>
        </w:rPr>
        <w:t>income, or taxes to operating segments. Although the CODM uses operating income to evaluate the segments, operating costs included in one segment may benefit other segments. The accounting policies for segment reporting are the same as for Intel as a whole</w:t>
      </w:r>
      <w:r>
        <w:rPr>
          <w:rFonts w:ascii="Arial" w:eastAsia="宋体" w:hAnsi="Arial" w:cs="Arial"/>
          <w:color w:val="333333"/>
          <w:sz w:val="18"/>
          <w:szCs w:val="18"/>
        </w:rPr>
        <w:t>.</w:t>
      </w:r>
    </w:p>
    <w:p w14:paraId="20AE07F9" w14:textId="77777777" w:rsidR="00B626E7" w:rsidRDefault="00B626E7">
      <w:pPr>
        <w:spacing w:after="180"/>
      </w:pPr>
    </w:p>
    <w:p w14:paraId="20AE07FA" w14:textId="77777777" w:rsidR="00B626E7" w:rsidRDefault="00B626E7">
      <w:pPr>
        <w:spacing w:after="180"/>
      </w:pPr>
    </w:p>
    <w:p w14:paraId="20AE07FB" w14:textId="77777777" w:rsidR="00B626E7" w:rsidRDefault="00B626E7">
      <w:pPr>
        <w:spacing w:after="180"/>
      </w:pPr>
    </w:p>
    <w:p w14:paraId="20AE07FC" w14:textId="77777777" w:rsidR="00B626E7" w:rsidRDefault="00B626E7">
      <w:pPr>
        <w:spacing w:after="180"/>
      </w:pPr>
    </w:p>
    <w:p w14:paraId="20AE07FD" w14:textId="77777777" w:rsidR="00B626E7" w:rsidRDefault="00B626E7">
      <w:pPr>
        <w:spacing w:after="180"/>
      </w:pPr>
    </w:p>
    <w:p w14:paraId="20AE07FE" w14:textId="77777777" w:rsidR="00B626E7" w:rsidRDefault="00B626E7">
      <w:pPr>
        <w:spacing w:after="180"/>
      </w:pPr>
    </w:p>
    <w:p w14:paraId="20AE07FF" w14:textId="77777777" w:rsidR="00B626E7" w:rsidRDefault="00B626E7">
      <w:pPr>
        <w:spacing w:after="180"/>
      </w:pPr>
    </w:p>
    <w:p w14:paraId="20AE0800" w14:textId="77777777" w:rsidR="00B626E7" w:rsidRDefault="00B626E7">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4"/>
        <w:gridCol w:w="2423"/>
        <w:gridCol w:w="84"/>
        <w:gridCol w:w="83"/>
        <w:gridCol w:w="3471"/>
        <w:gridCol w:w="83"/>
        <w:gridCol w:w="83"/>
        <w:gridCol w:w="1942"/>
        <w:gridCol w:w="83"/>
      </w:tblGrid>
      <w:tr w:rsidR="00B626E7" w14:paraId="20AE080A" w14:textId="77777777">
        <w:tc>
          <w:tcPr>
            <w:tcW w:w="50" w:type="pct"/>
            <w:shd w:val="clear" w:color="auto" w:fill="auto"/>
            <w:vAlign w:val="bottom"/>
          </w:tcPr>
          <w:p w14:paraId="20AE0801" w14:textId="77777777" w:rsidR="00B626E7" w:rsidRDefault="00B626E7">
            <w:pPr>
              <w:rPr>
                <w:rFonts w:ascii="宋体"/>
              </w:rPr>
            </w:pPr>
          </w:p>
        </w:tc>
        <w:tc>
          <w:tcPr>
            <w:tcW w:w="1452" w:type="pct"/>
            <w:shd w:val="clear" w:color="auto" w:fill="auto"/>
            <w:vAlign w:val="bottom"/>
          </w:tcPr>
          <w:p w14:paraId="20AE0802" w14:textId="77777777" w:rsidR="00B626E7" w:rsidRDefault="00B626E7">
            <w:pPr>
              <w:rPr>
                <w:rFonts w:ascii="宋体"/>
              </w:rPr>
            </w:pPr>
          </w:p>
        </w:tc>
        <w:tc>
          <w:tcPr>
            <w:tcW w:w="50" w:type="pct"/>
            <w:shd w:val="clear" w:color="auto" w:fill="auto"/>
            <w:vAlign w:val="bottom"/>
          </w:tcPr>
          <w:p w14:paraId="20AE0803" w14:textId="77777777" w:rsidR="00B626E7" w:rsidRDefault="00B626E7">
            <w:pPr>
              <w:rPr>
                <w:rFonts w:ascii="宋体"/>
              </w:rPr>
            </w:pPr>
          </w:p>
        </w:tc>
        <w:tc>
          <w:tcPr>
            <w:tcW w:w="50" w:type="pct"/>
            <w:shd w:val="clear" w:color="auto" w:fill="auto"/>
            <w:vAlign w:val="bottom"/>
          </w:tcPr>
          <w:p w14:paraId="20AE0804" w14:textId="77777777" w:rsidR="00B626E7" w:rsidRDefault="00B626E7">
            <w:pPr>
              <w:rPr>
                <w:rFonts w:ascii="宋体"/>
              </w:rPr>
            </w:pPr>
          </w:p>
        </w:tc>
        <w:tc>
          <w:tcPr>
            <w:tcW w:w="2081" w:type="pct"/>
            <w:shd w:val="clear" w:color="auto" w:fill="auto"/>
            <w:vAlign w:val="bottom"/>
          </w:tcPr>
          <w:p w14:paraId="20AE0805" w14:textId="77777777" w:rsidR="00B626E7" w:rsidRDefault="00B626E7">
            <w:pPr>
              <w:rPr>
                <w:rFonts w:ascii="宋体"/>
              </w:rPr>
            </w:pPr>
          </w:p>
        </w:tc>
        <w:tc>
          <w:tcPr>
            <w:tcW w:w="50" w:type="pct"/>
            <w:shd w:val="clear" w:color="auto" w:fill="auto"/>
            <w:vAlign w:val="bottom"/>
          </w:tcPr>
          <w:p w14:paraId="20AE0806" w14:textId="77777777" w:rsidR="00B626E7" w:rsidRDefault="00B626E7">
            <w:pPr>
              <w:rPr>
                <w:rFonts w:ascii="宋体"/>
              </w:rPr>
            </w:pPr>
          </w:p>
        </w:tc>
        <w:tc>
          <w:tcPr>
            <w:tcW w:w="50" w:type="pct"/>
            <w:shd w:val="clear" w:color="auto" w:fill="auto"/>
            <w:vAlign w:val="bottom"/>
          </w:tcPr>
          <w:p w14:paraId="20AE0807" w14:textId="77777777" w:rsidR="00B626E7" w:rsidRDefault="00B626E7">
            <w:pPr>
              <w:rPr>
                <w:rFonts w:ascii="宋体"/>
              </w:rPr>
            </w:pPr>
          </w:p>
        </w:tc>
        <w:tc>
          <w:tcPr>
            <w:tcW w:w="1165" w:type="pct"/>
            <w:shd w:val="clear" w:color="auto" w:fill="auto"/>
            <w:vAlign w:val="bottom"/>
          </w:tcPr>
          <w:p w14:paraId="20AE0808" w14:textId="77777777" w:rsidR="00B626E7" w:rsidRDefault="00B626E7">
            <w:pPr>
              <w:rPr>
                <w:rFonts w:ascii="宋体"/>
              </w:rPr>
            </w:pPr>
          </w:p>
        </w:tc>
        <w:tc>
          <w:tcPr>
            <w:tcW w:w="50" w:type="pct"/>
            <w:shd w:val="clear" w:color="auto" w:fill="auto"/>
            <w:vAlign w:val="bottom"/>
          </w:tcPr>
          <w:p w14:paraId="20AE0809" w14:textId="77777777" w:rsidR="00B626E7" w:rsidRDefault="00B626E7">
            <w:pPr>
              <w:rPr>
                <w:rFonts w:ascii="宋体"/>
              </w:rPr>
            </w:pPr>
          </w:p>
        </w:tc>
      </w:tr>
      <w:tr w:rsidR="00B626E7" w14:paraId="20AE080E" w14:textId="77777777">
        <w:tc>
          <w:tcPr>
            <w:tcW w:w="0" w:type="auto"/>
            <w:gridSpan w:val="3"/>
            <w:tcBorders>
              <w:top w:val="single" w:sz="8" w:space="0" w:color="0071C5"/>
            </w:tcBorders>
            <w:shd w:val="clear" w:color="auto" w:fill="auto"/>
            <w:tcMar>
              <w:top w:w="40" w:type="dxa"/>
              <w:left w:w="20" w:type="dxa"/>
              <w:bottom w:w="40" w:type="dxa"/>
              <w:right w:w="20" w:type="dxa"/>
            </w:tcMar>
            <w:vAlign w:val="center"/>
          </w:tcPr>
          <w:p w14:paraId="20AE080B" w14:textId="77777777" w:rsidR="00B626E7" w:rsidRDefault="00175C1D">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Viewer10_files/intc-20200627_g15.jpg"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35" wp14:editId="20AE3C36">
                  <wp:extent cx="304800" cy="304800"/>
                  <wp:effectExtent l="0" t="0" r="0" b="0"/>
                  <wp:docPr id="4" name="图片 59"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9" descr="IMG_28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Arial" w:eastAsia="宋体" w:hAnsi="Arial" w:cs="Arial"/>
                <w:color w:val="333333"/>
                <w:sz w:val="16"/>
                <w:szCs w:val="16"/>
              </w:rPr>
              <w:t>FINANCIAL STATEMENTS</w:t>
            </w:r>
          </w:p>
        </w:tc>
        <w:tc>
          <w:tcPr>
            <w:tcW w:w="0" w:type="auto"/>
            <w:gridSpan w:val="3"/>
            <w:tcBorders>
              <w:top w:val="single" w:sz="8" w:space="0" w:color="0071C5"/>
              <w:left w:val="single" w:sz="24" w:space="0" w:color="0071C5"/>
            </w:tcBorders>
            <w:shd w:val="clear" w:color="auto" w:fill="auto"/>
            <w:tcMar>
              <w:top w:w="40" w:type="dxa"/>
              <w:left w:w="20" w:type="dxa"/>
              <w:bottom w:w="40" w:type="dxa"/>
              <w:right w:w="20" w:type="dxa"/>
            </w:tcMar>
            <w:vAlign w:val="bottom"/>
          </w:tcPr>
          <w:p w14:paraId="20AE080C" w14:textId="77777777" w:rsidR="00B626E7" w:rsidRDefault="00175C1D">
            <w:pPr>
              <w:textAlignment w:val="bottom"/>
            </w:pPr>
            <w:r>
              <w:rPr>
                <w:rFonts w:ascii="Arial" w:eastAsia="宋体" w:hAnsi="Arial" w:cs="Arial"/>
                <w:color w:val="333333"/>
                <w:sz w:val="16"/>
                <w:szCs w:val="16"/>
              </w:rPr>
              <w:t>  Notes to Financial Statements</w:t>
            </w: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080D" w14:textId="77777777" w:rsidR="00B626E7" w:rsidRDefault="00175C1D">
            <w:pPr>
              <w:jc w:val="right"/>
              <w:textAlignment w:val="bottom"/>
            </w:pPr>
            <w:r>
              <w:rPr>
                <w:rFonts w:ascii="Arial" w:eastAsia="宋体" w:hAnsi="Arial" w:cs="Arial"/>
                <w:color w:val="333333"/>
                <w:sz w:val="16"/>
                <w:szCs w:val="16"/>
              </w:rPr>
              <w:t>10</w:t>
            </w:r>
          </w:p>
        </w:tc>
      </w:tr>
    </w:tbl>
    <w:p w14:paraId="20AE080F" w14:textId="77777777" w:rsidR="00B626E7" w:rsidRDefault="00175C1D">
      <w:r>
        <w:pict w14:anchorId="20AE3C37">
          <v:rect id="_x0000_i1036" style="width:415.3pt;height:1.5pt" o:hralign="center" o:hrstd="t" o:hr="t" fillcolor="#a0a0a0" stroked="f"/>
        </w:pict>
      </w:r>
    </w:p>
    <w:p w14:paraId="20AE0810" w14:textId="77777777" w:rsidR="00B626E7" w:rsidRDefault="00175C1D">
      <w:pPr>
        <w:spacing w:after="180"/>
        <w:jc w:val="right"/>
      </w:pPr>
      <w:hyperlink r:id="rId38" w:anchor="ib035cc8759904e51927d703ec8414366_7" w:history="1">
        <w:r>
          <w:rPr>
            <w:rStyle w:val="a5"/>
            <w:rFonts w:ascii="Arial" w:eastAsia="宋体" w:hAnsi="Arial" w:cs="Arial"/>
            <w:b/>
            <w:bCs/>
            <w:sz w:val="16"/>
            <w:szCs w:val="16"/>
          </w:rPr>
          <w:t>Table of Contents</w:t>
        </w:r>
      </w:hyperlink>
    </w:p>
    <w:p w14:paraId="20AE0811" w14:textId="77777777" w:rsidR="00B626E7" w:rsidRDefault="00B626E7">
      <w:pPr>
        <w:spacing w:after="180"/>
        <w:jc w:val="right"/>
      </w:pPr>
    </w:p>
    <w:p w14:paraId="20AE0812" w14:textId="77777777" w:rsidR="00B626E7" w:rsidRDefault="00175C1D">
      <w:pPr>
        <w:spacing w:after="120"/>
      </w:pPr>
      <w:r>
        <w:rPr>
          <w:rFonts w:ascii="Arial" w:eastAsia="宋体" w:hAnsi="Arial" w:cs="Arial"/>
          <w:color w:val="333333"/>
          <w:sz w:val="18"/>
          <w:szCs w:val="18"/>
        </w:rPr>
        <w:t>Net revenue and operating income (loss) for each period were as follows:</w:t>
      </w:r>
    </w:p>
    <w:tbl>
      <w:tblPr>
        <w:tblW w:w="5000" w:type="pct"/>
        <w:tblCellMar>
          <w:top w:w="15" w:type="dxa"/>
          <w:left w:w="15" w:type="dxa"/>
          <w:bottom w:w="15" w:type="dxa"/>
          <w:right w:w="15" w:type="dxa"/>
        </w:tblCellMar>
        <w:tblLook w:val="04A0" w:firstRow="1" w:lastRow="0" w:firstColumn="1" w:lastColumn="0" w:noHBand="0" w:noVBand="1"/>
      </w:tblPr>
      <w:tblGrid>
        <w:gridCol w:w="42"/>
        <w:gridCol w:w="3721"/>
        <w:gridCol w:w="41"/>
        <w:gridCol w:w="36"/>
        <w:gridCol w:w="36"/>
        <w:gridCol w:w="36"/>
        <w:gridCol w:w="136"/>
        <w:gridCol w:w="689"/>
        <w:gridCol w:w="86"/>
        <w:gridCol w:w="36"/>
        <w:gridCol w:w="36"/>
        <w:gridCol w:w="36"/>
        <w:gridCol w:w="136"/>
        <w:gridCol w:w="696"/>
        <w:gridCol w:w="86"/>
        <w:gridCol w:w="36"/>
        <w:gridCol w:w="36"/>
        <w:gridCol w:w="36"/>
        <w:gridCol w:w="136"/>
        <w:gridCol w:w="697"/>
        <w:gridCol w:w="86"/>
        <w:gridCol w:w="36"/>
        <w:gridCol w:w="36"/>
        <w:gridCol w:w="36"/>
        <w:gridCol w:w="136"/>
        <w:gridCol w:w="698"/>
        <w:gridCol w:w="86"/>
        <w:gridCol w:w="36"/>
        <w:gridCol w:w="36"/>
        <w:gridCol w:w="36"/>
        <w:gridCol w:w="36"/>
        <w:gridCol w:w="36"/>
        <w:gridCol w:w="36"/>
        <w:gridCol w:w="36"/>
        <w:gridCol w:w="36"/>
        <w:gridCol w:w="36"/>
        <w:gridCol w:w="36"/>
        <w:gridCol w:w="36"/>
        <w:gridCol w:w="36"/>
      </w:tblGrid>
      <w:tr w:rsidR="00B626E7" w14:paraId="20AE082E" w14:textId="77777777">
        <w:trPr>
          <w:gridAfter w:val="12"/>
        </w:trPr>
        <w:tc>
          <w:tcPr>
            <w:tcW w:w="50" w:type="pct"/>
            <w:shd w:val="clear" w:color="auto" w:fill="auto"/>
          </w:tcPr>
          <w:p w14:paraId="20AE0813" w14:textId="77777777" w:rsidR="00B626E7" w:rsidRDefault="00B626E7">
            <w:pPr>
              <w:rPr>
                <w:rFonts w:ascii="宋体"/>
              </w:rPr>
            </w:pPr>
          </w:p>
        </w:tc>
        <w:tc>
          <w:tcPr>
            <w:tcW w:w="2386" w:type="pct"/>
            <w:shd w:val="clear" w:color="auto" w:fill="auto"/>
          </w:tcPr>
          <w:p w14:paraId="20AE0814" w14:textId="77777777" w:rsidR="00B626E7" w:rsidRDefault="00B626E7">
            <w:pPr>
              <w:rPr>
                <w:rFonts w:ascii="宋体"/>
              </w:rPr>
            </w:pPr>
          </w:p>
        </w:tc>
        <w:tc>
          <w:tcPr>
            <w:tcW w:w="50" w:type="pct"/>
            <w:shd w:val="clear" w:color="auto" w:fill="auto"/>
          </w:tcPr>
          <w:p w14:paraId="20AE0815" w14:textId="77777777" w:rsidR="00B626E7" w:rsidRDefault="00B626E7">
            <w:pPr>
              <w:rPr>
                <w:rFonts w:ascii="宋体"/>
              </w:rPr>
            </w:pPr>
          </w:p>
        </w:tc>
        <w:tc>
          <w:tcPr>
            <w:tcW w:w="5" w:type="pct"/>
            <w:shd w:val="clear" w:color="auto" w:fill="auto"/>
          </w:tcPr>
          <w:p w14:paraId="20AE0816" w14:textId="77777777" w:rsidR="00B626E7" w:rsidRDefault="00B626E7">
            <w:pPr>
              <w:rPr>
                <w:rFonts w:ascii="宋体"/>
              </w:rPr>
            </w:pPr>
          </w:p>
        </w:tc>
        <w:tc>
          <w:tcPr>
            <w:tcW w:w="24" w:type="pct"/>
            <w:shd w:val="clear" w:color="auto" w:fill="auto"/>
          </w:tcPr>
          <w:p w14:paraId="20AE0817" w14:textId="77777777" w:rsidR="00B626E7" w:rsidRDefault="00B626E7">
            <w:pPr>
              <w:rPr>
                <w:rFonts w:ascii="宋体"/>
              </w:rPr>
            </w:pPr>
          </w:p>
        </w:tc>
        <w:tc>
          <w:tcPr>
            <w:tcW w:w="5" w:type="pct"/>
            <w:shd w:val="clear" w:color="auto" w:fill="auto"/>
          </w:tcPr>
          <w:p w14:paraId="20AE0818" w14:textId="77777777" w:rsidR="00B626E7" w:rsidRDefault="00B626E7">
            <w:pPr>
              <w:rPr>
                <w:rFonts w:ascii="宋体"/>
              </w:rPr>
            </w:pPr>
          </w:p>
        </w:tc>
        <w:tc>
          <w:tcPr>
            <w:tcW w:w="50" w:type="pct"/>
            <w:shd w:val="clear" w:color="auto" w:fill="auto"/>
          </w:tcPr>
          <w:p w14:paraId="20AE0819" w14:textId="77777777" w:rsidR="00B626E7" w:rsidRDefault="00B626E7">
            <w:pPr>
              <w:rPr>
                <w:rFonts w:ascii="宋体"/>
              </w:rPr>
            </w:pPr>
          </w:p>
        </w:tc>
        <w:tc>
          <w:tcPr>
            <w:tcW w:w="494" w:type="pct"/>
            <w:shd w:val="clear" w:color="auto" w:fill="auto"/>
          </w:tcPr>
          <w:p w14:paraId="20AE081A" w14:textId="77777777" w:rsidR="00B626E7" w:rsidRDefault="00B626E7">
            <w:pPr>
              <w:rPr>
                <w:rFonts w:ascii="宋体"/>
              </w:rPr>
            </w:pPr>
          </w:p>
        </w:tc>
        <w:tc>
          <w:tcPr>
            <w:tcW w:w="50" w:type="pct"/>
            <w:shd w:val="clear" w:color="auto" w:fill="auto"/>
          </w:tcPr>
          <w:p w14:paraId="20AE081B" w14:textId="77777777" w:rsidR="00B626E7" w:rsidRDefault="00B626E7">
            <w:pPr>
              <w:rPr>
                <w:rFonts w:ascii="宋体"/>
              </w:rPr>
            </w:pPr>
          </w:p>
        </w:tc>
        <w:tc>
          <w:tcPr>
            <w:tcW w:w="5" w:type="pct"/>
            <w:shd w:val="clear" w:color="auto" w:fill="auto"/>
          </w:tcPr>
          <w:p w14:paraId="20AE081C" w14:textId="77777777" w:rsidR="00B626E7" w:rsidRDefault="00B626E7">
            <w:pPr>
              <w:rPr>
                <w:rFonts w:ascii="宋体"/>
              </w:rPr>
            </w:pPr>
          </w:p>
        </w:tc>
        <w:tc>
          <w:tcPr>
            <w:tcW w:w="24" w:type="pct"/>
            <w:shd w:val="clear" w:color="auto" w:fill="auto"/>
          </w:tcPr>
          <w:p w14:paraId="20AE081D" w14:textId="77777777" w:rsidR="00B626E7" w:rsidRDefault="00B626E7">
            <w:pPr>
              <w:rPr>
                <w:rFonts w:ascii="宋体"/>
              </w:rPr>
            </w:pPr>
          </w:p>
        </w:tc>
        <w:tc>
          <w:tcPr>
            <w:tcW w:w="5" w:type="pct"/>
            <w:shd w:val="clear" w:color="auto" w:fill="auto"/>
          </w:tcPr>
          <w:p w14:paraId="20AE081E" w14:textId="77777777" w:rsidR="00B626E7" w:rsidRDefault="00B626E7">
            <w:pPr>
              <w:rPr>
                <w:rFonts w:ascii="宋体"/>
              </w:rPr>
            </w:pPr>
          </w:p>
        </w:tc>
        <w:tc>
          <w:tcPr>
            <w:tcW w:w="50" w:type="pct"/>
            <w:shd w:val="clear" w:color="auto" w:fill="auto"/>
          </w:tcPr>
          <w:p w14:paraId="20AE081F" w14:textId="77777777" w:rsidR="00B626E7" w:rsidRDefault="00B626E7">
            <w:pPr>
              <w:rPr>
                <w:rFonts w:ascii="宋体"/>
              </w:rPr>
            </w:pPr>
          </w:p>
        </w:tc>
        <w:tc>
          <w:tcPr>
            <w:tcW w:w="494" w:type="pct"/>
            <w:shd w:val="clear" w:color="auto" w:fill="auto"/>
          </w:tcPr>
          <w:p w14:paraId="20AE0820" w14:textId="77777777" w:rsidR="00B626E7" w:rsidRDefault="00B626E7">
            <w:pPr>
              <w:rPr>
                <w:rFonts w:ascii="宋体"/>
              </w:rPr>
            </w:pPr>
          </w:p>
        </w:tc>
        <w:tc>
          <w:tcPr>
            <w:tcW w:w="50" w:type="pct"/>
            <w:shd w:val="clear" w:color="auto" w:fill="auto"/>
          </w:tcPr>
          <w:p w14:paraId="20AE0821" w14:textId="77777777" w:rsidR="00B626E7" w:rsidRDefault="00B626E7">
            <w:pPr>
              <w:rPr>
                <w:rFonts w:ascii="宋体"/>
              </w:rPr>
            </w:pPr>
          </w:p>
        </w:tc>
        <w:tc>
          <w:tcPr>
            <w:tcW w:w="5" w:type="pct"/>
            <w:shd w:val="clear" w:color="auto" w:fill="auto"/>
          </w:tcPr>
          <w:p w14:paraId="20AE0822" w14:textId="77777777" w:rsidR="00B626E7" w:rsidRDefault="00B626E7">
            <w:pPr>
              <w:rPr>
                <w:rFonts w:ascii="宋体"/>
              </w:rPr>
            </w:pPr>
          </w:p>
        </w:tc>
        <w:tc>
          <w:tcPr>
            <w:tcW w:w="24" w:type="pct"/>
            <w:shd w:val="clear" w:color="auto" w:fill="auto"/>
          </w:tcPr>
          <w:p w14:paraId="20AE0823" w14:textId="77777777" w:rsidR="00B626E7" w:rsidRDefault="00B626E7">
            <w:pPr>
              <w:rPr>
                <w:rFonts w:ascii="宋体"/>
              </w:rPr>
            </w:pPr>
          </w:p>
        </w:tc>
        <w:tc>
          <w:tcPr>
            <w:tcW w:w="5" w:type="pct"/>
            <w:shd w:val="clear" w:color="auto" w:fill="auto"/>
          </w:tcPr>
          <w:p w14:paraId="20AE0824" w14:textId="77777777" w:rsidR="00B626E7" w:rsidRDefault="00B626E7">
            <w:pPr>
              <w:rPr>
                <w:rFonts w:ascii="宋体"/>
              </w:rPr>
            </w:pPr>
          </w:p>
        </w:tc>
        <w:tc>
          <w:tcPr>
            <w:tcW w:w="50" w:type="pct"/>
            <w:shd w:val="clear" w:color="auto" w:fill="auto"/>
          </w:tcPr>
          <w:p w14:paraId="20AE0825" w14:textId="77777777" w:rsidR="00B626E7" w:rsidRDefault="00B626E7">
            <w:pPr>
              <w:rPr>
                <w:rFonts w:ascii="宋体"/>
              </w:rPr>
            </w:pPr>
          </w:p>
        </w:tc>
        <w:tc>
          <w:tcPr>
            <w:tcW w:w="494" w:type="pct"/>
            <w:shd w:val="clear" w:color="auto" w:fill="auto"/>
          </w:tcPr>
          <w:p w14:paraId="20AE0826" w14:textId="77777777" w:rsidR="00B626E7" w:rsidRDefault="00B626E7">
            <w:pPr>
              <w:rPr>
                <w:rFonts w:ascii="宋体"/>
              </w:rPr>
            </w:pPr>
          </w:p>
        </w:tc>
        <w:tc>
          <w:tcPr>
            <w:tcW w:w="50" w:type="pct"/>
            <w:shd w:val="clear" w:color="auto" w:fill="auto"/>
          </w:tcPr>
          <w:p w14:paraId="20AE0827" w14:textId="77777777" w:rsidR="00B626E7" w:rsidRDefault="00B626E7">
            <w:pPr>
              <w:rPr>
                <w:rFonts w:ascii="宋体"/>
              </w:rPr>
            </w:pPr>
          </w:p>
        </w:tc>
        <w:tc>
          <w:tcPr>
            <w:tcW w:w="5" w:type="pct"/>
            <w:shd w:val="clear" w:color="auto" w:fill="auto"/>
          </w:tcPr>
          <w:p w14:paraId="20AE0828" w14:textId="77777777" w:rsidR="00B626E7" w:rsidRDefault="00B626E7">
            <w:pPr>
              <w:rPr>
                <w:rFonts w:ascii="宋体"/>
              </w:rPr>
            </w:pPr>
          </w:p>
        </w:tc>
        <w:tc>
          <w:tcPr>
            <w:tcW w:w="24" w:type="pct"/>
            <w:shd w:val="clear" w:color="auto" w:fill="auto"/>
          </w:tcPr>
          <w:p w14:paraId="20AE0829" w14:textId="77777777" w:rsidR="00B626E7" w:rsidRDefault="00B626E7">
            <w:pPr>
              <w:rPr>
                <w:rFonts w:ascii="宋体"/>
              </w:rPr>
            </w:pPr>
          </w:p>
        </w:tc>
        <w:tc>
          <w:tcPr>
            <w:tcW w:w="5" w:type="pct"/>
            <w:shd w:val="clear" w:color="auto" w:fill="auto"/>
          </w:tcPr>
          <w:p w14:paraId="20AE082A" w14:textId="77777777" w:rsidR="00B626E7" w:rsidRDefault="00B626E7">
            <w:pPr>
              <w:rPr>
                <w:rFonts w:ascii="宋体"/>
              </w:rPr>
            </w:pPr>
          </w:p>
        </w:tc>
        <w:tc>
          <w:tcPr>
            <w:tcW w:w="50" w:type="pct"/>
            <w:shd w:val="clear" w:color="auto" w:fill="auto"/>
          </w:tcPr>
          <w:p w14:paraId="20AE082B" w14:textId="77777777" w:rsidR="00B626E7" w:rsidRDefault="00B626E7">
            <w:pPr>
              <w:rPr>
                <w:rFonts w:ascii="宋体"/>
              </w:rPr>
            </w:pPr>
          </w:p>
        </w:tc>
        <w:tc>
          <w:tcPr>
            <w:tcW w:w="494" w:type="pct"/>
            <w:shd w:val="clear" w:color="auto" w:fill="auto"/>
          </w:tcPr>
          <w:p w14:paraId="20AE082C" w14:textId="77777777" w:rsidR="00B626E7" w:rsidRDefault="00B626E7">
            <w:pPr>
              <w:rPr>
                <w:rFonts w:ascii="宋体"/>
              </w:rPr>
            </w:pPr>
          </w:p>
        </w:tc>
        <w:tc>
          <w:tcPr>
            <w:tcW w:w="50" w:type="pct"/>
            <w:shd w:val="clear" w:color="auto" w:fill="auto"/>
          </w:tcPr>
          <w:p w14:paraId="20AE082D" w14:textId="77777777" w:rsidR="00B626E7" w:rsidRDefault="00B626E7">
            <w:pPr>
              <w:rPr>
                <w:rFonts w:ascii="宋体"/>
              </w:rPr>
            </w:pPr>
          </w:p>
        </w:tc>
      </w:tr>
      <w:tr w:rsidR="00B626E7" w14:paraId="20AE0838" w14:textId="77777777">
        <w:tc>
          <w:tcPr>
            <w:tcW w:w="0" w:type="auto"/>
            <w:gridSpan w:val="3"/>
            <w:shd w:val="clear" w:color="auto" w:fill="auto"/>
            <w:tcMar>
              <w:left w:w="20" w:type="dxa"/>
              <w:right w:w="20" w:type="dxa"/>
            </w:tcMar>
            <w:vAlign w:val="bottom"/>
          </w:tcPr>
          <w:p w14:paraId="20AE082F"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830" w14:textId="77777777" w:rsidR="00B626E7" w:rsidRDefault="00B626E7">
            <w:pPr>
              <w:rPr>
                <w:rFonts w:ascii="宋体"/>
              </w:rPr>
            </w:pPr>
          </w:p>
        </w:tc>
        <w:tc>
          <w:tcPr>
            <w:tcW w:w="0" w:type="auto"/>
            <w:gridSpan w:val="9"/>
            <w:shd w:val="clear" w:color="auto" w:fill="auto"/>
            <w:tcMar>
              <w:top w:w="40" w:type="dxa"/>
              <w:left w:w="20" w:type="dxa"/>
              <w:bottom w:w="40" w:type="dxa"/>
              <w:right w:w="20" w:type="dxa"/>
            </w:tcMar>
            <w:vAlign w:val="bottom"/>
          </w:tcPr>
          <w:p w14:paraId="20AE0831" w14:textId="77777777" w:rsidR="00B626E7" w:rsidRDefault="00175C1D">
            <w:pPr>
              <w:jc w:val="center"/>
              <w:textAlignment w:val="bottom"/>
            </w:pPr>
            <w:r>
              <w:rPr>
                <w:rFonts w:ascii="Arial" w:eastAsia="宋体" w:hAnsi="Arial" w:cs="Arial"/>
                <w:b/>
                <w:bCs/>
                <w:color w:val="333333"/>
                <w:sz w:val="18"/>
                <w:szCs w:val="18"/>
              </w:rPr>
              <w:t>Three Months Ended</w:t>
            </w:r>
          </w:p>
        </w:tc>
        <w:tc>
          <w:tcPr>
            <w:tcW w:w="0" w:type="auto"/>
            <w:gridSpan w:val="3"/>
            <w:shd w:val="clear" w:color="auto" w:fill="auto"/>
          </w:tcPr>
          <w:p w14:paraId="20AE0832" w14:textId="77777777" w:rsidR="00B626E7" w:rsidRDefault="00B626E7">
            <w:pPr>
              <w:rPr>
                <w:rFonts w:ascii="宋体"/>
                <w:vanish/>
              </w:rPr>
            </w:pPr>
          </w:p>
        </w:tc>
        <w:tc>
          <w:tcPr>
            <w:tcW w:w="0" w:type="auto"/>
            <w:gridSpan w:val="3"/>
            <w:shd w:val="clear" w:color="auto" w:fill="auto"/>
          </w:tcPr>
          <w:p w14:paraId="20AE0833" w14:textId="77777777" w:rsidR="00B626E7" w:rsidRDefault="00B626E7">
            <w:pPr>
              <w:rPr>
                <w:rFonts w:ascii="宋体"/>
                <w:vanish/>
              </w:rPr>
            </w:pPr>
          </w:p>
        </w:tc>
        <w:tc>
          <w:tcPr>
            <w:tcW w:w="0" w:type="auto"/>
            <w:gridSpan w:val="3"/>
            <w:shd w:val="clear" w:color="auto" w:fill="auto"/>
            <w:tcMar>
              <w:left w:w="20" w:type="dxa"/>
              <w:right w:w="20" w:type="dxa"/>
            </w:tcMar>
            <w:vAlign w:val="bottom"/>
          </w:tcPr>
          <w:p w14:paraId="20AE0834" w14:textId="77777777" w:rsidR="00B626E7" w:rsidRDefault="00B626E7">
            <w:pPr>
              <w:rPr>
                <w:rFonts w:ascii="宋体"/>
              </w:rPr>
            </w:pPr>
          </w:p>
        </w:tc>
        <w:tc>
          <w:tcPr>
            <w:tcW w:w="0" w:type="auto"/>
            <w:gridSpan w:val="9"/>
            <w:shd w:val="clear" w:color="auto" w:fill="auto"/>
            <w:tcMar>
              <w:top w:w="40" w:type="dxa"/>
              <w:left w:w="20" w:type="dxa"/>
              <w:bottom w:w="40" w:type="dxa"/>
              <w:right w:w="20" w:type="dxa"/>
            </w:tcMar>
            <w:vAlign w:val="bottom"/>
          </w:tcPr>
          <w:p w14:paraId="20AE0835" w14:textId="77777777" w:rsidR="00B626E7" w:rsidRDefault="00175C1D">
            <w:pPr>
              <w:jc w:val="center"/>
              <w:textAlignment w:val="bottom"/>
            </w:pPr>
            <w:r>
              <w:rPr>
                <w:rFonts w:ascii="Arial" w:eastAsia="宋体" w:hAnsi="Arial" w:cs="Arial"/>
                <w:b/>
                <w:bCs/>
                <w:color w:val="333333"/>
                <w:sz w:val="18"/>
                <w:szCs w:val="18"/>
              </w:rPr>
              <w:t>Six Months Ended</w:t>
            </w:r>
          </w:p>
        </w:tc>
        <w:tc>
          <w:tcPr>
            <w:tcW w:w="0" w:type="auto"/>
            <w:gridSpan w:val="3"/>
            <w:shd w:val="clear" w:color="auto" w:fill="auto"/>
          </w:tcPr>
          <w:p w14:paraId="20AE0836" w14:textId="77777777" w:rsidR="00B626E7" w:rsidRDefault="00B626E7">
            <w:pPr>
              <w:rPr>
                <w:rFonts w:ascii="宋体"/>
                <w:vanish/>
              </w:rPr>
            </w:pPr>
          </w:p>
        </w:tc>
        <w:tc>
          <w:tcPr>
            <w:tcW w:w="0" w:type="auto"/>
            <w:gridSpan w:val="3"/>
            <w:shd w:val="clear" w:color="auto" w:fill="auto"/>
          </w:tcPr>
          <w:p w14:paraId="20AE0837" w14:textId="77777777" w:rsidR="00B626E7" w:rsidRDefault="00B626E7">
            <w:pPr>
              <w:rPr>
                <w:rFonts w:ascii="宋体"/>
                <w:vanish/>
              </w:rPr>
            </w:pPr>
          </w:p>
        </w:tc>
      </w:tr>
      <w:tr w:rsidR="00B626E7" w14:paraId="20AE084E" w14:textId="77777777">
        <w:tc>
          <w:tcPr>
            <w:tcW w:w="0" w:type="auto"/>
            <w:gridSpan w:val="3"/>
            <w:shd w:val="clear" w:color="auto" w:fill="auto"/>
            <w:tcMar>
              <w:top w:w="40" w:type="dxa"/>
              <w:left w:w="20" w:type="dxa"/>
              <w:bottom w:w="40" w:type="dxa"/>
              <w:right w:w="20" w:type="dxa"/>
            </w:tcMar>
            <w:vAlign w:val="bottom"/>
          </w:tcPr>
          <w:p w14:paraId="20AE0839" w14:textId="77777777" w:rsidR="00B626E7" w:rsidRDefault="00175C1D">
            <w:pPr>
              <w:ind w:hanging="180"/>
              <w:textAlignment w:val="bottom"/>
            </w:pPr>
            <w:r>
              <w:rPr>
                <w:rFonts w:ascii="Arial" w:eastAsia="宋体" w:hAnsi="Arial" w:cs="Arial"/>
                <w:b/>
                <w:bCs/>
                <w:color w:val="333333"/>
                <w:sz w:val="18"/>
                <w:szCs w:val="18"/>
              </w:rPr>
              <w:t>(In Millions)</w:t>
            </w:r>
          </w:p>
        </w:tc>
        <w:tc>
          <w:tcPr>
            <w:tcW w:w="0" w:type="auto"/>
            <w:gridSpan w:val="3"/>
            <w:shd w:val="clear" w:color="auto" w:fill="auto"/>
            <w:tcMar>
              <w:left w:w="20" w:type="dxa"/>
              <w:right w:w="20" w:type="dxa"/>
            </w:tcMar>
            <w:vAlign w:val="bottom"/>
          </w:tcPr>
          <w:p w14:paraId="20AE083A"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083B" w14:textId="77777777" w:rsidR="00B626E7" w:rsidRDefault="00175C1D">
            <w:pPr>
              <w:jc w:val="center"/>
              <w:textAlignment w:val="bottom"/>
            </w:pPr>
            <w:r>
              <w:rPr>
                <w:rFonts w:ascii="Arial" w:eastAsia="宋体" w:hAnsi="Arial" w:cs="Arial"/>
                <w:b/>
                <w:bCs/>
                <w:color w:val="333333"/>
                <w:sz w:val="18"/>
                <w:szCs w:val="18"/>
              </w:rPr>
              <w:t>Jun 27, 2020</w:t>
            </w:r>
          </w:p>
        </w:tc>
        <w:tc>
          <w:tcPr>
            <w:tcW w:w="0" w:type="auto"/>
            <w:gridSpan w:val="3"/>
            <w:tcBorders>
              <w:top w:val="single" w:sz="8" w:space="0" w:color="0071C5"/>
            </w:tcBorders>
            <w:shd w:val="clear" w:color="auto" w:fill="auto"/>
            <w:tcMar>
              <w:left w:w="20" w:type="dxa"/>
              <w:right w:w="20" w:type="dxa"/>
            </w:tcMar>
            <w:vAlign w:val="bottom"/>
          </w:tcPr>
          <w:p w14:paraId="20AE083C"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083D" w14:textId="77777777" w:rsidR="00B626E7" w:rsidRDefault="00175C1D">
            <w:pPr>
              <w:jc w:val="center"/>
              <w:textAlignment w:val="bottom"/>
            </w:pPr>
            <w:r>
              <w:rPr>
                <w:rFonts w:ascii="Arial" w:eastAsia="宋体" w:hAnsi="Arial" w:cs="Arial"/>
                <w:b/>
                <w:bCs/>
                <w:color w:val="333333"/>
                <w:sz w:val="18"/>
                <w:szCs w:val="18"/>
              </w:rPr>
              <w:t>Jun 29, 2019</w:t>
            </w:r>
          </w:p>
        </w:tc>
        <w:tc>
          <w:tcPr>
            <w:tcW w:w="0" w:type="auto"/>
            <w:gridSpan w:val="3"/>
            <w:shd w:val="clear" w:color="auto" w:fill="auto"/>
            <w:tcMar>
              <w:left w:w="20" w:type="dxa"/>
              <w:right w:w="20" w:type="dxa"/>
            </w:tcMar>
            <w:vAlign w:val="bottom"/>
          </w:tcPr>
          <w:p w14:paraId="20AE083E"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083F" w14:textId="77777777" w:rsidR="00B626E7" w:rsidRDefault="00175C1D">
            <w:pPr>
              <w:jc w:val="center"/>
              <w:textAlignment w:val="bottom"/>
            </w:pPr>
            <w:r>
              <w:rPr>
                <w:rFonts w:ascii="Arial" w:eastAsia="宋体" w:hAnsi="Arial" w:cs="Arial"/>
                <w:b/>
                <w:bCs/>
                <w:color w:val="333333"/>
                <w:sz w:val="18"/>
                <w:szCs w:val="18"/>
              </w:rPr>
              <w:t>Jun 27, 2020</w:t>
            </w:r>
          </w:p>
        </w:tc>
        <w:tc>
          <w:tcPr>
            <w:tcW w:w="0" w:type="auto"/>
            <w:gridSpan w:val="3"/>
            <w:tcBorders>
              <w:top w:val="single" w:sz="8" w:space="0" w:color="0071C5"/>
            </w:tcBorders>
            <w:shd w:val="clear" w:color="auto" w:fill="auto"/>
            <w:tcMar>
              <w:left w:w="20" w:type="dxa"/>
              <w:right w:w="20" w:type="dxa"/>
            </w:tcMar>
            <w:vAlign w:val="bottom"/>
          </w:tcPr>
          <w:p w14:paraId="20AE0840"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0841" w14:textId="77777777" w:rsidR="00B626E7" w:rsidRDefault="00175C1D">
            <w:pPr>
              <w:jc w:val="center"/>
              <w:textAlignment w:val="bottom"/>
            </w:pPr>
            <w:r>
              <w:rPr>
                <w:rFonts w:ascii="Arial" w:eastAsia="宋体" w:hAnsi="Arial" w:cs="Arial"/>
                <w:b/>
                <w:bCs/>
                <w:color w:val="333333"/>
                <w:sz w:val="18"/>
                <w:szCs w:val="18"/>
              </w:rPr>
              <w:t>Jun 29, 2019</w:t>
            </w:r>
          </w:p>
        </w:tc>
        <w:tc>
          <w:tcPr>
            <w:tcW w:w="0" w:type="auto"/>
            <w:shd w:val="clear" w:color="auto" w:fill="auto"/>
          </w:tcPr>
          <w:p w14:paraId="20AE0842" w14:textId="77777777" w:rsidR="00B626E7" w:rsidRDefault="00B626E7">
            <w:pPr>
              <w:rPr>
                <w:rFonts w:ascii="宋体"/>
              </w:rPr>
            </w:pPr>
          </w:p>
        </w:tc>
        <w:tc>
          <w:tcPr>
            <w:tcW w:w="0" w:type="auto"/>
            <w:shd w:val="clear" w:color="auto" w:fill="auto"/>
          </w:tcPr>
          <w:p w14:paraId="20AE0843" w14:textId="77777777" w:rsidR="00B626E7" w:rsidRDefault="00B626E7">
            <w:pPr>
              <w:rPr>
                <w:rFonts w:ascii="宋体"/>
              </w:rPr>
            </w:pPr>
          </w:p>
        </w:tc>
        <w:tc>
          <w:tcPr>
            <w:tcW w:w="0" w:type="auto"/>
            <w:shd w:val="clear" w:color="auto" w:fill="auto"/>
          </w:tcPr>
          <w:p w14:paraId="20AE0844" w14:textId="77777777" w:rsidR="00B626E7" w:rsidRDefault="00B626E7">
            <w:pPr>
              <w:rPr>
                <w:rFonts w:ascii="宋体"/>
              </w:rPr>
            </w:pPr>
          </w:p>
        </w:tc>
        <w:tc>
          <w:tcPr>
            <w:tcW w:w="0" w:type="auto"/>
            <w:shd w:val="clear" w:color="auto" w:fill="auto"/>
          </w:tcPr>
          <w:p w14:paraId="20AE0845" w14:textId="77777777" w:rsidR="00B626E7" w:rsidRDefault="00B626E7">
            <w:pPr>
              <w:rPr>
                <w:rFonts w:ascii="宋体"/>
              </w:rPr>
            </w:pPr>
          </w:p>
        </w:tc>
        <w:tc>
          <w:tcPr>
            <w:tcW w:w="0" w:type="auto"/>
            <w:shd w:val="clear" w:color="auto" w:fill="auto"/>
          </w:tcPr>
          <w:p w14:paraId="20AE0846" w14:textId="77777777" w:rsidR="00B626E7" w:rsidRDefault="00B626E7">
            <w:pPr>
              <w:rPr>
                <w:rFonts w:ascii="宋体"/>
              </w:rPr>
            </w:pPr>
          </w:p>
        </w:tc>
        <w:tc>
          <w:tcPr>
            <w:tcW w:w="0" w:type="auto"/>
            <w:shd w:val="clear" w:color="auto" w:fill="auto"/>
          </w:tcPr>
          <w:p w14:paraId="20AE0847" w14:textId="77777777" w:rsidR="00B626E7" w:rsidRDefault="00B626E7">
            <w:pPr>
              <w:rPr>
                <w:rFonts w:ascii="宋体"/>
              </w:rPr>
            </w:pPr>
          </w:p>
        </w:tc>
        <w:tc>
          <w:tcPr>
            <w:tcW w:w="0" w:type="auto"/>
            <w:shd w:val="clear" w:color="auto" w:fill="auto"/>
          </w:tcPr>
          <w:p w14:paraId="20AE0848" w14:textId="77777777" w:rsidR="00B626E7" w:rsidRDefault="00B626E7">
            <w:pPr>
              <w:rPr>
                <w:rFonts w:ascii="宋体"/>
              </w:rPr>
            </w:pPr>
          </w:p>
        </w:tc>
        <w:tc>
          <w:tcPr>
            <w:tcW w:w="0" w:type="auto"/>
            <w:shd w:val="clear" w:color="auto" w:fill="auto"/>
          </w:tcPr>
          <w:p w14:paraId="20AE0849" w14:textId="77777777" w:rsidR="00B626E7" w:rsidRDefault="00B626E7">
            <w:pPr>
              <w:rPr>
                <w:rFonts w:ascii="宋体"/>
              </w:rPr>
            </w:pPr>
          </w:p>
        </w:tc>
        <w:tc>
          <w:tcPr>
            <w:tcW w:w="0" w:type="auto"/>
            <w:shd w:val="clear" w:color="auto" w:fill="auto"/>
          </w:tcPr>
          <w:p w14:paraId="20AE084A" w14:textId="77777777" w:rsidR="00B626E7" w:rsidRDefault="00B626E7">
            <w:pPr>
              <w:rPr>
                <w:rFonts w:ascii="宋体"/>
              </w:rPr>
            </w:pPr>
          </w:p>
        </w:tc>
        <w:tc>
          <w:tcPr>
            <w:tcW w:w="0" w:type="auto"/>
            <w:shd w:val="clear" w:color="auto" w:fill="auto"/>
          </w:tcPr>
          <w:p w14:paraId="20AE084B" w14:textId="77777777" w:rsidR="00B626E7" w:rsidRDefault="00B626E7">
            <w:pPr>
              <w:rPr>
                <w:rFonts w:ascii="宋体"/>
              </w:rPr>
            </w:pPr>
          </w:p>
        </w:tc>
        <w:tc>
          <w:tcPr>
            <w:tcW w:w="0" w:type="auto"/>
            <w:shd w:val="clear" w:color="auto" w:fill="auto"/>
          </w:tcPr>
          <w:p w14:paraId="20AE084C" w14:textId="77777777" w:rsidR="00B626E7" w:rsidRDefault="00B626E7">
            <w:pPr>
              <w:rPr>
                <w:rFonts w:ascii="宋体"/>
              </w:rPr>
            </w:pPr>
          </w:p>
        </w:tc>
        <w:tc>
          <w:tcPr>
            <w:tcW w:w="0" w:type="auto"/>
            <w:shd w:val="clear" w:color="auto" w:fill="auto"/>
          </w:tcPr>
          <w:p w14:paraId="20AE084D" w14:textId="77777777" w:rsidR="00B626E7" w:rsidRDefault="00B626E7">
            <w:pPr>
              <w:rPr>
                <w:rFonts w:ascii="宋体"/>
              </w:rPr>
            </w:pPr>
          </w:p>
        </w:tc>
      </w:tr>
      <w:tr w:rsidR="00B626E7" w14:paraId="20AE0864" w14:textId="77777777">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084F" w14:textId="77777777" w:rsidR="00B626E7" w:rsidRDefault="00175C1D">
            <w:pPr>
              <w:textAlignment w:val="bottom"/>
            </w:pPr>
            <w:r>
              <w:rPr>
                <w:rFonts w:ascii="Arial" w:eastAsia="宋体" w:hAnsi="Arial" w:cs="Arial"/>
                <w:b/>
                <w:bCs/>
                <w:color w:val="333333"/>
                <w:sz w:val="18"/>
                <w:szCs w:val="18"/>
              </w:rPr>
              <w:t xml:space="preserve">Net </w:t>
            </w:r>
            <w:r>
              <w:rPr>
                <w:rFonts w:ascii="Arial" w:eastAsia="宋体" w:hAnsi="Arial" w:cs="Arial"/>
                <w:b/>
                <w:bCs/>
                <w:color w:val="333333"/>
                <w:sz w:val="18"/>
                <w:szCs w:val="18"/>
              </w:rPr>
              <w:t>revenue:</w:t>
            </w:r>
          </w:p>
        </w:tc>
        <w:tc>
          <w:tcPr>
            <w:tcW w:w="0" w:type="auto"/>
            <w:gridSpan w:val="3"/>
            <w:shd w:val="clear" w:color="auto" w:fill="auto"/>
            <w:tcMar>
              <w:left w:w="20" w:type="dxa"/>
              <w:right w:w="20" w:type="dxa"/>
            </w:tcMar>
            <w:vAlign w:val="bottom"/>
          </w:tcPr>
          <w:p w14:paraId="20AE0850"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0851"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852"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0853"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854"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0855"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856"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0857" w14:textId="77777777" w:rsidR="00B626E7" w:rsidRDefault="00B626E7">
            <w:pPr>
              <w:rPr>
                <w:rFonts w:ascii="宋体"/>
              </w:rPr>
            </w:pPr>
          </w:p>
        </w:tc>
        <w:tc>
          <w:tcPr>
            <w:tcW w:w="0" w:type="auto"/>
            <w:shd w:val="clear" w:color="auto" w:fill="auto"/>
          </w:tcPr>
          <w:p w14:paraId="20AE0858" w14:textId="77777777" w:rsidR="00B626E7" w:rsidRDefault="00B626E7">
            <w:pPr>
              <w:rPr>
                <w:rFonts w:ascii="宋体"/>
              </w:rPr>
            </w:pPr>
          </w:p>
        </w:tc>
        <w:tc>
          <w:tcPr>
            <w:tcW w:w="0" w:type="auto"/>
            <w:shd w:val="clear" w:color="auto" w:fill="auto"/>
          </w:tcPr>
          <w:p w14:paraId="20AE0859" w14:textId="77777777" w:rsidR="00B626E7" w:rsidRDefault="00B626E7">
            <w:pPr>
              <w:rPr>
                <w:rFonts w:ascii="宋体"/>
              </w:rPr>
            </w:pPr>
          </w:p>
        </w:tc>
        <w:tc>
          <w:tcPr>
            <w:tcW w:w="0" w:type="auto"/>
            <w:shd w:val="clear" w:color="auto" w:fill="auto"/>
          </w:tcPr>
          <w:p w14:paraId="20AE085A" w14:textId="77777777" w:rsidR="00B626E7" w:rsidRDefault="00B626E7">
            <w:pPr>
              <w:rPr>
                <w:rFonts w:ascii="宋体"/>
              </w:rPr>
            </w:pPr>
          </w:p>
        </w:tc>
        <w:tc>
          <w:tcPr>
            <w:tcW w:w="0" w:type="auto"/>
            <w:shd w:val="clear" w:color="auto" w:fill="auto"/>
          </w:tcPr>
          <w:p w14:paraId="20AE085B" w14:textId="77777777" w:rsidR="00B626E7" w:rsidRDefault="00B626E7">
            <w:pPr>
              <w:rPr>
                <w:rFonts w:ascii="宋体"/>
              </w:rPr>
            </w:pPr>
          </w:p>
        </w:tc>
        <w:tc>
          <w:tcPr>
            <w:tcW w:w="0" w:type="auto"/>
            <w:shd w:val="clear" w:color="auto" w:fill="auto"/>
          </w:tcPr>
          <w:p w14:paraId="20AE085C" w14:textId="77777777" w:rsidR="00B626E7" w:rsidRDefault="00B626E7">
            <w:pPr>
              <w:rPr>
                <w:rFonts w:ascii="宋体"/>
              </w:rPr>
            </w:pPr>
          </w:p>
        </w:tc>
        <w:tc>
          <w:tcPr>
            <w:tcW w:w="0" w:type="auto"/>
            <w:shd w:val="clear" w:color="auto" w:fill="auto"/>
          </w:tcPr>
          <w:p w14:paraId="20AE085D" w14:textId="77777777" w:rsidR="00B626E7" w:rsidRDefault="00B626E7">
            <w:pPr>
              <w:rPr>
                <w:rFonts w:ascii="宋体"/>
              </w:rPr>
            </w:pPr>
          </w:p>
        </w:tc>
        <w:tc>
          <w:tcPr>
            <w:tcW w:w="0" w:type="auto"/>
            <w:shd w:val="clear" w:color="auto" w:fill="auto"/>
          </w:tcPr>
          <w:p w14:paraId="20AE085E" w14:textId="77777777" w:rsidR="00B626E7" w:rsidRDefault="00B626E7">
            <w:pPr>
              <w:rPr>
                <w:rFonts w:ascii="宋体"/>
              </w:rPr>
            </w:pPr>
          </w:p>
        </w:tc>
        <w:tc>
          <w:tcPr>
            <w:tcW w:w="0" w:type="auto"/>
            <w:shd w:val="clear" w:color="auto" w:fill="auto"/>
          </w:tcPr>
          <w:p w14:paraId="20AE085F" w14:textId="77777777" w:rsidR="00B626E7" w:rsidRDefault="00B626E7">
            <w:pPr>
              <w:rPr>
                <w:rFonts w:ascii="宋体"/>
              </w:rPr>
            </w:pPr>
          </w:p>
        </w:tc>
        <w:tc>
          <w:tcPr>
            <w:tcW w:w="0" w:type="auto"/>
            <w:shd w:val="clear" w:color="auto" w:fill="auto"/>
          </w:tcPr>
          <w:p w14:paraId="20AE0860" w14:textId="77777777" w:rsidR="00B626E7" w:rsidRDefault="00B626E7">
            <w:pPr>
              <w:rPr>
                <w:rFonts w:ascii="宋体"/>
              </w:rPr>
            </w:pPr>
          </w:p>
        </w:tc>
        <w:tc>
          <w:tcPr>
            <w:tcW w:w="0" w:type="auto"/>
            <w:shd w:val="clear" w:color="auto" w:fill="auto"/>
          </w:tcPr>
          <w:p w14:paraId="20AE0861" w14:textId="77777777" w:rsidR="00B626E7" w:rsidRDefault="00B626E7">
            <w:pPr>
              <w:rPr>
                <w:rFonts w:ascii="宋体"/>
              </w:rPr>
            </w:pPr>
          </w:p>
        </w:tc>
        <w:tc>
          <w:tcPr>
            <w:tcW w:w="0" w:type="auto"/>
            <w:shd w:val="clear" w:color="auto" w:fill="auto"/>
          </w:tcPr>
          <w:p w14:paraId="20AE0862" w14:textId="77777777" w:rsidR="00B626E7" w:rsidRDefault="00B626E7">
            <w:pPr>
              <w:rPr>
                <w:rFonts w:ascii="宋体"/>
              </w:rPr>
            </w:pPr>
          </w:p>
        </w:tc>
        <w:tc>
          <w:tcPr>
            <w:tcW w:w="0" w:type="auto"/>
            <w:shd w:val="clear" w:color="auto" w:fill="auto"/>
          </w:tcPr>
          <w:p w14:paraId="20AE0863" w14:textId="77777777" w:rsidR="00B626E7" w:rsidRDefault="00B626E7">
            <w:pPr>
              <w:rPr>
                <w:rFonts w:ascii="宋体"/>
              </w:rPr>
            </w:pPr>
          </w:p>
        </w:tc>
      </w:tr>
      <w:tr w:rsidR="00B626E7" w14:paraId="20AE087A" w14:textId="77777777">
        <w:tc>
          <w:tcPr>
            <w:tcW w:w="0" w:type="auto"/>
            <w:gridSpan w:val="3"/>
            <w:shd w:val="clear" w:color="auto" w:fill="auto"/>
            <w:tcMar>
              <w:top w:w="40" w:type="dxa"/>
              <w:left w:w="195" w:type="dxa"/>
              <w:bottom w:w="40" w:type="dxa"/>
              <w:right w:w="20" w:type="dxa"/>
            </w:tcMar>
            <w:vAlign w:val="bottom"/>
          </w:tcPr>
          <w:p w14:paraId="20AE0865" w14:textId="77777777" w:rsidR="00B626E7" w:rsidRDefault="00175C1D">
            <w:pPr>
              <w:textAlignment w:val="bottom"/>
            </w:pPr>
            <w:r>
              <w:rPr>
                <w:rFonts w:ascii="Arial" w:eastAsia="宋体" w:hAnsi="Arial" w:cs="Arial"/>
                <w:b/>
                <w:bCs/>
                <w:color w:val="333333"/>
                <w:sz w:val="18"/>
                <w:szCs w:val="18"/>
              </w:rPr>
              <w:t>Data Center Group</w:t>
            </w:r>
          </w:p>
        </w:tc>
        <w:tc>
          <w:tcPr>
            <w:tcW w:w="0" w:type="auto"/>
            <w:gridSpan w:val="3"/>
            <w:shd w:val="clear" w:color="auto" w:fill="auto"/>
            <w:tcMar>
              <w:left w:w="20" w:type="dxa"/>
              <w:right w:w="20" w:type="dxa"/>
            </w:tcMar>
            <w:vAlign w:val="bottom"/>
          </w:tcPr>
          <w:p w14:paraId="20AE0866"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867"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868"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869"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86A"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86B"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86C"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86D" w14:textId="77777777" w:rsidR="00B626E7" w:rsidRDefault="00B626E7">
            <w:pPr>
              <w:rPr>
                <w:rFonts w:ascii="宋体"/>
              </w:rPr>
            </w:pPr>
          </w:p>
        </w:tc>
        <w:tc>
          <w:tcPr>
            <w:tcW w:w="0" w:type="auto"/>
            <w:shd w:val="clear" w:color="auto" w:fill="auto"/>
          </w:tcPr>
          <w:p w14:paraId="20AE086E" w14:textId="77777777" w:rsidR="00B626E7" w:rsidRDefault="00B626E7">
            <w:pPr>
              <w:rPr>
                <w:rFonts w:ascii="宋体"/>
              </w:rPr>
            </w:pPr>
          </w:p>
        </w:tc>
        <w:tc>
          <w:tcPr>
            <w:tcW w:w="0" w:type="auto"/>
            <w:shd w:val="clear" w:color="auto" w:fill="auto"/>
          </w:tcPr>
          <w:p w14:paraId="20AE086F" w14:textId="77777777" w:rsidR="00B626E7" w:rsidRDefault="00B626E7">
            <w:pPr>
              <w:rPr>
                <w:rFonts w:ascii="宋体"/>
              </w:rPr>
            </w:pPr>
          </w:p>
        </w:tc>
        <w:tc>
          <w:tcPr>
            <w:tcW w:w="0" w:type="auto"/>
            <w:shd w:val="clear" w:color="auto" w:fill="auto"/>
          </w:tcPr>
          <w:p w14:paraId="20AE0870" w14:textId="77777777" w:rsidR="00B626E7" w:rsidRDefault="00B626E7">
            <w:pPr>
              <w:rPr>
                <w:rFonts w:ascii="宋体"/>
              </w:rPr>
            </w:pPr>
          </w:p>
        </w:tc>
        <w:tc>
          <w:tcPr>
            <w:tcW w:w="0" w:type="auto"/>
            <w:shd w:val="clear" w:color="auto" w:fill="auto"/>
          </w:tcPr>
          <w:p w14:paraId="20AE0871" w14:textId="77777777" w:rsidR="00B626E7" w:rsidRDefault="00B626E7">
            <w:pPr>
              <w:rPr>
                <w:rFonts w:ascii="宋体"/>
              </w:rPr>
            </w:pPr>
          </w:p>
        </w:tc>
        <w:tc>
          <w:tcPr>
            <w:tcW w:w="0" w:type="auto"/>
            <w:shd w:val="clear" w:color="auto" w:fill="auto"/>
          </w:tcPr>
          <w:p w14:paraId="20AE0872" w14:textId="77777777" w:rsidR="00B626E7" w:rsidRDefault="00B626E7">
            <w:pPr>
              <w:rPr>
                <w:rFonts w:ascii="宋体"/>
              </w:rPr>
            </w:pPr>
          </w:p>
        </w:tc>
        <w:tc>
          <w:tcPr>
            <w:tcW w:w="0" w:type="auto"/>
            <w:shd w:val="clear" w:color="auto" w:fill="auto"/>
          </w:tcPr>
          <w:p w14:paraId="20AE0873" w14:textId="77777777" w:rsidR="00B626E7" w:rsidRDefault="00B626E7">
            <w:pPr>
              <w:rPr>
                <w:rFonts w:ascii="宋体"/>
              </w:rPr>
            </w:pPr>
          </w:p>
        </w:tc>
        <w:tc>
          <w:tcPr>
            <w:tcW w:w="0" w:type="auto"/>
            <w:shd w:val="clear" w:color="auto" w:fill="auto"/>
          </w:tcPr>
          <w:p w14:paraId="20AE0874" w14:textId="77777777" w:rsidR="00B626E7" w:rsidRDefault="00B626E7">
            <w:pPr>
              <w:rPr>
                <w:rFonts w:ascii="宋体"/>
              </w:rPr>
            </w:pPr>
          </w:p>
        </w:tc>
        <w:tc>
          <w:tcPr>
            <w:tcW w:w="0" w:type="auto"/>
            <w:shd w:val="clear" w:color="auto" w:fill="auto"/>
          </w:tcPr>
          <w:p w14:paraId="20AE0875" w14:textId="77777777" w:rsidR="00B626E7" w:rsidRDefault="00B626E7">
            <w:pPr>
              <w:rPr>
                <w:rFonts w:ascii="宋体"/>
              </w:rPr>
            </w:pPr>
          </w:p>
        </w:tc>
        <w:tc>
          <w:tcPr>
            <w:tcW w:w="0" w:type="auto"/>
            <w:shd w:val="clear" w:color="auto" w:fill="auto"/>
          </w:tcPr>
          <w:p w14:paraId="20AE0876" w14:textId="77777777" w:rsidR="00B626E7" w:rsidRDefault="00B626E7">
            <w:pPr>
              <w:rPr>
                <w:rFonts w:ascii="宋体"/>
              </w:rPr>
            </w:pPr>
          </w:p>
        </w:tc>
        <w:tc>
          <w:tcPr>
            <w:tcW w:w="0" w:type="auto"/>
            <w:shd w:val="clear" w:color="auto" w:fill="auto"/>
          </w:tcPr>
          <w:p w14:paraId="20AE0877" w14:textId="77777777" w:rsidR="00B626E7" w:rsidRDefault="00B626E7">
            <w:pPr>
              <w:rPr>
                <w:rFonts w:ascii="宋体"/>
              </w:rPr>
            </w:pPr>
          </w:p>
        </w:tc>
        <w:tc>
          <w:tcPr>
            <w:tcW w:w="0" w:type="auto"/>
            <w:shd w:val="clear" w:color="auto" w:fill="auto"/>
          </w:tcPr>
          <w:p w14:paraId="20AE0878" w14:textId="77777777" w:rsidR="00B626E7" w:rsidRDefault="00B626E7">
            <w:pPr>
              <w:rPr>
                <w:rFonts w:ascii="宋体"/>
              </w:rPr>
            </w:pPr>
          </w:p>
        </w:tc>
        <w:tc>
          <w:tcPr>
            <w:tcW w:w="0" w:type="auto"/>
            <w:shd w:val="clear" w:color="auto" w:fill="auto"/>
          </w:tcPr>
          <w:p w14:paraId="20AE0879" w14:textId="77777777" w:rsidR="00B626E7" w:rsidRDefault="00B626E7">
            <w:pPr>
              <w:rPr>
                <w:rFonts w:ascii="宋体"/>
              </w:rPr>
            </w:pPr>
          </w:p>
        </w:tc>
      </w:tr>
      <w:tr w:rsidR="00B626E7" w14:paraId="20AE0898" w14:textId="77777777">
        <w:tc>
          <w:tcPr>
            <w:tcW w:w="0" w:type="auto"/>
            <w:gridSpan w:val="3"/>
            <w:shd w:val="clear" w:color="auto" w:fill="auto"/>
            <w:tcMar>
              <w:top w:w="40" w:type="dxa"/>
              <w:left w:w="285" w:type="dxa"/>
              <w:bottom w:w="40" w:type="dxa"/>
              <w:right w:w="20" w:type="dxa"/>
            </w:tcMar>
            <w:vAlign w:val="bottom"/>
          </w:tcPr>
          <w:p w14:paraId="20AE087B" w14:textId="77777777" w:rsidR="00B626E7" w:rsidRDefault="00175C1D">
            <w:pPr>
              <w:textAlignment w:val="bottom"/>
            </w:pPr>
            <w:r>
              <w:rPr>
                <w:rFonts w:ascii="Arial" w:eastAsia="宋体" w:hAnsi="Arial" w:cs="Arial"/>
                <w:color w:val="333333"/>
                <w:sz w:val="18"/>
                <w:szCs w:val="18"/>
              </w:rPr>
              <w:t>Platform</w:t>
            </w:r>
          </w:p>
        </w:tc>
        <w:tc>
          <w:tcPr>
            <w:tcW w:w="0" w:type="auto"/>
            <w:gridSpan w:val="3"/>
            <w:shd w:val="clear" w:color="auto" w:fill="auto"/>
            <w:tcMar>
              <w:left w:w="20" w:type="dxa"/>
              <w:right w:w="20" w:type="dxa"/>
            </w:tcMar>
            <w:vAlign w:val="bottom"/>
          </w:tcPr>
          <w:p w14:paraId="20AE087C"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087D" w14:textId="77777777" w:rsidR="00B626E7" w:rsidRDefault="00175C1D">
            <w:pPr>
              <w:textAlignment w:val="bottom"/>
            </w:pPr>
            <w:r>
              <w:rPr>
                <w:rFonts w:ascii="Arial" w:eastAsia="宋体" w:hAnsi="Arial" w:cs="Arial"/>
                <w:color w:val="0071C5"/>
                <w:sz w:val="18"/>
                <w:szCs w:val="18"/>
              </w:rPr>
              <w:t>$</w:t>
            </w:r>
          </w:p>
        </w:tc>
        <w:tc>
          <w:tcPr>
            <w:tcW w:w="0" w:type="auto"/>
            <w:shd w:val="clear" w:color="auto" w:fill="auto"/>
            <w:tcMar>
              <w:top w:w="40" w:type="dxa"/>
              <w:bottom w:w="40" w:type="dxa"/>
              <w:right w:w="0" w:type="dxa"/>
            </w:tcMar>
            <w:vAlign w:val="bottom"/>
          </w:tcPr>
          <w:p w14:paraId="20AE087E" w14:textId="77777777" w:rsidR="00B626E7" w:rsidRDefault="00175C1D">
            <w:pPr>
              <w:jc w:val="right"/>
              <w:textAlignment w:val="bottom"/>
            </w:pPr>
            <w:r>
              <w:rPr>
                <w:rFonts w:ascii="Arial" w:eastAsia="宋体" w:hAnsi="Arial" w:cs="Arial"/>
                <w:color w:val="0071C5"/>
                <w:sz w:val="18"/>
                <w:szCs w:val="18"/>
              </w:rPr>
              <w:t>6,181 </w:t>
            </w:r>
          </w:p>
        </w:tc>
        <w:tc>
          <w:tcPr>
            <w:tcW w:w="0" w:type="auto"/>
            <w:shd w:val="clear" w:color="auto" w:fill="auto"/>
            <w:tcMar>
              <w:top w:w="40" w:type="dxa"/>
              <w:bottom w:w="40" w:type="dxa"/>
              <w:right w:w="20" w:type="dxa"/>
            </w:tcMar>
            <w:vAlign w:val="bottom"/>
          </w:tcPr>
          <w:p w14:paraId="20AE087F"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880"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0881" w14:textId="77777777" w:rsidR="00B626E7" w:rsidRDefault="00175C1D">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20AE0882" w14:textId="77777777" w:rsidR="00B626E7" w:rsidRDefault="00175C1D">
            <w:pPr>
              <w:jc w:val="right"/>
              <w:textAlignment w:val="bottom"/>
            </w:pPr>
            <w:r>
              <w:rPr>
                <w:rFonts w:ascii="Arial" w:eastAsia="宋体" w:hAnsi="Arial" w:cs="Arial"/>
                <w:color w:val="333333"/>
                <w:sz w:val="18"/>
                <w:szCs w:val="18"/>
              </w:rPr>
              <w:t>4,553 </w:t>
            </w:r>
          </w:p>
        </w:tc>
        <w:tc>
          <w:tcPr>
            <w:tcW w:w="0" w:type="auto"/>
            <w:shd w:val="clear" w:color="auto" w:fill="auto"/>
            <w:tcMar>
              <w:top w:w="40" w:type="dxa"/>
              <w:bottom w:w="40" w:type="dxa"/>
              <w:right w:w="20" w:type="dxa"/>
            </w:tcMar>
            <w:vAlign w:val="bottom"/>
          </w:tcPr>
          <w:p w14:paraId="20AE0883"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884"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0885" w14:textId="77777777" w:rsidR="00B626E7" w:rsidRDefault="00175C1D">
            <w:pPr>
              <w:textAlignment w:val="bottom"/>
            </w:pPr>
            <w:r>
              <w:rPr>
                <w:rFonts w:ascii="Arial" w:eastAsia="宋体" w:hAnsi="Arial" w:cs="Arial"/>
                <w:color w:val="0071C5"/>
                <w:sz w:val="18"/>
                <w:szCs w:val="18"/>
              </w:rPr>
              <w:t>$</w:t>
            </w:r>
          </w:p>
        </w:tc>
        <w:tc>
          <w:tcPr>
            <w:tcW w:w="0" w:type="auto"/>
            <w:shd w:val="clear" w:color="auto" w:fill="auto"/>
            <w:tcMar>
              <w:top w:w="40" w:type="dxa"/>
              <w:bottom w:w="40" w:type="dxa"/>
              <w:right w:w="0" w:type="dxa"/>
            </w:tcMar>
            <w:vAlign w:val="bottom"/>
          </w:tcPr>
          <w:p w14:paraId="20AE0886" w14:textId="77777777" w:rsidR="00B626E7" w:rsidRDefault="00175C1D">
            <w:pPr>
              <w:jc w:val="right"/>
              <w:textAlignment w:val="bottom"/>
            </w:pPr>
            <w:r>
              <w:rPr>
                <w:rFonts w:ascii="Arial" w:eastAsia="宋体" w:hAnsi="Arial" w:cs="Arial"/>
                <w:color w:val="0071C5"/>
                <w:sz w:val="18"/>
                <w:szCs w:val="18"/>
              </w:rPr>
              <w:t>12,608 </w:t>
            </w:r>
          </w:p>
        </w:tc>
        <w:tc>
          <w:tcPr>
            <w:tcW w:w="0" w:type="auto"/>
            <w:shd w:val="clear" w:color="auto" w:fill="auto"/>
            <w:tcMar>
              <w:top w:w="40" w:type="dxa"/>
              <w:bottom w:w="40" w:type="dxa"/>
              <w:right w:w="20" w:type="dxa"/>
            </w:tcMar>
            <w:vAlign w:val="bottom"/>
          </w:tcPr>
          <w:p w14:paraId="20AE0887"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888"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0889" w14:textId="77777777" w:rsidR="00B626E7" w:rsidRDefault="00175C1D">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20AE088A" w14:textId="77777777" w:rsidR="00B626E7" w:rsidRDefault="00175C1D">
            <w:pPr>
              <w:jc w:val="right"/>
              <w:textAlignment w:val="bottom"/>
            </w:pPr>
            <w:r>
              <w:rPr>
                <w:rFonts w:ascii="Arial" w:eastAsia="宋体" w:hAnsi="Arial" w:cs="Arial"/>
                <w:color w:val="333333"/>
                <w:sz w:val="18"/>
                <w:szCs w:val="18"/>
              </w:rPr>
              <w:t>9,035 </w:t>
            </w:r>
          </w:p>
        </w:tc>
        <w:tc>
          <w:tcPr>
            <w:tcW w:w="0" w:type="auto"/>
            <w:shd w:val="clear" w:color="auto" w:fill="auto"/>
            <w:tcMar>
              <w:top w:w="40" w:type="dxa"/>
              <w:bottom w:w="40" w:type="dxa"/>
              <w:right w:w="20" w:type="dxa"/>
            </w:tcMar>
            <w:vAlign w:val="bottom"/>
          </w:tcPr>
          <w:p w14:paraId="20AE088B"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088C" w14:textId="77777777" w:rsidR="00B626E7" w:rsidRDefault="00B626E7">
            <w:pPr>
              <w:rPr>
                <w:rFonts w:ascii="宋体"/>
              </w:rPr>
            </w:pPr>
          </w:p>
        </w:tc>
        <w:tc>
          <w:tcPr>
            <w:tcW w:w="0" w:type="auto"/>
            <w:shd w:val="clear" w:color="auto" w:fill="auto"/>
          </w:tcPr>
          <w:p w14:paraId="20AE088D" w14:textId="77777777" w:rsidR="00B626E7" w:rsidRDefault="00B626E7">
            <w:pPr>
              <w:rPr>
                <w:rFonts w:ascii="宋体"/>
              </w:rPr>
            </w:pPr>
          </w:p>
        </w:tc>
        <w:tc>
          <w:tcPr>
            <w:tcW w:w="0" w:type="auto"/>
            <w:shd w:val="clear" w:color="auto" w:fill="auto"/>
          </w:tcPr>
          <w:p w14:paraId="20AE088E" w14:textId="77777777" w:rsidR="00B626E7" w:rsidRDefault="00B626E7">
            <w:pPr>
              <w:rPr>
                <w:rFonts w:ascii="宋体"/>
              </w:rPr>
            </w:pPr>
          </w:p>
        </w:tc>
        <w:tc>
          <w:tcPr>
            <w:tcW w:w="0" w:type="auto"/>
            <w:shd w:val="clear" w:color="auto" w:fill="auto"/>
          </w:tcPr>
          <w:p w14:paraId="20AE088F" w14:textId="77777777" w:rsidR="00B626E7" w:rsidRDefault="00B626E7">
            <w:pPr>
              <w:rPr>
                <w:rFonts w:ascii="宋体"/>
              </w:rPr>
            </w:pPr>
          </w:p>
        </w:tc>
        <w:tc>
          <w:tcPr>
            <w:tcW w:w="0" w:type="auto"/>
            <w:shd w:val="clear" w:color="auto" w:fill="auto"/>
          </w:tcPr>
          <w:p w14:paraId="20AE0890" w14:textId="77777777" w:rsidR="00B626E7" w:rsidRDefault="00B626E7">
            <w:pPr>
              <w:rPr>
                <w:rFonts w:ascii="宋体"/>
              </w:rPr>
            </w:pPr>
          </w:p>
        </w:tc>
        <w:tc>
          <w:tcPr>
            <w:tcW w:w="0" w:type="auto"/>
            <w:shd w:val="clear" w:color="auto" w:fill="auto"/>
          </w:tcPr>
          <w:p w14:paraId="20AE0891" w14:textId="77777777" w:rsidR="00B626E7" w:rsidRDefault="00B626E7">
            <w:pPr>
              <w:rPr>
                <w:rFonts w:ascii="宋体"/>
              </w:rPr>
            </w:pPr>
          </w:p>
        </w:tc>
        <w:tc>
          <w:tcPr>
            <w:tcW w:w="0" w:type="auto"/>
            <w:shd w:val="clear" w:color="auto" w:fill="auto"/>
          </w:tcPr>
          <w:p w14:paraId="20AE0892" w14:textId="77777777" w:rsidR="00B626E7" w:rsidRDefault="00B626E7">
            <w:pPr>
              <w:rPr>
                <w:rFonts w:ascii="宋体"/>
              </w:rPr>
            </w:pPr>
          </w:p>
        </w:tc>
        <w:tc>
          <w:tcPr>
            <w:tcW w:w="0" w:type="auto"/>
            <w:shd w:val="clear" w:color="auto" w:fill="auto"/>
          </w:tcPr>
          <w:p w14:paraId="20AE0893" w14:textId="77777777" w:rsidR="00B626E7" w:rsidRDefault="00B626E7">
            <w:pPr>
              <w:rPr>
                <w:rFonts w:ascii="宋体"/>
              </w:rPr>
            </w:pPr>
          </w:p>
        </w:tc>
        <w:tc>
          <w:tcPr>
            <w:tcW w:w="0" w:type="auto"/>
            <w:shd w:val="clear" w:color="auto" w:fill="auto"/>
          </w:tcPr>
          <w:p w14:paraId="20AE0894" w14:textId="77777777" w:rsidR="00B626E7" w:rsidRDefault="00B626E7">
            <w:pPr>
              <w:rPr>
                <w:rFonts w:ascii="宋体"/>
              </w:rPr>
            </w:pPr>
          </w:p>
        </w:tc>
        <w:tc>
          <w:tcPr>
            <w:tcW w:w="0" w:type="auto"/>
            <w:shd w:val="clear" w:color="auto" w:fill="auto"/>
          </w:tcPr>
          <w:p w14:paraId="20AE0895" w14:textId="77777777" w:rsidR="00B626E7" w:rsidRDefault="00B626E7">
            <w:pPr>
              <w:rPr>
                <w:rFonts w:ascii="宋体"/>
              </w:rPr>
            </w:pPr>
          </w:p>
        </w:tc>
        <w:tc>
          <w:tcPr>
            <w:tcW w:w="0" w:type="auto"/>
            <w:shd w:val="clear" w:color="auto" w:fill="auto"/>
          </w:tcPr>
          <w:p w14:paraId="20AE0896" w14:textId="77777777" w:rsidR="00B626E7" w:rsidRDefault="00B626E7">
            <w:pPr>
              <w:rPr>
                <w:rFonts w:ascii="宋体"/>
              </w:rPr>
            </w:pPr>
          </w:p>
        </w:tc>
        <w:tc>
          <w:tcPr>
            <w:tcW w:w="0" w:type="auto"/>
            <w:shd w:val="clear" w:color="auto" w:fill="auto"/>
          </w:tcPr>
          <w:p w14:paraId="20AE0897" w14:textId="77777777" w:rsidR="00B626E7" w:rsidRDefault="00B626E7">
            <w:pPr>
              <w:rPr>
                <w:rFonts w:ascii="宋体"/>
              </w:rPr>
            </w:pPr>
          </w:p>
        </w:tc>
      </w:tr>
      <w:tr w:rsidR="00B626E7" w14:paraId="20AE08B2" w14:textId="77777777">
        <w:tc>
          <w:tcPr>
            <w:tcW w:w="0" w:type="auto"/>
            <w:gridSpan w:val="3"/>
            <w:shd w:val="clear" w:color="auto" w:fill="auto"/>
            <w:tcMar>
              <w:top w:w="40" w:type="dxa"/>
              <w:left w:w="285" w:type="dxa"/>
              <w:bottom w:w="40" w:type="dxa"/>
              <w:right w:w="20" w:type="dxa"/>
            </w:tcMar>
            <w:vAlign w:val="bottom"/>
          </w:tcPr>
          <w:p w14:paraId="20AE0899" w14:textId="77777777" w:rsidR="00B626E7" w:rsidRDefault="00175C1D">
            <w:pPr>
              <w:textAlignment w:val="bottom"/>
            </w:pPr>
            <w:r>
              <w:rPr>
                <w:rFonts w:ascii="Arial" w:eastAsia="宋体" w:hAnsi="Arial" w:cs="Arial"/>
                <w:color w:val="333333"/>
                <w:sz w:val="18"/>
                <w:szCs w:val="18"/>
              </w:rPr>
              <w:t>Adjacent</w:t>
            </w:r>
          </w:p>
        </w:tc>
        <w:tc>
          <w:tcPr>
            <w:tcW w:w="0" w:type="auto"/>
            <w:gridSpan w:val="3"/>
            <w:shd w:val="clear" w:color="auto" w:fill="auto"/>
            <w:tcMar>
              <w:left w:w="20" w:type="dxa"/>
              <w:right w:w="20" w:type="dxa"/>
            </w:tcMar>
            <w:vAlign w:val="bottom"/>
          </w:tcPr>
          <w:p w14:paraId="20AE089A"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89B" w14:textId="77777777" w:rsidR="00B626E7" w:rsidRDefault="00175C1D">
            <w:pPr>
              <w:jc w:val="right"/>
              <w:textAlignment w:val="bottom"/>
            </w:pPr>
            <w:r>
              <w:rPr>
                <w:rFonts w:ascii="Arial" w:eastAsia="宋体" w:hAnsi="Arial" w:cs="Arial"/>
                <w:color w:val="026DCE"/>
                <w:sz w:val="18"/>
                <w:szCs w:val="18"/>
              </w:rPr>
              <w:t>936 </w:t>
            </w:r>
          </w:p>
        </w:tc>
        <w:tc>
          <w:tcPr>
            <w:tcW w:w="0" w:type="auto"/>
            <w:shd w:val="clear" w:color="auto" w:fill="auto"/>
            <w:tcMar>
              <w:top w:w="40" w:type="dxa"/>
              <w:bottom w:w="40" w:type="dxa"/>
              <w:right w:w="20" w:type="dxa"/>
            </w:tcMar>
            <w:vAlign w:val="bottom"/>
          </w:tcPr>
          <w:p w14:paraId="20AE089C"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089D"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89E" w14:textId="77777777" w:rsidR="00B626E7" w:rsidRDefault="00175C1D">
            <w:pPr>
              <w:jc w:val="right"/>
              <w:textAlignment w:val="bottom"/>
            </w:pPr>
            <w:r>
              <w:rPr>
                <w:rFonts w:ascii="Arial" w:eastAsia="宋体" w:hAnsi="Arial" w:cs="Arial"/>
                <w:color w:val="333333"/>
                <w:sz w:val="18"/>
                <w:szCs w:val="18"/>
              </w:rPr>
              <w:t>430 </w:t>
            </w:r>
          </w:p>
        </w:tc>
        <w:tc>
          <w:tcPr>
            <w:tcW w:w="0" w:type="auto"/>
            <w:shd w:val="clear" w:color="auto" w:fill="auto"/>
            <w:tcMar>
              <w:top w:w="40" w:type="dxa"/>
              <w:bottom w:w="40" w:type="dxa"/>
              <w:right w:w="20" w:type="dxa"/>
            </w:tcMar>
            <w:vAlign w:val="bottom"/>
          </w:tcPr>
          <w:p w14:paraId="20AE089F"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8A0"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8A1" w14:textId="77777777" w:rsidR="00B626E7" w:rsidRDefault="00175C1D">
            <w:pPr>
              <w:jc w:val="right"/>
              <w:textAlignment w:val="bottom"/>
            </w:pPr>
            <w:r>
              <w:rPr>
                <w:rFonts w:ascii="Arial" w:eastAsia="宋体" w:hAnsi="Arial" w:cs="Arial"/>
                <w:color w:val="0071C5"/>
                <w:sz w:val="18"/>
                <w:szCs w:val="18"/>
              </w:rPr>
              <w:t>1,502 </w:t>
            </w:r>
          </w:p>
        </w:tc>
        <w:tc>
          <w:tcPr>
            <w:tcW w:w="0" w:type="auto"/>
            <w:shd w:val="clear" w:color="auto" w:fill="auto"/>
            <w:tcMar>
              <w:top w:w="40" w:type="dxa"/>
              <w:bottom w:w="40" w:type="dxa"/>
              <w:right w:w="20" w:type="dxa"/>
            </w:tcMar>
            <w:vAlign w:val="bottom"/>
          </w:tcPr>
          <w:p w14:paraId="20AE08A2"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8A3"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8A4" w14:textId="77777777" w:rsidR="00B626E7" w:rsidRDefault="00175C1D">
            <w:pPr>
              <w:jc w:val="right"/>
              <w:textAlignment w:val="bottom"/>
            </w:pPr>
            <w:r>
              <w:rPr>
                <w:rFonts w:ascii="Arial" w:eastAsia="宋体" w:hAnsi="Arial" w:cs="Arial"/>
                <w:color w:val="333333"/>
                <w:sz w:val="18"/>
                <w:szCs w:val="18"/>
              </w:rPr>
              <w:t>850 </w:t>
            </w:r>
          </w:p>
        </w:tc>
        <w:tc>
          <w:tcPr>
            <w:tcW w:w="0" w:type="auto"/>
            <w:shd w:val="clear" w:color="auto" w:fill="auto"/>
            <w:tcMar>
              <w:top w:w="40" w:type="dxa"/>
              <w:bottom w:w="40" w:type="dxa"/>
              <w:right w:w="20" w:type="dxa"/>
            </w:tcMar>
            <w:vAlign w:val="bottom"/>
          </w:tcPr>
          <w:p w14:paraId="20AE08A5"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08A6" w14:textId="77777777" w:rsidR="00B626E7" w:rsidRDefault="00B626E7">
            <w:pPr>
              <w:rPr>
                <w:rFonts w:ascii="宋体"/>
              </w:rPr>
            </w:pPr>
          </w:p>
        </w:tc>
        <w:tc>
          <w:tcPr>
            <w:tcW w:w="0" w:type="auto"/>
            <w:shd w:val="clear" w:color="auto" w:fill="auto"/>
          </w:tcPr>
          <w:p w14:paraId="20AE08A7" w14:textId="77777777" w:rsidR="00B626E7" w:rsidRDefault="00B626E7">
            <w:pPr>
              <w:rPr>
                <w:rFonts w:ascii="宋体"/>
              </w:rPr>
            </w:pPr>
          </w:p>
        </w:tc>
        <w:tc>
          <w:tcPr>
            <w:tcW w:w="0" w:type="auto"/>
            <w:shd w:val="clear" w:color="auto" w:fill="auto"/>
          </w:tcPr>
          <w:p w14:paraId="20AE08A8" w14:textId="77777777" w:rsidR="00B626E7" w:rsidRDefault="00B626E7">
            <w:pPr>
              <w:rPr>
                <w:rFonts w:ascii="宋体"/>
              </w:rPr>
            </w:pPr>
          </w:p>
        </w:tc>
        <w:tc>
          <w:tcPr>
            <w:tcW w:w="0" w:type="auto"/>
            <w:shd w:val="clear" w:color="auto" w:fill="auto"/>
          </w:tcPr>
          <w:p w14:paraId="20AE08A9" w14:textId="77777777" w:rsidR="00B626E7" w:rsidRDefault="00B626E7">
            <w:pPr>
              <w:rPr>
                <w:rFonts w:ascii="宋体"/>
              </w:rPr>
            </w:pPr>
          </w:p>
        </w:tc>
        <w:tc>
          <w:tcPr>
            <w:tcW w:w="0" w:type="auto"/>
            <w:shd w:val="clear" w:color="auto" w:fill="auto"/>
          </w:tcPr>
          <w:p w14:paraId="20AE08AA" w14:textId="77777777" w:rsidR="00B626E7" w:rsidRDefault="00B626E7">
            <w:pPr>
              <w:rPr>
                <w:rFonts w:ascii="宋体"/>
              </w:rPr>
            </w:pPr>
          </w:p>
        </w:tc>
        <w:tc>
          <w:tcPr>
            <w:tcW w:w="0" w:type="auto"/>
            <w:shd w:val="clear" w:color="auto" w:fill="auto"/>
          </w:tcPr>
          <w:p w14:paraId="20AE08AB" w14:textId="77777777" w:rsidR="00B626E7" w:rsidRDefault="00B626E7">
            <w:pPr>
              <w:rPr>
                <w:rFonts w:ascii="宋体"/>
              </w:rPr>
            </w:pPr>
          </w:p>
        </w:tc>
        <w:tc>
          <w:tcPr>
            <w:tcW w:w="0" w:type="auto"/>
            <w:shd w:val="clear" w:color="auto" w:fill="auto"/>
          </w:tcPr>
          <w:p w14:paraId="20AE08AC" w14:textId="77777777" w:rsidR="00B626E7" w:rsidRDefault="00B626E7">
            <w:pPr>
              <w:rPr>
                <w:rFonts w:ascii="宋体"/>
              </w:rPr>
            </w:pPr>
          </w:p>
        </w:tc>
        <w:tc>
          <w:tcPr>
            <w:tcW w:w="0" w:type="auto"/>
            <w:shd w:val="clear" w:color="auto" w:fill="auto"/>
          </w:tcPr>
          <w:p w14:paraId="20AE08AD" w14:textId="77777777" w:rsidR="00B626E7" w:rsidRDefault="00B626E7">
            <w:pPr>
              <w:rPr>
                <w:rFonts w:ascii="宋体"/>
              </w:rPr>
            </w:pPr>
          </w:p>
        </w:tc>
        <w:tc>
          <w:tcPr>
            <w:tcW w:w="0" w:type="auto"/>
            <w:shd w:val="clear" w:color="auto" w:fill="auto"/>
          </w:tcPr>
          <w:p w14:paraId="20AE08AE" w14:textId="77777777" w:rsidR="00B626E7" w:rsidRDefault="00B626E7">
            <w:pPr>
              <w:rPr>
                <w:rFonts w:ascii="宋体"/>
              </w:rPr>
            </w:pPr>
          </w:p>
        </w:tc>
        <w:tc>
          <w:tcPr>
            <w:tcW w:w="0" w:type="auto"/>
            <w:shd w:val="clear" w:color="auto" w:fill="auto"/>
          </w:tcPr>
          <w:p w14:paraId="20AE08AF" w14:textId="77777777" w:rsidR="00B626E7" w:rsidRDefault="00B626E7">
            <w:pPr>
              <w:rPr>
                <w:rFonts w:ascii="宋体"/>
              </w:rPr>
            </w:pPr>
          </w:p>
        </w:tc>
        <w:tc>
          <w:tcPr>
            <w:tcW w:w="0" w:type="auto"/>
            <w:shd w:val="clear" w:color="auto" w:fill="auto"/>
          </w:tcPr>
          <w:p w14:paraId="20AE08B0" w14:textId="77777777" w:rsidR="00B626E7" w:rsidRDefault="00B626E7">
            <w:pPr>
              <w:rPr>
                <w:rFonts w:ascii="宋体"/>
              </w:rPr>
            </w:pPr>
          </w:p>
        </w:tc>
        <w:tc>
          <w:tcPr>
            <w:tcW w:w="0" w:type="auto"/>
            <w:shd w:val="clear" w:color="auto" w:fill="auto"/>
          </w:tcPr>
          <w:p w14:paraId="20AE08B1" w14:textId="77777777" w:rsidR="00B626E7" w:rsidRDefault="00B626E7">
            <w:pPr>
              <w:rPr>
                <w:rFonts w:ascii="宋体"/>
              </w:rPr>
            </w:pPr>
          </w:p>
        </w:tc>
      </w:tr>
      <w:tr w:rsidR="00B626E7" w14:paraId="20AE08CC" w14:textId="77777777">
        <w:tc>
          <w:tcPr>
            <w:tcW w:w="0" w:type="auto"/>
            <w:gridSpan w:val="3"/>
            <w:shd w:val="clear" w:color="auto" w:fill="auto"/>
            <w:tcMar>
              <w:left w:w="20" w:type="dxa"/>
              <w:right w:w="20" w:type="dxa"/>
            </w:tcMar>
            <w:vAlign w:val="bottom"/>
          </w:tcPr>
          <w:p w14:paraId="20AE08B3"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8B4"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08B5" w14:textId="77777777" w:rsidR="00B626E7" w:rsidRDefault="00175C1D">
            <w:pPr>
              <w:jc w:val="right"/>
              <w:textAlignment w:val="bottom"/>
            </w:pPr>
            <w:r>
              <w:rPr>
                <w:rFonts w:ascii="Arial" w:eastAsia="宋体" w:hAnsi="Arial" w:cs="Arial"/>
                <w:b/>
                <w:bCs/>
                <w:color w:val="026DCE"/>
                <w:sz w:val="18"/>
                <w:szCs w:val="18"/>
              </w:rPr>
              <w:t>7,117 </w:t>
            </w:r>
          </w:p>
        </w:tc>
        <w:tc>
          <w:tcPr>
            <w:tcW w:w="0" w:type="auto"/>
            <w:tcBorders>
              <w:top w:val="single" w:sz="8" w:space="0" w:color="333333"/>
            </w:tcBorders>
            <w:shd w:val="clear" w:color="auto" w:fill="auto"/>
            <w:tcMar>
              <w:top w:w="40" w:type="dxa"/>
              <w:bottom w:w="40" w:type="dxa"/>
              <w:right w:w="20" w:type="dxa"/>
            </w:tcMar>
            <w:vAlign w:val="bottom"/>
          </w:tcPr>
          <w:p w14:paraId="20AE08B6"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08B7"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08B8" w14:textId="77777777" w:rsidR="00B626E7" w:rsidRDefault="00175C1D">
            <w:pPr>
              <w:jc w:val="right"/>
              <w:textAlignment w:val="bottom"/>
            </w:pPr>
            <w:r>
              <w:rPr>
                <w:rFonts w:ascii="Arial" w:eastAsia="宋体" w:hAnsi="Arial" w:cs="Arial"/>
                <w:b/>
                <w:bCs/>
                <w:color w:val="333333"/>
                <w:sz w:val="18"/>
                <w:szCs w:val="18"/>
              </w:rPr>
              <w:t>4,983 </w:t>
            </w:r>
          </w:p>
        </w:tc>
        <w:tc>
          <w:tcPr>
            <w:tcW w:w="0" w:type="auto"/>
            <w:tcBorders>
              <w:top w:val="single" w:sz="8" w:space="0" w:color="333333"/>
            </w:tcBorders>
            <w:shd w:val="clear" w:color="auto" w:fill="auto"/>
            <w:tcMar>
              <w:top w:w="40" w:type="dxa"/>
              <w:bottom w:w="40" w:type="dxa"/>
              <w:right w:w="20" w:type="dxa"/>
            </w:tcMar>
            <w:vAlign w:val="bottom"/>
          </w:tcPr>
          <w:p w14:paraId="20AE08B9"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08BA"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08BB" w14:textId="77777777" w:rsidR="00B626E7" w:rsidRDefault="00175C1D">
            <w:pPr>
              <w:jc w:val="right"/>
              <w:textAlignment w:val="bottom"/>
            </w:pPr>
            <w:r>
              <w:rPr>
                <w:rFonts w:ascii="Arial" w:eastAsia="宋体" w:hAnsi="Arial" w:cs="Arial"/>
                <w:b/>
                <w:bCs/>
                <w:color w:val="0071C5"/>
                <w:sz w:val="18"/>
                <w:szCs w:val="18"/>
              </w:rPr>
              <w:t>14,110 </w:t>
            </w:r>
          </w:p>
        </w:tc>
        <w:tc>
          <w:tcPr>
            <w:tcW w:w="0" w:type="auto"/>
            <w:tcBorders>
              <w:top w:val="single" w:sz="8" w:space="0" w:color="333333"/>
            </w:tcBorders>
            <w:shd w:val="clear" w:color="auto" w:fill="auto"/>
            <w:tcMar>
              <w:top w:w="40" w:type="dxa"/>
              <w:bottom w:w="40" w:type="dxa"/>
              <w:right w:w="20" w:type="dxa"/>
            </w:tcMar>
            <w:vAlign w:val="bottom"/>
          </w:tcPr>
          <w:p w14:paraId="20AE08BC"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08BD"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08BE" w14:textId="77777777" w:rsidR="00B626E7" w:rsidRDefault="00175C1D">
            <w:pPr>
              <w:jc w:val="right"/>
              <w:textAlignment w:val="bottom"/>
            </w:pPr>
            <w:r>
              <w:rPr>
                <w:rFonts w:ascii="Arial" w:eastAsia="宋体" w:hAnsi="Arial" w:cs="Arial"/>
                <w:b/>
                <w:bCs/>
                <w:color w:val="333333"/>
                <w:sz w:val="18"/>
                <w:szCs w:val="18"/>
              </w:rPr>
              <w:t>9,885 </w:t>
            </w:r>
          </w:p>
        </w:tc>
        <w:tc>
          <w:tcPr>
            <w:tcW w:w="0" w:type="auto"/>
            <w:tcBorders>
              <w:top w:val="single" w:sz="8" w:space="0" w:color="333333"/>
            </w:tcBorders>
            <w:shd w:val="clear" w:color="auto" w:fill="auto"/>
            <w:tcMar>
              <w:top w:w="40" w:type="dxa"/>
              <w:bottom w:w="40" w:type="dxa"/>
              <w:right w:w="20" w:type="dxa"/>
            </w:tcMar>
            <w:vAlign w:val="bottom"/>
          </w:tcPr>
          <w:p w14:paraId="20AE08BF"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E08C0" w14:textId="77777777" w:rsidR="00B626E7" w:rsidRDefault="00B626E7">
            <w:pPr>
              <w:rPr>
                <w:rFonts w:ascii="宋体"/>
              </w:rPr>
            </w:pPr>
          </w:p>
        </w:tc>
        <w:tc>
          <w:tcPr>
            <w:tcW w:w="0" w:type="auto"/>
            <w:shd w:val="clear" w:color="auto" w:fill="auto"/>
          </w:tcPr>
          <w:p w14:paraId="20AE08C1" w14:textId="77777777" w:rsidR="00B626E7" w:rsidRDefault="00B626E7">
            <w:pPr>
              <w:rPr>
                <w:rFonts w:ascii="宋体"/>
              </w:rPr>
            </w:pPr>
          </w:p>
        </w:tc>
        <w:tc>
          <w:tcPr>
            <w:tcW w:w="0" w:type="auto"/>
            <w:shd w:val="clear" w:color="auto" w:fill="auto"/>
          </w:tcPr>
          <w:p w14:paraId="20AE08C2" w14:textId="77777777" w:rsidR="00B626E7" w:rsidRDefault="00B626E7">
            <w:pPr>
              <w:rPr>
                <w:rFonts w:ascii="宋体"/>
              </w:rPr>
            </w:pPr>
          </w:p>
        </w:tc>
        <w:tc>
          <w:tcPr>
            <w:tcW w:w="0" w:type="auto"/>
            <w:shd w:val="clear" w:color="auto" w:fill="auto"/>
          </w:tcPr>
          <w:p w14:paraId="20AE08C3" w14:textId="77777777" w:rsidR="00B626E7" w:rsidRDefault="00B626E7">
            <w:pPr>
              <w:rPr>
                <w:rFonts w:ascii="宋体"/>
              </w:rPr>
            </w:pPr>
          </w:p>
        </w:tc>
        <w:tc>
          <w:tcPr>
            <w:tcW w:w="0" w:type="auto"/>
            <w:shd w:val="clear" w:color="auto" w:fill="auto"/>
          </w:tcPr>
          <w:p w14:paraId="20AE08C4" w14:textId="77777777" w:rsidR="00B626E7" w:rsidRDefault="00B626E7">
            <w:pPr>
              <w:rPr>
                <w:rFonts w:ascii="宋体"/>
              </w:rPr>
            </w:pPr>
          </w:p>
        </w:tc>
        <w:tc>
          <w:tcPr>
            <w:tcW w:w="0" w:type="auto"/>
            <w:shd w:val="clear" w:color="auto" w:fill="auto"/>
          </w:tcPr>
          <w:p w14:paraId="20AE08C5" w14:textId="77777777" w:rsidR="00B626E7" w:rsidRDefault="00B626E7">
            <w:pPr>
              <w:rPr>
                <w:rFonts w:ascii="宋体"/>
              </w:rPr>
            </w:pPr>
          </w:p>
        </w:tc>
        <w:tc>
          <w:tcPr>
            <w:tcW w:w="0" w:type="auto"/>
            <w:shd w:val="clear" w:color="auto" w:fill="auto"/>
          </w:tcPr>
          <w:p w14:paraId="20AE08C6" w14:textId="77777777" w:rsidR="00B626E7" w:rsidRDefault="00B626E7">
            <w:pPr>
              <w:rPr>
                <w:rFonts w:ascii="宋体"/>
              </w:rPr>
            </w:pPr>
          </w:p>
        </w:tc>
        <w:tc>
          <w:tcPr>
            <w:tcW w:w="0" w:type="auto"/>
            <w:shd w:val="clear" w:color="auto" w:fill="auto"/>
          </w:tcPr>
          <w:p w14:paraId="20AE08C7" w14:textId="77777777" w:rsidR="00B626E7" w:rsidRDefault="00B626E7">
            <w:pPr>
              <w:rPr>
                <w:rFonts w:ascii="宋体"/>
              </w:rPr>
            </w:pPr>
          </w:p>
        </w:tc>
        <w:tc>
          <w:tcPr>
            <w:tcW w:w="0" w:type="auto"/>
            <w:shd w:val="clear" w:color="auto" w:fill="auto"/>
          </w:tcPr>
          <w:p w14:paraId="20AE08C8" w14:textId="77777777" w:rsidR="00B626E7" w:rsidRDefault="00B626E7">
            <w:pPr>
              <w:rPr>
                <w:rFonts w:ascii="宋体"/>
              </w:rPr>
            </w:pPr>
          </w:p>
        </w:tc>
        <w:tc>
          <w:tcPr>
            <w:tcW w:w="0" w:type="auto"/>
            <w:shd w:val="clear" w:color="auto" w:fill="auto"/>
          </w:tcPr>
          <w:p w14:paraId="20AE08C9" w14:textId="77777777" w:rsidR="00B626E7" w:rsidRDefault="00B626E7">
            <w:pPr>
              <w:rPr>
                <w:rFonts w:ascii="宋体"/>
              </w:rPr>
            </w:pPr>
          </w:p>
        </w:tc>
        <w:tc>
          <w:tcPr>
            <w:tcW w:w="0" w:type="auto"/>
            <w:shd w:val="clear" w:color="auto" w:fill="auto"/>
          </w:tcPr>
          <w:p w14:paraId="20AE08CA" w14:textId="77777777" w:rsidR="00B626E7" w:rsidRDefault="00B626E7">
            <w:pPr>
              <w:rPr>
                <w:rFonts w:ascii="宋体"/>
              </w:rPr>
            </w:pPr>
          </w:p>
        </w:tc>
        <w:tc>
          <w:tcPr>
            <w:tcW w:w="0" w:type="auto"/>
            <w:shd w:val="clear" w:color="auto" w:fill="auto"/>
          </w:tcPr>
          <w:p w14:paraId="20AE08CB" w14:textId="77777777" w:rsidR="00B626E7" w:rsidRDefault="00B626E7">
            <w:pPr>
              <w:rPr>
                <w:rFonts w:ascii="宋体"/>
              </w:rPr>
            </w:pPr>
          </w:p>
        </w:tc>
      </w:tr>
      <w:tr w:rsidR="00B626E7" w14:paraId="20AE08E2" w14:textId="77777777">
        <w:tc>
          <w:tcPr>
            <w:tcW w:w="0" w:type="auto"/>
            <w:gridSpan w:val="3"/>
            <w:shd w:val="clear" w:color="auto" w:fill="auto"/>
            <w:tcMar>
              <w:top w:w="40" w:type="dxa"/>
              <w:left w:w="195" w:type="dxa"/>
              <w:bottom w:w="40" w:type="dxa"/>
              <w:right w:w="20" w:type="dxa"/>
            </w:tcMar>
            <w:vAlign w:val="bottom"/>
          </w:tcPr>
          <w:p w14:paraId="20AE08CD" w14:textId="77777777" w:rsidR="00B626E7" w:rsidRDefault="00175C1D">
            <w:pPr>
              <w:textAlignment w:val="bottom"/>
            </w:pPr>
            <w:r>
              <w:rPr>
                <w:rFonts w:ascii="Arial" w:eastAsia="宋体" w:hAnsi="Arial" w:cs="Arial"/>
                <w:b/>
                <w:bCs/>
                <w:color w:val="333333"/>
                <w:sz w:val="18"/>
                <w:szCs w:val="18"/>
              </w:rPr>
              <w:t>Internet of Things</w:t>
            </w:r>
          </w:p>
        </w:tc>
        <w:tc>
          <w:tcPr>
            <w:tcW w:w="0" w:type="auto"/>
            <w:gridSpan w:val="3"/>
            <w:shd w:val="clear" w:color="auto" w:fill="auto"/>
            <w:tcMar>
              <w:left w:w="20" w:type="dxa"/>
              <w:right w:w="20" w:type="dxa"/>
            </w:tcMar>
            <w:vAlign w:val="bottom"/>
          </w:tcPr>
          <w:p w14:paraId="20AE08CE"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8CF"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8D0"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8D1"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8D2"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8D3"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8D4"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8D5" w14:textId="77777777" w:rsidR="00B626E7" w:rsidRDefault="00B626E7">
            <w:pPr>
              <w:rPr>
                <w:rFonts w:ascii="宋体"/>
              </w:rPr>
            </w:pPr>
          </w:p>
        </w:tc>
        <w:tc>
          <w:tcPr>
            <w:tcW w:w="0" w:type="auto"/>
            <w:shd w:val="clear" w:color="auto" w:fill="auto"/>
          </w:tcPr>
          <w:p w14:paraId="20AE08D6" w14:textId="77777777" w:rsidR="00B626E7" w:rsidRDefault="00B626E7">
            <w:pPr>
              <w:rPr>
                <w:rFonts w:ascii="宋体"/>
              </w:rPr>
            </w:pPr>
          </w:p>
        </w:tc>
        <w:tc>
          <w:tcPr>
            <w:tcW w:w="0" w:type="auto"/>
            <w:shd w:val="clear" w:color="auto" w:fill="auto"/>
          </w:tcPr>
          <w:p w14:paraId="20AE08D7" w14:textId="77777777" w:rsidR="00B626E7" w:rsidRDefault="00B626E7">
            <w:pPr>
              <w:rPr>
                <w:rFonts w:ascii="宋体"/>
              </w:rPr>
            </w:pPr>
          </w:p>
        </w:tc>
        <w:tc>
          <w:tcPr>
            <w:tcW w:w="0" w:type="auto"/>
            <w:shd w:val="clear" w:color="auto" w:fill="auto"/>
          </w:tcPr>
          <w:p w14:paraId="20AE08D8" w14:textId="77777777" w:rsidR="00B626E7" w:rsidRDefault="00B626E7">
            <w:pPr>
              <w:rPr>
                <w:rFonts w:ascii="宋体"/>
              </w:rPr>
            </w:pPr>
          </w:p>
        </w:tc>
        <w:tc>
          <w:tcPr>
            <w:tcW w:w="0" w:type="auto"/>
            <w:shd w:val="clear" w:color="auto" w:fill="auto"/>
          </w:tcPr>
          <w:p w14:paraId="20AE08D9" w14:textId="77777777" w:rsidR="00B626E7" w:rsidRDefault="00B626E7">
            <w:pPr>
              <w:rPr>
                <w:rFonts w:ascii="宋体"/>
              </w:rPr>
            </w:pPr>
          </w:p>
        </w:tc>
        <w:tc>
          <w:tcPr>
            <w:tcW w:w="0" w:type="auto"/>
            <w:shd w:val="clear" w:color="auto" w:fill="auto"/>
          </w:tcPr>
          <w:p w14:paraId="20AE08DA" w14:textId="77777777" w:rsidR="00B626E7" w:rsidRDefault="00B626E7">
            <w:pPr>
              <w:rPr>
                <w:rFonts w:ascii="宋体"/>
              </w:rPr>
            </w:pPr>
          </w:p>
        </w:tc>
        <w:tc>
          <w:tcPr>
            <w:tcW w:w="0" w:type="auto"/>
            <w:shd w:val="clear" w:color="auto" w:fill="auto"/>
          </w:tcPr>
          <w:p w14:paraId="20AE08DB" w14:textId="77777777" w:rsidR="00B626E7" w:rsidRDefault="00B626E7">
            <w:pPr>
              <w:rPr>
                <w:rFonts w:ascii="宋体"/>
              </w:rPr>
            </w:pPr>
          </w:p>
        </w:tc>
        <w:tc>
          <w:tcPr>
            <w:tcW w:w="0" w:type="auto"/>
            <w:shd w:val="clear" w:color="auto" w:fill="auto"/>
          </w:tcPr>
          <w:p w14:paraId="20AE08DC" w14:textId="77777777" w:rsidR="00B626E7" w:rsidRDefault="00B626E7">
            <w:pPr>
              <w:rPr>
                <w:rFonts w:ascii="宋体"/>
              </w:rPr>
            </w:pPr>
          </w:p>
        </w:tc>
        <w:tc>
          <w:tcPr>
            <w:tcW w:w="0" w:type="auto"/>
            <w:shd w:val="clear" w:color="auto" w:fill="auto"/>
          </w:tcPr>
          <w:p w14:paraId="20AE08DD" w14:textId="77777777" w:rsidR="00B626E7" w:rsidRDefault="00B626E7">
            <w:pPr>
              <w:rPr>
                <w:rFonts w:ascii="宋体"/>
              </w:rPr>
            </w:pPr>
          </w:p>
        </w:tc>
        <w:tc>
          <w:tcPr>
            <w:tcW w:w="0" w:type="auto"/>
            <w:shd w:val="clear" w:color="auto" w:fill="auto"/>
          </w:tcPr>
          <w:p w14:paraId="20AE08DE" w14:textId="77777777" w:rsidR="00B626E7" w:rsidRDefault="00B626E7">
            <w:pPr>
              <w:rPr>
                <w:rFonts w:ascii="宋体"/>
              </w:rPr>
            </w:pPr>
          </w:p>
        </w:tc>
        <w:tc>
          <w:tcPr>
            <w:tcW w:w="0" w:type="auto"/>
            <w:shd w:val="clear" w:color="auto" w:fill="auto"/>
          </w:tcPr>
          <w:p w14:paraId="20AE08DF" w14:textId="77777777" w:rsidR="00B626E7" w:rsidRDefault="00B626E7">
            <w:pPr>
              <w:rPr>
                <w:rFonts w:ascii="宋体"/>
              </w:rPr>
            </w:pPr>
          </w:p>
        </w:tc>
        <w:tc>
          <w:tcPr>
            <w:tcW w:w="0" w:type="auto"/>
            <w:shd w:val="clear" w:color="auto" w:fill="auto"/>
          </w:tcPr>
          <w:p w14:paraId="20AE08E0" w14:textId="77777777" w:rsidR="00B626E7" w:rsidRDefault="00B626E7">
            <w:pPr>
              <w:rPr>
                <w:rFonts w:ascii="宋体"/>
              </w:rPr>
            </w:pPr>
          </w:p>
        </w:tc>
        <w:tc>
          <w:tcPr>
            <w:tcW w:w="0" w:type="auto"/>
            <w:shd w:val="clear" w:color="auto" w:fill="auto"/>
          </w:tcPr>
          <w:p w14:paraId="20AE08E1" w14:textId="77777777" w:rsidR="00B626E7" w:rsidRDefault="00B626E7">
            <w:pPr>
              <w:rPr>
                <w:rFonts w:ascii="宋体"/>
              </w:rPr>
            </w:pPr>
          </w:p>
        </w:tc>
      </w:tr>
      <w:tr w:rsidR="00B626E7" w14:paraId="20AE08FC" w14:textId="77777777">
        <w:tc>
          <w:tcPr>
            <w:tcW w:w="0" w:type="auto"/>
            <w:gridSpan w:val="3"/>
            <w:shd w:val="clear" w:color="auto" w:fill="auto"/>
            <w:tcMar>
              <w:top w:w="40" w:type="dxa"/>
              <w:left w:w="285" w:type="dxa"/>
              <w:bottom w:w="40" w:type="dxa"/>
              <w:right w:w="20" w:type="dxa"/>
            </w:tcMar>
            <w:vAlign w:val="bottom"/>
          </w:tcPr>
          <w:p w14:paraId="20AE08E3" w14:textId="77777777" w:rsidR="00B626E7" w:rsidRDefault="00175C1D">
            <w:pPr>
              <w:textAlignment w:val="bottom"/>
            </w:pPr>
            <w:r>
              <w:rPr>
                <w:rFonts w:ascii="Arial" w:eastAsia="宋体" w:hAnsi="Arial" w:cs="Arial"/>
                <w:color w:val="333333"/>
                <w:sz w:val="18"/>
                <w:szCs w:val="18"/>
              </w:rPr>
              <w:t>IOTG</w:t>
            </w:r>
          </w:p>
        </w:tc>
        <w:tc>
          <w:tcPr>
            <w:tcW w:w="0" w:type="auto"/>
            <w:gridSpan w:val="3"/>
            <w:shd w:val="clear" w:color="auto" w:fill="auto"/>
            <w:tcMar>
              <w:left w:w="20" w:type="dxa"/>
              <w:right w:w="20" w:type="dxa"/>
            </w:tcMar>
            <w:vAlign w:val="bottom"/>
          </w:tcPr>
          <w:p w14:paraId="20AE08E4"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8E5" w14:textId="77777777" w:rsidR="00B626E7" w:rsidRDefault="00175C1D">
            <w:pPr>
              <w:jc w:val="right"/>
              <w:textAlignment w:val="bottom"/>
            </w:pPr>
            <w:r>
              <w:rPr>
                <w:rFonts w:ascii="Arial" w:eastAsia="宋体" w:hAnsi="Arial" w:cs="Arial"/>
                <w:color w:val="026DCE"/>
                <w:sz w:val="18"/>
                <w:szCs w:val="18"/>
              </w:rPr>
              <w:t>670 </w:t>
            </w:r>
          </w:p>
        </w:tc>
        <w:tc>
          <w:tcPr>
            <w:tcW w:w="0" w:type="auto"/>
            <w:shd w:val="clear" w:color="auto" w:fill="auto"/>
            <w:tcMar>
              <w:top w:w="40" w:type="dxa"/>
              <w:bottom w:w="40" w:type="dxa"/>
              <w:right w:w="20" w:type="dxa"/>
            </w:tcMar>
            <w:vAlign w:val="bottom"/>
          </w:tcPr>
          <w:p w14:paraId="20AE08E6"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08E7"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8E8" w14:textId="77777777" w:rsidR="00B626E7" w:rsidRDefault="00175C1D">
            <w:pPr>
              <w:jc w:val="right"/>
              <w:textAlignment w:val="bottom"/>
            </w:pPr>
            <w:r>
              <w:rPr>
                <w:rFonts w:ascii="Arial" w:eastAsia="宋体" w:hAnsi="Arial" w:cs="Arial"/>
                <w:color w:val="333333"/>
                <w:sz w:val="18"/>
                <w:szCs w:val="18"/>
              </w:rPr>
              <w:t>986 </w:t>
            </w:r>
          </w:p>
        </w:tc>
        <w:tc>
          <w:tcPr>
            <w:tcW w:w="0" w:type="auto"/>
            <w:shd w:val="clear" w:color="auto" w:fill="auto"/>
            <w:tcMar>
              <w:top w:w="40" w:type="dxa"/>
              <w:bottom w:w="40" w:type="dxa"/>
              <w:right w:w="20" w:type="dxa"/>
            </w:tcMar>
            <w:vAlign w:val="bottom"/>
          </w:tcPr>
          <w:p w14:paraId="20AE08E9"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8EA"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8EB" w14:textId="77777777" w:rsidR="00B626E7" w:rsidRDefault="00175C1D">
            <w:pPr>
              <w:jc w:val="right"/>
              <w:textAlignment w:val="bottom"/>
            </w:pPr>
            <w:r>
              <w:rPr>
                <w:rFonts w:ascii="Arial" w:eastAsia="宋体" w:hAnsi="Arial" w:cs="Arial"/>
                <w:color w:val="0071C5"/>
                <w:sz w:val="18"/>
                <w:szCs w:val="18"/>
              </w:rPr>
              <w:t>1,553 </w:t>
            </w:r>
          </w:p>
        </w:tc>
        <w:tc>
          <w:tcPr>
            <w:tcW w:w="0" w:type="auto"/>
            <w:shd w:val="clear" w:color="auto" w:fill="auto"/>
            <w:tcMar>
              <w:top w:w="40" w:type="dxa"/>
              <w:bottom w:w="40" w:type="dxa"/>
              <w:right w:w="20" w:type="dxa"/>
            </w:tcMar>
            <w:vAlign w:val="bottom"/>
          </w:tcPr>
          <w:p w14:paraId="20AE08EC"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8ED"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8EE" w14:textId="77777777" w:rsidR="00B626E7" w:rsidRDefault="00175C1D">
            <w:pPr>
              <w:jc w:val="right"/>
              <w:textAlignment w:val="bottom"/>
            </w:pPr>
            <w:r>
              <w:rPr>
                <w:rFonts w:ascii="Arial" w:eastAsia="宋体" w:hAnsi="Arial" w:cs="Arial"/>
                <w:color w:val="333333"/>
                <w:sz w:val="18"/>
                <w:szCs w:val="18"/>
              </w:rPr>
              <w:t>1,896 </w:t>
            </w:r>
          </w:p>
        </w:tc>
        <w:tc>
          <w:tcPr>
            <w:tcW w:w="0" w:type="auto"/>
            <w:shd w:val="clear" w:color="auto" w:fill="auto"/>
            <w:tcMar>
              <w:top w:w="40" w:type="dxa"/>
              <w:bottom w:w="40" w:type="dxa"/>
              <w:right w:w="20" w:type="dxa"/>
            </w:tcMar>
            <w:vAlign w:val="bottom"/>
          </w:tcPr>
          <w:p w14:paraId="20AE08EF"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08F0" w14:textId="77777777" w:rsidR="00B626E7" w:rsidRDefault="00B626E7">
            <w:pPr>
              <w:rPr>
                <w:rFonts w:ascii="宋体"/>
              </w:rPr>
            </w:pPr>
          </w:p>
        </w:tc>
        <w:tc>
          <w:tcPr>
            <w:tcW w:w="0" w:type="auto"/>
            <w:shd w:val="clear" w:color="auto" w:fill="auto"/>
          </w:tcPr>
          <w:p w14:paraId="20AE08F1" w14:textId="77777777" w:rsidR="00B626E7" w:rsidRDefault="00B626E7">
            <w:pPr>
              <w:rPr>
                <w:rFonts w:ascii="宋体"/>
              </w:rPr>
            </w:pPr>
          </w:p>
        </w:tc>
        <w:tc>
          <w:tcPr>
            <w:tcW w:w="0" w:type="auto"/>
            <w:shd w:val="clear" w:color="auto" w:fill="auto"/>
          </w:tcPr>
          <w:p w14:paraId="20AE08F2" w14:textId="77777777" w:rsidR="00B626E7" w:rsidRDefault="00B626E7">
            <w:pPr>
              <w:rPr>
                <w:rFonts w:ascii="宋体"/>
              </w:rPr>
            </w:pPr>
          </w:p>
        </w:tc>
        <w:tc>
          <w:tcPr>
            <w:tcW w:w="0" w:type="auto"/>
            <w:shd w:val="clear" w:color="auto" w:fill="auto"/>
          </w:tcPr>
          <w:p w14:paraId="20AE08F3" w14:textId="77777777" w:rsidR="00B626E7" w:rsidRDefault="00B626E7">
            <w:pPr>
              <w:rPr>
                <w:rFonts w:ascii="宋体"/>
              </w:rPr>
            </w:pPr>
          </w:p>
        </w:tc>
        <w:tc>
          <w:tcPr>
            <w:tcW w:w="0" w:type="auto"/>
            <w:shd w:val="clear" w:color="auto" w:fill="auto"/>
          </w:tcPr>
          <w:p w14:paraId="20AE08F4" w14:textId="77777777" w:rsidR="00B626E7" w:rsidRDefault="00B626E7">
            <w:pPr>
              <w:rPr>
                <w:rFonts w:ascii="宋体"/>
              </w:rPr>
            </w:pPr>
          </w:p>
        </w:tc>
        <w:tc>
          <w:tcPr>
            <w:tcW w:w="0" w:type="auto"/>
            <w:shd w:val="clear" w:color="auto" w:fill="auto"/>
          </w:tcPr>
          <w:p w14:paraId="20AE08F5" w14:textId="77777777" w:rsidR="00B626E7" w:rsidRDefault="00B626E7">
            <w:pPr>
              <w:rPr>
                <w:rFonts w:ascii="宋体"/>
              </w:rPr>
            </w:pPr>
          </w:p>
        </w:tc>
        <w:tc>
          <w:tcPr>
            <w:tcW w:w="0" w:type="auto"/>
            <w:shd w:val="clear" w:color="auto" w:fill="auto"/>
          </w:tcPr>
          <w:p w14:paraId="20AE08F6" w14:textId="77777777" w:rsidR="00B626E7" w:rsidRDefault="00B626E7">
            <w:pPr>
              <w:rPr>
                <w:rFonts w:ascii="宋体"/>
              </w:rPr>
            </w:pPr>
          </w:p>
        </w:tc>
        <w:tc>
          <w:tcPr>
            <w:tcW w:w="0" w:type="auto"/>
            <w:shd w:val="clear" w:color="auto" w:fill="auto"/>
          </w:tcPr>
          <w:p w14:paraId="20AE08F7" w14:textId="77777777" w:rsidR="00B626E7" w:rsidRDefault="00B626E7">
            <w:pPr>
              <w:rPr>
                <w:rFonts w:ascii="宋体"/>
              </w:rPr>
            </w:pPr>
          </w:p>
        </w:tc>
        <w:tc>
          <w:tcPr>
            <w:tcW w:w="0" w:type="auto"/>
            <w:shd w:val="clear" w:color="auto" w:fill="auto"/>
          </w:tcPr>
          <w:p w14:paraId="20AE08F8" w14:textId="77777777" w:rsidR="00B626E7" w:rsidRDefault="00B626E7">
            <w:pPr>
              <w:rPr>
                <w:rFonts w:ascii="宋体"/>
              </w:rPr>
            </w:pPr>
          </w:p>
        </w:tc>
        <w:tc>
          <w:tcPr>
            <w:tcW w:w="0" w:type="auto"/>
            <w:shd w:val="clear" w:color="auto" w:fill="auto"/>
          </w:tcPr>
          <w:p w14:paraId="20AE08F9" w14:textId="77777777" w:rsidR="00B626E7" w:rsidRDefault="00B626E7">
            <w:pPr>
              <w:rPr>
                <w:rFonts w:ascii="宋体"/>
              </w:rPr>
            </w:pPr>
          </w:p>
        </w:tc>
        <w:tc>
          <w:tcPr>
            <w:tcW w:w="0" w:type="auto"/>
            <w:shd w:val="clear" w:color="auto" w:fill="auto"/>
          </w:tcPr>
          <w:p w14:paraId="20AE08FA" w14:textId="77777777" w:rsidR="00B626E7" w:rsidRDefault="00B626E7">
            <w:pPr>
              <w:rPr>
                <w:rFonts w:ascii="宋体"/>
              </w:rPr>
            </w:pPr>
          </w:p>
        </w:tc>
        <w:tc>
          <w:tcPr>
            <w:tcW w:w="0" w:type="auto"/>
            <w:shd w:val="clear" w:color="auto" w:fill="auto"/>
          </w:tcPr>
          <w:p w14:paraId="20AE08FB" w14:textId="77777777" w:rsidR="00B626E7" w:rsidRDefault="00B626E7">
            <w:pPr>
              <w:rPr>
                <w:rFonts w:ascii="宋体"/>
              </w:rPr>
            </w:pPr>
          </w:p>
        </w:tc>
      </w:tr>
      <w:tr w:rsidR="00B626E7" w14:paraId="20AE0916" w14:textId="77777777">
        <w:tc>
          <w:tcPr>
            <w:tcW w:w="0" w:type="auto"/>
            <w:gridSpan w:val="3"/>
            <w:shd w:val="clear" w:color="auto" w:fill="auto"/>
            <w:tcMar>
              <w:top w:w="40" w:type="dxa"/>
              <w:left w:w="285" w:type="dxa"/>
              <w:bottom w:w="40" w:type="dxa"/>
              <w:right w:w="20" w:type="dxa"/>
            </w:tcMar>
            <w:vAlign w:val="bottom"/>
          </w:tcPr>
          <w:p w14:paraId="20AE08FD" w14:textId="77777777" w:rsidR="00B626E7" w:rsidRDefault="00175C1D">
            <w:pPr>
              <w:textAlignment w:val="bottom"/>
            </w:pPr>
            <w:r>
              <w:rPr>
                <w:rFonts w:ascii="Arial" w:eastAsia="宋体" w:hAnsi="Arial" w:cs="Arial"/>
                <w:color w:val="333333"/>
                <w:sz w:val="18"/>
                <w:szCs w:val="18"/>
              </w:rPr>
              <w:t>Mobileye</w:t>
            </w:r>
          </w:p>
        </w:tc>
        <w:tc>
          <w:tcPr>
            <w:tcW w:w="0" w:type="auto"/>
            <w:gridSpan w:val="3"/>
            <w:shd w:val="clear" w:color="auto" w:fill="auto"/>
            <w:tcMar>
              <w:left w:w="20" w:type="dxa"/>
              <w:right w:w="20" w:type="dxa"/>
            </w:tcMar>
            <w:vAlign w:val="bottom"/>
          </w:tcPr>
          <w:p w14:paraId="20AE08FE"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8FF" w14:textId="77777777" w:rsidR="00B626E7" w:rsidRDefault="00175C1D">
            <w:pPr>
              <w:jc w:val="right"/>
              <w:textAlignment w:val="bottom"/>
            </w:pPr>
            <w:r>
              <w:rPr>
                <w:rFonts w:ascii="Arial" w:eastAsia="宋体" w:hAnsi="Arial" w:cs="Arial"/>
                <w:color w:val="026DCE"/>
                <w:sz w:val="18"/>
                <w:szCs w:val="18"/>
              </w:rPr>
              <w:t>146 </w:t>
            </w:r>
          </w:p>
        </w:tc>
        <w:tc>
          <w:tcPr>
            <w:tcW w:w="0" w:type="auto"/>
            <w:shd w:val="clear" w:color="auto" w:fill="auto"/>
            <w:tcMar>
              <w:top w:w="40" w:type="dxa"/>
              <w:bottom w:w="40" w:type="dxa"/>
              <w:right w:w="20" w:type="dxa"/>
            </w:tcMar>
            <w:vAlign w:val="bottom"/>
          </w:tcPr>
          <w:p w14:paraId="20AE0900"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0901"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902" w14:textId="77777777" w:rsidR="00B626E7" w:rsidRDefault="00175C1D">
            <w:pPr>
              <w:jc w:val="right"/>
              <w:textAlignment w:val="bottom"/>
            </w:pPr>
            <w:r>
              <w:rPr>
                <w:rFonts w:ascii="Arial" w:eastAsia="宋体" w:hAnsi="Arial" w:cs="Arial"/>
                <w:color w:val="333333"/>
                <w:sz w:val="18"/>
                <w:szCs w:val="18"/>
              </w:rPr>
              <w:t>201 </w:t>
            </w:r>
          </w:p>
        </w:tc>
        <w:tc>
          <w:tcPr>
            <w:tcW w:w="0" w:type="auto"/>
            <w:shd w:val="clear" w:color="auto" w:fill="auto"/>
            <w:tcMar>
              <w:top w:w="40" w:type="dxa"/>
              <w:bottom w:w="40" w:type="dxa"/>
              <w:right w:w="20" w:type="dxa"/>
            </w:tcMar>
            <w:vAlign w:val="bottom"/>
          </w:tcPr>
          <w:p w14:paraId="20AE0903"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904"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905" w14:textId="77777777" w:rsidR="00B626E7" w:rsidRDefault="00175C1D">
            <w:pPr>
              <w:jc w:val="right"/>
              <w:textAlignment w:val="bottom"/>
            </w:pPr>
            <w:r>
              <w:rPr>
                <w:rFonts w:ascii="Arial" w:eastAsia="宋体" w:hAnsi="Arial" w:cs="Arial"/>
                <w:color w:val="0071C5"/>
                <w:sz w:val="18"/>
                <w:szCs w:val="18"/>
              </w:rPr>
              <w:t>400 </w:t>
            </w:r>
          </w:p>
        </w:tc>
        <w:tc>
          <w:tcPr>
            <w:tcW w:w="0" w:type="auto"/>
            <w:shd w:val="clear" w:color="auto" w:fill="auto"/>
            <w:tcMar>
              <w:top w:w="40" w:type="dxa"/>
              <w:bottom w:w="40" w:type="dxa"/>
              <w:right w:w="20" w:type="dxa"/>
            </w:tcMar>
            <w:vAlign w:val="bottom"/>
          </w:tcPr>
          <w:p w14:paraId="20AE0906"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907"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908" w14:textId="77777777" w:rsidR="00B626E7" w:rsidRDefault="00175C1D">
            <w:pPr>
              <w:jc w:val="right"/>
              <w:textAlignment w:val="bottom"/>
            </w:pPr>
            <w:r>
              <w:rPr>
                <w:rFonts w:ascii="Arial" w:eastAsia="宋体" w:hAnsi="Arial" w:cs="Arial"/>
                <w:color w:val="333333"/>
                <w:sz w:val="18"/>
                <w:szCs w:val="18"/>
              </w:rPr>
              <w:t>410 </w:t>
            </w:r>
          </w:p>
        </w:tc>
        <w:tc>
          <w:tcPr>
            <w:tcW w:w="0" w:type="auto"/>
            <w:shd w:val="clear" w:color="auto" w:fill="auto"/>
            <w:tcMar>
              <w:top w:w="40" w:type="dxa"/>
              <w:bottom w:w="40" w:type="dxa"/>
              <w:right w:w="20" w:type="dxa"/>
            </w:tcMar>
            <w:vAlign w:val="bottom"/>
          </w:tcPr>
          <w:p w14:paraId="20AE0909"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090A" w14:textId="77777777" w:rsidR="00B626E7" w:rsidRDefault="00B626E7">
            <w:pPr>
              <w:rPr>
                <w:rFonts w:ascii="宋体"/>
              </w:rPr>
            </w:pPr>
          </w:p>
        </w:tc>
        <w:tc>
          <w:tcPr>
            <w:tcW w:w="0" w:type="auto"/>
            <w:shd w:val="clear" w:color="auto" w:fill="auto"/>
          </w:tcPr>
          <w:p w14:paraId="20AE090B" w14:textId="77777777" w:rsidR="00B626E7" w:rsidRDefault="00B626E7">
            <w:pPr>
              <w:rPr>
                <w:rFonts w:ascii="宋体"/>
              </w:rPr>
            </w:pPr>
          </w:p>
        </w:tc>
        <w:tc>
          <w:tcPr>
            <w:tcW w:w="0" w:type="auto"/>
            <w:shd w:val="clear" w:color="auto" w:fill="auto"/>
          </w:tcPr>
          <w:p w14:paraId="20AE090C" w14:textId="77777777" w:rsidR="00B626E7" w:rsidRDefault="00B626E7">
            <w:pPr>
              <w:rPr>
                <w:rFonts w:ascii="宋体"/>
              </w:rPr>
            </w:pPr>
          </w:p>
        </w:tc>
        <w:tc>
          <w:tcPr>
            <w:tcW w:w="0" w:type="auto"/>
            <w:shd w:val="clear" w:color="auto" w:fill="auto"/>
          </w:tcPr>
          <w:p w14:paraId="20AE090D" w14:textId="77777777" w:rsidR="00B626E7" w:rsidRDefault="00B626E7">
            <w:pPr>
              <w:rPr>
                <w:rFonts w:ascii="宋体"/>
              </w:rPr>
            </w:pPr>
          </w:p>
        </w:tc>
        <w:tc>
          <w:tcPr>
            <w:tcW w:w="0" w:type="auto"/>
            <w:shd w:val="clear" w:color="auto" w:fill="auto"/>
          </w:tcPr>
          <w:p w14:paraId="20AE090E" w14:textId="77777777" w:rsidR="00B626E7" w:rsidRDefault="00B626E7">
            <w:pPr>
              <w:rPr>
                <w:rFonts w:ascii="宋体"/>
              </w:rPr>
            </w:pPr>
          </w:p>
        </w:tc>
        <w:tc>
          <w:tcPr>
            <w:tcW w:w="0" w:type="auto"/>
            <w:shd w:val="clear" w:color="auto" w:fill="auto"/>
          </w:tcPr>
          <w:p w14:paraId="20AE090F" w14:textId="77777777" w:rsidR="00B626E7" w:rsidRDefault="00B626E7">
            <w:pPr>
              <w:rPr>
                <w:rFonts w:ascii="宋体"/>
              </w:rPr>
            </w:pPr>
          </w:p>
        </w:tc>
        <w:tc>
          <w:tcPr>
            <w:tcW w:w="0" w:type="auto"/>
            <w:shd w:val="clear" w:color="auto" w:fill="auto"/>
          </w:tcPr>
          <w:p w14:paraId="20AE0910" w14:textId="77777777" w:rsidR="00B626E7" w:rsidRDefault="00B626E7">
            <w:pPr>
              <w:rPr>
                <w:rFonts w:ascii="宋体"/>
              </w:rPr>
            </w:pPr>
          </w:p>
        </w:tc>
        <w:tc>
          <w:tcPr>
            <w:tcW w:w="0" w:type="auto"/>
            <w:shd w:val="clear" w:color="auto" w:fill="auto"/>
          </w:tcPr>
          <w:p w14:paraId="20AE0911" w14:textId="77777777" w:rsidR="00B626E7" w:rsidRDefault="00B626E7">
            <w:pPr>
              <w:rPr>
                <w:rFonts w:ascii="宋体"/>
              </w:rPr>
            </w:pPr>
          </w:p>
        </w:tc>
        <w:tc>
          <w:tcPr>
            <w:tcW w:w="0" w:type="auto"/>
            <w:shd w:val="clear" w:color="auto" w:fill="auto"/>
          </w:tcPr>
          <w:p w14:paraId="20AE0912" w14:textId="77777777" w:rsidR="00B626E7" w:rsidRDefault="00B626E7">
            <w:pPr>
              <w:rPr>
                <w:rFonts w:ascii="宋体"/>
              </w:rPr>
            </w:pPr>
          </w:p>
        </w:tc>
        <w:tc>
          <w:tcPr>
            <w:tcW w:w="0" w:type="auto"/>
            <w:shd w:val="clear" w:color="auto" w:fill="auto"/>
          </w:tcPr>
          <w:p w14:paraId="20AE0913" w14:textId="77777777" w:rsidR="00B626E7" w:rsidRDefault="00B626E7">
            <w:pPr>
              <w:rPr>
                <w:rFonts w:ascii="宋体"/>
              </w:rPr>
            </w:pPr>
          </w:p>
        </w:tc>
        <w:tc>
          <w:tcPr>
            <w:tcW w:w="0" w:type="auto"/>
            <w:shd w:val="clear" w:color="auto" w:fill="auto"/>
          </w:tcPr>
          <w:p w14:paraId="20AE0914" w14:textId="77777777" w:rsidR="00B626E7" w:rsidRDefault="00B626E7">
            <w:pPr>
              <w:rPr>
                <w:rFonts w:ascii="宋体"/>
              </w:rPr>
            </w:pPr>
          </w:p>
        </w:tc>
        <w:tc>
          <w:tcPr>
            <w:tcW w:w="0" w:type="auto"/>
            <w:shd w:val="clear" w:color="auto" w:fill="auto"/>
          </w:tcPr>
          <w:p w14:paraId="20AE0915" w14:textId="77777777" w:rsidR="00B626E7" w:rsidRDefault="00B626E7">
            <w:pPr>
              <w:rPr>
                <w:rFonts w:ascii="宋体"/>
              </w:rPr>
            </w:pPr>
          </w:p>
        </w:tc>
      </w:tr>
      <w:tr w:rsidR="00B626E7" w14:paraId="20AE0930" w14:textId="77777777">
        <w:tc>
          <w:tcPr>
            <w:tcW w:w="0" w:type="auto"/>
            <w:gridSpan w:val="3"/>
            <w:shd w:val="clear" w:color="auto" w:fill="auto"/>
            <w:tcMar>
              <w:left w:w="20" w:type="dxa"/>
              <w:right w:w="20" w:type="dxa"/>
            </w:tcMar>
            <w:vAlign w:val="bottom"/>
          </w:tcPr>
          <w:p w14:paraId="20AE0917"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918"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0919" w14:textId="77777777" w:rsidR="00B626E7" w:rsidRDefault="00175C1D">
            <w:pPr>
              <w:jc w:val="right"/>
              <w:textAlignment w:val="bottom"/>
            </w:pPr>
            <w:r>
              <w:rPr>
                <w:rFonts w:ascii="Arial" w:eastAsia="宋体" w:hAnsi="Arial" w:cs="Arial"/>
                <w:b/>
                <w:bCs/>
                <w:color w:val="026DCE"/>
                <w:sz w:val="18"/>
                <w:szCs w:val="18"/>
              </w:rPr>
              <w:t>816 </w:t>
            </w:r>
          </w:p>
        </w:tc>
        <w:tc>
          <w:tcPr>
            <w:tcW w:w="0" w:type="auto"/>
            <w:tcBorders>
              <w:top w:val="single" w:sz="8" w:space="0" w:color="333333"/>
            </w:tcBorders>
            <w:shd w:val="clear" w:color="auto" w:fill="auto"/>
            <w:tcMar>
              <w:top w:w="40" w:type="dxa"/>
              <w:bottom w:w="40" w:type="dxa"/>
              <w:right w:w="20" w:type="dxa"/>
            </w:tcMar>
            <w:vAlign w:val="bottom"/>
          </w:tcPr>
          <w:p w14:paraId="20AE091A"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091B"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091C" w14:textId="77777777" w:rsidR="00B626E7" w:rsidRDefault="00175C1D">
            <w:pPr>
              <w:jc w:val="right"/>
              <w:textAlignment w:val="bottom"/>
            </w:pPr>
            <w:r>
              <w:rPr>
                <w:rFonts w:ascii="Arial" w:eastAsia="宋体" w:hAnsi="Arial" w:cs="Arial"/>
                <w:b/>
                <w:bCs/>
                <w:color w:val="333333"/>
                <w:sz w:val="18"/>
                <w:szCs w:val="18"/>
              </w:rPr>
              <w:t>1,187 </w:t>
            </w:r>
          </w:p>
        </w:tc>
        <w:tc>
          <w:tcPr>
            <w:tcW w:w="0" w:type="auto"/>
            <w:tcBorders>
              <w:top w:val="single" w:sz="8" w:space="0" w:color="333333"/>
            </w:tcBorders>
            <w:shd w:val="clear" w:color="auto" w:fill="auto"/>
            <w:tcMar>
              <w:top w:w="40" w:type="dxa"/>
              <w:bottom w:w="40" w:type="dxa"/>
              <w:right w:w="20" w:type="dxa"/>
            </w:tcMar>
            <w:vAlign w:val="bottom"/>
          </w:tcPr>
          <w:p w14:paraId="20AE091D"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091E"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091F" w14:textId="77777777" w:rsidR="00B626E7" w:rsidRDefault="00175C1D">
            <w:pPr>
              <w:jc w:val="right"/>
              <w:textAlignment w:val="bottom"/>
            </w:pPr>
            <w:r>
              <w:rPr>
                <w:rFonts w:ascii="Arial" w:eastAsia="宋体" w:hAnsi="Arial" w:cs="Arial"/>
                <w:b/>
                <w:bCs/>
                <w:color w:val="0071C5"/>
                <w:sz w:val="18"/>
                <w:szCs w:val="18"/>
              </w:rPr>
              <w:t>1,953 </w:t>
            </w:r>
          </w:p>
        </w:tc>
        <w:tc>
          <w:tcPr>
            <w:tcW w:w="0" w:type="auto"/>
            <w:tcBorders>
              <w:top w:val="single" w:sz="8" w:space="0" w:color="333333"/>
            </w:tcBorders>
            <w:shd w:val="clear" w:color="auto" w:fill="auto"/>
            <w:tcMar>
              <w:top w:w="40" w:type="dxa"/>
              <w:bottom w:w="40" w:type="dxa"/>
              <w:right w:w="20" w:type="dxa"/>
            </w:tcMar>
            <w:vAlign w:val="bottom"/>
          </w:tcPr>
          <w:p w14:paraId="20AE0920"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0921"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0922" w14:textId="77777777" w:rsidR="00B626E7" w:rsidRDefault="00175C1D">
            <w:pPr>
              <w:jc w:val="right"/>
              <w:textAlignment w:val="bottom"/>
            </w:pPr>
            <w:r>
              <w:rPr>
                <w:rFonts w:ascii="Arial" w:eastAsia="宋体" w:hAnsi="Arial" w:cs="Arial"/>
                <w:b/>
                <w:bCs/>
                <w:color w:val="333333"/>
                <w:sz w:val="18"/>
                <w:szCs w:val="18"/>
              </w:rPr>
              <w:t>2,306 </w:t>
            </w:r>
          </w:p>
        </w:tc>
        <w:tc>
          <w:tcPr>
            <w:tcW w:w="0" w:type="auto"/>
            <w:tcBorders>
              <w:top w:val="single" w:sz="8" w:space="0" w:color="333333"/>
            </w:tcBorders>
            <w:shd w:val="clear" w:color="auto" w:fill="auto"/>
            <w:tcMar>
              <w:top w:w="40" w:type="dxa"/>
              <w:bottom w:w="40" w:type="dxa"/>
              <w:right w:w="20" w:type="dxa"/>
            </w:tcMar>
            <w:vAlign w:val="bottom"/>
          </w:tcPr>
          <w:p w14:paraId="20AE0923"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E0924" w14:textId="77777777" w:rsidR="00B626E7" w:rsidRDefault="00B626E7">
            <w:pPr>
              <w:rPr>
                <w:rFonts w:ascii="宋体"/>
              </w:rPr>
            </w:pPr>
          </w:p>
        </w:tc>
        <w:tc>
          <w:tcPr>
            <w:tcW w:w="0" w:type="auto"/>
            <w:shd w:val="clear" w:color="auto" w:fill="auto"/>
          </w:tcPr>
          <w:p w14:paraId="20AE0925" w14:textId="77777777" w:rsidR="00B626E7" w:rsidRDefault="00B626E7">
            <w:pPr>
              <w:rPr>
                <w:rFonts w:ascii="宋体"/>
              </w:rPr>
            </w:pPr>
          </w:p>
        </w:tc>
        <w:tc>
          <w:tcPr>
            <w:tcW w:w="0" w:type="auto"/>
            <w:shd w:val="clear" w:color="auto" w:fill="auto"/>
          </w:tcPr>
          <w:p w14:paraId="20AE0926" w14:textId="77777777" w:rsidR="00B626E7" w:rsidRDefault="00B626E7">
            <w:pPr>
              <w:rPr>
                <w:rFonts w:ascii="宋体"/>
              </w:rPr>
            </w:pPr>
          </w:p>
        </w:tc>
        <w:tc>
          <w:tcPr>
            <w:tcW w:w="0" w:type="auto"/>
            <w:shd w:val="clear" w:color="auto" w:fill="auto"/>
          </w:tcPr>
          <w:p w14:paraId="20AE0927" w14:textId="77777777" w:rsidR="00B626E7" w:rsidRDefault="00B626E7">
            <w:pPr>
              <w:rPr>
                <w:rFonts w:ascii="宋体"/>
              </w:rPr>
            </w:pPr>
          </w:p>
        </w:tc>
        <w:tc>
          <w:tcPr>
            <w:tcW w:w="0" w:type="auto"/>
            <w:shd w:val="clear" w:color="auto" w:fill="auto"/>
          </w:tcPr>
          <w:p w14:paraId="20AE0928" w14:textId="77777777" w:rsidR="00B626E7" w:rsidRDefault="00B626E7">
            <w:pPr>
              <w:rPr>
                <w:rFonts w:ascii="宋体"/>
              </w:rPr>
            </w:pPr>
          </w:p>
        </w:tc>
        <w:tc>
          <w:tcPr>
            <w:tcW w:w="0" w:type="auto"/>
            <w:shd w:val="clear" w:color="auto" w:fill="auto"/>
          </w:tcPr>
          <w:p w14:paraId="20AE0929" w14:textId="77777777" w:rsidR="00B626E7" w:rsidRDefault="00B626E7">
            <w:pPr>
              <w:rPr>
                <w:rFonts w:ascii="宋体"/>
              </w:rPr>
            </w:pPr>
          </w:p>
        </w:tc>
        <w:tc>
          <w:tcPr>
            <w:tcW w:w="0" w:type="auto"/>
            <w:shd w:val="clear" w:color="auto" w:fill="auto"/>
          </w:tcPr>
          <w:p w14:paraId="20AE092A" w14:textId="77777777" w:rsidR="00B626E7" w:rsidRDefault="00B626E7">
            <w:pPr>
              <w:rPr>
                <w:rFonts w:ascii="宋体"/>
              </w:rPr>
            </w:pPr>
          </w:p>
        </w:tc>
        <w:tc>
          <w:tcPr>
            <w:tcW w:w="0" w:type="auto"/>
            <w:shd w:val="clear" w:color="auto" w:fill="auto"/>
          </w:tcPr>
          <w:p w14:paraId="20AE092B" w14:textId="77777777" w:rsidR="00B626E7" w:rsidRDefault="00B626E7">
            <w:pPr>
              <w:rPr>
                <w:rFonts w:ascii="宋体"/>
              </w:rPr>
            </w:pPr>
          </w:p>
        </w:tc>
        <w:tc>
          <w:tcPr>
            <w:tcW w:w="0" w:type="auto"/>
            <w:shd w:val="clear" w:color="auto" w:fill="auto"/>
          </w:tcPr>
          <w:p w14:paraId="20AE092C" w14:textId="77777777" w:rsidR="00B626E7" w:rsidRDefault="00B626E7">
            <w:pPr>
              <w:rPr>
                <w:rFonts w:ascii="宋体"/>
              </w:rPr>
            </w:pPr>
          </w:p>
        </w:tc>
        <w:tc>
          <w:tcPr>
            <w:tcW w:w="0" w:type="auto"/>
            <w:shd w:val="clear" w:color="auto" w:fill="auto"/>
          </w:tcPr>
          <w:p w14:paraId="20AE092D" w14:textId="77777777" w:rsidR="00B626E7" w:rsidRDefault="00B626E7">
            <w:pPr>
              <w:rPr>
                <w:rFonts w:ascii="宋体"/>
              </w:rPr>
            </w:pPr>
          </w:p>
        </w:tc>
        <w:tc>
          <w:tcPr>
            <w:tcW w:w="0" w:type="auto"/>
            <w:shd w:val="clear" w:color="auto" w:fill="auto"/>
          </w:tcPr>
          <w:p w14:paraId="20AE092E" w14:textId="77777777" w:rsidR="00B626E7" w:rsidRDefault="00B626E7">
            <w:pPr>
              <w:rPr>
                <w:rFonts w:ascii="宋体"/>
              </w:rPr>
            </w:pPr>
          </w:p>
        </w:tc>
        <w:tc>
          <w:tcPr>
            <w:tcW w:w="0" w:type="auto"/>
            <w:shd w:val="clear" w:color="auto" w:fill="auto"/>
          </w:tcPr>
          <w:p w14:paraId="20AE092F" w14:textId="77777777" w:rsidR="00B626E7" w:rsidRDefault="00B626E7">
            <w:pPr>
              <w:rPr>
                <w:rFonts w:ascii="宋体"/>
              </w:rPr>
            </w:pPr>
          </w:p>
        </w:tc>
      </w:tr>
      <w:tr w:rsidR="00B626E7" w14:paraId="20AE0946" w14:textId="77777777">
        <w:trPr>
          <w:trHeight w:val="280"/>
        </w:trPr>
        <w:tc>
          <w:tcPr>
            <w:tcW w:w="0" w:type="auto"/>
            <w:gridSpan w:val="3"/>
            <w:shd w:val="clear" w:color="auto" w:fill="auto"/>
            <w:tcMar>
              <w:left w:w="20" w:type="dxa"/>
              <w:right w:w="20" w:type="dxa"/>
            </w:tcMar>
            <w:vAlign w:val="bottom"/>
          </w:tcPr>
          <w:p w14:paraId="20AE0931"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932"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933"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934"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935"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936"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937"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938"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939" w14:textId="77777777" w:rsidR="00B626E7" w:rsidRDefault="00B626E7">
            <w:pPr>
              <w:rPr>
                <w:rFonts w:ascii="宋体"/>
              </w:rPr>
            </w:pPr>
          </w:p>
        </w:tc>
        <w:tc>
          <w:tcPr>
            <w:tcW w:w="0" w:type="auto"/>
            <w:shd w:val="clear" w:color="auto" w:fill="auto"/>
          </w:tcPr>
          <w:p w14:paraId="20AE093A" w14:textId="77777777" w:rsidR="00B626E7" w:rsidRDefault="00B626E7">
            <w:pPr>
              <w:rPr>
                <w:rFonts w:ascii="宋体"/>
              </w:rPr>
            </w:pPr>
          </w:p>
        </w:tc>
        <w:tc>
          <w:tcPr>
            <w:tcW w:w="0" w:type="auto"/>
            <w:shd w:val="clear" w:color="auto" w:fill="auto"/>
          </w:tcPr>
          <w:p w14:paraId="20AE093B" w14:textId="77777777" w:rsidR="00B626E7" w:rsidRDefault="00B626E7">
            <w:pPr>
              <w:rPr>
                <w:rFonts w:ascii="宋体"/>
              </w:rPr>
            </w:pPr>
          </w:p>
        </w:tc>
        <w:tc>
          <w:tcPr>
            <w:tcW w:w="0" w:type="auto"/>
            <w:shd w:val="clear" w:color="auto" w:fill="auto"/>
          </w:tcPr>
          <w:p w14:paraId="20AE093C" w14:textId="77777777" w:rsidR="00B626E7" w:rsidRDefault="00B626E7">
            <w:pPr>
              <w:rPr>
                <w:rFonts w:ascii="宋体"/>
              </w:rPr>
            </w:pPr>
          </w:p>
        </w:tc>
        <w:tc>
          <w:tcPr>
            <w:tcW w:w="0" w:type="auto"/>
            <w:shd w:val="clear" w:color="auto" w:fill="auto"/>
          </w:tcPr>
          <w:p w14:paraId="20AE093D" w14:textId="77777777" w:rsidR="00B626E7" w:rsidRDefault="00B626E7">
            <w:pPr>
              <w:rPr>
                <w:rFonts w:ascii="宋体"/>
              </w:rPr>
            </w:pPr>
          </w:p>
        </w:tc>
        <w:tc>
          <w:tcPr>
            <w:tcW w:w="0" w:type="auto"/>
            <w:shd w:val="clear" w:color="auto" w:fill="auto"/>
          </w:tcPr>
          <w:p w14:paraId="20AE093E" w14:textId="77777777" w:rsidR="00B626E7" w:rsidRDefault="00B626E7">
            <w:pPr>
              <w:rPr>
                <w:rFonts w:ascii="宋体"/>
              </w:rPr>
            </w:pPr>
          </w:p>
        </w:tc>
        <w:tc>
          <w:tcPr>
            <w:tcW w:w="0" w:type="auto"/>
            <w:shd w:val="clear" w:color="auto" w:fill="auto"/>
          </w:tcPr>
          <w:p w14:paraId="20AE093F" w14:textId="77777777" w:rsidR="00B626E7" w:rsidRDefault="00B626E7">
            <w:pPr>
              <w:rPr>
                <w:rFonts w:ascii="宋体"/>
              </w:rPr>
            </w:pPr>
          </w:p>
        </w:tc>
        <w:tc>
          <w:tcPr>
            <w:tcW w:w="0" w:type="auto"/>
            <w:shd w:val="clear" w:color="auto" w:fill="auto"/>
          </w:tcPr>
          <w:p w14:paraId="20AE0940" w14:textId="77777777" w:rsidR="00B626E7" w:rsidRDefault="00B626E7">
            <w:pPr>
              <w:rPr>
                <w:rFonts w:ascii="宋体"/>
              </w:rPr>
            </w:pPr>
          </w:p>
        </w:tc>
        <w:tc>
          <w:tcPr>
            <w:tcW w:w="0" w:type="auto"/>
            <w:shd w:val="clear" w:color="auto" w:fill="auto"/>
          </w:tcPr>
          <w:p w14:paraId="20AE0941" w14:textId="77777777" w:rsidR="00B626E7" w:rsidRDefault="00B626E7">
            <w:pPr>
              <w:rPr>
                <w:rFonts w:ascii="宋体"/>
              </w:rPr>
            </w:pPr>
          </w:p>
        </w:tc>
        <w:tc>
          <w:tcPr>
            <w:tcW w:w="0" w:type="auto"/>
            <w:shd w:val="clear" w:color="auto" w:fill="auto"/>
          </w:tcPr>
          <w:p w14:paraId="20AE0942" w14:textId="77777777" w:rsidR="00B626E7" w:rsidRDefault="00B626E7">
            <w:pPr>
              <w:rPr>
                <w:rFonts w:ascii="宋体"/>
              </w:rPr>
            </w:pPr>
          </w:p>
        </w:tc>
        <w:tc>
          <w:tcPr>
            <w:tcW w:w="0" w:type="auto"/>
            <w:shd w:val="clear" w:color="auto" w:fill="auto"/>
          </w:tcPr>
          <w:p w14:paraId="20AE0943" w14:textId="77777777" w:rsidR="00B626E7" w:rsidRDefault="00B626E7">
            <w:pPr>
              <w:rPr>
                <w:rFonts w:ascii="宋体"/>
              </w:rPr>
            </w:pPr>
          </w:p>
        </w:tc>
        <w:tc>
          <w:tcPr>
            <w:tcW w:w="0" w:type="auto"/>
            <w:shd w:val="clear" w:color="auto" w:fill="auto"/>
          </w:tcPr>
          <w:p w14:paraId="20AE0944" w14:textId="77777777" w:rsidR="00B626E7" w:rsidRDefault="00B626E7">
            <w:pPr>
              <w:rPr>
                <w:rFonts w:ascii="宋体"/>
              </w:rPr>
            </w:pPr>
          </w:p>
        </w:tc>
        <w:tc>
          <w:tcPr>
            <w:tcW w:w="0" w:type="auto"/>
            <w:shd w:val="clear" w:color="auto" w:fill="auto"/>
          </w:tcPr>
          <w:p w14:paraId="20AE0945" w14:textId="77777777" w:rsidR="00B626E7" w:rsidRDefault="00B626E7">
            <w:pPr>
              <w:rPr>
                <w:rFonts w:ascii="宋体"/>
              </w:rPr>
            </w:pPr>
          </w:p>
        </w:tc>
      </w:tr>
      <w:tr w:rsidR="00B626E7" w14:paraId="20AE095C" w14:textId="77777777">
        <w:trPr>
          <w:hidden/>
        </w:trPr>
        <w:tc>
          <w:tcPr>
            <w:tcW w:w="0" w:type="auto"/>
            <w:gridSpan w:val="3"/>
            <w:shd w:val="clear" w:color="auto" w:fill="auto"/>
          </w:tcPr>
          <w:p w14:paraId="20AE0947" w14:textId="77777777" w:rsidR="00B626E7" w:rsidRDefault="00B626E7">
            <w:pPr>
              <w:rPr>
                <w:rFonts w:ascii="宋体"/>
                <w:vanish/>
              </w:rPr>
            </w:pPr>
          </w:p>
        </w:tc>
        <w:tc>
          <w:tcPr>
            <w:tcW w:w="0" w:type="auto"/>
            <w:gridSpan w:val="3"/>
            <w:shd w:val="clear" w:color="auto" w:fill="auto"/>
          </w:tcPr>
          <w:p w14:paraId="20AE0948" w14:textId="77777777" w:rsidR="00B626E7" w:rsidRDefault="00B626E7">
            <w:pPr>
              <w:rPr>
                <w:rFonts w:ascii="宋体"/>
                <w:vanish/>
              </w:rPr>
            </w:pPr>
          </w:p>
        </w:tc>
        <w:tc>
          <w:tcPr>
            <w:tcW w:w="0" w:type="auto"/>
            <w:gridSpan w:val="3"/>
            <w:shd w:val="clear" w:color="auto" w:fill="auto"/>
          </w:tcPr>
          <w:p w14:paraId="20AE0949" w14:textId="77777777" w:rsidR="00B626E7" w:rsidRDefault="00B626E7">
            <w:pPr>
              <w:rPr>
                <w:rFonts w:ascii="宋体"/>
                <w:vanish/>
              </w:rPr>
            </w:pPr>
          </w:p>
        </w:tc>
        <w:tc>
          <w:tcPr>
            <w:tcW w:w="0" w:type="auto"/>
            <w:gridSpan w:val="3"/>
            <w:shd w:val="clear" w:color="auto" w:fill="auto"/>
          </w:tcPr>
          <w:p w14:paraId="20AE094A" w14:textId="77777777" w:rsidR="00B626E7" w:rsidRDefault="00B626E7">
            <w:pPr>
              <w:rPr>
                <w:rFonts w:ascii="宋体"/>
                <w:vanish/>
              </w:rPr>
            </w:pPr>
          </w:p>
        </w:tc>
        <w:tc>
          <w:tcPr>
            <w:tcW w:w="0" w:type="auto"/>
            <w:gridSpan w:val="3"/>
            <w:shd w:val="clear" w:color="auto" w:fill="auto"/>
          </w:tcPr>
          <w:p w14:paraId="20AE094B" w14:textId="77777777" w:rsidR="00B626E7" w:rsidRDefault="00B626E7">
            <w:pPr>
              <w:rPr>
                <w:rFonts w:ascii="宋体"/>
                <w:vanish/>
              </w:rPr>
            </w:pPr>
          </w:p>
        </w:tc>
        <w:tc>
          <w:tcPr>
            <w:tcW w:w="0" w:type="auto"/>
            <w:gridSpan w:val="3"/>
            <w:shd w:val="clear" w:color="auto" w:fill="auto"/>
          </w:tcPr>
          <w:p w14:paraId="20AE094C" w14:textId="77777777" w:rsidR="00B626E7" w:rsidRDefault="00B626E7">
            <w:pPr>
              <w:rPr>
                <w:rFonts w:ascii="宋体"/>
                <w:vanish/>
              </w:rPr>
            </w:pPr>
          </w:p>
        </w:tc>
        <w:tc>
          <w:tcPr>
            <w:tcW w:w="0" w:type="auto"/>
            <w:gridSpan w:val="3"/>
            <w:shd w:val="clear" w:color="auto" w:fill="auto"/>
          </w:tcPr>
          <w:p w14:paraId="20AE094D" w14:textId="77777777" w:rsidR="00B626E7" w:rsidRDefault="00B626E7">
            <w:pPr>
              <w:rPr>
                <w:rFonts w:ascii="宋体"/>
                <w:vanish/>
              </w:rPr>
            </w:pPr>
          </w:p>
        </w:tc>
        <w:tc>
          <w:tcPr>
            <w:tcW w:w="0" w:type="auto"/>
            <w:gridSpan w:val="3"/>
            <w:shd w:val="clear" w:color="auto" w:fill="auto"/>
          </w:tcPr>
          <w:p w14:paraId="20AE094E" w14:textId="77777777" w:rsidR="00B626E7" w:rsidRDefault="00B626E7">
            <w:pPr>
              <w:rPr>
                <w:rFonts w:ascii="宋体"/>
                <w:vanish/>
              </w:rPr>
            </w:pPr>
          </w:p>
        </w:tc>
        <w:tc>
          <w:tcPr>
            <w:tcW w:w="0" w:type="auto"/>
            <w:gridSpan w:val="3"/>
            <w:shd w:val="clear" w:color="auto" w:fill="auto"/>
          </w:tcPr>
          <w:p w14:paraId="20AE094F" w14:textId="77777777" w:rsidR="00B626E7" w:rsidRDefault="00B626E7">
            <w:pPr>
              <w:rPr>
                <w:rFonts w:ascii="宋体"/>
                <w:vanish/>
              </w:rPr>
            </w:pPr>
          </w:p>
        </w:tc>
        <w:tc>
          <w:tcPr>
            <w:tcW w:w="0" w:type="auto"/>
            <w:shd w:val="clear" w:color="auto" w:fill="auto"/>
          </w:tcPr>
          <w:p w14:paraId="20AE0950" w14:textId="77777777" w:rsidR="00B626E7" w:rsidRDefault="00B626E7">
            <w:pPr>
              <w:rPr>
                <w:rFonts w:ascii="宋体"/>
              </w:rPr>
            </w:pPr>
          </w:p>
        </w:tc>
        <w:tc>
          <w:tcPr>
            <w:tcW w:w="0" w:type="auto"/>
            <w:shd w:val="clear" w:color="auto" w:fill="auto"/>
          </w:tcPr>
          <w:p w14:paraId="20AE0951" w14:textId="77777777" w:rsidR="00B626E7" w:rsidRDefault="00B626E7">
            <w:pPr>
              <w:rPr>
                <w:rFonts w:ascii="宋体"/>
              </w:rPr>
            </w:pPr>
          </w:p>
        </w:tc>
        <w:tc>
          <w:tcPr>
            <w:tcW w:w="0" w:type="auto"/>
            <w:shd w:val="clear" w:color="auto" w:fill="auto"/>
          </w:tcPr>
          <w:p w14:paraId="20AE0952" w14:textId="77777777" w:rsidR="00B626E7" w:rsidRDefault="00B626E7">
            <w:pPr>
              <w:rPr>
                <w:rFonts w:ascii="宋体"/>
              </w:rPr>
            </w:pPr>
          </w:p>
        </w:tc>
        <w:tc>
          <w:tcPr>
            <w:tcW w:w="0" w:type="auto"/>
            <w:shd w:val="clear" w:color="auto" w:fill="auto"/>
          </w:tcPr>
          <w:p w14:paraId="20AE0953" w14:textId="77777777" w:rsidR="00B626E7" w:rsidRDefault="00B626E7">
            <w:pPr>
              <w:rPr>
                <w:rFonts w:ascii="宋体"/>
              </w:rPr>
            </w:pPr>
          </w:p>
        </w:tc>
        <w:tc>
          <w:tcPr>
            <w:tcW w:w="0" w:type="auto"/>
            <w:shd w:val="clear" w:color="auto" w:fill="auto"/>
          </w:tcPr>
          <w:p w14:paraId="20AE0954" w14:textId="77777777" w:rsidR="00B626E7" w:rsidRDefault="00B626E7">
            <w:pPr>
              <w:rPr>
                <w:rFonts w:ascii="宋体"/>
              </w:rPr>
            </w:pPr>
          </w:p>
        </w:tc>
        <w:tc>
          <w:tcPr>
            <w:tcW w:w="0" w:type="auto"/>
            <w:shd w:val="clear" w:color="auto" w:fill="auto"/>
          </w:tcPr>
          <w:p w14:paraId="20AE0955" w14:textId="77777777" w:rsidR="00B626E7" w:rsidRDefault="00B626E7">
            <w:pPr>
              <w:rPr>
                <w:rFonts w:ascii="宋体"/>
              </w:rPr>
            </w:pPr>
          </w:p>
        </w:tc>
        <w:tc>
          <w:tcPr>
            <w:tcW w:w="0" w:type="auto"/>
            <w:shd w:val="clear" w:color="auto" w:fill="auto"/>
          </w:tcPr>
          <w:p w14:paraId="20AE0956" w14:textId="77777777" w:rsidR="00B626E7" w:rsidRDefault="00B626E7">
            <w:pPr>
              <w:rPr>
                <w:rFonts w:ascii="宋体"/>
              </w:rPr>
            </w:pPr>
          </w:p>
        </w:tc>
        <w:tc>
          <w:tcPr>
            <w:tcW w:w="0" w:type="auto"/>
            <w:shd w:val="clear" w:color="auto" w:fill="auto"/>
          </w:tcPr>
          <w:p w14:paraId="20AE0957" w14:textId="77777777" w:rsidR="00B626E7" w:rsidRDefault="00B626E7">
            <w:pPr>
              <w:rPr>
                <w:rFonts w:ascii="宋体"/>
              </w:rPr>
            </w:pPr>
          </w:p>
        </w:tc>
        <w:tc>
          <w:tcPr>
            <w:tcW w:w="0" w:type="auto"/>
            <w:shd w:val="clear" w:color="auto" w:fill="auto"/>
          </w:tcPr>
          <w:p w14:paraId="20AE0958" w14:textId="77777777" w:rsidR="00B626E7" w:rsidRDefault="00B626E7">
            <w:pPr>
              <w:rPr>
                <w:rFonts w:ascii="宋体"/>
              </w:rPr>
            </w:pPr>
          </w:p>
        </w:tc>
        <w:tc>
          <w:tcPr>
            <w:tcW w:w="0" w:type="auto"/>
            <w:shd w:val="clear" w:color="auto" w:fill="auto"/>
          </w:tcPr>
          <w:p w14:paraId="20AE0959" w14:textId="77777777" w:rsidR="00B626E7" w:rsidRDefault="00B626E7">
            <w:pPr>
              <w:rPr>
                <w:rFonts w:ascii="宋体"/>
              </w:rPr>
            </w:pPr>
          </w:p>
        </w:tc>
        <w:tc>
          <w:tcPr>
            <w:tcW w:w="0" w:type="auto"/>
            <w:shd w:val="clear" w:color="auto" w:fill="auto"/>
          </w:tcPr>
          <w:p w14:paraId="20AE095A" w14:textId="77777777" w:rsidR="00B626E7" w:rsidRDefault="00B626E7">
            <w:pPr>
              <w:rPr>
                <w:rFonts w:ascii="宋体"/>
              </w:rPr>
            </w:pPr>
          </w:p>
        </w:tc>
        <w:tc>
          <w:tcPr>
            <w:tcW w:w="0" w:type="auto"/>
            <w:shd w:val="clear" w:color="auto" w:fill="auto"/>
          </w:tcPr>
          <w:p w14:paraId="20AE095B" w14:textId="77777777" w:rsidR="00B626E7" w:rsidRDefault="00B626E7">
            <w:pPr>
              <w:rPr>
                <w:rFonts w:ascii="宋体"/>
              </w:rPr>
            </w:pPr>
          </w:p>
        </w:tc>
      </w:tr>
      <w:tr w:rsidR="00B626E7" w14:paraId="20AE0976" w14:textId="77777777">
        <w:tc>
          <w:tcPr>
            <w:tcW w:w="0" w:type="auto"/>
            <w:gridSpan w:val="3"/>
            <w:shd w:val="clear" w:color="auto" w:fill="auto"/>
            <w:tcMar>
              <w:top w:w="40" w:type="dxa"/>
              <w:left w:w="195" w:type="dxa"/>
              <w:bottom w:w="40" w:type="dxa"/>
              <w:right w:w="20" w:type="dxa"/>
            </w:tcMar>
            <w:vAlign w:val="bottom"/>
          </w:tcPr>
          <w:p w14:paraId="20AE095D" w14:textId="77777777" w:rsidR="00B626E7" w:rsidRDefault="00175C1D">
            <w:pPr>
              <w:textAlignment w:val="bottom"/>
            </w:pPr>
            <w:r>
              <w:rPr>
                <w:rFonts w:ascii="Arial" w:eastAsia="宋体" w:hAnsi="Arial" w:cs="Arial"/>
                <w:b/>
                <w:bCs/>
                <w:color w:val="333333"/>
                <w:sz w:val="18"/>
                <w:szCs w:val="18"/>
              </w:rPr>
              <w:t>Non-Volatile Memory Solutions Group</w:t>
            </w:r>
          </w:p>
        </w:tc>
        <w:tc>
          <w:tcPr>
            <w:tcW w:w="0" w:type="auto"/>
            <w:gridSpan w:val="3"/>
            <w:shd w:val="clear" w:color="auto" w:fill="auto"/>
            <w:tcMar>
              <w:left w:w="20" w:type="dxa"/>
              <w:right w:w="20" w:type="dxa"/>
            </w:tcMar>
            <w:vAlign w:val="bottom"/>
          </w:tcPr>
          <w:p w14:paraId="20AE095E"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95F" w14:textId="77777777" w:rsidR="00B626E7" w:rsidRDefault="00175C1D">
            <w:pPr>
              <w:jc w:val="right"/>
              <w:textAlignment w:val="bottom"/>
            </w:pPr>
            <w:r>
              <w:rPr>
                <w:rFonts w:ascii="Arial" w:eastAsia="宋体" w:hAnsi="Arial" w:cs="Arial"/>
                <w:b/>
                <w:bCs/>
                <w:color w:val="026DCE"/>
                <w:sz w:val="18"/>
                <w:szCs w:val="18"/>
              </w:rPr>
              <w:t>1,659 </w:t>
            </w:r>
          </w:p>
        </w:tc>
        <w:tc>
          <w:tcPr>
            <w:tcW w:w="0" w:type="auto"/>
            <w:shd w:val="clear" w:color="auto" w:fill="auto"/>
            <w:tcMar>
              <w:top w:w="40" w:type="dxa"/>
              <w:bottom w:w="40" w:type="dxa"/>
              <w:right w:w="20" w:type="dxa"/>
            </w:tcMar>
            <w:vAlign w:val="bottom"/>
          </w:tcPr>
          <w:p w14:paraId="20AE0960"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0961"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962" w14:textId="77777777" w:rsidR="00B626E7" w:rsidRDefault="00175C1D">
            <w:pPr>
              <w:jc w:val="right"/>
              <w:textAlignment w:val="bottom"/>
            </w:pPr>
            <w:r>
              <w:rPr>
                <w:rFonts w:ascii="Arial" w:eastAsia="宋体" w:hAnsi="Arial" w:cs="Arial"/>
                <w:b/>
                <w:bCs/>
                <w:color w:val="333333"/>
                <w:sz w:val="18"/>
                <w:szCs w:val="18"/>
              </w:rPr>
              <w:t>940 </w:t>
            </w:r>
          </w:p>
        </w:tc>
        <w:tc>
          <w:tcPr>
            <w:tcW w:w="0" w:type="auto"/>
            <w:shd w:val="clear" w:color="auto" w:fill="auto"/>
            <w:tcMar>
              <w:top w:w="40" w:type="dxa"/>
              <w:bottom w:w="40" w:type="dxa"/>
              <w:right w:w="20" w:type="dxa"/>
            </w:tcMar>
            <w:vAlign w:val="bottom"/>
          </w:tcPr>
          <w:p w14:paraId="20AE0963"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0964"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965" w14:textId="77777777" w:rsidR="00B626E7" w:rsidRDefault="00175C1D">
            <w:pPr>
              <w:jc w:val="right"/>
              <w:textAlignment w:val="bottom"/>
            </w:pPr>
            <w:r>
              <w:rPr>
                <w:rFonts w:ascii="Arial" w:eastAsia="宋体" w:hAnsi="Arial" w:cs="Arial"/>
                <w:b/>
                <w:bCs/>
                <w:color w:val="0071C5"/>
                <w:sz w:val="18"/>
                <w:szCs w:val="18"/>
              </w:rPr>
              <w:t>2,997 </w:t>
            </w:r>
          </w:p>
        </w:tc>
        <w:tc>
          <w:tcPr>
            <w:tcW w:w="0" w:type="auto"/>
            <w:shd w:val="clear" w:color="auto" w:fill="auto"/>
            <w:tcMar>
              <w:top w:w="40" w:type="dxa"/>
              <w:bottom w:w="40" w:type="dxa"/>
              <w:right w:w="20" w:type="dxa"/>
            </w:tcMar>
            <w:vAlign w:val="bottom"/>
          </w:tcPr>
          <w:p w14:paraId="20AE0966"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0967"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968" w14:textId="77777777" w:rsidR="00B626E7" w:rsidRDefault="00175C1D">
            <w:pPr>
              <w:jc w:val="right"/>
              <w:textAlignment w:val="bottom"/>
            </w:pPr>
            <w:r>
              <w:rPr>
                <w:rFonts w:ascii="Arial" w:eastAsia="宋体" w:hAnsi="Arial" w:cs="Arial"/>
                <w:b/>
                <w:bCs/>
                <w:color w:val="333333"/>
                <w:sz w:val="18"/>
                <w:szCs w:val="18"/>
              </w:rPr>
              <w:t>1,855 </w:t>
            </w:r>
          </w:p>
        </w:tc>
        <w:tc>
          <w:tcPr>
            <w:tcW w:w="0" w:type="auto"/>
            <w:shd w:val="clear" w:color="auto" w:fill="auto"/>
            <w:tcMar>
              <w:top w:w="40" w:type="dxa"/>
              <w:bottom w:w="40" w:type="dxa"/>
              <w:right w:w="20" w:type="dxa"/>
            </w:tcMar>
            <w:vAlign w:val="bottom"/>
          </w:tcPr>
          <w:p w14:paraId="20AE0969"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E096A" w14:textId="77777777" w:rsidR="00B626E7" w:rsidRDefault="00B626E7">
            <w:pPr>
              <w:rPr>
                <w:rFonts w:ascii="宋体"/>
              </w:rPr>
            </w:pPr>
          </w:p>
        </w:tc>
        <w:tc>
          <w:tcPr>
            <w:tcW w:w="0" w:type="auto"/>
            <w:shd w:val="clear" w:color="auto" w:fill="auto"/>
          </w:tcPr>
          <w:p w14:paraId="20AE096B" w14:textId="77777777" w:rsidR="00B626E7" w:rsidRDefault="00B626E7">
            <w:pPr>
              <w:rPr>
                <w:rFonts w:ascii="宋体"/>
              </w:rPr>
            </w:pPr>
          </w:p>
        </w:tc>
        <w:tc>
          <w:tcPr>
            <w:tcW w:w="0" w:type="auto"/>
            <w:shd w:val="clear" w:color="auto" w:fill="auto"/>
          </w:tcPr>
          <w:p w14:paraId="20AE096C" w14:textId="77777777" w:rsidR="00B626E7" w:rsidRDefault="00B626E7">
            <w:pPr>
              <w:rPr>
                <w:rFonts w:ascii="宋体"/>
              </w:rPr>
            </w:pPr>
          </w:p>
        </w:tc>
        <w:tc>
          <w:tcPr>
            <w:tcW w:w="0" w:type="auto"/>
            <w:shd w:val="clear" w:color="auto" w:fill="auto"/>
          </w:tcPr>
          <w:p w14:paraId="20AE096D" w14:textId="77777777" w:rsidR="00B626E7" w:rsidRDefault="00B626E7">
            <w:pPr>
              <w:rPr>
                <w:rFonts w:ascii="宋体"/>
              </w:rPr>
            </w:pPr>
          </w:p>
        </w:tc>
        <w:tc>
          <w:tcPr>
            <w:tcW w:w="0" w:type="auto"/>
            <w:shd w:val="clear" w:color="auto" w:fill="auto"/>
          </w:tcPr>
          <w:p w14:paraId="20AE096E" w14:textId="77777777" w:rsidR="00B626E7" w:rsidRDefault="00B626E7">
            <w:pPr>
              <w:rPr>
                <w:rFonts w:ascii="宋体"/>
              </w:rPr>
            </w:pPr>
          </w:p>
        </w:tc>
        <w:tc>
          <w:tcPr>
            <w:tcW w:w="0" w:type="auto"/>
            <w:shd w:val="clear" w:color="auto" w:fill="auto"/>
          </w:tcPr>
          <w:p w14:paraId="20AE096F" w14:textId="77777777" w:rsidR="00B626E7" w:rsidRDefault="00B626E7">
            <w:pPr>
              <w:rPr>
                <w:rFonts w:ascii="宋体"/>
              </w:rPr>
            </w:pPr>
          </w:p>
        </w:tc>
        <w:tc>
          <w:tcPr>
            <w:tcW w:w="0" w:type="auto"/>
            <w:shd w:val="clear" w:color="auto" w:fill="auto"/>
          </w:tcPr>
          <w:p w14:paraId="20AE0970" w14:textId="77777777" w:rsidR="00B626E7" w:rsidRDefault="00B626E7">
            <w:pPr>
              <w:rPr>
                <w:rFonts w:ascii="宋体"/>
              </w:rPr>
            </w:pPr>
          </w:p>
        </w:tc>
        <w:tc>
          <w:tcPr>
            <w:tcW w:w="0" w:type="auto"/>
            <w:shd w:val="clear" w:color="auto" w:fill="auto"/>
          </w:tcPr>
          <w:p w14:paraId="20AE0971" w14:textId="77777777" w:rsidR="00B626E7" w:rsidRDefault="00B626E7">
            <w:pPr>
              <w:rPr>
                <w:rFonts w:ascii="宋体"/>
              </w:rPr>
            </w:pPr>
          </w:p>
        </w:tc>
        <w:tc>
          <w:tcPr>
            <w:tcW w:w="0" w:type="auto"/>
            <w:shd w:val="clear" w:color="auto" w:fill="auto"/>
          </w:tcPr>
          <w:p w14:paraId="20AE0972" w14:textId="77777777" w:rsidR="00B626E7" w:rsidRDefault="00B626E7">
            <w:pPr>
              <w:rPr>
                <w:rFonts w:ascii="宋体"/>
              </w:rPr>
            </w:pPr>
          </w:p>
        </w:tc>
        <w:tc>
          <w:tcPr>
            <w:tcW w:w="0" w:type="auto"/>
            <w:shd w:val="clear" w:color="auto" w:fill="auto"/>
          </w:tcPr>
          <w:p w14:paraId="20AE0973" w14:textId="77777777" w:rsidR="00B626E7" w:rsidRDefault="00B626E7">
            <w:pPr>
              <w:rPr>
                <w:rFonts w:ascii="宋体"/>
              </w:rPr>
            </w:pPr>
          </w:p>
        </w:tc>
        <w:tc>
          <w:tcPr>
            <w:tcW w:w="0" w:type="auto"/>
            <w:shd w:val="clear" w:color="auto" w:fill="auto"/>
          </w:tcPr>
          <w:p w14:paraId="20AE0974" w14:textId="77777777" w:rsidR="00B626E7" w:rsidRDefault="00B626E7">
            <w:pPr>
              <w:rPr>
                <w:rFonts w:ascii="宋体"/>
              </w:rPr>
            </w:pPr>
          </w:p>
        </w:tc>
        <w:tc>
          <w:tcPr>
            <w:tcW w:w="0" w:type="auto"/>
            <w:shd w:val="clear" w:color="auto" w:fill="auto"/>
          </w:tcPr>
          <w:p w14:paraId="20AE0975" w14:textId="77777777" w:rsidR="00B626E7" w:rsidRDefault="00B626E7">
            <w:pPr>
              <w:rPr>
                <w:rFonts w:ascii="宋体"/>
              </w:rPr>
            </w:pPr>
          </w:p>
        </w:tc>
      </w:tr>
      <w:tr w:rsidR="00B626E7" w14:paraId="20AE0990" w14:textId="77777777">
        <w:tc>
          <w:tcPr>
            <w:tcW w:w="0" w:type="auto"/>
            <w:gridSpan w:val="3"/>
            <w:shd w:val="clear" w:color="auto" w:fill="auto"/>
            <w:tcMar>
              <w:top w:w="40" w:type="dxa"/>
              <w:left w:w="195" w:type="dxa"/>
              <w:bottom w:w="40" w:type="dxa"/>
              <w:right w:w="20" w:type="dxa"/>
            </w:tcMar>
            <w:vAlign w:val="bottom"/>
          </w:tcPr>
          <w:p w14:paraId="20AE0977" w14:textId="77777777" w:rsidR="00B626E7" w:rsidRDefault="00175C1D">
            <w:pPr>
              <w:textAlignment w:val="bottom"/>
            </w:pPr>
            <w:r>
              <w:rPr>
                <w:rFonts w:ascii="Arial" w:eastAsia="宋体" w:hAnsi="Arial" w:cs="Arial"/>
                <w:b/>
                <w:bCs/>
                <w:color w:val="333333"/>
                <w:sz w:val="18"/>
                <w:szCs w:val="18"/>
              </w:rPr>
              <w:t>Programmable Solutions Group</w:t>
            </w:r>
          </w:p>
        </w:tc>
        <w:tc>
          <w:tcPr>
            <w:tcW w:w="0" w:type="auto"/>
            <w:gridSpan w:val="3"/>
            <w:shd w:val="clear" w:color="auto" w:fill="auto"/>
            <w:tcMar>
              <w:left w:w="20" w:type="dxa"/>
              <w:right w:w="20" w:type="dxa"/>
            </w:tcMar>
            <w:vAlign w:val="bottom"/>
          </w:tcPr>
          <w:p w14:paraId="20AE0978"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979" w14:textId="77777777" w:rsidR="00B626E7" w:rsidRDefault="00175C1D">
            <w:pPr>
              <w:jc w:val="right"/>
              <w:textAlignment w:val="bottom"/>
            </w:pPr>
            <w:r>
              <w:rPr>
                <w:rFonts w:ascii="Arial" w:eastAsia="宋体" w:hAnsi="Arial" w:cs="Arial"/>
                <w:b/>
                <w:bCs/>
                <w:color w:val="026DCE"/>
                <w:sz w:val="18"/>
                <w:szCs w:val="18"/>
              </w:rPr>
              <w:t>501 </w:t>
            </w:r>
          </w:p>
        </w:tc>
        <w:tc>
          <w:tcPr>
            <w:tcW w:w="0" w:type="auto"/>
            <w:shd w:val="clear" w:color="auto" w:fill="auto"/>
            <w:tcMar>
              <w:top w:w="40" w:type="dxa"/>
              <w:bottom w:w="40" w:type="dxa"/>
              <w:right w:w="20" w:type="dxa"/>
            </w:tcMar>
            <w:vAlign w:val="bottom"/>
          </w:tcPr>
          <w:p w14:paraId="20AE097A"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097B"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97C" w14:textId="77777777" w:rsidR="00B626E7" w:rsidRDefault="00175C1D">
            <w:pPr>
              <w:jc w:val="right"/>
              <w:textAlignment w:val="bottom"/>
            </w:pPr>
            <w:r>
              <w:rPr>
                <w:rFonts w:ascii="Arial" w:eastAsia="宋体" w:hAnsi="Arial" w:cs="Arial"/>
                <w:b/>
                <w:bCs/>
                <w:color w:val="333333"/>
                <w:sz w:val="18"/>
                <w:szCs w:val="18"/>
              </w:rPr>
              <w:t>489 </w:t>
            </w:r>
          </w:p>
        </w:tc>
        <w:tc>
          <w:tcPr>
            <w:tcW w:w="0" w:type="auto"/>
            <w:shd w:val="clear" w:color="auto" w:fill="auto"/>
            <w:tcMar>
              <w:top w:w="40" w:type="dxa"/>
              <w:bottom w:w="40" w:type="dxa"/>
              <w:right w:w="20" w:type="dxa"/>
            </w:tcMar>
            <w:vAlign w:val="bottom"/>
          </w:tcPr>
          <w:p w14:paraId="20AE097D"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097E"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97F" w14:textId="77777777" w:rsidR="00B626E7" w:rsidRDefault="00175C1D">
            <w:pPr>
              <w:jc w:val="right"/>
              <w:textAlignment w:val="bottom"/>
            </w:pPr>
            <w:r>
              <w:rPr>
                <w:rFonts w:ascii="Arial" w:eastAsia="宋体" w:hAnsi="Arial" w:cs="Arial"/>
                <w:b/>
                <w:bCs/>
                <w:color w:val="0071C5"/>
                <w:sz w:val="18"/>
                <w:szCs w:val="18"/>
              </w:rPr>
              <w:t>1,020 </w:t>
            </w:r>
          </w:p>
        </w:tc>
        <w:tc>
          <w:tcPr>
            <w:tcW w:w="0" w:type="auto"/>
            <w:shd w:val="clear" w:color="auto" w:fill="auto"/>
            <w:tcMar>
              <w:top w:w="40" w:type="dxa"/>
              <w:bottom w:w="40" w:type="dxa"/>
              <w:right w:w="20" w:type="dxa"/>
            </w:tcMar>
            <w:vAlign w:val="bottom"/>
          </w:tcPr>
          <w:p w14:paraId="20AE0980"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0981"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982" w14:textId="77777777" w:rsidR="00B626E7" w:rsidRDefault="00175C1D">
            <w:pPr>
              <w:jc w:val="right"/>
              <w:textAlignment w:val="bottom"/>
            </w:pPr>
            <w:r>
              <w:rPr>
                <w:rFonts w:ascii="Arial" w:eastAsia="宋体" w:hAnsi="Arial" w:cs="Arial"/>
                <w:b/>
                <w:bCs/>
                <w:color w:val="333333"/>
                <w:sz w:val="18"/>
                <w:szCs w:val="18"/>
              </w:rPr>
              <w:t>975 </w:t>
            </w:r>
          </w:p>
        </w:tc>
        <w:tc>
          <w:tcPr>
            <w:tcW w:w="0" w:type="auto"/>
            <w:shd w:val="clear" w:color="auto" w:fill="auto"/>
            <w:tcMar>
              <w:top w:w="40" w:type="dxa"/>
              <w:bottom w:w="40" w:type="dxa"/>
              <w:right w:w="20" w:type="dxa"/>
            </w:tcMar>
            <w:vAlign w:val="bottom"/>
          </w:tcPr>
          <w:p w14:paraId="20AE0983"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E0984" w14:textId="77777777" w:rsidR="00B626E7" w:rsidRDefault="00B626E7">
            <w:pPr>
              <w:rPr>
                <w:rFonts w:ascii="宋体"/>
              </w:rPr>
            </w:pPr>
          </w:p>
        </w:tc>
        <w:tc>
          <w:tcPr>
            <w:tcW w:w="0" w:type="auto"/>
            <w:shd w:val="clear" w:color="auto" w:fill="auto"/>
          </w:tcPr>
          <w:p w14:paraId="20AE0985" w14:textId="77777777" w:rsidR="00B626E7" w:rsidRDefault="00B626E7">
            <w:pPr>
              <w:rPr>
                <w:rFonts w:ascii="宋体"/>
              </w:rPr>
            </w:pPr>
          </w:p>
        </w:tc>
        <w:tc>
          <w:tcPr>
            <w:tcW w:w="0" w:type="auto"/>
            <w:shd w:val="clear" w:color="auto" w:fill="auto"/>
          </w:tcPr>
          <w:p w14:paraId="20AE0986" w14:textId="77777777" w:rsidR="00B626E7" w:rsidRDefault="00B626E7">
            <w:pPr>
              <w:rPr>
                <w:rFonts w:ascii="宋体"/>
              </w:rPr>
            </w:pPr>
          </w:p>
        </w:tc>
        <w:tc>
          <w:tcPr>
            <w:tcW w:w="0" w:type="auto"/>
            <w:shd w:val="clear" w:color="auto" w:fill="auto"/>
          </w:tcPr>
          <w:p w14:paraId="20AE0987" w14:textId="77777777" w:rsidR="00B626E7" w:rsidRDefault="00B626E7">
            <w:pPr>
              <w:rPr>
                <w:rFonts w:ascii="宋体"/>
              </w:rPr>
            </w:pPr>
          </w:p>
        </w:tc>
        <w:tc>
          <w:tcPr>
            <w:tcW w:w="0" w:type="auto"/>
            <w:shd w:val="clear" w:color="auto" w:fill="auto"/>
          </w:tcPr>
          <w:p w14:paraId="20AE0988" w14:textId="77777777" w:rsidR="00B626E7" w:rsidRDefault="00B626E7">
            <w:pPr>
              <w:rPr>
                <w:rFonts w:ascii="宋体"/>
              </w:rPr>
            </w:pPr>
          </w:p>
        </w:tc>
        <w:tc>
          <w:tcPr>
            <w:tcW w:w="0" w:type="auto"/>
            <w:shd w:val="clear" w:color="auto" w:fill="auto"/>
          </w:tcPr>
          <w:p w14:paraId="20AE0989" w14:textId="77777777" w:rsidR="00B626E7" w:rsidRDefault="00B626E7">
            <w:pPr>
              <w:rPr>
                <w:rFonts w:ascii="宋体"/>
              </w:rPr>
            </w:pPr>
          </w:p>
        </w:tc>
        <w:tc>
          <w:tcPr>
            <w:tcW w:w="0" w:type="auto"/>
            <w:shd w:val="clear" w:color="auto" w:fill="auto"/>
          </w:tcPr>
          <w:p w14:paraId="20AE098A" w14:textId="77777777" w:rsidR="00B626E7" w:rsidRDefault="00B626E7">
            <w:pPr>
              <w:rPr>
                <w:rFonts w:ascii="宋体"/>
              </w:rPr>
            </w:pPr>
          </w:p>
        </w:tc>
        <w:tc>
          <w:tcPr>
            <w:tcW w:w="0" w:type="auto"/>
            <w:shd w:val="clear" w:color="auto" w:fill="auto"/>
          </w:tcPr>
          <w:p w14:paraId="20AE098B" w14:textId="77777777" w:rsidR="00B626E7" w:rsidRDefault="00B626E7">
            <w:pPr>
              <w:rPr>
                <w:rFonts w:ascii="宋体"/>
              </w:rPr>
            </w:pPr>
          </w:p>
        </w:tc>
        <w:tc>
          <w:tcPr>
            <w:tcW w:w="0" w:type="auto"/>
            <w:shd w:val="clear" w:color="auto" w:fill="auto"/>
          </w:tcPr>
          <w:p w14:paraId="20AE098C" w14:textId="77777777" w:rsidR="00B626E7" w:rsidRDefault="00B626E7">
            <w:pPr>
              <w:rPr>
                <w:rFonts w:ascii="宋体"/>
              </w:rPr>
            </w:pPr>
          </w:p>
        </w:tc>
        <w:tc>
          <w:tcPr>
            <w:tcW w:w="0" w:type="auto"/>
            <w:shd w:val="clear" w:color="auto" w:fill="auto"/>
          </w:tcPr>
          <w:p w14:paraId="20AE098D" w14:textId="77777777" w:rsidR="00B626E7" w:rsidRDefault="00B626E7">
            <w:pPr>
              <w:rPr>
                <w:rFonts w:ascii="宋体"/>
              </w:rPr>
            </w:pPr>
          </w:p>
        </w:tc>
        <w:tc>
          <w:tcPr>
            <w:tcW w:w="0" w:type="auto"/>
            <w:shd w:val="clear" w:color="auto" w:fill="auto"/>
          </w:tcPr>
          <w:p w14:paraId="20AE098E" w14:textId="77777777" w:rsidR="00B626E7" w:rsidRDefault="00B626E7">
            <w:pPr>
              <w:rPr>
                <w:rFonts w:ascii="宋体"/>
              </w:rPr>
            </w:pPr>
          </w:p>
        </w:tc>
        <w:tc>
          <w:tcPr>
            <w:tcW w:w="0" w:type="auto"/>
            <w:shd w:val="clear" w:color="auto" w:fill="auto"/>
          </w:tcPr>
          <w:p w14:paraId="20AE098F" w14:textId="77777777" w:rsidR="00B626E7" w:rsidRDefault="00B626E7">
            <w:pPr>
              <w:rPr>
                <w:rFonts w:ascii="宋体"/>
              </w:rPr>
            </w:pPr>
          </w:p>
        </w:tc>
      </w:tr>
      <w:tr w:rsidR="00B626E7" w14:paraId="20AE09A6" w14:textId="77777777">
        <w:tc>
          <w:tcPr>
            <w:tcW w:w="0" w:type="auto"/>
            <w:gridSpan w:val="3"/>
            <w:shd w:val="clear" w:color="auto" w:fill="auto"/>
            <w:tcMar>
              <w:top w:w="40" w:type="dxa"/>
              <w:left w:w="195" w:type="dxa"/>
              <w:bottom w:w="40" w:type="dxa"/>
              <w:right w:w="20" w:type="dxa"/>
            </w:tcMar>
            <w:vAlign w:val="bottom"/>
          </w:tcPr>
          <w:p w14:paraId="20AE0991" w14:textId="77777777" w:rsidR="00B626E7" w:rsidRDefault="00175C1D">
            <w:pPr>
              <w:textAlignment w:val="bottom"/>
            </w:pPr>
            <w:r>
              <w:rPr>
                <w:rFonts w:ascii="Arial" w:eastAsia="宋体" w:hAnsi="Arial" w:cs="Arial"/>
                <w:b/>
                <w:bCs/>
                <w:color w:val="333333"/>
                <w:sz w:val="18"/>
                <w:szCs w:val="18"/>
              </w:rPr>
              <w:t>Client Computing Group</w:t>
            </w:r>
          </w:p>
        </w:tc>
        <w:tc>
          <w:tcPr>
            <w:tcW w:w="0" w:type="auto"/>
            <w:gridSpan w:val="3"/>
            <w:shd w:val="clear" w:color="auto" w:fill="auto"/>
            <w:tcMar>
              <w:left w:w="20" w:type="dxa"/>
              <w:right w:w="20" w:type="dxa"/>
            </w:tcMar>
            <w:vAlign w:val="bottom"/>
          </w:tcPr>
          <w:p w14:paraId="20AE0992"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993"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994"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995"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996"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997"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998"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999" w14:textId="77777777" w:rsidR="00B626E7" w:rsidRDefault="00B626E7">
            <w:pPr>
              <w:rPr>
                <w:rFonts w:ascii="宋体"/>
              </w:rPr>
            </w:pPr>
          </w:p>
        </w:tc>
        <w:tc>
          <w:tcPr>
            <w:tcW w:w="0" w:type="auto"/>
            <w:shd w:val="clear" w:color="auto" w:fill="auto"/>
          </w:tcPr>
          <w:p w14:paraId="20AE099A" w14:textId="77777777" w:rsidR="00B626E7" w:rsidRDefault="00B626E7">
            <w:pPr>
              <w:rPr>
                <w:rFonts w:ascii="宋体"/>
              </w:rPr>
            </w:pPr>
          </w:p>
        </w:tc>
        <w:tc>
          <w:tcPr>
            <w:tcW w:w="0" w:type="auto"/>
            <w:shd w:val="clear" w:color="auto" w:fill="auto"/>
          </w:tcPr>
          <w:p w14:paraId="20AE099B" w14:textId="77777777" w:rsidR="00B626E7" w:rsidRDefault="00B626E7">
            <w:pPr>
              <w:rPr>
                <w:rFonts w:ascii="宋体"/>
              </w:rPr>
            </w:pPr>
          </w:p>
        </w:tc>
        <w:tc>
          <w:tcPr>
            <w:tcW w:w="0" w:type="auto"/>
            <w:shd w:val="clear" w:color="auto" w:fill="auto"/>
          </w:tcPr>
          <w:p w14:paraId="20AE099C" w14:textId="77777777" w:rsidR="00B626E7" w:rsidRDefault="00B626E7">
            <w:pPr>
              <w:rPr>
                <w:rFonts w:ascii="宋体"/>
              </w:rPr>
            </w:pPr>
          </w:p>
        </w:tc>
        <w:tc>
          <w:tcPr>
            <w:tcW w:w="0" w:type="auto"/>
            <w:shd w:val="clear" w:color="auto" w:fill="auto"/>
          </w:tcPr>
          <w:p w14:paraId="20AE099D" w14:textId="77777777" w:rsidR="00B626E7" w:rsidRDefault="00B626E7">
            <w:pPr>
              <w:rPr>
                <w:rFonts w:ascii="宋体"/>
              </w:rPr>
            </w:pPr>
          </w:p>
        </w:tc>
        <w:tc>
          <w:tcPr>
            <w:tcW w:w="0" w:type="auto"/>
            <w:shd w:val="clear" w:color="auto" w:fill="auto"/>
          </w:tcPr>
          <w:p w14:paraId="20AE099E" w14:textId="77777777" w:rsidR="00B626E7" w:rsidRDefault="00B626E7">
            <w:pPr>
              <w:rPr>
                <w:rFonts w:ascii="宋体"/>
              </w:rPr>
            </w:pPr>
          </w:p>
        </w:tc>
        <w:tc>
          <w:tcPr>
            <w:tcW w:w="0" w:type="auto"/>
            <w:shd w:val="clear" w:color="auto" w:fill="auto"/>
          </w:tcPr>
          <w:p w14:paraId="20AE099F" w14:textId="77777777" w:rsidR="00B626E7" w:rsidRDefault="00B626E7">
            <w:pPr>
              <w:rPr>
                <w:rFonts w:ascii="宋体"/>
              </w:rPr>
            </w:pPr>
          </w:p>
        </w:tc>
        <w:tc>
          <w:tcPr>
            <w:tcW w:w="0" w:type="auto"/>
            <w:shd w:val="clear" w:color="auto" w:fill="auto"/>
          </w:tcPr>
          <w:p w14:paraId="20AE09A0" w14:textId="77777777" w:rsidR="00B626E7" w:rsidRDefault="00B626E7">
            <w:pPr>
              <w:rPr>
                <w:rFonts w:ascii="宋体"/>
              </w:rPr>
            </w:pPr>
          </w:p>
        </w:tc>
        <w:tc>
          <w:tcPr>
            <w:tcW w:w="0" w:type="auto"/>
            <w:shd w:val="clear" w:color="auto" w:fill="auto"/>
          </w:tcPr>
          <w:p w14:paraId="20AE09A1" w14:textId="77777777" w:rsidR="00B626E7" w:rsidRDefault="00B626E7">
            <w:pPr>
              <w:rPr>
                <w:rFonts w:ascii="宋体"/>
              </w:rPr>
            </w:pPr>
          </w:p>
        </w:tc>
        <w:tc>
          <w:tcPr>
            <w:tcW w:w="0" w:type="auto"/>
            <w:shd w:val="clear" w:color="auto" w:fill="auto"/>
          </w:tcPr>
          <w:p w14:paraId="20AE09A2" w14:textId="77777777" w:rsidR="00B626E7" w:rsidRDefault="00B626E7">
            <w:pPr>
              <w:rPr>
                <w:rFonts w:ascii="宋体"/>
              </w:rPr>
            </w:pPr>
          </w:p>
        </w:tc>
        <w:tc>
          <w:tcPr>
            <w:tcW w:w="0" w:type="auto"/>
            <w:shd w:val="clear" w:color="auto" w:fill="auto"/>
          </w:tcPr>
          <w:p w14:paraId="20AE09A3" w14:textId="77777777" w:rsidR="00B626E7" w:rsidRDefault="00B626E7">
            <w:pPr>
              <w:rPr>
                <w:rFonts w:ascii="宋体"/>
              </w:rPr>
            </w:pPr>
          </w:p>
        </w:tc>
        <w:tc>
          <w:tcPr>
            <w:tcW w:w="0" w:type="auto"/>
            <w:shd w:val="clear" w:color="auto" w:fill="auto"/>
          </w:tcPr>
          <w:p w14:paraId="20AE09A4" w14:textId="77777777" w:rsidR="00B626E7" w:rsidRDefault="00B626E7">
            <w:pPr>
              <w:rPr>
                <w:rFonts w:ascii="宋体"/>
              </w:rPr>
            </w:pPr>
          </w:p>
        </w:tc>
        <w:tc>
          <w:tcPr>
            <w:tcW w:w="0" w:type="auto"/>
            <w:shd w:val="clear" w:color="auto" w:fill="auto"/>
          </w:tcPr>
          <w:p w14:paraId="20AE09A5" w14:textId="77777777" w:rsidR="00B626E7" w:rsidRDefault="00B626E7">
            <w:pPr>
              <w:rPr>
                <w:rFonts w:ascii="宋体"/>
              </w:rPr>
            </w:pPr>
          </w:p>
        </w:tc>
      </w:tr>
      <w:tr w:rsidR="00B626E7" w14:paraId="20AE09C0" w14:textId="77777777">
        <w:tc>
          <w:tcPr>
            <w:tcW w:w="0" w:type="auto"/>
            <w:gridSpan w:val="3"/>
            <w:shd w:val="clear" w:color="auto" w:fill="auto"/>
            <w:tcMar>
              <w:top w:w="40" w:type="dxa"/>
              <w:left w:w="285" w:type="dxa"/>
              <w:bottom w:w="40" w:type="dxa"/>
              <w:right w:w="20" w:type="dxa"/>
            </w:tcMar>
            <w:vAlign w:val="bottom"/>
          </w:tcPr>
          <w:p w14:paraId="20AE09A7" w14:textId="77777777" w:rsidR="00B626E7" w:rsidRDefault="00175C1D">
            <w:pPr>
              <w:textAlignment w:val="bottom"/>
            </w:pPr>
            <w:r>
              <w:rPr>
                <w:rFonts w:ascii="Arial" w:eastAsia="宋体" w:hAnsi="Arial" w:cs="Arial"/>
                <w:color w:val="333333"/>
                <w:sz w:val="18"/>
                <w:szCs w:val="18"/>
              </w:rPr>
              <w:t>Platform</w:t>
            </w:r>
          </w:p>
        </w:tc>
        <w:tc>
          <w:tcPr>
            <w:tcW w:w="0" w:type="auto"/>
            <w:gridSpan w:val="3"/>
            <w:shd w:val="clear" w:color="auto" w:fill="auto"/>
            <w:tcMar>
              <w:left w:w="20" w:type="dxa"/>
              <w:right w:w="20" w:type="dxa"/>
            </w:tcMar>
            <w:vAlign w:val="bottom"/>
          </w:tcPr>
          <w:p w14:paraId="20AE09A8"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9A9" w14:textId="77777777" w:rsidR="00B626E7" w:rsidRDefault="00175C1D">
            <w:pPr>
              <w:jc w:val="right"/>
              <w:textAlignment w:val="bottom"/>
            </w:pPr>
            <w:r>
              <w:rPr>
                <w:rFonts w:ascii="Arial" w:eastAsia="宋体" w:hAnsi="Arial" w:cs="Arial"/>
                <w:color w:val="026DCE"/>
                <w:sz w:val="18"/>
                <w:szCs w:val="18"/>
              </w:rPr>
              <w:t>8,229 </w:t>
            </w:r>
          </w:p>
        </w:tc>
        <w:tc>
          <w:tcPr>
            <w:tcW w:w="0" w:type="auto"/>
            <w:shd w:val="clear" w:color="auto" w:fill="auto"/>
            <w:tcMar>
              <w:top w:w="40" w:type="dxa"/>
              <w:bottom w:w="40" w:type="dxa"/>
              <w:right w:w="20" w:type="dxa"/>
            </w:tcMar>
            <w:vAlign w:val="bottom"/>
          </w:tcPr>
          <w:p w14:paraId="20AE09AA"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09AB"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9AC" w14:textId="77777777" w:rsidR="00B626E7" w:rsidRDefault="00175C1D">
            <w:pPr>
              <w:jc w:val="right"/>
              <w:textAlignment w:val="bottom"/>
            </w:pPr>
            <w:r>
              <w:rPr>
                <w:rFonts w:ascii="Arial" w:eastAsia="宋体" w:hAnsi="Arial" w:cs="Arial"/>
                <w:color w:val="333333"/>
                <w:sz w:val="18"/>
                <w:szCs w:val="18"/>
              </w:rPr>
              <w:t>7,925 </w:t>
            </w:r>
          </w:p>
        </w:tc>
        <w:tc>
          <w:tcPr>
            <w:tcW w:w="0" w:type="auto"/>
            <w:shd w:val="clear" w:color="auto" w:fill="auto"/>
            <w:tcMar>
              <w:top w:w="40" w:type="dxa"/>
              <w:bottom w:w="40" w:type="dxa"/>
              <w:right w:w="20" w:type="dxa"/>
            </w:tcMar>
            <w:vAlign w:val="bottom"/>
          </w:tcPr>
          <w:p w14:paraId="20AE09AD"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9AE"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9AF" w14:textId="77777777" w:rsidR="00B626E7" w:rsidRDefault="00175C1D">
            <w:pPr>
              <w:jc w:val="right"/>
              <w:textAlignment w:val="bottom"/>
            </w:pPr>
            <w:r>
              <w:rPr>
                <w:rFonts w:ascii="Arial" w:eastAsia="宋体" w:hAnsi="Arial" w:cs="Arial"/>
                <w:color w:val="0071C5"/>
                <w:sz w:val="18"/>
                <w:szCs w:val="18"/>
              </w:rPr>
              <w:t>16,941 </w:t>
            </w:r>
          </w:p>
        </w:tc>
        <w:tc>
          <w:tcPr>
            <w:tcW w:w="0" w:type="auto"/>
            <w:shd w:val="clear" w:color="auto" w:fill="auto"/>
            <w:tcMar>
              <w:top w:w="40" w:type="dxa"/>
              <w:bottom w:w="40" w:type="dxa"/>
              <w:right w:w="20" w:type="dxa"/>
            </w:tcMar>
            <w:vAlign w:val="bottom"/>
          </w:tcPr>
          <w:p w14:paraId="20AE09B0"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9B1"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9B2" w14:textId="77777777" w:rsidR="00B626E7" w:rsidRDefault="00175C1D">
            <w:pPr>
              <w:jc w:val="right"/>
              <w:textAlignment w:val="bottom"/>
            </w:pPr>
            <w:r>
              <w:rPr>
                <w:rFonts w:ascii="Arial" w:eastAsia="宋体" w:hAnsi="Arial" w:cs="Arial"/>
                <w:color w:val="333333"/>
                <w:sz w:val="18"/>
                <w:szCs w:val="18"/>
              </w:rPr>
              <w:t>15,749 </w:t>
            </w:r>
          </w:p>
        </w:tc>
        <w:tc>
          <w:tcPr>
            <w:tcW w:w="0" w:type="auto"/>
            <w:shd w:val="clear" w:color="auto" w:fill="auto"/>
            <w:tcMar>
              <w:top w:w="40" w:type="dxa"/>
              <w:bottom w:w="40" w:type="dxa"/>
              <w:right w:w="20" w:type="dxa"/>
            </w:tcMar>
            <w:vAlign w:val="bottom"/>
          </w:tcPr>
          <w:p w14:paraId="20AE09B3"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09B4" w14:textId="77777777" w:rsidR="00B626E7" w:rsidRDefault="00B626E7">
            <w:pPr>
              <w:rPr>
                <w:rFonts w:ascii="宋体"/>
              </w:rPr>
            </w:pPr>
          </w:p>
        </w:tc>
        <w:tc>
          <w:tcPr>
            <w:tcW w:w="0" w:type="auto"/>
            <w:shd w:val="clear" w:color="auto" w:fill="auto"/>
          </w:tcPr>
          <w:p w14:paraId="20AE09B5" w14:textId="77777777" w:rsidR="00B626E7" w:rsidRDefault="00B626E7">
            <w:pPr>
              <w:rPr>
                <w:rFonts w:ascii="宋体"/>
              </w:rPr>
            </w:pPr>
          </w:p>
        </w:tc>
        <w:tc>
          <w:tcPr>
            <w:tcW w:w="0" w:type="auto"/>
            <w:shd w:val="clear" w:color="auto" w:fill="auto"/>
          </w:tcPr>
          <w:p w14:paraId="20AE09B6" w14:textId="77777777" w:rsidR="00B626E7" w:rsidRDefault="00B626E7">
            <w:pPr>
              <w:rPr>
                <w:rFonts w:ascii="宋体"/>
              </w:rPr>
            </w:pPr>
          </w:p>
        </w:tc>
        <w:tc>
          <w:tcPr>
            <w:tcW w:w="0" w:type="auto"/>
            <w:shd w:val="clear" w:color="auto" w:fill="auto"/>
          </w:tcPr>
          <w:p w14:paraId="20AE09B7" w14:textId="77777777" w:rsidR="00B626E7" w:rsidRDefault="00B626E7">
            <w:pPr>
              <w:rPr>
                <w:rFonts w:ascii="宋体"/>
              </w:rPr>
            </w:pPr>
          </w:p>
        </w:tc>
        <w:tc>
          <w:tcPr>
            <w:tcW w:w="0" w:type="auto"/>
            <w:shd w:val="clear" w:color="auto" w:fill="auto"/>
          </w:tcPr>
          <w:p w14:paraId="20AE09B8" w14:textId="77777777" w:rsidR="00B626E7" w:rsidRDefault="00B626E7">
            <w:pPr>
              <w:rPr>
                <w:rFonts w:ascii="宋体"/>
              </w:rPr>
            </w:pPr>
          </w:p>
        </w:tc>
        <w:tc>
          <w:tcPr>
            <w:tcW w:w="0" w:type="auto"/>
            <w:shd w:val="clear" w:color="auto" w:fill="auto"/>
          </w:tcPr>
          <w:p w14:paraId="20AE09B9" w14:textId="77777777" w:rsidR="00B626E7" w:rsidRDefault="00B626E7">
            <w:pPr>
              <w:rPr>
                <w:rFonts w:ascii="宋体"/>
              </w:rPr>
            </w:pPr>
          </w:p>
        </w:tc>
        <w:tc>
          <w:tcPr>
            <w:tcW w:w="0" w:type="auto"/>
            <w:shd w:val="clear" w:color="auto" w:fill="auto"/>
          </w:tcPr>
          <w:p w14:paraId="20AE09BA" w14:textId="77777777" w:rsidR="00B626E7" w:rsidRDefault="00B626E7">
            <w:pPr>
              <w:rPr>
                <w:rFonts w:ascii="宋体"/>
              </w:rPr>
            </w:pPr>
          </w:p>
        </w:tc>
        <w:tc>
          <w:tcPr>
            <w:tcW w:w="0" w:type="auto"/>
            <w:shd w:val="clear" w:color="auto" w:fill="auto"/>
          </w:tcPr>
          <w:p w14:paraId="20AE09BB" w14:textId="77777777" w:rsidR="00B626E7" w:rsidRDefault="00B626E7">
            <w:pPr>
              <w:rPr>
                <w:rFonts w:ascii="宋体"/>
              </w:rPr>
            </w:pPr>
          </w:p>
        </w:tc>
        <w:tc>
          <w:tcPr>
            <w:tcW w:w="0" w:type="auto"/>
            <w:shd w:val="clear" w:color="auto" w:fill="auto"/>
          </w:tcPr>
          <w:p w14:paraId="20AE09BC" w14:textId="77777777" w:rsidR="00B626E7" w:rsidRDefault="00B626E7">
            <w:pPr>
              <w:rPr>
                <w:rFonts w:ascii="宋体"/>
              </w:rPr>
            </w:pPr>
          </w:p>
        </w:tc>
        <w:tc>
          <w:tcPr>
            <w:tcW w:w="0" w:type="auto"/>
            <w:shd w:val="clear" w:color="auto" w:fill="auto"/>
          </w:tcPr>
          <w:p w14:paraId="20AE09BD" w14:textId="77777777" w:rsidR="00B626E7" w:rsidRDefault="00B626E7">
            <w:pPr>
              <w:rPr>
                <w:rFonts w:ascii="宋体"/>
              </w:rPr>
            </w:pPr>
          </w:p>
        </w:tc>
        <w:tc>
          <w:tcPr>
            <w:tcW w:w="0" w:type="auto"/>
            <w:shd w:val="clear" w:color="auto" w:fill="auto"/>
          </w:tcPr>
          <w:p w14:paraId="20AE09BE" w14:textId="77777777" w:rsidR="00B626E7" w:rsidRDefault="00B626E7">
            <w:pPr>
              <w:rPr>
                <w:rFonts w:ascii="宋体"/>
              </w:rPr>
            </w:pPr>
          </w:p>
        </w:tc>
        <w:tc>
          <w:tcPr>
            <w:tcW w:w="0" w:type="auto"/>
            <w:shd w:val="clear" w:color="auto" w:fill="auto"/>
          </w:tcPr>
          <w:p w14:paraId="20AE09BF" w14:textId="77777777" w:rsidR="00B626E7" w:rsidRDefault="00B626E7">
            <w:pPr>
              <w:rPr>
                <w:rFonts w:ascii="宋体"/>
              </w:rPr>
            </w:pPr>
          </w:p>
        </w:tc>
      </w:tr>
      <w:tr w:rsidR="00B626E7" w14:paraId="20AE09DA" w14:textId="77777777">
        <w:tc>
          <w:tcPr>
            <w:tcW w:w="0" w:type="auto"/>
            <w:gridSpan w:val="3"/>
            <w:shd w:val="clear" w:color="auto" w:fill="auto"/>
            <w:tcMar>
              <w:top w:w="40" w:type="dxa"/>
              <w:left w:w="285" w:type="dxa"/>
              <w:bottom w:w="40" w:type="dxa"/>
              <w:right w:w="20" w:type="dxa"/>
            </w:tcMar>
            <w:vAlign w:val="bottom"/>
          </w:tcPr>
          <w:p w14:paraId="20AE09C1" w14:textId="77777777" w:rsidR="00B626E7" w:rsidRDefault="00175C1D">
            <w:pPr>
              <w:textAlignment w:val="bottom"/>
            </w:pPr>
            <w:r>
              <w:rPr>
                <w:rFonts w:ascii="Arial" w:eastAsia="宋体" w:hAnsi="Arial" w:cs="Arial"/>
                <w:color w:val="333333"/>
                <w:sz w:val="18"/>
                <w:szCs w:val="18"/>
              </w:rPr>
              <w:t>Adjacent</w:t>
            </w:r>
          </w:p>
        </w:tc>
        <w:tc>
          <w:tcPr>
            <w:tcW w:w="0" w:type="auto"/>
            <w:gridSpan w:val="3"/>
            <w:shd w:val="clear" w:color="auto" w:fill="auto"/>
            <w:tcMar>
              <w:left w:w="20" w:type="dxa"/>
              <w:right w:w="20" w:type="dxa"/>
            </w:tcMar>
            <w:vAlign w:val="bottom"/>
          </w:tcPr>
          <w:p w14:paraId="20AE09C2"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9C3" w14:textId="77777777" w:rsidR="00B626E7" w:rsidRDefault="00175C1D">
            <w:pPr>
              <w:jc w:val="right"/>
              <w:textAlignment w:val="bottom"/>
            </w:pPr>
            <w:r>
              <w:rPr>
                <w:rFonts w:ascii="Arial" w:eastAsia="宋体" w:hAnsi="Arial" w:cs="Arial"/>
                <w:color w:val="026DCE"/>
                <w:sz w:val="18"/>
                <w:szCs w:val="18"/>
              </w:rPr>
              <w:t>1,267 </w:t>
            </w:r>
          </w:p>
        </w:tc>
        <w:tc>
          <w:tcPr>
            <w:tcW w:w="0" w:type="auto"/>
            <w:shd w:val="clear" w:color="auto" w:fill="auto"/>
            <w:tcMar>
              <w:top w:w="40" w:type="dxa"/>
              <w:bottom w:w="40" w:type="dxa"/>
              <w:right w:w="20" w:type="dxa"/>
            </w:tcMar>
            <w:vAlign w:val="bottom"/>
          </w:tcPr>
          <w:p w14:paraId="20AE09C4"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09C5"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9C6" w14:textId="77777777" w:rsidR="00B626E7" w:rsidRDefault="00175C1D">
            <w:pPr>
              <w:jc w:val="right"/>
              <w:textAlignment w:val="bottom"/>
            </w:pPr>
            <w:r>
              <w:rPr>
                <w:rFonts w:ascii="Arial" w:eastAsia="宋体" w:hAnsi="Arial" w:cs="Arial"/>
                <w:color w:val="333333"/>
                <w:sz w:val="18"/>
                <w:szCs w:val="18"/>
              </w:rPr>
              <w:t>916 </w:t>
            </w:r>
          </w:p>
        </w:tc>
        <w:tc>
          <w:tcPr>
            <w:tcW w:w="0" w:type="auto"/>
            <w:shd w:val="clear" w:color="auto" w:fill="auto"/>
            <w:tcMar>
              <w:top w:w="40" w:type="dxa"/>
              <w:bottom w:w="40" w:type="dxa"/>
              <w:right w:w="20" w:type="dxa"/>
            </w:tcMar>
            <w:vAlign w:val="bottom"/>
          </w:tcPr>
          <w:p w14:paraId="20AE09C7"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9C8"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9C9" w14:textId="77777777" w:rsidR="00B626E7" w:rsidRDefault="00175C1D">
            <w:pPr>
              <w:jc w:val="right"/>
              <w:textAlignment w:val="bottom"/>
            </w:pPr>
            <w:r>
              <w:rPr>
                <w:rFonts w:ascii="Arial" w:eastAsia="宋体" w:hAnsi="Arial" w:cs="Arial"/>
                <w:color w:val="0071C5"/>
                <w:sz w:val="18"/>
                <w:szCs w:val="18"/>
              </w:rPr>
              <w:t>2,330 </w:t>
            </w:r>
          </w:p>
        </w:tc>
        <w:tc>
          <w:tcPr>
            <w:tcW w:w="0" w:type="auto"/>
            <w:shd w:val="clear" w:color="auto" w:fill="auto"/>
            <w:tcMar>
              <w:top w:w="40" w:type="dxa"/>
              <w:bottom w:w="40" w:type="dxa"/>
              <w:right w:w="20" w:type="dxa"/>
            </w:tcMar>
            <w:vAlign w:val="bottom"/>
          </w:tcPr>
          <w:p w14:paraId="20AE09CA"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9CB"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9CC" w14:textId="77777777" w:rsidR="00B626E7" w:rsidRDefault="00175C1D">
            <w:pPr>
              <w:jc w:val="right"/>
              <w:textAlignment w:val="bottom"/>
            </w:pPr>
            <w:r>
              <w:rPr>
                <w:rFonts w:ascii="Arial" w:eastAsia="宋体" w:hAnsi="Arial" w:cs="Arial"/>
                <w:color w:val="333333"/>
                <w:sz w:val="18"/>
                <w:szCs w:val="18"/>
              </w:rPr>
              <w:t>1,678 </w:t>
            </w:r>
          </w:p>
        </w:tc>
        <w:tc>
          <w:tcPr>
            <w:tcW w:w="0" w:type="auto"/>
            <w:shd w:val="clear" w:color="auto" w:fill="auto"/>
            <w:tcMar>
              <w:top w:w="40" w:type="dxa"/>
              <w:bottom w:w="40" w:type="dxa"/>
              <w:right w:w="20" w:type="dxa"/>
            </w:tcMar>
            <w:vAlign w:val="bottom"/>
          </w:tcPr>
          <w:p w14:paraId="20AE09CD"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09CE" w14:textId="77777777" w:rsidR="00B626E7" w:rsidRDefault="00B626E7">
            <w:pPr>
              <w:rPr>
                <w:rFonts w:ascii="宋体"/>
              </w:rPr>
            </w:pPr>
          </w:p>
        </w:tc>
        <w:tc>
          <w:tcPr>
            <w:tcW w:w="0" w:type="auto"/>
            <w:shd w:val="clear" w:color="auto" w:fill="auto"/>
          </w:tcPr>
          <w:p w14:paraId="20AE09CF" w14:textId="77777777" w:rsidR="00B626E7" w:rsidRDefault="00B626E7">
            <w:pPr>
              <w:rPr>
                <w:rFonts w:ascii="宋体"/>
              </w:rPr>
            </w:pPr>
          </w:p>
        </w:tc>
        <w:tc>
          <w:tcPr>
            <w:tcW w:w="0" w:type="auto"/>
            <w:shd w:val="clear" w:color="auto" w:fill="auto"/>
          </w:tcPr>
          <w:p w14:paraId="20AE09D0" w14:textId="77777777" w:rsidR="00B626E7" w:rsidRDefault="00B626E7">
            <w:pPr>
              <w:rPr>
                <w:rFonts w:ascii="宋体"/>
              </w:rPr>
            </w:pPr>
          </w:p>
        </w:tc>
        <w:tc>
          <w:tcPr>
            <w:tcW w:w="0" w:type="auto"/>
            <w:shd w:val="clear" w:color="auto" w:fill="auto"/>
          </w:tcPr>
          <w:p w14:paraId="20AE09D1" w14:textId="77777777" w:rsidR="00B626E7" w:rsidRDefault="00B626E7">
            <w:pPr>
              <w:rPr>
                <w:rFonts w:ascii="宋体"/>
              </w:rPr>
            </w:pPr>
          </w:p>
        </w:tc>
        <w:tc>
          <w:tcPr>
            <w:tcW w:w="0" w:type="auto"/>
            <w:shd w:val="clear" w:color="auto" w:fill="auto"/>
          </w:tcPr>
          <w:p w14:paraId="20AE09D2" w14:textId="77777777" w:rsidR="00B626E7" w:rsidRDefault="00B626E7">
            <w:pPr>
              <w:rPr>
                <w:rFonts w:ascii="宋体"/>
              </w:rPr>
            </w:pPr>
          </w:p>
        </w:tc>
        <w:tc>
          <w:tcPr>
            <w:tcW w:w="0" w:type="auto"/>
            <w:shd w:val="clear" w:color="auto" w:fill="auto"/>
          </w:tcPr>
          <w:p w14:paraId="20AE09D3" w14:textId="77777777" w:rsidR="00B626E7" w:rsidRDefault="00B626E7">
            <w:pPr>
              <w:rPr>
                <w:rFonts w:ascii="宋体"/>
              </w:rPr>
            </w:pPr>
          </w:p>
        </w:tc>
        <w:tc>
          <w:tcPr>
            <w:tcW w:w="0" w:type="auto"/>
            <w:shd w:val="clear" w:color="auto" w:fill="auto"/>
          </w:tcPr>
          <w:p w14:paraId="20AE09D4" w14:textId="77777777" w:rsidR="00B626E7" w:rsidRDefault="00B626E7">
            <w:pPr>
              <w:rPr>
                <w:rFonts w:ascii="宋体"/>
              </w:rPr>
            </w:pPr>
          </w:p>
        </w:tc>
        <w:tc>
          <w:tcPr>
            <w:tcW w:w="0" w:type="auto"/>
            <w:shd w:val="clear" w:color="auto" w:fill="auto"/>
          </w:tcPr>
          <w:p w14:paraId="20AE09D5" w14:textId="77777777" w:rsidR="00B626E7" w:rsidRDefault="00B626E7">
            <w:pPr>
              <w:rPr>
                <w:rFonts w:ascii="宋体"/>
              </w:rPr>
            </w:pPr>
          </w:p>
        </w:tc>
        <w:tc>
          <w:tcPr>
            <w:tcW w:w="0" w:type="auto"/>
            <w:shd w:val="clear" w:color="auto" w:fill="auto"/>
          </w:tcPr>
          <w:p w14:paraId="20AE09D6" w14:textId="77777777" w:rsidR="00B626E7" w:rsidRDefault="00B626E7">
            <w:pPr>
              <w:rPr>
                <w:rFonts w:ascii="宋体"/>
              </w:rPr>
            </w:pPr>
          </w:p>
        </w:tc>
        <w:tc>
          <w:tcPr>
            <w:tcW w:w="0" w:type="auto"/>
            <w:shd w:val="clear" w:color="auto" w:fill="auto"/>
          </w:tcPr>
          <w:p w14:paraId="20AE09D7" w14:textId="77777777" w:rsidR="00B626E7" w:rsidRDefault="00B626E7">
            <w:pPr>
              <w:rPr>
                <w:rFonts w:ascii="宋体"/>
              </w:rPr>
            </w:pPr>
          </w:p>
        </w:tc>
        <w:tc>
          <w:tcPr>
            <w:tcW w:w="0" w:type="auto"/>
            <w:shd w:val="clear" w:color="auto" w:fill="auto"/>
          </w:tcPr>
          <w:p w14:paraId="20AE09D8" w14:textId="77777777" w:rsidR="00B626E7" w:rsidRDefault="00B626E7">
            <w:pPr>
              <w:rPr>
                <w:rFonts w:ascii="宋体"/>
              </w:rPr>
            </w:pPr>
          </w:p>
        </w:tc>
        <w:tc>
          <w:tcPr>
            <w:tcW w:w="0" w:type="auto"/>
            <w:shd w:val="clear" w:color="auto" w:fill="auto"/>
          </w:tcPr>
          <w:p w14:paraId="20AE09D9" w14:textId="77777777" w:rsidR="00B626E7" w:rsidRDefault="00B626E7">
            <w:pPr>
              <w:rPr>
                <w:rFonts w:ascii="宋体"/>
              </w:rPr>
            </w:pPr>
          </w:p>
        </w:tc>
      </w:tr>
      <w:tr w:rsidR="00B626E7" w14:paraId="20AE09F4" w14:textId="77777777">
        <w:tc>
          <w:tcPr>
            <w:tcW w:w="0" w:type="auto"/>
            <w:gridSpan w:val="3"/>
            <w:shd w:val="clear" w:color="auto" w:fill="auto"/>
            <w:tcMar>
              <w:left w:w="20" w:type="dxa"/>
              <w:right w:w="20" w:type="dxa"/>
            </w:tcMar>
            <w:vAlign w:val="bottom"/>
          </w:tcPr>
          <w:p w14:paraId="20AE09DB"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9DC"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09DD" w14:textId="77777777" w:rsidR="00B626E7" w:rsidRDefault="00175C1D">
            <w:pPr>
              <w:jc w:val="right"/>
              <w:textAlignment w:val="bottom"/>
            </w:pPr>
            <w:r>
              <w:rPr>
                <w:rFonts w:ascii="Arial" w:eastAsia="宋体" w:hAnsi="Arial" w:cs="Arial"/>
                <w:b/>
                <w:bCs/>
                <w:color w:val="026DCE"/>
                <w:sz w:val="18"/>
                <w:szCs w:val="18"/>
              </w:rPr>
              <w:t>9,496 </w:t>
            </w:r>
          </w:p>
        </w:tc>
        <w:tc>
          <w:tcPr>
            <w:tcW w:w="0" w:type="auto"/>
            <w:tcBorders>
              <w:top w:val="single" w:sz="8" w:space="0" w:color="333333"/>
            </w:tcBorders>
            <w:shd w:val="clear" w:color="auto" w:fill="auto"/>
            <w:tcMar>
              <w:top w:w="40" w:type="dxa"/>
              <w:bottom w:w="40" w:type="dxa"/>
              <w:right w:w="20" w:type="dxa"/>
            </w:tcMar>
            <w:vAlign w:val="bottom"/>
          </w:tcPr>
          <w:p w14:paraId="20AE09DE"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09DF"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09E0" w14:textId="77777777" w:rsidR="00B626E7" w:rsidRDefault="00175C1D">
            <w:pPr>
              <w:jc w:val="right"/>
              <w:textAlignment w:val="bottom"/>
            </w:pPr>
            <w:r>
              <w:rPr>
                <w:rFonts w:ascii="Arial" w:eastAsia="宋体" w:hAnsi="Arial" w:cs="Arial"/>
                <w:b/>
                <w:bCs/>
                <w:color w:val="333333"/>
                <w:sz w:val="18"/>
                <w:szCs w:val="18"/>
              </w:rPr>
              <w:t>8,841 </w:t>
            </w:r>
          </w:p>
        </w:tc>
        <w:tc>
          <w:tcPr>
            <w:tcW w:w="0" w:type="auto"/>
            <w:tcBorders>
              <w:top w:val="single" w:sz="8" w:space="0" w:color="333333"/>
            </w:tcBorders>
            <w:shd w:val="clear" w:color="auto" w:fill="auto"/>
            <w:tcMar>
              <w:top w:w="40" w:type="dxa"/>
              <w:bottom w:w="40" w:type="dxa"/>
              <w:right w:w="20" w:type="dxa"/>
            </w:tcMar>
            <w:vAlign w:val="bottom"/>
          </w:tcPr>
          <w:p w14:paraId="20AE09E1"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09E2"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09E3" w14:textId="77777777" w:rsidR="00B626E7" w:rsidRDefault="00175C1D">
            <w:pPr>
              <w:jc w:val="right"/>
              <w:textAlignment w:val="bottom"/>
            </w:pPr>
            <w:r>
              <w:rPr>
                <w:rFonts w:ascii="Arial" w:eastAsia="宋体" w:hAnsi="Arial" w:cs="Arial"/>
                <w:b/>
                <w:bCs/>
                <w:color w:val="0071C5"/>
                <w:sz w:val="18"/>
                <w:szCs w:val="18"/>
              </w:rPr>
              <w:t>19,271 </w:t>
            </w:r>
          </w:p>
        </w:tc>
        <w:tc>
          <w:tcPr>
            <w:tcW w:w="0" w:type="auto"/>
            <w:tcBorders>
              <w:top w:val="single" w:sz="8" w:space="0" w:color="333333"/>
            </w:tcBorders>
            <w:shd w:val="clear" w:color="auto" w:fill="auto"/>
            <w:tcMar>
              <w:top w:w="40" w:type="dxa"/>
              <w:bottom w:w="40" w:type="dxa"/>
              <w:right w:w="20" w:type="dxa"/>
            </w:tcMar>
            <w:vAlign w:val="bottom"/>
          </w:tcPr>
          <w:p w14:paraId="20AE09E4"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09E5"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09E6" w14:textId="77777777" w:rsidR="00B626E7" w:rsidRDefault="00175C1D">
            <w:pPr>
              <w:jc w:val="right"/>
              <w:textAlignment w:val="bottom"/>
            </w:pPr>
            <w:r>
              <w:rPr>
                <w:rFonts w:ascii="Arial" w:eastAsia="宋体" w:hAnsi="Arial" w:cs="Arial"/>
                <w:b/>
                <w:bCs/>
                <w:color w:val="333333"/>
                <w:sz w:val="18"/>
                <w:szCs w:val="18"/>
              </w:rPr>
              <w:t>17,427 </w:t>
            </w:r>
          </w:p>
        </w:tc>
        <w:tc>
          <w:tcPr>
            <w:tcW w:w="0" w:type="auto"/>
            <w:tcBorders>
              <w:top w:val="single" w:sz="8" w:space="0" w:color="333333"/>
            </w:tcBorders>
            <w:shd w:val="clear" w:color="auto" w:fill="auto"/>
            <w:tcMar>
              <w:top w:w="40" w:type="dxa"/>
              <w:bottom w:w="40" w:type="dxa"/>
              <w:right w:w="20" w:type="dxa"/>
            </w:tcMar>
            <w:vAlign w:val="bottom"/>
          </w:tcPr>
          <w:p w14:paraId="20AE09E7"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E09E8" w14:textId="77777777" w:rsidR="00B626E7" w:rsidRDefault="00B626E7">
            <w:pPr>
              <w:rPr>
                <w:rFonts w:ascii="宋体"/>
              </w:rPr>
            </w:pPr>
          </w:p>
        </w:tc>
        <w:tc>
          <w:tcPr>
            <w:tcW w:w="0" w:type="auto"/>
            <w:shd w:val="clear" w:color="auto" w:fill="auto"/>
          </w:tcPr>
          <w:p w14:paraId="20AE09E9" w14:textId="77777777" w:rsidR="00B626E7" w:rsidRDefault="00B626E7">
            <w:pPr>
              <w:rPr>
                <w:rFonts w:ascii="宋体"/>
              </w:rPr>
            </w:pPr>
          </w:p>
        </w:tc>
        <w:tc>
          <w:tcPr>
            <w:tcW w:w="0" w:type="auto"/>
            <w:shd w:val="clear" w:color="auto" w:fill="auto"/>
          </w:tcPr>
          <w:p w14:paraId="20AE09EA" w14:textId="77777777" w:rsidR="00B626E7" w:rsidRDefault="00B626E7">
            <w:pPr>
              <w:rPr>
                <w:rFonts w:ascii="宋体"/>
              </w:rPr>
            </w:pPr>
          </w:p>
        </w:tc>
        <w:tc>
          <w:tcPr>
            <w:tcW w:w="0" w:type="auto"/>
            <w:shd w:val="clear" w:color="auto" w:fill="auto"/>
          </w:tcPr>
          <w:p w14:paraId="20AE09EB" w14:textId="77777777" w:rsidR="00B626E7" w:rsidRDefault="00B626E7">
            <w:pPr>
              <w:rPr>
                <w:rFonts w:ascii="宋体"/>
              </w:rPr>
            </w:pPr>
          </w:p>
        </w:tc>
        <w:tc>
          <w:tcPr>
            <w:tcW w:w="0" w:type="auto"/>
            <w:shd w:val="clear" w:color="auto" w:fill="auto"/>
          </w:tcPr>
          <w:p w14:paraId="20AE09EC" w14:textId="77777777" w:rsidR="00B626E7" w:rsidRDefault="00B626E7">
            <w:pPr>
              <w:rPr>
                <w:rFonts w:ascii="宋体"/>
              </w:rPr>
            </w:pPr>
          </w:p>
        </w:tc>
        <w:tc>
          <w:tcPr>
            <w:tcW w:w="0" w:type="auto"/>
            <w:shd w:val="clear" w:color="auto" w:fill="auto"/>
          </w:tcPr>
          <w:p w14:paraId="20AE09ED" w14:textId="77777777" w:rsidR="00B626E7" w:rsidRDefault="00B626E7">
            <w:pPr>
              <w:rPr>
                <w:rFonts w:ascii="宋体"/>
              </w:rPr>
            </w:pPr>
          </w:p>
        </w:tc>
        <w:tc>
          <w:tcPr>
            <w:tcW w:w="0" w:type="auto"/>
            <w:shd w:val="clear" w:color="auto" w:fill="auto"/>
          </w:tcPr>
          <w:p w14:paraId="20AE09EE" w14:textId="77777777" w:rsidR="00B626E7" w:rsidRDefault="00B626E7">
            <w:pPr>
              <w:rPr>
                <w:rFonts w:ascii="宋体"/>
              </w:rPr>
            </w:pPr>
          </w:p>
        </w:tc>
        <w:tc>
          <w:tcPr>
            <w:tcW w:w="0" w:type="auto"/>
            <w:shd w:val="clear" w:color="auto" w:fill="auto"/>
          </w:tcPr>
          <w:p w14:paraId="20AE09EF" w14:textId="77777777" w:rsidR="00B626E7" w:rsidRDefault="00B626E7">
            <w:pPr>
              <w:rPr>
                <w:rFonts w:ascii="宋体"/>
              </w:rPr>
            </w:pPr>
          </w:p>
        </w:tc>
        <w:tc>
          <w:tcPr>
            <w:tcW w:w="0" w:type="auto"/>
            <w:shd w:val="clear" w:color="auto" w:fill="auto"/>
          </w:tcPr>
          <w:p w14:paraId="20AE09F0" w14:textId="77777777" w:rsidR="00B626E7" w:rsidRDefault="00B626E7">
            <w:pPr>
              <w:rPr>
                <w:rFonts w:ascii="宋体"/>
              </w:rPr>
            </w:pPr>
          </w:p>
        </w:tc>
        <w:tc>
          <w:tcPr>
            <w:tcW w:w="0" w:type="auto"/>
            <w:shd w:val="clear" w:color="auto" w:fill="auto"/>
          </w:tcPr>
          <w:p w14:paraId="20AE09F1" w14:textId="77777777" w:rsidR="00B626E7" w:rsidRDefault="00B626E7">
            <w:pPr>
              <w:rPr>
                <w:rFonts w:ascii="宋体"/>
              </w:rPr>
            </w:pPr>
          </w:p>
        </w:tc>
        <w:tc>
          <w:tcPr>
            <w:tcW w:w="0" w:type="auto"/>
            <w:shd w:val="clear" w:color="auto" w:fill="auto"/>
          </w:tcPr>
          <w:p w14:paraId="20AE09F2" w14:textId="77777777" w:rsidR="00B626E7" w:rsidRDefault="00B626E7">
            <w:pPr>
              <w:rPr>
                <w:rFonts w:ascii="宋体"/>
              </w:rPr>
            </w:pPr>
          </w:p>
        </w:tc>
        <w:tc>
          <w:tcPr>
            <w:tcW w:w="0" w:type="auto"/>
            <w:shd w:val="clear" w:color="auto" w:fill="auto"/>
          </w:tcPr>
          <w:p w14:paraId="20AE09F3" w14:textId="77777777" w:rsidR="00B626E7" w:rsidRDefault="00B626E7">
            <w:pPr>
              <w:rPr>
                <w:rFonts w:ascii="宋体"/>
              </w:rPr>
            </w:pPr>
          </w:p>
        </w:tc>
      </w:tr>
      <w:tr w:rsidR="00B626E7" w14:paraId="20AE0A0A" w14:textId="77777777">
        <w:trPr>
          <w:trHeight w:val="280"/>
        </w:trPr>
        <w:tc>
          <w:tcPr>
            <w:tcW w:w="0" w:type="auto"/>
            <w:gridSpan w:val="3"/>
            <w:shd w:val="clear" w:color="auto" w:fill="auto"/>
            <w:tcMar>
              <w:left w:w="20" w:type="dxa"/>
              <w:right w:w="20" w:type="dxa"/>
            </w:tcMar>
            <w:vAlign w:val="bottom"/>
          </w:tcPr>
          <w:p w14:paraId="20AE09F5"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9F6"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9F7"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9F8"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9F9"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9FA"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9FB"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9FC"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9FD" w14:textId="77777777" w:rsidR="00B626E7" w:rsidRDefault="00B626E7">
            <w:pPr>
              <w:rPr>
                <w:rFonts w:ascii="宋体"/>
              </w:rPr>
            </w:pPr>
          </w:p>
        </w:tc>
        <w:tc>
          <w:tcPr>
            <w:tcW w:w="0" w:type="auto"/>
            <w:shd w:val="clear" w:color="auto" w:fill="auto"/>
          </w:tcPr>
          <w:p w14:paraId="20AE09FE" w14:textId="77777777" w:rsidR="00B626E7" w:rsidRDefault="00B626E7">
            <w:pPr>
              <w:rPr>
                <w:rFonts w:ascii="宋体"/>
              </w:rPr>
            </w:pPr>
          </w:p>
        </w:tc>
        <w:tc>
          <w:tcPr>
            <w:tcW w:w="0" w:type="auto"/>
            <w:shd w:val="clear" w:color="auto" w:fill="auto"/>
          </w:tcPr>
          <w:p w14:paraId="20AE09FF" w14:textId="77777777" w:rsidR="00B626E7" w:rsidRDefault="00B626E7">
            <w:pPr>
              <w:rPr>
                <w:rFonts w:ascii="宋体"/>
              </w:rPr>
            </w:pPr>
          </w:p>
        </w:tc>
        <w:tc>
          <w:tcPr>
            <w:tcW w:w="0" w:type="auto"/>
            <w:shd w:val="clear" w:color="auto" w:fill="auto"/>
          </w:tcPr>
          <w:p w14:paraId="20AE0A00" w14:textId="77777777" w:rsidR="00B626E7" w:rsidRDefault="00B626E7">
            <w:pPr>
              <w:rPr>
                <w:rFonts w:ascii="宋体"/>
              </w:rPr>
            </w:pPr>
          </w:p>
        </w:tc>
        <w:tc>
          <w:tcPr>
            <w:tcW w:w="0" w:type="auto"/>
            <w:shd w:val="clear" w:color="auto" w:fill="auto"/>
          </w:tcPr>
          <w:p w14:paraId="20AE0A01" w14:textId="77777777" w:rsidR="00B626E7" w:rsidRDefault="00B626E7">
            <w:pPr>
              <w:rPr>
                <w:rFonts w:ascii="宋体"/>
              </w:rPr>
            </w:pPr>
          </w:p>
        </w:tc>
        <w:tc>
          <w:tcPr>
            <w:tcW w:w="0" w:type="auto"/>
            <w:shd w:val="clear" w:color="auto" w:fill="auto"/>
          </w:tcPr>
          <w:p w14:paraId="20AE0A02" w14:textId="77777777" w:rsidR="00B626E7" w:rsidRDefault="00B626E7">
            <w:pPr>
              <w:rPr>
                <w:rFonts w:ascii="宋体"/>
              </w:rPr>
            </w:pPr>
          </w:p>
        </w:tc>
        <w:tc>
          <w:tcPr>
            <w:tcW w:w="0" w:type="auto"/>
            <w:shd w:val="clear" w:color="auto" w:fill="auto"/>
          </w:tcPr>
          <w:p w14:paraId="20AE0A03" w14:textId="77777777" w:rsidR="00B626E7" w:rsidRDefault="00B626E7">
            <w:pPr>
              <w:rPr>
                <w:rFonts w:ascii="宋体"/>
              </w:rPr>
            </w:pPr>
          </w:p>
        </w:tc>
        <w:tc>
          <w:tcPr>
            <w:tcW w:w="0" w:type="auto"/>
            <w:shd w:val="clear" w:color="auto" w:fill="auto"/>
          </w:tcPr>
          <w:p w14:paraId="20AE0A04" w14:textId="77777777" w:rsidR="00B626E7" w:rsidRDefault="00B626E7">
            <w:pPr>
              <w:rPr>
                <w:rFonts w:ascii="宋体"/>
              </w:rPr>
            </w:pPr>
          </w:p>
        </w:tc>
        <w:tc>
          <w:tcPr>
            <w:tcW w:w="0" w:type="auto"/>
            <w:shd w:val="clear" w:color="auto" w:fill="auto"/>
          </w:tcPr>
          <w:p w14:paraId="20AE0A05" w14:textId="77777777" w:rsidR="00B626E7" w:rsidRDefault="00B626E7">
            <w:pPr>
              <w:rPr>
                <w:rFonts w:ascii="宋体"/>
              </w:rPr>
            </w:pPr>
          </w:p>
        </w:tc>
        <w:tc>
          <w:tcPr>
            <w:tcW w:w="0" w:type="auto"/>
            <w:shd w:val="clear" w:color="auto" w:fill="auto"/>
          </w:tcPr>
          <w:p w14:paraId="20AE0A06" w14:textId="77777777" w:rsidR="00B626E7" w:rsidRDefault="00B626E7">
            <w:pPr>
              <w:rPr>
                <w:rFonts w:ascii="宋体"/>
              </w:rPr>
            </w:pPr>
          </w:p>
        </w:tc>
        <w:tc>
          <w:tcPr>
            <w:tcW w:w="0" w:type="auto"/>
            <w:shd w:val="clear" w:color="auto" w:fill="auto"/>
          </w:tcPr>
          <w:p w14:paraId="20AE0A07" w14:textId="77777777" w:rsidR="00B626E7" w:rsidRDefault="00B626E7">
            <w:pPr>
              <w:rPr>
                <w:rFonts w:ascii="宋体"/>
              </w:rPr>
            </w:pPr>
          </w:p>
        </w:tc>
        <w:tc>
          <w:tcPr>
            <w:tcW w:w="0" w:type="auto"/>
            <w:shd w:val="clear" w:color="auto" w:fill="auto"/>
          </w:tcPr>
          <w:p w14:paraId="20AE0A08" w14:textId="77777777" w:rsidR="00B626E7" w:rsidRDefault="00B626E7">
            <w:pPr>
              <w:rPr>
                <w:rFonts w:ascii="宋体"/>
              </w:rPr>
            </w:pPr>
          </w:p>
        </w:tc>
        <w:tc>
          <w:tcPr>
            <w:tcW w:w="0" w:type="auto"/>
            <w:shd w:val="clear" w:color="auto" w:fill="auto"/>
          </w:tcPr>
          <w:p w14:paraId="20AE0A09" w14:textId="77777777" w:rsidR="00B626E7" w:rsidRDefault="00B626E7">
            <w:pPr>
              <w:rPr>
                <w:rFonts w:ascii="宋体"/>
              </w:rPr>
            </w:pPr>
          </w:p>
        </w:tc>
      </w:tr>
      <w:tr w:rsidR="00B626E7" w14:paraId="20AE0A24" w14:textId="77777777">
        <w:tc>
          <w:tcPr>
            <w:tcW w:w="0" w:type="auto"/>
            <w:gridSpan w:val="3"/>
            <w:shd w:val="clear" w:color="auto" w:fill="auto"/>
            <w:tcMar>
              <w:top w:w="40" w:type="dxa"/>
              <w:left w:w="195" w:type="dxa"/>
              <w:bottom w:w="40" w:type="dxa"/>
              <w:right w:w="20" w:type="dxa"/>
            </w:tcMar>
            <w:vAlign w:val="bottom"/>
          </w:tcPr>
          <w:p w14:paraId="20AE0A0B" w14:textId="77777777" w:rsidR="00B626E7" w:rsidRDefault="00175C1D">
            <w:pPr>
              <w:textAlignment w:val="bottom"/>
            </w:pPr>
            <w:r>
              <w:rPr>
                <w:rFonts w:ascii="Arial" w:eastAsia="宋体" w:hAnsi="Arial" w:cs="Arial"/>
                <w:b/>
                <w:bCs/>
                <w:color w:val="333333"/>
                <w:sz w:val="18"/>
                <w:szCs w:val="18"/>
              </w:rPr>
              <w:t>All other</w:t>
            </w:r>
          </w:p>
        </w:tc>
        <w:tc>
          <w:tcPr>
            <w:tcW w:w="0" w:type="auto"/>
            <w:gridSpan w:val="3"/>
            <w:shd w:val="clear" w:color="auto" w:fill="auto"/>
            <w:tcMar>
              <w:left w:w="20" w:type="dxa"/>
              <w:right w:w="20" w:type="dxa"/>
            </w:tcMar>
            <w:vAlign w:val="bottom"/>
          </w:tcPr>
          <w:p w14:paraId="20AE0A0C"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A0D" w14:textId="77777777" w:rsidR="00B626E7" w:rsidRDefault="00175C1D">
            <w:pPr>
              <w:jc w:val="right"/>
              <w:textAlignment w:val="bottom"/>
            </w:pPr>
            <w:r>
              <w:rPr>
                <w:rFonts w:ascii="Arial" w:eastAsia="宋体" w:hAnsi="Arial" w:cs="Arial"/>
                <w:b/>
                <w:bCs/>
                <w:color w:val="026DCE"/>
                <w:sz w:val="18"/>
                <w:szCs w:val="18"/>
              </w:rPr>
              <w:t>139 </w:t>
            </w:r>
          </w:p>
        </w:tc>
        <w:tc>
          <w:tcPr>
            <w:tcW w:w="0" w:type="auto"/>
            <w:shd w:val="clear" w:color="auto" w:fill="auto"/>
            <w:tcMar>
              <w:top w:w="40" w:type="dxa"/>
              <w:bottom w:w="40" w:type="dxa"/>
              <w:right w:w="20" w:type="dxa"/>
            </w:tcMar>
            <w:vAlign w:val="bottom"/>
          </w:tcPr>
          <w:p w14:paraId="20AE0A0E"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0A0F"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A10" w14:textId="77777777" w:rsidR="00B626E7" w:rsidRDefault="00175C1D">
            <w:pPr>
              <w:jc w:val="right"/>
              <w:textAlignment w:val="bottom"/>
            </w:pPr>
            <w:r>
              <w:rPr>
                <w:rFonts w:ascii="Arial" w:eastAsia="宋体" w:hAnsi="Arial" w:cs="Arial"/>
                <w:b/>
                <w:bCs/>
                <w:color w:val="333333"/>
                <w:sz w:val="18"/>
                <w:szCs w:val="18"/>
              </w:rPr>
              <w:t>65 </w:t>
            </w:r>
          </w:p>
        </w:tc>
        <w:tc>
          <w:tcPr>
            <w:tcW w:w="0" w:type="auto"/>
            <w:shd w:val="clear" w:color="auto" w:fill="auto"/>
            <w:tcMar>
              <w:top w:w="40" w:type="dxa"/>
              <w:bottom w:w="40" w:type="dxa"/>
              <w:right w:w="20" w:type="dxa"/>
            </w:tcMar>
            <w:vAlign w:val="bottom"/>
          </w:tcPr>
          <w:p w14:paraId="20AE0A11"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0A12"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A13" w14:textId="77777777" w:rsidR="00B626E7" w:rsidRDefault="00175C1D">
            <w:pPr>
              <w:jc w:val="right"/>
              <w:textAlignment w:val="bottom"/>
            </w:pPr>
            <w:r>
              <w:rPr>
                <w:rFonts w:ascii="Arial" w:eastAsia="宋体" w:hAnsi="Arial" w:cs="Arial"/>
                <w:b/>
                <w:bCs/>
                <w:color w:val="0071C5"/>
                <w:sz w:val="18"/>
                <w:szCs w:val="18"/>
              </w:rPr>
              <w:t>205 </w:t>
            </w:r>
          </w:p>
        </w:tc>
        <w:tc>
          <w:tcPr>
            <w:tcW w:w="0" w:type="auto"/>
            <w:shd w:val="clear" w:color="auto" w:fill="auto"/>
            <w:tcMar>
              <w:top w:w="40" w:type="dxa"/>
              <w:bottom w:w="40" w:type="dxa"/>
              <w:right w:w="20" w:type="dxa"/>
            </w:tcMar>
            <w:vAlign w:val="bottom"/>
          </w:tcPr>
          <w:p w14:paraId="20AE0A14"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0A15"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A16" w14:textId="77777777" w:rsidR="00B626E7" w:rsidRDefault="00175C1D">
            <w:pPr>
              <w:jc w:val="right"/>
              <w:textAlignment w:val="bottom"/>
            </w:pPr>
            <w:r>
              <w:rPr>
                <w:rFonts w:ascii="Arial" w:eastAsia="宋体" w:hAnsi="Arial" w:cs="Arial"/>
                <w:b/>
                <w:bCs/>
                <w:color w:val="333333"/>
                <w:sz w:val="18"/>
                <w:szCs w:val="18"/>
              </w:rPr>
              <w:t>118 </w:t>
            </w:r>
          </w:p>
        </w:tc>
        <w:tc>
          <w:tcPr>
            <w:tcW w:w="0" w:type="auto"/>
            <w:shd w:val="clear" w:color="auto" w:fill="auto"/>
            <w:tcMar>
              <w:top w:w="40" w:type="dxa"/>
              <w:bottom w:w="40" w:type="dxa"/>
              <w:right w:w="20" w:type="dxa"/>
            </w:tcMar>
            <w:vAlign w:val="bottom"/>
          </w:tcPr>
          <w:p w14:paraId="20AE0A17"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E0A18" w14:textId="77777777" w:rsidR="00B626E7" w:rsidRDefault="00B626E7">
            <w:pPr>
              <w:rPr>
                <w:rFonts w:ascii="宋体"/>
              </w:rPr>
            </w:pPr>
          </w:p>
        </w:tc>
        <w:tc>
          <w:tcPr>
            <w:tcW w:w="0" w:type="auto"/>
            <w:shd w:val="clear" w:color="auto" w:fill="auto"/>
          </w:tcPr>
          <w:p w14:paraId="20AE0A19" w14:textId="77777777" w:rsidR="00B626E7" w:rsidRDefault="00B626E7">
            <w:pPr>
              <w:rPr>
                <w:rFonts w:ascii="宋体"/>
              </w:rPr>
            </w:pPr>
          </w:p>
        </w:tc>
        <w:tc>
          <w:tcPr>
            <w:tcW w:w="0" w:type="auto"/>
            <w:shd w:val="clear" w:color="auto" w:fill="auto"/>
          </w:tcPr>
          <w:p w14:paraId="20AE0A1A" w14:textId="77777777" w:rsidR="00B626E7" w:rsidRDefault="00B626E7">
            <w:pPr>
              <w:rPr>
                <w:rFonts w:ascii="宋体"/>
              </w:rPr>
            </w:pPr>
          </w:p>
        </w:tc>
        <w:tc>
          <w:tcPr>
            <w:tcW w:w="0" w:type="auto"/>
            <w:shd w:val="clear" w:color="auto" w:fill="auto"/>
          </w:tcPr>
          <w:p w14:paraId="20AE0A1B" w14:textId="77777777" w:rsidR="00B626E7" w:rsidRDefault="00B626E7">
            <w:pPr>
              <w:rPr>
                <w:rFonts w:ascii="宋体"/>
              </w:rPr>
            </w:pPr>
          </w:p>
        </w:tc>
        <w:tc>
          <w:tcPr>
            <w:tcW w:w="0" w:type="auto"/>
            <w:shd w:val="clear" w:color="auto" w:fill="auto"/>
          </w:tcPr>
          <w:p w14:paraId="20AE0A1C" w14:textId="77777777" w:rsidR="00B626E7" w:rsidRDefault="00B626E7">
            <w:pPr>
              <w:rPr>
                <w:rFonts w:ascii="宋体"/>
              </w:rPr>
            </w:pPr>
          </w:p>
        </w:tc>
        <w:tc>
          <w:tcPr>
            <w:tcW w:w="0" w:type="auto"/>
            <w:shd w:val="clear" w:color="auto" w:fill="auto"/>
          </w:tcPr>
          <w:p w14:paraId="20AE0A1D" w14:textId="77777777" w:rsidR="00B626E7" w:rsidRDefault="00B626E7">
            <w:pPr>
              <w:rPr>
                <w:rFonts w:ascii="宋体"/>
              </w:rPr>
            </w:pPr>
          </w:p>
        </w:tc>
        <w:tc>
          <w:tcPr>
            <w:tcW w:w="0" w:type="auto"/>
            <w:shd w:val="clear" w:color="auto" w:fill="auto"/>
          </w:tcPr>
          <w:p w14:paraId="20AE0A1E" w14:textId="77777777" w:rsidR="00B626E7" w:rsidRDefault="00B626E7">
            <w:pPr>
              <w:rPr>
                <w:rFonts w:ascii="宋体"/>
              </w:rPr>
            </w:pPr>
          </w:p>
        </w:tc>
        <w:tc>
          <w:tcPr>
            <w:tcW w:w="0" w:type="auto"/>
            <w:shd w:val="clear" w:color="auto" w:fill="auto"/>
          </w:tcPr>
          <w:p w14:paraId="20AE0A1F" w14:textId="77777777" w:rsidR="00B626E7" w:rsidRDefault="00B626E7">
            <w:pPr>
              <w:rPr>
                <w:rFonts w:ascii="宋体"/>
              </w:rPr>
            </w:pPr>
          </w:p>
        </w:tc>
        <w:tc>
          <w:tcPr>
            <w:tcW w:w="0" w:type="auto"/>
            <w:shd w:val="clear" w:color="auto" w:fill="auto"/>
          </w:tcPr>
          <w:p w14:paraId="20AE0A20" w14:textId="77777777" w:rsidR="00B626E7" w:rsidRDefault="00B626E7">
            <w:pPr>
              <w:rPr>
                <w:rFonts w:ascii="宋体"/>
              </w:rPr>
            </w:pPr>
          </w:p>
        </w:tc>
        <w:tc>
          <w:tcPr>
            <w:tcW w:w="0" w:type="auto"/>
            <w:shd w:val="clear" w:color="auto" w:fill="auto"/>
          </w:tcPr>
          <w:p w14:paraId="20AE0A21" w14:textId="77777777" w:rsidR="00B626E7" w:rsidRDefault="00B626E7">
            <w:pPr>
              <w:rPr>
                <w:rFonts w:ascii="宋体"/>
              </w:rPr>
            </w:pPr>
          </w:p>
        </w:tc>
        <w:tc>
          <w:tcPr>
            <w:tcW w:w="0" w:type="auto"/>
            <w:shd w:val="clear" w:color="auto" w:fill="auto"/>
          </w:tcPr>
          <w:p w14:paraId="20AE0A22" w14:textId="77777777" w:rsidR="00B626E7" w:rsidRDefault="00B626E7">
            <w:pPr>
              <w:rPr>
                <w:rFonts w:ascii="宋体"/>
              </w:rPr>
            </w:pPr>
          </w:p>
        </w:tc>
        <w:tc>
          <w:tcPr>
            <w:tcW w:w="0" w:type="auto"/>
            <w:shd w:val="clear" w:color="auto" w:fill="auto"/>
          </w:tcPr>
          <w:p w14:paraId="20AE0A23" w14:textId="77777777" w:rsidR="00B626E7" w:rsidRDefault="00B626E7">
            <w:pPr>
              <w:rPr>
                <w:rFonts w:ascii="宋体"/>
              </w:rPr>
            </w:pPr>
          </w:p>
        </w:tc>
      </w:tr>
      <w:tr w:rsidR="00B626E7" w14:paraId="20AE0A42" w14:textId="77777777">
        <w:tc>
          <w:tcPr>
            <w:tcW w:w="0" w:type="auto"/>
            <w:gridSpan w:val="3"/>
            <w:shd w:val="clear" w:color="auto" w:fill="auto"/>
            <w:tcMar>
              <w:top w:w="40" w:type="dxa"/>
              <w:left w:w="20" w:type="dxa"/>
              <w:bottom w:w="40" w:type="dxa"/>
              <w:right w:w="20" w:type="dxa"/>
            </w:tcMar>
            <w:vAlign w:val="bottom"/>
          </w:tcPr>
          <w:p w14:paraId="20AE0A25" w14:textId="77777777" w:rsidR="00B626E7" w:rsidRDefault="00175C1D">
            <w:pPr>
              <w:textAlignment w:val="bottom"/>
            </w:pPr>
            <w:r>
              <w:rPr>
                <w:rFonts w:ascii="Arial" w:eastAsia="宋体" w:hAnsi="Arial" w:cs="Arial"/>
                <w:b/>
                <w:bCs/>
                <w:color w:val="333333"/>
                <w:sz w:val="18"/>
                <w:szCs w:val="18"/>
              </w:rPr>
              <w:t>Total net revenue</w:t>
            </w:r>
          </w:p>
        </w:tc>
        <w:tc>
          <w:tcPr>
            <w:tcW w:w="0" w:type="auto"/>
            <w:gridSpan w:val="3"/>
            <w:shd w:val="clear" w:color="auto" w:fill="auto"/>
            <w:tcMar>
              <w:left w:w="20" w:type="dxa"/>
              <w:right w:w="20" w:type="dxa"/>
            </w:tcMar>
            <w:vAlign w:val="bottom"/>
          </w:tcPr>
          <w:p w14:paraId="20AE0A26" w14:textId="77777777" w:rsidR="00B626E7" w:rsidRDefault="00B626E7">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20AE0A27" w14:textId="77777777" w:rsidR="00B626E7" w:rsidRDefault="00175C1D">
            <w:pPr>
              <w:textAlignment w:val="bottom"/>
            </w:pPr>
            <w:r>
              <w:rPr>
                <w:rFonts w:ascii="Arial" w:eastAsia="宋体" w:hAnsi="Arial" w:cs="Arial"/>
                <w:b/>
                <w:bCs/>
                <w:color w:val="026DCE"/>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20AE0A28" w14:textId="77777777" w:rsidR="00B626E7" w:rsidRDefault="00175C1D">
            <w:pPr>
              <w:jc w:val="right"/>
              <w:textAlignment w:val="bottom"/>
            </w:pPr>
            <w:r>
              <w:rPr>
                <w:rFonts w:ascii="Arial" w:eastAsia="宋体" w:hAnsi="Arial" w:cs="Arial"/>
                <w:b/>
                <w:bCs/>
                <w:color w:val="026DCE"/>
                <w:sz w:val="18"/>
                <w:szCs w:val="18"/>
              </w:rPr>
              <w:t>19,728 </w:t>
            </w:r>
          </w:p>
        </w:tc>
        <w:tc>
          <w:tcPr>
            <w:tcW w:w="0" w:type="auto"/>
            <w:tcBorders>
              <w:top w:val="single" w:sz="8" w:space="0" w:color="333333"/>
            </w:tcBorders>
            <w:shd w:val="clear" w:color="auto" w:fill="auto"/>
            <w:tcMar>
              <w:top w:w="40" w:type="dxa"/>
              <w:bottom w:w="40" w:type="dxa"/>
              <w:right w:w="20" w:type="dxa"/>
            </w:tcMar>
            <w:vAlign w:val="bottom"/>
          </w:tcPr>
          <w:p w14:paraId="20AE0A29"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0A2A" w14:textId="77777777" w:rsidR="00B626E7" w:rsidRDefault="00B626E7">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20AE0A2B"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20AE0A2C" w14:textId="77777777" w:rsidR="00B626E7" w:rsidRDefault="00175C1D">
            <w:pPr>
              <w:jc w:val="right"/>
              <w:textAlignment w:val="bottom"/>
            </w:pPr>
            <w:r>
              <w:rPr>
                <w:rFonts w:ascii="Arial" w:eastAsia="宋体" w:hAnsi="Arial" w:cs="Arial"/>
                <w:b/>
                <w:bCs/>
                <w:color w:val="333333"/>
                <w:sz w:val="18"/>
                <w:szCs w:val="18"/>
              </w:rPr>
              <w:t>16,505 </w:t>
            </w:r>
          </w:p>
        </w:tc>
        <w:tc>
          <w:tcPr>
            <w:tcW w:w="0" w:type="auto"/>
            <w:tcBorders>
              <w:top w:val="single" w:sz="8" w:space="0" w:color="333333"/>
            </w:tcBorders>
            <w:shd w:val="clear" w:color="auto" w:fill="auto"/>
            <w:tcMar>
              <w:top w:w="40" w:type="dxa"/>
              <w:bottom w:w="40" w:type="dxa"/>
              <w:right w:w="20" w:type="dxa"/>
            </w:tcMar>
            <w:vAlign w:val="bottom"/>
          </w:tcPr>
          <w:p w14:paraId="20AE0A2D"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0A2E" w14:textId="77777777" w:rsidR="00B626E7" w:rsidRDefault="00B626E7">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20AE0A2F" w14:textId="77777777" w:rsidR="00B626E7" w:rsidRDefault="00175C1D">
            <w:pPr>
              <w:textAlignment w:val="bottom"/>
            </w:pPr>
            <w:r>
              <w:rPr>
                <w:rFonts w:ascii="Arial" w:eastAsia="宋体" w:hAnsi="Arial" w:cs="Arial"/>
                <w:b/>
                <w:bCs/>
                <w:color w:val="0071C5"/>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20AE0A30" w14:textId="77777777" w:rsidR="00B626E7" w:rsidRDefault="00175C1D">
            <w:pPr>
              <w:jc w:val="right"/>
              <w:textAlignment w:val="bottom"/>
            </w:pPr>
            <w:r>
              <w:rPr>
                <w:rFonts w:ascii="Arial" w:eastAsia="宋体" w:hAnsi="Arial" w:cs="Arial"/>
                <w:b/>
                <w:bCs/>
                <w:color w:val="0071C5"/>
                <w:sz w:val="18"/>
                <w:szCs w:val="18"/>
              </w:rPr>
              <w:t>39,556 </w:t>
            </w:r>
          </w:p>
        </w:tc>
        <w:tc>
          <w:tcPr>
            <w:tcW w:w="0" w:type="auto"/>
            <w:tcBorders>
              <w:top w:val="single" w:sz="8" w:space="0" w:color="333333"/>
            </w:tcBorders>
            <w:shd w:val="clear" w:color="auto" w:fill="auto"/>
            <w:tcMar>
              <w:top w:w="40" w:type="dxa"/>
              <w:bottom w:w="40" w:type="dxa"/>
              <w:right w:w="20" w:type="dxa"/>
            </w:tcMar>
            <w:vAlign w:val="bottom"/>
          </w:tcPr>
          <w:p w14:paraId="20AE0A31"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0A32" w14:textId="77777777" w:rsidR="00B626E7" w:rsidRDefault="00B626E7">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20AE0A33"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20AE0A34" w14:textId="77777777" w:rsidR="00B626E7" w:rsidRDefault="00175C1D">
            <w:pPr>
              <w:jc w:val="right"/>
              <w:textAlignment w:val="bottom"/>
            </w:pPr>
            <w:r>
              <w:rPr>
                <w:rFonts w:ascii="Arial" w:eastAsia="宋体" w:hAnsi="Arial" w:cs="Arial"/>
                <w:b/>
                <w:bCs/>
                <w:color w:val="333333"/>
                <w:sz w:val="18"/>
                <w:szCs w:val="18"/>
              </w:rPr>
              <w:t>32,566 </w:t>
            </w:r>
          </w:p>
        </w:tc>
        <w:tc>
          <w:tcPr>
            <w:tcW w:w="0" w:type="auto"/>
            <w:tcBorders>
              <w:top w:val="single" w:sz="8" w:space="0" w:color="333333"/>
            </w:tcBorders>
            <w:shd w:val="clear" w:color="auto" w:fill="auto"/>
            <w:tcMar>
              <w:top w:w="40" w:type="dxa"/>
              <w:bottom w:w="40" w:type="dxa"/>
              <w:right w:w="20" w:type="dxa"/>
            </w:tcMar>
            <w:vAlign w:val="bottom"/>
          </w:tcPr>
          <w:p w14:paraId="20AE0A35"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E0A36" w14:textId="77777777" w:rsidR="00B626E7" w:rsidRDefault="00B626E7">
            <w:pPr>
              <w:rPr>
                <w:rFonts w:ascii="宋体"/>
              </w:rPr>
            </w:pPr>
          </w:p>
        </w:tc>
        <w:tc>
          <w:tcPr>
            <w:tcW w:w="0" w:type="auto"/>
            <w:shd w:val="clear" w:color="auto" w:fill="auto"/>
          </w:tcPr>
          <w:p w14:paraId="20AE0A37" w14:textId="77777777" w:rsidR="00B626E7" w:rsidRDefault="00B626E7">
            <w:pPr>
              <w:rPr>
                <w:rFonts w:ascii="宋体"/>
              </w:rPr>
            </w:pPr>
          </w:p>
        </w:tc>
        <w:tc>
          <w:tcPr>
            <w:tcW w:w="0" w:type="auto"/>
            <w:shd w:val="clear" w:color="auto" w:fill="auto"/>
          </w:tcPr>
          <w:p w14:paraId="20AE0A38" w14:textId="77777777" w:rsidR="00B626E7" w:rsidRDefault="00B626E7">
            <w:pPr>
              <w:rPr>
                <w:rFonts w:ascii="宋体"/>
              </w:rPr>
            </w:pPr>
          </w:p>
        </w:tc>
        <w:tc>
          <w:tcPr>
            <w:tcW w:w="0" w:type="auto"/>
            <w:shd w:val="clear" w:color="auto" w:fill="auto"/>
          </w:tcPr>
          <w:p w14:paraId="20AE0A39" w14:textId="77777777" w:rsidR="00B626E7" w:rsidRDefault="00B626E7">
            <w:pPr>
              <w:rPr>
                <w:rFonts w:ascii="宋体"/>
              </w:rPr>
            </w:pPr>
          </w:p>
        </w:tc>
        <w:tc>
          <w:tcPr>
            <w:tcW w:w="0" w:type="auto"/>
            <w:shd w:val="clear" w:color="auto" w:fill="auto"/>
          </w:tcPr>
          <w:p w14:paraId="20AE0A3A" w14:textId="77777777" w:rsidR="00B626E7" w:rsidRDefault="00B626E7">
            <w:pPr>
              <w:rPr>
                <w:rFonts w:ascii="宋体"/>
              </w:rPr>
            </w:pPr>
          </w:p>
        </w:tc>
        <w:tc>
          <w:tcPr>
            <w:tcW w:w="0" w:type="auto"/>
            <w:shd w:val="clear" w:color="auto" w:fill="auto"/>
          </w:tcPr>
          <w:p w14:paraId="20AE0A3B" w14:textId="77777777" w:rsidR="00B626E7" w:rsidRDefault="00B626E7">
            <w:pPr>
              <w:rPr>
                <w:rFonts w:ascii="宋体"/>
              </w:rPr>
            </w:pPr>
          </w:p>
        </w:tc>
        <w:tc>
          <w:tcPr>
            <w:tcW w:w="0" w:type="auto"/>
            <w:shd w:val="clear" w:color="auto" w:fill="auto"/>
          </w:tcPr>
          <w:p w14:paraId="20AE0A3C" w14:textId="77777777" w:rsidR="00B626E7" w:rsidRDefault="00B626E7">
            <w:pPr>
              <w:rPr>
                <w:rFonts w:ascii="宋体"/>
              </w:rPr>
            </w:pPr>
          </w:p>
        </w:tc>
        <w:tc>
          <w:tcPr>
            <w:tcW w:w="0" w:type="auto"/>
            <w:shd w:val="clear" w:color="auto" w:fill="auto"/>
          </w:tcPr>
          <w:p w14:paraId="20AE0A3D" w14:textId="77777777" w:rsidR="00B626E7" w:rsidRDefault="00B626E7">
            <w:pPr>
              <w:rPr>
                <w:rFonts w:ascii="宋体"/>
              </w:rPr>
            </w:pPr>
          </w:p>
        </w:tc>
        <w:tc>
          <w:tcPr>
            <w:tcW w:w="0" w:type="auto"/>
            <w:shd w:val="clear" w:color="auto" w:fill="auto"/>
          </w:tcPr>
          <w:p w14:paraId="20AE0A3E" w14:textId="77777777" w:rsidR="00B626E7" w:rsidRDefault="00B626E7">
            <w:pPr>
              <w:rPr>
                <w:rFonts w:ascii="宋体"/>
              </w:rPr>
            </w:pPr>
          </w:p>
        </w:tc>
        <w:tc>
          <w:tcPr>
            <w:tcW w:w="0" w:type="auto"/>
            <w:shd w:val="clear" w:color="auto" w:fill="auto"/>
          </w:tcPr>
          <w:p w14:paraId="20AE0A3F" w14:textId="77777777" w:rsidR="00B626E7" w:rsidRDefault="00B626E7">
            <w:pPr>
              <w:rPr>
                <w:rFonts w:ascii="宋体"/>
              </w:rPr>
            </w:pPr>
          </w:p>
        </w:tc>
        <w:tc>
          <w:tcPr>
            <w:tcW w:w="0" w:type="auto"/>
            <w:shd w:val="clear" w:color="auto" w:fill="auto"/>
          </w:tcPr>
          <w:p w14:paraId="20AE0A40" w14:textId="77777777" w:rsidR="00B626E7" w:rsidRDefault="00B626E7">
            <w:pPr>
              <w:rPr>
                <w:rFonts w:ascii="宋体"/>
              </w:rPr>
            </w:pPr>
          </w:p>
        </w:tc>
        <w:tc>
          <w:tcPr>
            <w:tcW w:w="0" w:type="auto"/>
            <w:shd w:val="clear" w:color="auto" w:fill="auto"/>
          </w:tcPr>
          <w:p w14:paraId="20AE0A41" w14:textId="77777777" w:rsidR="00B626E7" w:rsidRDefault="00B626E7">
            <w:pPr>
              <w:rPr>
                <w:rFonts w:ascii="宋体"/>
              </w:rPr>
            </w:pPr>
          </w:p>
        </w:tc>
      </w:tr>
      <w:tr w:rsidR="00B626E7" w14:paraId="20AE0A58" w14:textId="77777777">
        <w:trPr>
          <w:trHeight w:val="280"/>
        </w:trPr>
        <w:tc>
          <w:tcPr>
            <w:tcW w:w="0" w:type="auto"/>
            <w:gridSpan w:val="3"/>
            <w:shd w:val="clear" w:color="auto" w:fill="auto"/>
            <w:tcMar>
              <w:left w:w="20" w:type="dxa"/>
              <w:right w:w="20" w:type="dxa"/>
            </w:tcMar>
            <w:vAlign w:val="bottom"/>
          </w:tcPr>
          <w:p w14:paraId="20AE0A43"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A44" w14:textId="77777777" w:rsidR="00B626E7" w:rsidRDefault="00B626E7">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20AE0A45"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A46" w14:textId="77777777" w:rsidR="00B626E7" w:rsidRDefault="00B626E7">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20AE0A47"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A48" w14:textId="77777777" w:rsidR="00B626E7" w:rsidRDefault="00B626E7">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20AE0A49"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A4A" w14:textId="77777777" w:rsidR="00B626E7" w:rsidRDefault="00B626E7">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20AE0A4B" w14:textId="77777777" w:rsidR="00B626E7" w:rsidRDefault="00B626E7">
            <w:pPr>
              <w:rPr>
                <w:rFonts w:ascii="宋体"/>
              </w:rPr>
            </w:pPr>
          </w:p>
        </w:tc>
        <w:tc>
          <w:tcPr>
            <w:tcW w:w="0" w:type="auto"/>
            <w:shd w:val="clear" w:color="auto" w:fill="auto"/>
          </w:tcPr>
          <w:p w14:paraId="20AE0A4C" w14:textId="77777777" w:rsidR="00B626E7" w:rsidRDefault="00B626E7">
            <w:pPr>
              <w:rPr>
                <w:rFonts w:ascii="宋体"/>
              </w:rPr>
            </w:pPr>
          </w:p>
        </w:tc>
        <w:tc>
          <w:tcPr>
            <w:tcW w:w="0" w:type="auto"/>
            <w:shd w:val="clear" w:color="auto" w:fill="auto"/>
          </w:tcPr>
          <w:p w14:paraId="20AE0A4D" w14:textId="77777777" w:rsidR="00B626E7" w:rsidRDefault="00B626E7">
            <w:pPr>
              <w:rPr>
                <w:rFonts w:ascii="宋体"/>
              </w:rPr>
            </w:pPr>
          </w:p>
        </w:tc>
        <w:tc>
          <w:tcPr>
            <w:tcW w:w="0" w:type="auto"/>
            <w:shd w:val="clear" w:color="auto" w:fill="auto"/>
          </w:tcPr>
          <w:p w14:paraId="20AE0A4E" w14:textId="77777777" w:rsidR="00B626E7" w:rsidRDefault="00B626E7">
            <w:pPr>
              <w:rPr>
                <w:rFonts w:ascii="宋体"/>
              </w:rPr>
            </w:pPr>
          </w:p>
        </w:tc>
        <w:tc>
          <w:tcPr>
            <w:tcW w:w="0" w:type="auto"/>
            <w:shd w:val="clear" w:color="auto" w:fill="auto"/>
          </w:tcPr>
          <w:p w14:paraId="20AE0A4F" w14:textId="77777777" w:rsidR="00B626E7" w:rsidRDefault="00B626E7">
            <w:pPr>
              <w:rPr>
                <w:rFonts w:ascii="宋体"/>
              </w:rPr>
            </w:pPr>
          </w:p>
        </w:tc>
        <w:tc>
          <w:tcPr>
            <w:tcW w:w="0" w:type="auto"/>
            <w:shd w:val="clear" w:color="auto" w:fill="auto"/>
          </w:tcPr>
          <w:p w14:paraId="20AE0A50" w14:textId="77777777" w:rsidR="00B626E7" w:rsidRDefault="00B626E7">
            <w:pPr>
              <w:rPr>
                <w:rFonts w:ascii="宋体"/>
              </w:rPr>
            </w:pPr>
          </w:p>
        </w:tc>
        <w:tc>
          <w:tcPr>
            <w:tcW w:w="0" w:type="auto"/>
            <w:shd w:val="clear" w:color="auto" w:fill="auto"/>
          </w:tcPr>
          <w:p w14:paraId="20AE0A51" w14:textId="77777777" w:rsidR="00B626E7" w:rsidRDefault="00B626E7">
            <w:pPr>
              <w:rPr>
                <w:rFonts w:ascii="宋体"/>
              </w:rPr>
            </w:pPr>
          </w:p>
        </w:tc>
        <w:tc>
          <w:tcPr>
            <w:tcW w:w="0" w:type="auto"/>
            <w:shd w:val="clear" w:color="auto" w:fill="auto"/>
          </w:tcPr>
          <w:p w14:paraId="20AE0A52" w14:textId="77777777" w:rsidR="00B626E7" w:rsidRDefault="00B626E7">
            <w:pPr>
              <w:rPr>
                <w:rFonts w:ascii="宋体"/>
              </w:rPr>
            </w:pPr>
          </w:p>
        </w:tc>
        <w:tc>
          <w:tcPr>
            <w:tcW w:w="0" w:type="auto"/>
            <w:shd w:val="clear" w:color="auto" w:fill="auto"/>
          </w:tcPr>
          <w:p w14:paraId="20AE0A53" w14:textId="77777777" w:rsidR="00B626E7" w:rsidRDefault="00B626E7">
            <w:pPr>
              <w:rPr>
                <w:rFonts w:ascii="宋体"/>
              </w:rPr>
            </w:pPr>
          </w:p>
        </w:tc>
        <w:tc>
          <w:tcPr>
            <w:tcW w:w="0" w:type="auto"/>
            <w:shd w:val="clear" w:color="auto" w:fill="auto"/>
          </w:tcPr>
          <w:p w14:paraId="20AE0A54" w14:textId="77777777" w:rsidR="00B626E7" w:rsidRDefault="00B626E7">
            <w:pPr>
              <w:rPr>
                <w:rFonts w:ascii="宋体"/>
              </w:rPr>
            </w:pPr>
          </w:p>
        </w:tc>
        <w:tc>
          <w:tcPr>
            <w:tcW w:w="0" w:type="auto"/>
            <w:shd w:val="clear" w:color="auto" w:fill="auto"/>
          </w:tcPr>
          <w:p w14:paraId="20AE0A55" w14:textId="77777777" w:rsidR="00B626E7" w:rsidRDefault="00B626E7">
            <w:pPr>
              <w:rPr>
                <w:rFonts w:ascii="宋体"/>
              </w:rPr>
            </w:pPr>
          </w:p>
        </w:tc>
        <w:tc>
          <w:tcPr>
            <w:tcW w:w="0" w:type="auto"/>
            <w:shd w:val="clear" w:color="auto" w:fill="auto"/>
          </w:tcPr>
          <w:p w14:paraId="20AE0A56" w14:textId="77777777" w:rsidR="00B626E7" w:rsidRDefault="00B626E7">
            <w:pPr>
              <w:rPr>
                <w:rFonts w:ascii="宋体"/>
              </w:rPr>
            </w:pPr>
          </w:p>
        </w:tc>
        <w:tc>
          <w:tcPr>
            <w:tcW w:w="0" w:type="auto"/>
            <w:shd w:val="clear" w:color="auto" w:fill="auto"/>
          </w:tcPr>
          <w:p w14:paraId="20AE0A57" w14:textId="77777777" w:rsidR="00B626E7" w:rsidRDefault="00B626E7">
            <w:pPr>
              <w:rPr>
                <w:rFonts w:ascii="宋体"/>
              </w:rPr>
            </w:pPr>
          </w:p>
        </w:tc>
      </w:tr>
      <w:tr w:rsidR="00B626E7" w14:paraId="20AE0A6E" w14:textId="77777777">
        <w:tc>
          <w:tcPr>
            <w:tcW w:w="0" w:type="auto"/>
            <w:gridSpan w:val="3"/>
            <w:shd w:val="clear" w:color="auto" w:fill="auto"/>
            <w:tcMar>
              <w:top w:w="40" w:type="dxa"/>
              <w:left w:w="20" w:type="dxa"/>
              <w:bottom w:w="40" w:type="dxa"/>
              <w:right w:w="20" w:type="dxa"/>
            </w:tcMar>
            <w:vAlign w:val="bottom"/>
          </w:tcPr>
          <w:p w14:paraId="20AE0A59" w14:textId="77777777" w:rsidR="00B626E7" w:rsidRDefault="00175C1D">
            <w:pPr>
              <w:textAlignment w:val="bottom"/>
            </w:pPr>
            <w:r>
              <w:rPr>
                <w:rFonts w:ascii="Arial" w:eastAsia="宋体" w:hAnsi="Arial" w:cs="Arial"/>
                <w:b/>
                <w:bCs/>
                <w:color w:val="333333"/>
                <w:sz w:val="18"/>
                <w:szCs w:val="18"/>
              </w:rPr>
              <w:t>Operating income (loss):</w:t>
            </w:r>
          </w:p>
        </w:tc>
        <w:tc>
          <w:tcPr>
            <w:tcW w:w="0" w:type="auto"/>
            <w:gridSpan w:val="3"/>
            <w:shd w:val="clear" w:color="auto" w:fill="auto"/>
            <w:tcMar>
              <w:left w:w="20" w:type="dxa"/>
              <w:right w:w="20" w:type="dxa"/>
            </w:tcMar>
            <w:vAlign w:val="bottom"/>
          </w:tcPr>
          <w:p w14:paraId="20AE0A5A"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A5B"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A5C"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A5D"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A5E"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A5F"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A60"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A61" w14:textId="77777777" w:rsidR="00B626E7" w:rsidRDefault="00B626E7">
            <w:pPr>
              <w:rPr>
                <w:rFonts w:ascii="宋体"/>
              </w:rPr>
            </w:pPr>
          </w:p>
        </w:tc>
        <w:tc>
          <w:tcPr>
            <w:tcW w:w="0" w:type="auto"/>
            <w:shd w:val="clear" w:color="auto" w:fill="auto"/>
          </w:tcPr>
          <w:p w14:paraId="20AE0A62" w14:textId="77777777" w:rsidR="00B626E7" w:rsidRDefault="00B626E7">
            <w:pPr>
              <w:rPr>
                <w:rFonts w:ascii="宋体"/>
              </w:rPr>
            </w:pPr>
          </w:p>
        </w:tc>
        <w:tc>
          <w:tcPr>
            <w:tcW w:w="0" w:type="auto"/>
            <w:shd w:val="clear" w:color="auto" w:fill="auto"/>
          </w:tcPr>
          <w:p w14:paraId="20AE0A63" w14:textId="77777777" w:rsidR="00B626E7" w:rsidRDefault="00B626E7">
            <w:pPr>
              <w:rPr>
                <w:rFonts w:ascii="宋体"/>
              </w:rPr>
            </w:pPr>
          </w:p>
        </w:tc>
        <w:tc>
          <w:tcPr>
            <w:tcW w:w="0" w:type="auto"/>
            <w:shd w:val="clear" w:color="auto" w:fill="auto"/>
          </w:tcPr>
          <w:p w14:paraId="20AE0A64" w14:textId="77777777" w:rsidR="00B626E7" w:rsidRDefault="00B626E7">
            <w:pPr>
              <w:rPr>
                <w:rFonts w:ascii="宋体"/>
              </w:rPr>
            </w:pPr>
          </w:p>
        </w:tc>
        <w:tc>
          <w:tcPr>
            <w:tcW w:w="0" w:type="auto"/>
            <w:shd w:val="clear" w:color="auto" w:fill="auto"/>
          </w:tcPr>
          <w:p w14:paraId="20AE0A65" w14:textId="77777777" w:rsidR="00B626E7" w:rsidRDefault="00B626E7">
            <w:pPr>
              <w:rPr>
                <w:rFonts w:ascii="宋体"/>
              </w:rPr>
            </w:pPr>
          </w:p>
        </w:tc>
        <w:tc>
          <w:tcPr>
            <w:tcW w:w="0" w:type="auto"/>
            <w:shd w:val="clear" w:color="auto" w:fill="auto"/>
          </w:tcPr>
          <w:p w14:paraId="20AE0A66" w14:textId="77777777" w:rsidR="00B626E7" w:rsidRDefault="00B626E7">
            <w:pPr>
              <w:rPr>
                <w:rFonts w:ascii="宋体"/>
              </w:rPr>
            </w:pPr>
          </w:p>
        </w:tc>
        <w:tc>
          <w:tcPr>
            <w:tcW w:w="0" w:type="auto"/>
            <w:shd w:val="clear" w:color="auto" w:fill="auto"/>
          </w:tcPr>
          <w:p w14:paraId="20AE0A67" w14:textId="77777777" w:rsidR="00B626E7" w:rsidRDefault="00B626E7">
            <w:pPr>
              <w:rPr>
                <w:rFonts w:ascii="宋体"/>
              </w:rPr>
            </w:pPr>
          </w:p>
        </w:tc>
        <w:tc>
          <w:tcPr>
            <w:tcW w:w="0" w:type="auto"/>
            <w:shd w:val="clear" w:color="auto" w:fill="auto"/>
          </w:tcPr>
          <w:p w14:paraId="20AE0A68" w14:textId="77777777" w:rsidR="00B626E7" w:rsidRDefault="00B626E7">
            <w:pPr>
              <w:rPr>
                <w:rFonts w:ascii="宋体"/>
              </w:rPr>
            </w:pPr>
          </w:p>
        </w:tc>
        <w:tc>
          <w:tcPr>
            <w:tcW w:w="0" w:type="auto"/>
            <w:shd w:val="clear" w:color="auto" w:fill="auto"/>
          </w:tcPr>
          <w:p w14:paraId="20AE0A69" w14:textId="77777777" w:rsidR="00B626E7" w:rsidRDefault="00B626E7">
            <w:pPr>
              <w:rPr>
                <w:rFonts w:ascii="宋体"/>
              </w:rPr>
            </w:pPr>
          </w:p>
        </w:tc>
        <w:tc>
          <w:tcPr>
            <w:tcW w:w="0" w:type="auto"/>
            <w:shd w:val="clear" w:color="auto" w:fill="auto"/>
          </w:tcPr>
          <w:p w14:paraId="20AE0A6A" w14:textId="77777777" w:rsidR="00B626E7" w:rsidRDefault="00B626E7">
            <w:pPr>
              <w:rPr>
                <w:rFonts w:ascii="宋体"/>
              </w:rPr>
            </w:pPr>
          </w:p>
        </w:tc>
        <w:tc>
          <w:tcPr>
            <w:tcW w:w="0" w:type="auto"/>
            <w:shd w:val="clear" w:color="auto" w:fill="auto"/>
          </w:tcPr>
          <w:p w14:paraId="20AE0A6B" w14:textId="77777777" w:rsidR="00B626E7" w:rsidRDefault="00B626E7">
            <w:pPr>
              <w:rPr>
                <w:rFonts w:ascii="宋体"/>
              </w:rPr>
            </w:pPr>
          </w:p>
        </w:tc>
        <w:tc>
          <w:tcPr>
            <w:tcW w:w="0" w:type="auto"/>
            <w:shd w:val="clear" w:color="auto" w:fill="auto"/>
          </w:tcPr>
          <w:p w14:paraId="20AE0A6C" w14:textId="77777777" w:rsidR="00B626E7" w:rsidRDefault="00B626E7">
            <w:pPr>
              <w:rPr>
                <w:rFonts w:ascii="宋体"/>
              </w:rPr>
            </w:pPr>
          </w:p>
        </w:tc>
        <w:tc>
          <w:tcPr>
            <w:tcW w:w="0" w:type="auto"/>
            <w:shd w:val="clear" w:color="auto" w:fill="auto"/>
          </w:tcPr>
          <w:p w14:paraId="20AE0A6D" w14:textId="77777777" w:rsidR="00B626E7" w:rsidRDefault="00B626E7">
            <w:pPr>
              <w:rPr>
                <w:rFonts w:ascii="宋体"/>
              </w:rPr>
            </w:pPr>
          </w:p>
        </w:tc>
      </w:tr>
      <w:tr w:rsidR="00B626E7" w14:paraId="20AE0A8B" w14:textId="77777777">
        <w:tc>
          <w:tcPr>
            <w:tcW w:w="0" w:type="auto"/>
            <w:gridSpan w:val="3"/>
            <w:shd w:val="clear" w:color="auto" w:fill="auto"/>
            <w:tcMar>
              <w:top w:w="40" w:type="dxa"/>
              <w:left w:w="120" w:type="dxa"/>
              <w:bottom w:w="40" w:type="dxa"/>
              <w:right w:w="20" w:type="dxa"/>
            </w:tcMar>
            <w:vAlign w:val="bottom"/>
          </w:tcPr>
          <w:p w14:paraId="20AE0A6F" w14:textId="77777777" w:rsidR="00B626E7" w:rsidRDefault="00175C1D">
            <w:pPr>
              <w:textAlignment w:val="bottom"/>
            </w:pPr>
            <w:r>
              <w:rPr>
                <w:rFonts w:ascii="Arial" w:eastAsia="宋体" w:hAnsi="Arial" w:cs="Arial"/>
                <w:b/>
                <w:bCs/>
                <w:color w:val="333333"/>
                <w:sz w:val="18"/>
                <w:szCs w:val="18"/>
              </w:rPr>
              <w:t>Data Center Group</w:t>
            </w:r>
          </w:p>
        </w:tc>
        <w:tc>
          <w:tcPr>
            <w:tcW w:w="0" w:type="auto"/>
            <w:gridSpan w:val="3"/>
            <w:shd w:val="clear" w:color="auto" w:fill="auto"/>
            <w:tcMar>
              <w:left w:w="20" w:type="dxa"/>
              <w:right w:w="20" w:type="dxa"/>
            </w:tcMar>
            <w:vAlign w:val="bottom"/>
          </w:tcPr>
          <w:p w14:paraId="20AE0A70"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0A71" w14:textId="77777777" w:rsidR="00B626E7" w:rsidRDefault="00175C1D">
            <w:pPr>
              <w:textAlignment w:val="bottom"/>
            </w:pPr>
            <w:r>
              <w:rPr>
                <w:rFonts w:ascii="Arial" w:eastAsia="宋体" w:hAnsi="Arial" w:cs="Arial"/>
                <w:b/>
                <w:bCs/>
                <w:color w:val="026DCE"/>
                <w:sz w:val="18"/>
                <w:szCs w:val="18"/>
              </w:rPr>
              <w:t>$</w:t>
            </w:r>
          </w:p>
        </w:tc>
        <w:tc>
          <w:tcPr>
            <w:tcW w:w="0" w:type="auto"/>
            <w:shd w:val="clear" w:color="auto" w:fill="auto"/>
            <w:tcMar>
              <w:top w:w="40" w:type="dxa"/>
              <w:bottom w:w="40" w:type="dxa"/>
              <w:right w:w="0" w:type="dxa"/>
            </w:tcMar>
            <w:vAlign w:val="bottom"/>
          </w:tcPr>
          <w:p w14:paraId="20AE0A72" w14:textId="77777777" w:rsidR="00B626E7" w:rsidRDefault="00175C1D">
            <w:pPr>
              <w:jc w:val="right"/>
              <w:textAlignment w:val="bottom"/>
            </w:pPr>
            <w:r>
              <w:rPr>
                <w:rFonts w:ascii="Arial" w:eastAsia="宋体" w:hAnsi="Arial" w:cs="Arial"/>
                <w:b/>
                <w:bCs/>
                <w:color w:val="026DCE"/>
                <w:sz w:val="18"/>
                <w:szCs w:val="18"/>
              </w:rPr>
              <w:t>3,099 </w:t>
            </w:r>
          </w:p>
        </w:tc>
        <w:tc>
          <w:tcPr>
            <w:tcW w:w="0" w:type="auto"/>
            <w:shd w:val="clear" w:color="auto" w:fill="auto"/>
            <w:tcMar>
              <w:top w:w="40" w:type="dxa"/>
              <w:bottom w:w="40" w:type="dxa"/>
              <w:right w:w="20" w:type="dxa"/>
            </w:tcMar>
            <w:vAlign w:val="bottom"/>
          </w:tcPr>
          <w:p w14:paraId="20AE0A73"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0A74"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0A75" w14:textId="77777777" w:rsidR="00B626E7" w:rsidRDefault="00175C1D">
            <w:pPr>
              <w:textAlignment w:val="bottom"/>
            </w:pPr>
            <w:r>
              <w:rPr>
                <w:rFonts w:ascii="Arial" w:eastAsia="宋体" w:hAnsi="Arial" w:cs="Arial"/>
                <w:b/>
                <w:bCs/>
                <w:color w:val="333333"/>
                <w:sz w:val="18"/>
                <w:szCs w:val="18"/>
              </w:rPr>
              <w:t>$</w:t>
            </w:r>
          </w:p>
        </w:tc>
        <w:tc>
          <w:tcPr>
            <w:tcW w:w="0" w:type="auto"/>
            <w:shd w:val="clear" w:color="auto" w:fill="auto"/>
            <w:tcMar>
              <w:top w:w="40" w:type="dxa"/>
              <w:bottom w:w="40" w:type="dxa"/>
              <w:right w:w="0" w:type="dxa"/>
            </w:tcMar>
            <w:vAlign w:val="bottom"/>
          </w:tcPr>
          <w:p w14:paraId="20AE0A76" w14:textId="77777777" w:rsidR="00B626E7" w:rsidRDefault="00175C1D">
            <w:pPr>
              <w:jc w:val="right"/>
              <w:textAlignment w:val="bottom"/>
            </w:pPr>
            <w:r>
              <w:rPr>
                <w:rFonts w:ascii="Arial" w:eastAsia="宋体" w:hAnsi="Arial" w:cs="Arial"/>
                <w:b/>
                <w:bCs/>
                <w:color w:val="333333"/>
                <w:sz w:val="18"/>
                <w:szCs w:val="18"/>
              </w:rPr>
              <w:t>1,800 </w:t>
            </w:r>
          </w:p>
        </w:tc>
        <w:tc>
          <w:tcPr>
            <w:tcW w:w="0" w:type="auto"/>
            <w:shd w:val="clear" w:color="auto" w:fill="auto"/>
            <w:tcMar>
              <w:top w:w="40" w:type="dxa"/>
              <w:bottom w:w="40" w:type="dxa"/>
              <w:right w:w="20" w:type="dxa"/>
            </w:tcMar>
            <w:vAlign w:val="bottom"/>
          </w:tcPr>
          <w:p w14:paraId="20AE0A77"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0A78"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A79" w14:textId="77777777" w:rsidR="00B626E7" w:rsidRDefault="00175C1D">
            <w:pPr>
              <w:jc w:val="right"/>
              <w:textAlignment w:val="bottom"/>
            </w:pPr>
            <w:r>
              <w:rPr>
                <w:rFonts w:ascii="Arial" w:eastAsia="宋体" w:hAnsi="Arial" w:cs="Arial"/>
                <w:b/>
                <w:bCs/>
                <w:color w:val="0071C5"/>
                <w:sz w:val="18"/>
                <w:szCs w:val="18"/>
              </w:rPr>
              <w:t>6,591 </w:t>
            </w:r>
          </w:p>
        </w:tc>
        <w:tc>
          <w:tcPr>
            <w:tcW w:w="0" w:type="auto"/>
            <w:shd w:val="clear" w:color="auto" w:fill="auto"/>
            <w:tcMar>
              <w:top w:w="40" w:type="dxa"/>
              <w:bottom w:w="40" w:type="dxa"/>
              <w:right w:w="20" w:type="dxa"/>
            </w:tcMar>
            <w:vAlign w:val="bottom"/>
          </w:tcPr>
          <w:p w14:paraId="20AE0A7A"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0A7B"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0A7C" w14:textId="77777777" w:rsidR="00B626E7" w:rsidRDefault="00175C1D">
            <w:pPr>
              <w:textAlignment w:val="bottom"/>
            </w:pPr>
            <w:r>
              <w:rPr>
                <w:rFonts w:ascii="Arial" w:eastAsia="宋体" w:hAnsi="Arial" w:cs="Arial"/>
                <w:b/>
                <w:bCs/>
                <w:color w:val="333333"/>
                <w:sz w:val="18"/>
                <w:szCs w:val="18"/>
              </w:rPr>
              <w:t>$</w:t>
            </w:r>
          </w:p>
        </w:tc>
        <w:tc>
          <w:tcPr>
            <w:tcW w:w="0" w:type="auto"/>
            <w:shd w:val="clear" w:color="auto" w:fill="auto"/>
            <w:tcMar>
              <w:top w:w="40" w:type="dxa"/>
              <w:bottom w:w="40" w:type="dxa"/>
              <w:right w:w="0" w:type="dxa"/>
            </w:tcMar>
            <w:vAlign w:val="bottom"/>
          </w:tcPr>
          <w:p w14:paraId="20AE0A7D" w14:textId="77777777" w:rsidR="00B626E7" w:rsidRDefault="00175C1D">
            <w:pPr>
              <w:jc w:val="right"/>
              <w:textAlignment w:val="bottom"/>
            </w:pPr>
            <w:r>
              <w:rPr>
                <w:rFonts w:ascii="Arial" w:eastAsia="宋体" w:hAnsi="Arial" w:cs="Arial"/>
                <w:b/>
                <w:bCs/>
                <w:color w:val="333333"/>
                <w:sz w:val="18"/>
                <w:szCs w:val="18"/>
              </w:rPr>
              <w:t>3,641 </w:t>
            </w:r>
          </w:p>
        </w:tc>
        <w:tc>
          <w:tcPr>
            <w:tcW w:w="0" w:type="auto"/>
            <w:shd w:val="clear" w:color="auto" w:fill="auto"/>
            <w:tcMar>
              <w:top w:w="40" w:type="dxa"/>
              <w:bottom w:w="40" w:type="dxa"/>
              <w:right w:w="20" w:type="dxa"/>
            </w:tcMar>
            <w:vAlign w:val="bottom"/>
          </w:tcPr>
          <w:p w14:paraId="20AE0A7E"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E0A7F" w14:textId="77777777" w:rsidR="00B626E7" w:rsidRDefault="00B626E7">
            <w:pPr>
              <w:rPr>
                <w:rFonts w:ascii="宋体"/>
              </w:rPr>
            </w:pPr>
          </w:p>
        </w:tc>
        <w:tc>
          <w:tcPr>
            <w:tcW w:w="0" w:type="auto"/>
            <w:shd w:val="clear" w:color="auto" w:fill="auto"/>
          </w:tcPr>
          <w:p w14:paraId="20AE0A80" w14:textId="77777777" w:rsidR="00B626E7" w:rsidRDefault="00B626E7">
            <w:pPr>
              <w:rPr>
                <w:rFonts w:ascii="宋体"/>
              </w:rPr>
            </w:pPr>
          </w:p>
        </w:tc>
        <w:tc>
          <w:tcPr>
            <w:tcW w:w="0" w:type="auto"/>
            <w:shd w:val="clear" w:color="auto" w:fill="auto"/>
          </w:tcPr>
          <w:p w14:paraId="20AE0A81" w14:textId="77777777" w:rsidR="00B626E7" w:rsidRDefault="00B626E7">
            <w:pPr>
              <w:rPr>
                <w:rFonts w:ascii="宋体"/>
              </w:rPr>
            </w:pPr>
          </w:p>
        </w:tc>
        <w:tc>
          <w:tcPr>
            <w:tcW w:w="0" w:type="auto"/>
            <w:shd w:val="clear" w:color="auto" w:fill="auto"/>
          </w:tcPr>
          <w:p w14:paraId="20AE0A82" w14:textId="77777777" w:rsidR="00B626E7" w:rsidRDefault="00B626E7">
            <w:pPr>
              <w:rPr>
                <w:rFonts w:ascii="宋体"/>
              </w:rPr>
            </w:pPr>
          </w:p>
        </w:tc>
        <w:tc>
          <w:tcPr>
            <w:tcW w:w="0" w:type="auto"/>
            <w:shd w:val="clear" w:color="auto" w:fill="auto"/>
          </w:tcPr>
          <w:p w14:paraId="20AE0A83" w14:textId="77777777" w:rsidR="00B626E7" w:rsidRDefault="00B626E7">
            <w:pPr>
              <w:rPr>
                <w:rFonts w:ascii="宋体"/>
              </w:rPr>
            </w:pPr>
          </w:p>
        </w:tc>
        <w:tc>
          <w:tcPr>
            <w:tcW w:w="0" w:type="auto"/>
            <w:shd w:val="clear" w:color="auto" w:fill="auto"/>
          </w:tcPr>
          <w:p w14:paraId="20AE0A84" w14:textId="77777777" w:rsidR="00B626E7" w:rsidRDefault="00B626E7">
            <w:pPr>
              <w:rPr>
                <w:rFonts w:ascii="宋体"/>
              </w:rPr>
            </w:pPr>
          </w:p>
        </w:tc>
        <w:tc>
          <w:tcPr>
            <w:tcW w:w="0" w:type="auto"/>
            <w:shd w:val="clear" w:color="auto" w:fill="auto"/>
          </w:tcPr>
          <w:p w14:paraId="20AE0A85" w14:textId="77777777" w:rsidR="00B626E7" w:rsidRDefault="00B626E7">
            <w:pPr>
              <w:rPr>
                <w:rFonts w:ascii="宋体"/>
              </w:rPr>
            </w:pPr>
          </w:p>
        </w:tc>
        <w:tc>
          <w:tcPr>
            <w:tcW w:w="0" w:type="auto"/>
            <w:shd w:val="clear" w:color="auto" w:fill="auto"/>
          </w:tcPr>
          <w:p w14:paraId="20AE0A86" w14:textId="77777777" w:rsidR="00B626E7" w:rsidRDefault="00B626E7">
            <w:pPr>
              <w:rPr>
                <w:rFonts w:ascii="宋体"/>
              </w:rPr>
            </w:pPr>
          </w:p>
        </w:tc>
        <w:tc>
          <w:tcPr>
            <w:tcW w:w="0" w:type="auto"/>
            <w:shd w:val="clear" w:color="auto" w:fill="auto"/>
          </w:tcPr>
          <w:p w14:paraId="20AE0A87" w14:textId="77777777" w:rsidR="00B626E7" w:rsidRDefault="00B626E7">
            <w:pPr>
              <w:rPr>
                <w:rFonts w:ascii="宋体"/>
              </w:rPr>
            </w:pPr>
          </w:p>
        </w:tc>
        <w:tc>
          <w:tcPr>
            <w:tcW w:w="0" w:type="auto"/>
            <w:shd w:val="clear" w:color="auto" w:fill="auto"/>
          </w:tcPr>
          <w:p w14:paraId="20AE0A88" w14:textId="77777777" w:rsidR="00B626E7" w:rsidRDefault="00B626E7">
            <w:pPr>
              <w:rPr>
                <w:rFonts w:ascii="宋体"/>
              </w:rPr>
            </w:pPr>
          </w:p>
        </w:tc>
        <w:tc>
          <w:tcPr>
            <w:tcW w:w="0" w:type="auto"/>
            <w:shd w:val="clear" w:color="auto" w:fill="auto"/>
          </w:tcPr>
          <w:p w14:paraId="20AE0A89" w14:textId="77777777" w:rsidR="00B626E7" w:rsidRDefault="00B626E7">
            <w:pPr>
              <w:rPr>
                <w:rFonts w:ascii="宋体"/>
              </w:rPr>
            </w:pPr>
          </w:p>
        </w:tc>
        <w:tc>
          <w:tcPr>
            <w:tcW w:w="0" w:type="auto"/>
            <w:shd w:val="clear" w:color="auto" w:fill="auto"/>
          </w:tcPr>
          <w:p w14:paraId="20AE0A8A" w14:textId="77777777" w:rsidR="00B626E7" w:rsidRDefault="00B626E7">
            <w:pPr>
              <w:rPr>
                <w:rFonts w:ascii="宋体"/>
              </w:rPr>
            </w:pPr>
          </w:p>
        </w:tc>
      </w:tr>
      <w:tr w:rsidR="00B626E7" w14:paraId="20AE0AA1" w14:textId="77777777">
        <w:trPr>
          <w:trHeight w:val="280"/>
        </w:trPr>
        <w:tc>
          <w:tcPr>
            <w:tcW w:w="0" w:type="auto"/>
            <w:gridSpan w:val="3"/>
            <w:shd w:val="clear" w:color="auto" w:fill="auto"/>
            <w:tcMar>
              <w:left w:w="20" w:type="dxa"/>
              <w:right w:w="20" w:type="dxa"/>
            </w:tcMar>
            <w:vAlign w:val="bottom"/>
          </w:tcPr>
          <w:p w14:paraId="20AE0A8C"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A8D"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A8E"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A8F"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A90"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A91"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A92"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A93"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A94" w14:textId="77777777" w:rsidR="00B626E7" w:rsidRDefault="00B626E7">
            <w:pPr>
              <w:rPr>
                <w:rFonts w:ascii="宋体"/>
              </w:rPr>
            </w:pPr>
          </w:p>
        </w:tc>
        <w:tc>
          <w:tcPr>
            <w:tcW w:w="0" w:type="auto"/>
            <w:shd w:val="clear" w:color="auto" w:fill="auto"/>
          </w:tcPr>
          <w:p w14:paraId="20AE0A95" w14:textId="77777777" w:rsidR="00B626E7" w:rsidRDefault="00B626E7">
            <w:pPr>
              <w:rPr>
                <w:rFonts w:ascii="宋体"/>
              </w:rPr>
            </w:pPr>
          </w:p>
        </w:tc>
        <w:tc>
          <w:tcPr>
            <w:tcW w:w="0" w:type="auto"/>
            <w:shd w:val="clear" w:color="auto" w:fill="auto"/>
          </w:tcPr>
          <w:p w14:paraId="20AE0A96" w14:textId="77777777" w:rsidR="00B626E7" w:rsidRDefault="00B626E7">
            <w:pPr>
              <w:rPr>
                <w:rFonts w:ascii="宋体"/>
              </w:rPr>
            </w:pPr>
          </w:p>
        </w:tc>
        <w:tc>
          <w:tcPr>
            <w:tcW w:w="0" w:type="auto"/>
            <w:shd w:val="clear" w:color="auto" w:fill="auto"/>
          </w:tcPr>
          <w:p w14:paraId="20AE0A97" w14:textId="77777777" w:rsidR="00B626E7" w:rsidRDefault="00B626E7">
            <w:pPr>
              <w:rPr>
                <w:rFonts w:ascii="宋体"/>
              </w:rPr>
            </w:pPr>
          </w:p>
        </w:tc>
        <w:tc>
          <w:tcPr>
            <w:tcW w:w="0" w:type="auto"/>
            <w:shd w:val="clear" w:color="auto" w:fill="auto"/>
          </w:tcPr>
          <w:p w14:paraId="20AE0A98" w14:textId="77777777" w:rsidR="00B626E7" w:rsidRDefault="00B626E7">
            <w:pPr>
              <w:rPr>
                <w:rFonts w:ascii="宋体"/>
              </w:rPr>
            </w:pPr>
          </w:p>
        </w:tc>
        <w:tc>
          <w:tcPr>
            <w:tcW w:w="0" w:type="auto"/>
            <w:shd w:val="clear" w:color="auto" w:fill="auto"/>
          </w:tcPr>
          <w:p w14:paraId="20AE0A99" w14:textId="77777777" w:rsidR="00B626E7" w:rsidRDefault="00B626E7">
            <w:pPr>
              <w:rPr>
                <w:rFonts w:ascii="宋体"/>
              </w:rPr>
            </w:pPr>
          </w:p>
        </w:tc>
        <w:tc>
          <w:tcPr>
            <w:tcW w:w="0" w:type="auto"/>
            <w:shd w:val="clear" w:color="auto" w:fill="auto"/>
          </w:tcPr>
          <w:p w14:paraId="20AE0A9A" w14:textId="77777777" w:rsidR="00B626E7" w:rsidRDefault="00B626E7">
            <w:pPr>
              <w:rPr>
                <w:rFonts w:ascii="宋体"/>
              </w:rPr>
            </w:pPr>
          </w:p>
        </w:tc>
        <w:tc>
          <w:tcPr>
            <w:tcW w:w="0" w:type="auto"/>
            <w:shd w:val="clear" w:color="auto" w:fill="auto"/>
          </w:tcPr>
          <w:p w14:paraId="20AE0A9B" w14:textId="77777777" w:rsidR="00B626E7" w:rsidRDefault="00B626E7">
            <w:pPr>
              <w:rPr>
                <w:rFonts w:ascii="宋体"/>
              </w:rPr>
            </w:pPr>
          </w:p>
        </w:tc>
        <w:tc>
          <w:tcPr>
            <w:tcW w:w="0" w:type="auto"/>
            <w:shd w:val="clear" w:color="auto" w:fill="auto"/>
          </w:tcPr>
          <w:p w14:paraId="20AE0A9C" w14:textId="77777777" w:rsidR="00B626E7" w:rsidRDefault="00B626E7">
            <w:pPr>
              <w:rPr>
                <w:rFonts w:ascii="宋体"/>
              </w:rPr>
            </w:pPr>
          </w:p>
        </w:tc>
        <w:tc>
          <w:tcPr>
            <w:tcW w:w="0" w:type="auto"/>
            <w:shd w:val="clear" w:color="auto" w:fill="auto"/>
          </w:tcPr>
          <w:p w14:paraId="20AE0A9D" w14:textId="77777777" w:rsidR="00B626E7" w:rsidRDefault="00B626E7">
            <w:pPr>
              <w:rPr>
                <w:rFonts w:ascii="宋体"/>
              </w:rPr>
            </w:pPr>
          </w:p>
        </w:tc>
        <w:tc>
          <w:tcPr>
            <w:tcW w:w="0" w:type="auto"/>
            <w:shd w:val="clear" w:color="auto" w:fill="auto"/>
          </w:tcPr>
          <w:p w14:paraId="20AE0A9E" w14:textId="77777777" w:rsidR="00B626E7" w:rsidRDefault="00B626E7">
            <w:pPr>
              <w:rPr>
                <w:rFonts w:ascii="宋体"/>
              </w:rPr>
            </w:pPr>
          </w:p>
        </w:tc>
        <w:tc>
          <w:tcPr>
            <w:tcW w:w="0" w:type="auto"/>
            <w:shd w:val="clear" w:color="auto" w:fill="auto"/>
          </w:tcPr>
          <w:p w14:paraId="20AE0A9F" w14:textId="77777777" w:rsidR="00B626E7" w:rsidRDefault="00B626E7">
            <w:pPr>
              <w:rPr>
                <w:rFonts w:ascii="宋体"/>
              </w:rPr>
            </w:pPr>
          </w:p>
        </w:tc>
        <w:tc>
          <w:tcPr>
            <w:tcW w:w="0" w:type="auto"/>
            <w:shd w:val="clear" w:color="auto" w:fill="auto"/>
          </w:tcPr>
          <w:p w14:paraId="20AE0AA0" w14:textId="77777777" w:rsidR="00B626E7" w:rsidRDefault="00B626E7">
            <w:pPr>
              <w:rPr>
                <w:rFonts w:ascii="宋体"/>
              </w:rPr>
            </w:pPr>
          </w:p>
        </w:tc>
      </w:tr>
      <w:tr w:rsidR="00B626E7" w14:paraId="20AE0AB7" w14:textId="77777777">
        <w:tc>
          <w:tcPr>
            <w:tcW w:w="0" w:type="auto"/>
            <w:gridSpan w:val="3"/>
            <w:shd w:val="clear" w:color="auto" w:fill="auto"/>
            <w:tcMar>
              <w:top w:w="40" w:type="dxa"/>
              <w:left w:w="120" w:type="dxa"/>
              <w:bottom w:w="40" w:type="dxa"/>
              <w:right w:w="20" w:type="dxa"/>
            </w:tcMar>
            <w:vAlign w:val="bottom"/>
          </w:tcPr>
          <w:p w14:paraId="20AE0AA2" w14:textId="77777777" w:rsidR="00B626E7" w:rsidRDefault="00175C1D">
            <w:pPr>
              <w:textAlignment w:val="bottom"/>
            </w:pPr>
            <w:r>
              <w:rPr>
                <w:rFonts w:ascii="Arial" w:eastAsia="宋体" w:hAnsi="Arial" w:cs="Arial"/>
                <w:b/>
                <w:bCs/>
                <w:color w:val="333333"/>
                <w:sz w:val="18"/>
                <w:szCs w:val="18"/>
              </w:rPr>
              <w:t xml:space="preserve">Internet of Things </w:t>
            </w:r>
          </w:p>
        </w:tc>
        <w:tc>
          <w:tcPr>
            <w:tcW w:w="0" w:type="auto"/>
            <w:gridSpan w:val="3"/>
            <w:shd w:val="clear" w:color="auto" w:fill="auto"/>
            <w:tcMar>
              <w:left w:w="20" w:type="dxa"/>
              <w:right w:w="20" w:type="dxa"/>
            </w:tcMar>
            <w:vAlign w:val="bottom"/>
          </w:tcPr>
          <w:p w14:paraId="20AE0AA3"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AA4"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AA5"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AA6"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AA7"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AA8"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AA9"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AAA" w14:textId="77777777" w:rsidR="00B626E7" w:rsidRDefault="00B626E7">
            <w:pPr>
              <w:rPr>
                <w:rFonts w:ascii="宋体"/>
              </w:rPr>
            </w:pPr>
          </w:p>
        </w:tc>
        <w:tc>
          <w:tcPr>
            <w:tcW w:w="0" w:type="auto"/>
            <w:shd w:val="clear" w:color="auto" w:fill="auto"/>
          </w:tcPr>
          <w:p w14:paraId="20AE0AAB" w14:textId="77777777" w:rsidR="00B626E7" w:rsidRDefault="00B626E7">
            <w:pPr>
              <w:rPr>
                <w:rFonts w:ascii="宋体"/>
              </w:rPr>
            </w:pPr>
          </w:p>
        </w:tc>
        <w:tc>
          <w:tcPr>
            <w:tcW w:w="0" w:type="auto"/>
            <w:shd w:val="clear" w:color="auto" w:fill="auto"/>
          </w:tcPr>
          <w:p w14:paraId="20AE0AAC" w14:textId="77777777" w:rsidR="00B626E7" w:rsidRDefault="00B626E7">
            <w:pPr>
              <w:rPr>
                <w:rFonts w:ascii="宋体"/>
              </w:rPr>
            </w:pPr>
          </w:p>
        </w:tc>
        <w:tc>
          <w:tcPr>
            <w:tcW w:w="0" w:type="auto"/>
            <w:shd w:val="clear" w:color="auto" w:fill="auto"/>
          </w:tcPr>
          <w:p w14:paraId="20AE0AAD" w14:textId="77777777" w:rsidR="00B626E7" w:rsidRDefault="00B626E7">
            <w:pPr>
              <w:rPr>
                <w:rFonts w:ascii="宋体"/>
              </w:rPr>
            </w:pPr>
          </w:p>
        </w:tc>
        <w:tc>
          <w:tcPr>
            <w:tcW w:w="0" w:type="auto"/>
            <w:shd w:val="clear" w:color="auto" w:fill="auto"/>
          </w:tcPr>
          <w:p w14:paraId="20AE0AAE" w14:textId="77777777" w:rsidR="00B626E7" w:rsidRDefault="00B626E7">
            <w:pPr>
              <w:rPr>
                <w:rFonts w:ascii="宋体"/>
              </w:rPr>
            </w:pPr>
          </w:p>
        </w:tc>
        <w:tc>
          <w:tcPr>
            <w:tcW w:w="0" w:type="auto"/>
            <w:shd w:val="clear" w:color="auto" w:fill="auto"/>
          </w:tcPr>
          <w:p w14:paraId="20AE0AAF" w14:textId="77777777" w:rsidR="00B626E7" w:rsidRDefault="00B626E7">
            <w:pPr>
              <w:rPr>
                <w:rFonts w:ascii="宋体"/>
              </w:rPr>
            </w:pPr>
          </w:p>
        </w:tc>
        <w:tc>
          <w:tcPr>
            <w:tcW w:w="0" w:type="auto"/>
            <w:shd w:val="clear" w:color="auto" w:fill="auto"/>
          </w:tcPr>
          <w:p w14:paraId="20AE0AB0" w14:textId="77777777" w:rsidR="00B626E7" w:rsidRDefault="00B626E7">
            <w:pPr>
              <w:rPr>
                <w:rFonts w:ascii="宋体"/>
              </w:rPr>
            </w:pPr>
          </w:p>
        </w:tc>
        <w:tc>
          <w:tcPr>
            <w:tcW w:w="0" w:type="auto"/>
            <w:shd w:val="clear" w:color="auto" w:fill="auto"/>
          </w:tcPr>
          <w:p w14:paraId="20AE0AB1" w14:textId="77777777" w:rsidR="00B626E7" w:rsidRDefault="00B626E7">
            <w:pPr>
              <w:rPr>
                <w:rFonts w:ascii="宋体"/>
              </w:rPr>
            </w:pPr>
          </w:p>
        </w:tc>
        <w:tc>
          <w:tcPr>
            <w:tcW w:w="0" w:type="auto"/>
            <w:shd w:val="clear" w:color="auto" w:fill="auto"/>
          </w:tcPr>
          <w:p w14:paraId="20AE0AB2" w14:textId="77777777" w:rsidR="00B626E7" w:rsidRDefault="00B626E7">
            <w:pPr>
              <w:rPr>
                <w:rFonts w:ascii="宋体"/>
              </w:rPr>
            </w:pPr>
          </w:p>
        </w:tc>
        <w:tc>
          <w:tcPr>
            <w:tcW w:w="0" w:type="auto"/>
            <w:shd w:val="clear" w:color="auto" w:fill="auto"/>
          </w:tcPr>
          <w:p w14:paraId="20AE0AB3" w14:textId="77777777" w:rsidR="00B626E7" w:rsidRDefault="00B626E7">
            <w:pPr>
              <w:rPr>
                <w:rFonts w:ascii="宋体"/>
              </w:rPr>
            </w:pPr>
          </w:p>
        </w:tc>
        <w:tc>
          <w:tcPr>
            <w:tcW w:w="0" w:type="auto"/>
            <w:shd w:val="clear" w:color="auto" w:fill="auto"/>
          </w:tcPr>
          <w:p w14:paraId="20AE0AB4" w14:textId="77777777" w:rsidR="00B626E7" w:rsidRDefault="00B626E7">
            <w:pPr>
              <w:rPr>
                <w:rFonts w:ascii="宋体"/>
              </w:rPr>
            </w:pPr>
          </w:p>
        </w:tc>
        <w:tc>
          <w:tcPr>
            <w:tcW w:w="0" w:type="auto"/>
            <w:shd w:val="clear" w:color="auto" w:fill="auto"/>
          </w:tcPr>
          <w:p w14:paraId="20AE0AB5" w14:textId="77777777" w:rsidR="00B626E7" w:rsidRDefault="00B626E7">
            <w:pPr>
              <w:rPr>
                <w:rFonts w:ascii="宋体"/>
              </w:rPr>
            </w:pPr>
          </w:p>
        </w:tc>
        <w:tc>
          <w:tcPr>
            <w:tcW w:w="0" w:type="auto"/>
            <w:shd w:val="clear" w:color="auto" w:fill="auto"/>
          </w:tcPr>
          <w:p w14:paraId="20AE0AB6" w14:textId="77777777" w:rsidR="00B626E7" w:rsidRDefault="00B626E7">
            <w:pPr>
              <w:rPr>
                <w:rFonts w:ascii="宋体"/>
              </w:rPr>
            </w:pPr>
          </w:p>
        </w:tc>
      </w:tr>
      <w:tr w:rsidR="00B626E7" w14:paraId="20AE0AD1" w14:textId="77777777">
        <w:tc>
          <w:tcPr>
            <w:tcW w:w="0" w:type="auto"/>
            <w:gridSpan w:val="3"/>
            <w:shd w:val="clear" w:color="auto" w:fill="auto"/>
            <w:tcMar>
              <w:top w:w="40" w:type="dxa"/>
              <w:left w:w="240" w:type="dxa"/>
              <w:bottom w:w="40" w:type="dxa"/>
              <w:right w:w="20" w:type="dxa"/>
            </w:tcMar>
            <w:vAlign w:val="bottom"/>
          </w:tcPr>
          <w:p w14:paraId="20AE0AB8" w14:textId="77777777" w:rsidR="00B626E7" w:rsidRDefault="00175C1D">
            <w:pPr>
              <w:textAlignment w:val="bottom"/>
            </w:pPr>
            <w:r>
              <w:rPr>
                <w:rFonts w:ascii="Arial" w:eastAsia="宋体" w:hAnsi="Arial" w:cs="Arial"/>
                <w:color w:val="333333"/>
                <w:sz w:val="18"/>
                <w:szCs w:val="18"/>
              </w:rPr>
              <w:t>IOTG</w:t>
            </w:r>
          </w:p>
        </w:tc>
        <w:tc>
          <w:tcPr>
            <w:tcW w:w="0" w:type="auto"/>
            <w:gridSpan w:val="3"/>
            <w:shd w:val="clear" w:color="auto" w:fill="auto"/>
            <w:tcMar>
              <w:left w:w="20" w:type="dxa"/>
              <w:right w:w="20" w:type="dxa"/>
            </w:tcMar>
            <w:vAlign w:val="bottom"/>
          </w:tcPr>
          <w:p w14:paraId="20AE0AB9"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ABA" w14:textId="77777777" w:rsidR="00B626E7" w:rsidRDefault="00175C1D">
            <w:pPr>
              <w:jc w:val="right"/>
              <w:textAlignment w:val="bottom"/>
            </w:pPr>
            <w:r>
              <w:rPr>
                <w:rFonts w:ascii="Arial" w:eastAsia="宋体" w:hAnsi="Arial" w:cs="Arial"/>
                <w:color w:val="026DCE"/>
                <w:sz w:val="18"/>
                <w:szCs w:val="18"/>
              </w:rPr>
              <w:t>70 </w:t>
            </w:r>
          </w:p>
        </w:tc>
        <w:tc>
          <w:tcPr>
            <w:tcW w:w="0" w:type="auto"/>
            <w:shd w:val="clear" w:color="auto" w:fill="auto"/>
            <w:tcMar>
              <w:top w:w="40" w:type="dxa"/>
              <w:bottom w:w="40" w:type="dxa"/>
              <w:right w:w="20" w:type="dxa"/>
            </w:tcMar>
            <w:vAlign w:val="bottom"/>
          </w:tcPr>
          <w:p w14:paraId="20AE0ABB"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0ABC"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ABD" w14:textId="77777777" w:rsidR="00B626E7" w:rsidRDefault="00175C1D">
            <w:pPr>
              <w:jc w:val="right"/>
              <w:textAlignment w:val="bottom"/>
            </w:pPr>
            <w:r>
              <w:rPr>
                <w:rFonts w:ascii="Arial" w:eastAsia="宋体" w:hAnsi="Arial" w:cs="Arial"/>
                <w:color w:val="333333"/>
                <w:sz w:val="18"/>
                <w:szCs w:val="18"/>
              </w:rPr>
              <w:t>294 </w:t>
            </w:r>
          </w:p>
        </w:tc>
        <w:tc>
          <w:tcPr>
            <w:tcW w:w="0" w:type="auto"/>
            <w:shd w:val="clear" w:color="auto" w:fill="auto"/>
            <w:tcMar>
              <w:top w:w="40" w:type="dxa"/>
              <w:bottom w:w="40" w:type="dxa"/>
              <w:right w:w="20" w:type="dxa"/>
            </w:tcMar>
            <w:vAlign w:val="bottom"/>
          </w:tcPr>
          <w:p w14:paraId="20AE0ABE"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ABF"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AC0" w14:textId="77777777" w:rsidR="00B626E7" w:rsidRDefault="00175C1D">
            <w:pPr>
              <w:jc w:val="right"/>
              <w:textAlignment w:val="bottom"/>
            </w:pPr>
            <w:r>
              <w:rPr>
                <w:rFonts w:ascii="Arial" w:eastAsia="宋体" w:hAnsi="Arial" w:cs="Arial"/>
                <w:color w:val="0071C5"/>
                <w:sz w:val="18"/>
                <w:szCs w:val="18"/>
              </w:rPr>
              <w:t>313 </w:t>
            </w:r>
          </w:p>
        </w:tc>
        <w:tc>
          <w:tcPr>
            <w:tcW w:w="0" w:type="auto"/>
            <w:shd w:val="clear" w:color="auto" w:fill="auto"/>
            <w:tcMar>
              <w:top w:w="40" w:type="dxa"/>
              <w:bottom w:w="40" w:type="dxa"/>
              <w:right w:w="20" w:type="dxa"/>
            </w:tcMar>
            <w:vAlign w:val="bottom"/>
          </w:tcPr>
          <w:p w14:paraId="20AE0AC1"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AC2"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AC3" w14:textId="77777777" w:rsidR="00B626E7" w:rsidRDefault="00175C1D">
            <w:pPr>
              <w:jc w:val="right"/>
              <w:textAlignment w:val="bottom"/>
            </w:pPr>
            <w:r>
              <w:rPr>
                <w:rFonts w:ascii="Arial" w:eastAsia="宋体" w:hAnsi="Arial" w:cs="Arial"/>
                <w:color w:val="333333"/>
                <w:sz w:val="18"/>
                <w:szCs w:val="18"/>
              </w:rPr>
              <w:t>545 </w:t>
            </w:r>
          </w:p>
        </w:tc>
        <w:tc>
          <w:tcPr>
            <w:tcW w:w="0" w:type="auto"/>
            <w:shd w:val="clear" w:color="auto" w:fill="auto"/>
            <w:tcMar>
              <w:top w:w="40" w:type="dxa"/>
              <w:bottom w:w="40" w:type="dxa"/>
              <w:right w:w="20" w:type="dxa"/>
            </w:tcMar>
            <w:vAlign w:val="bottom"/>
          </w:tcPr>
          <w:p w14:paraId="20AE0AC4"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0AC5" w14:textId="77777777" w:rsidR="00B626E7" w:rsidRDefault="00B626E7">
            <w:pPr>
              <w:rPr>
                <w:rFonts w:ascii="宋体"/>
              </w:rPr>
            </w:pPr>
          </w:p>
        </w:tc>
        <w:tc>
          <w:tcPr>
            <w:tcW w:w="0" w:type="auto"/>
            <w:shd w:val="clear" w:color="auto" w:fill="auto"/>
          </w:tcPr>
          <w:p w14:paraId="20AE0AC6" w14:textId="77777777" w:rsidR="00B626E7" w:rsidRDefault="00B626E7">
            <w:pPr>
              <w:rPr>
                <w:rFonts w:ascii="宋体"/>
              </w:rPr>
            </w:pPr>
          </w:p>
        </w:tc>
        <w:tc>
          <w:tcPr>
            <w:tcW w:w="0" w:type="auto"/>
            <w:shd w:val="clear" w:color="auto" w:fill="auto"/>
          </w:tcPr>
          <w:p w14:paraId="20AE0AC7" w14:textId="77777777" w:rsidR="00B626E7" w:rsidRDefault="00B626E7">
            <w:pPr>
              <w:rPr>
                <w:rFonts w:ascii="宋体"/>
              </w:rPr>
            </w:pPr>
          </w:p>
        </w:tc>
        <w:tc>
          <w:tcPr>
            <w:tcW w:w="0" w:type="auto"/>
            <w:shd w:val="clear" w:color="auto" w:fill="auto"/>
          </w:tcPr>
          <w:p w14:paraId="20AE0AC8" w14:textId="77777777" w:rsidR="00B626E7" w:rsidRDefault="00B626E7">
            <w:pPr>
              <w:rPr>
                <w:rFonts w:ascii="宋体"/>
              </w:rPr>
            </w:pPr>
          </w:p>
        </w:tc>
        <w:tc>
          <w:tcPr>
            <w:tcW w:w="0" w:type="auto"/>
            <w:shd w:val="clear" w:color="auto" w:fill="auto"/>
          </w:tcPr>
          <w:p w14:paraId="20AE0AC9" w14:textId="77777777" w:rsidR="00B626E7" w:rsidRDefault="00B626E7">
            <w:pPr>
              <w:rPr>
                <w:rFonts w:ascii="宋体"/>
              </w:rPr>
            </w:pPr>
          </w:p>
        </w:tc>
        <w:tc>
          <w:tcPr>
            <w:tcW w:w="0" w:type="auto"/>
            <w:shd w:val="clear" w:color="auto" w:fill="auto"/>
          </w:tcPr>
          <w:p w14:paraId="20AE0ACA" w14:textId="77777777" w:rsidR="00B626E7" w:rsidRDefault="00B626E7">
            <w:pPr>
              <w:rPr>
                <w:rFonts w:ascii="宋体"/>
              </w:rPr>
            </w:pPr>
          </w:p>
        </w:tc>
        <w:tc>
          <w:tcPr>
            <w:tcW w:w="0" w:type="auto"/>
            <w:shd w:val="clear" w:color="auto" w:fill="auto"/>
          </w:tcPr>
          <w:p w14:paraId="20AE0ACB" w14:textId="77777777" w:rsidR="00B626E7" w:rsidRDefault="00B626E7">
            <w:pPr>
              <w:rPr>
                <w:rFonts w:ascii="宋体"/>
              </w:rPr>
            </w:pPr>
          </w:p>
        </w:tc>
        <w:tc>
          <w:tcPr>
            <w:tcW w:w="0" w:type="auto"/>
            <w:shd w:val="clear" w:color="auto" w:fill="auto"/>
          </w:tcPr>
          <w:p w14:paraId="20AE0ACC" w14:textId="77777777" w:rsidR="00B626E7" w:rsidRDefault="00B626E7">
            <w:pPr>
              <w:rPr>
                <w:rFonts w:ascii="宋体"/>
              </w:rPr>
            </w:pPr>
          </w:p>
        </w:tc>
        <w:tc>
          <w:tcPr>
            <w:tcW w:w="0" w:type="auto"/>
            <w:shd w:val="clear" w:color="auto" w:fill="auto"/>
          </w:tcPr>
          <w:p w14:paraId="20AE0ACD" w14:textId="77777777" w:rsidR="00B626E7" w:rsidRDefault="00B626E7">
            <w:pPr>
              <w:rPr>
                <w:rFonts w:ascii="宋体"/>
              </w:rPr>
            </w:pPr>
          </w:p>
        </w:tc>
        <w:tc>
          <w:tcPr>
            <w:tcW w:w="0" w:type="auto"/>
            <w:shd w:val="clear" w:color="auto" w:fill="auto"/>
          </w:tcPr>
          <w:p w14:paraId="20AE0ACE" w14:textId="77777777" w:rsidR="00B626E7" w:rsidRDefault="00B626E7">
            <w:pPr>
              <w:rPr>
                <w:rFonts w:ascii="宋体"/>
              </w:rPr>
            </w:pPr>
          </w:p>
        </w:tc>
        <w:tc>
          <w:tcPr>
            <w:tcW w:w="0" w:type="auto"/>
            <w:shd w:val="clear" w:color="auto" w:fill="auto"/>
          </w:tcPr>
          <w:p w14:paraId="20AE0ACF" w14:textId="77777777" w:rsidR="00B626E7" w:rsidRDefault="00B626E7">
            <w:pPr>
              <w:rPr>
                <w:rFonts w:ascii="宋体"/>
              </w:rPr>
            </w:pPr>
          </w:p>
        </w:tc>
        <w:tc>
          <w:tcPr>
            <w:tcW w:w="0" w:type="auto"/>
            <w:shd w:val="clear" w:color="auto" w:fill="auto"/>
          </w:tcPr>
          <w:p w14:paraId="20AE0AD0" w14:textId="77777777" w:rsidR="00B626E7" w:rsidRDefault="00B626E7">
            <w:pPr>
              <w:rPr>
                <w:rFonts w:ascii="宋体"/>
              </w:rPr>
            </w:pPr>
          </w:p>
        </w:tc>
      </w:tr>
      <w:tr w:rsidR="00B626E7" w14:paraId="20AE0AEB" w14:textId="77777777">
        <w:tc>
          <w:tcPr>
            <w:tcW w:w="0" w:type="auto"/>
            <w:gridSpan w:val="3"/>
            <w:shd w:val="clear" w:color="auto" w:fill="auto"/>
            <w:tcMar>
              <w:top w:w="40" w:type="dxa"/>
              <w:left w:w="240" w:type="dxa"/>
              <w:bottom w:w="40" w:type="dxa"/>
              <w:right w:w="20" w:type="dxa"/>
            </w:tcMar>
            <w:vAlign w:val="bottom"/>
          </w:tcPr>
          <w:p w14:paraId="20AE0AD2" w14:textId="77777777" w:rsidR="00B626E7" w:rsidRDefault="00175C1D">
            <w:pPr>
              <w:textAlignment w:val="bottom"/>
            </w:pPr>
            <w:r>
              <w:rPr>
                <w:rFonts w:ascii="Arial" w:eastAsia="宋体" w:hAnsi="Arial" w:cs="Arial"/>
                <w:color w:val="333333"/>
                <w:sz w:val="18"/>
                <w:szCs w:val="18"/>
              </w:rPr>
              <w:t>Mobileye</w:t>
            </w:r>
          </w:p>
        </w:tc>
        <w:tc>
          <w:tcPr>
            <w:tcW w:w="0" w:type="auto"/>
            <w:gridSpan w:val="3"/>
            <w:shd w:val="clear" w:color="auto" w:fill="auto"/>
            <w:tcMar>
              <w:left w:w="20" w:type="dxa"/>
              <w:right w:w="20" w:type="dxa"/>
            </w:tcMar>
            <w:vAlign w:val="bottom"/>
          </w:tcPr>
          <w:p w14:paraId="20AE0AD3"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AD4" w14:textId="77777777" w:rsidR="00B626E7" w:rsidRDefault="00175C1D">
            <w:pPr>
              <w:jc w:val="right"/>
              <w:textAlignment w:val="bottom"/>
            </w:pPr>
            <w:r>
              <w:rPr>
                <w:rFonts w:ascii="Arial" w:eastAsia="宋体" w:hAnsi="Arial" w:cs="Arial"/>
                <w:color w:val="026DCE"/>
                <w:sz w:val="18"/>
                <w:szCs w:val="18"/>
              </w:rPr>
              <w:t>(4)</w:t>
            </w:r>
          </w:p>
        </w:tc>
        <w:tc>
          <w:tcPr>
            <w:tcW w:w="0" w:type="auto"/>
            <w:shd w:val="clear" w:color="auto" w:fill="auto"/>
            <w:tcMar>
              <w:top w:w="40" w:type="dxa"/>
              <w:bottom w:w="40" w:type="dxa"/>
              <w:right w:w="20" w:type="dxa"/>
            </w:tcMar>
            <w:vAlign w:val="bottom"/>
          </w:tcPr>
          <w:p w14:paraId="20AE0AD5"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0AD6"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AD7" w14:textId="77777777" w:rsidR="00B626E7" w:rsidRDefault="00175C1D">
            <w:pPr>
              <w:jc w:val="right"/>
              <w:textAlignment w:val="bottom"/>
            </w:pPr>
            <w:r>
              <w:rPr>
                <w:rFonts w:ascii="Arial" w:eastAsia="宋体" w:hAnsi="Arial" w:cs="Arial"/>
                <w:color w:val="333333"/>
                <w:sz w:val="18"/>
                <w:szCs w:val="18"/>
              </w:rPr>
              <w:t>53 </w:t>
            </w:r>
          </w:p>
        </w:tc>
        <w:tc>
          <w:tcPr>
            <w:tcW w:w="0" w:type="auto"/>
            <w:shd w:val="clear" w:color="auto" w:fill="auto"/>
            <w:tcMar>
              <w:top w:w="40" w:type="dxa"/>
              <w:bottom w:w="40" w:type="dxa"/>
              <w:right w:w="20" w:type="dxa"/>
            </w:tcMar>
            <w:vAlign w:val="bottom"/>
          </w:tcPr>
          <w:p w14:paraId="20AE0AD8"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AD9"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ADA" w14:textId="77777777" w:rsidR="00B626E7" w:rsidRDefault="00175C1D">
            <w:pPr>
              <w:jc w:val="right"/>
              <w:textAlignment w:val="bottom"/>
            </w:pPr>
            <w:r>
              <w:rPr>
                <w:rFonts w:ascii="Arial" w:eastAsia="宋体" w:hAnsi="Arial" w:cs="Arial"/>
                <w:color w:val="0071C5"/>
                <w:sz w:val="18"/>
                <w:szCs w:val="18"/>
              </w:rPr>
              <w:t>84 </w:t>
            </w:r>
          </w:p>
        </w:tc>
        <w:tc>
          <w:tcPr>
            <w:tcW w:w="0" w:type="auto"/>
            <w:shd w:val="clear" w:color="auto" w:fill="auto"/>
            <w:tcMar>
              <w:top w:w="40" w:type="dxa"/>
              <w:bottom w:w="40" w:type="dxa"/>
              <w:right w:w="20" w:type="dxa"/>
            </w:tcMar>
            <w:vAlign w:val="bottom"/>
          </w:tcPr>
          <w:p w14:paraId="20AE0ADB"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ADC"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ADD" w14:textId="77777777" w:rsidR="00B626E7" w:rsidRDefault="00175C1D">
            <w:pPr>
              <w:jc w:val="right"/>
              <w:textAlignment w:val="bottom"/>
            </w:pPr>
            <w:r>
              <w:rPr>
                <w:rFonts w:ascii="Arial" w:eastAsia="宋体" w:hAnsi="Arial" w:cs="Arial"/>
                <w:color w:val="333333"/>
                <w:sz w:val="18"/>
                <w:szCs w:val="18"/>
              </w:rPr>
              <w:t>121 </w:t>
            </w:r>
          </w:p>
        </w:tc>
        <w:tc>
          <w:tcPr>
            <w:tcW w:w="0" w:type="auto"/>
            <w:shd w:val="clear" w:color="auto" w:fill="auto"/>
            <w:tcMar>
              <w:top w:w="40" w:type="dxa"/>
              <w:bottom w:w="40" w:type="dxa"/>
              <w:right w:w="20" w:type="dxa"/>
            </w:tcMar>
            <w:vAlign w:val="bottom"/>
          </w:tcPr>
          <w:p w14:paraId="20AE0ADE"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0ADF" w14:textId="77777777" w:rsidR="00B626E7" w:rsidRDefault="00B626E7">
            <w:pPr>
              <w:rPr>
                <w:rFonts w:ascii="宋体"/>
              </w:rPr>
            </w:pPr>
          </w:p>
        </w:tc>
        <w:tc>
          <w:tcPr>
            <w:tcW w:w="0" w:type="auto"/>
            <w:shd w:val="clear" w:color="auto" w:fill="auto"/>
          </w:tcPr>
          <w:p w14:paraId="20AE0AE0" w14:textId="77777777" w:rsidR="00B626E7" w:rsidRDefault="00B626E7">
            <w:pPr>
              <w:rPr>
                <w:rFonts w:ascii="宋体"/>
              </w:rPr>
            </w:pPr>
          </w:p>
        </w:tc>
        <w:tc>
          <w:tcPr>
            <w:tcW w:w="0" w:type="auto"/>
            <w:shd w:val="clear" w:color="auto" w:fill="auto"/>
          </w:tcPr>
          <w:p w14:paraId="20AE0AE1" w14:textId="77777777" w:rsidR="00B626E7" w:rsidRDefault="00B626E7">
            <w:pPr>
              <w:rPr>
                <w:rFonts w:ascii="宋体"/>
              </w:rPr>
            </w:pPr>
          </w:p>
        </w:tc>
        <w:tc>
          <w:tcPr>
            <w:tcW w:w="0" w:type="auto"/>
            <w:shd w:val="clear" w:color="auto" w:fill="auto"/>
          </w:tcPr>
          <w:p w14:paraId="20AE0AE2" w14:textId="77777777" w:rsidR="00B626E7" w:rsidRDefault="00B626E7">
            <w:pPr>
              <w:rPr>
                <w:rFonts w:ascii="宋体"/>
              </w:rPr>
            </w:pPr>
          </w:p>
        </w:tc>
        <w:tc>
          <w:tcPr>
            <w:tcW w:w="0" w:type="auto"/>
            <w:shd w:val="clear" w:color="auto" w:fill="auto"/>
          </w:tcPr>
          <w:p w14:paraId="20AE0AE3" w14:textId="77777777" w:rsidR="00B626E7" w:rsidRDefault="00B626E7">
            <w:pPr>
              <w:rPr>
                <w:rFonts w:ascii="宋体"/>
              </w:rPr>
            </w:pPr>
          </w:p>
        </w:tc>
        <w:tc>
          <w:tcPr>
            <w:tcW w:w="0" w:type="auto"/>
            <w:shd w:val="clear" w:color="auto" w:fill="auto"/>
          </w:tcPr>
          <w:p w14:paraId="20AE0AE4" w14:textId="77777777" w:rsidR="00B626E7" w:rsidRDefault="00B626E7">
            <w:pPr>
              <w:rPr>
                <w:rFonts w:ascii="宋体"/>
              </w:rPr>
            </w:pPr>
          </w:p>
        </w:tc>
        <w:tc>
          <w:tcPr>
            <w:tcW w:w="0" w:type="auto"/>
            <w:shd w:val="clear" w:color="auto" w:fill="auto"/>
          </w:tcPr>
          <w:p w14:paraId="20AE0AE5" w14:textId="77777777" w:rsidR="00B626E7" w:rsidRDefault="00B626E7">
            <w:pPr>
              <w:rPr>
                <w:rFonts w:ascii="宋体"/>
              </w:rPr>
            </w:pPr>
          </w:p>
        </w:tc>
        <w:tc>
          <w:tcPr>
            <w:tcW w:w="0" w:type="auto"/>
            <w:shd w:val="clear" w:color="auto" w:fill="auto"/>
          </w:tcPr>
          <w:p w14:paraId="20AE0AE6" w14:textId="77777777" w:rsidR="00B626E7" w:rsidRDefault="00B626E7">
            <w:pPr>
              <w:rPr>
                <w:rFonts w:ascii="宋体"/>
              </w:rPr>
            </w:pPr>
          </w:p>
        </w:tc>
        <w:tc>
          <w:tcPr>
            <w:tcW w:w="0" w:type="auto"/>
            <w:shd w:val="clear" w:color="auto" w:fill="auto"/>
          </w:tcPr>
          <w:p w14:paraId="20AE0AE7" w14:textId="77777777" w:rsidR="00B626E7" w:rsidRDefault="00B626E7">
            <w:pPr>
              <w:rPr>
                <w:rFonts w:ascii="宋体"/>
              </w:rPr>
            </w:pPr>
          </w:p>
        </w:tc>
        <w:tc>
          <w:tcPr>
            <w:tcW w:w="0" w:type="auto"/>
            <w:shd w:val="clear" w:color="auto" w:fill="auto"/>
          </w:tcPr>
          <w:p w14:paraId="20AE0AE8" w14:textId="77777777" w:rsidR="00B626E7" w:rsidRDefault="00B626E7">
            <w:pPr>
              <w:rPr>
                <w:rFonts w:ascii="宋体"/>
              </w:rPr>
            </w:pPr>
          </w:p>
        </w:tc>
        <w:tc>
          <w:tcPr>
            <w:tcW w:w="0" w:type="auto"/>
            <w:shd w:val="clear" w:color="auto" w:fill="auto"/>
          </w:tcPr>
          <w:p w14:paraId="20AE0AE9" w14:textId="77777777" w:rsidR="00B626E7" w:rsidRDefault="00B626E7">
            <w:pPr>
              <w:rPr>
                <w:rFonts w:ascii="宋体"/>
              </w:rPr>
            </w:pPr>
          </w:p>
        </w:tc>
        <w:tc>
          <w:tcPr>
            <w:tcW w:w="0" w:type="auto"/>
            <w:shd w:val="clear" w:color="auto" w:fill="auto"/>
          </w:tcPr>
          <w:p w14:paraId="20AE0AEA" w14:textId="77777777" w:rsidR="00B626E7" w:rsidRDefault="00B626E7">
            <w:pPr>
              <w:rPr>
                <w:rFonts w:ascii="宋体"/>
              </w:rPr>
            </w:pPr>
          </w:p>
        </w:tc>
      </w:tr>
      <w:tr w:rsidR="00B626E7" w14:paraId="20AE0B05" w14:textId="77777777">
        <w:tc>
          <w:tcPr>
            <w:tcW w:w="0" w:type="auto"/>
            <w:gridSpan w:val="3"/>
            <w:shd w:val="clear" w:color="auto" w:fill="auto"/>
            <w:tcMar>
              <w:left w:w="20" w:type="dxa"/>
              <w:right w:w="20" w:type="dxa"/>
            </w:tcMar>
            <w:vAlign w:val="bottom"/>
          </w:tcPr>
          <w:p w14:paraId="20AE0AEC"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AED"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0AEE" w14:textId="77777777" w:rsidR="00B626E7" w:rsidRDefault="00175C1D">
            <w:pPr>
              <w:jc w:val="right"/>
              <w:textAlignment w:val="bottom"/>
            </w:pPr>
            <w:r>
              <w:rPr>
                <w:rFonts w:ascii="Arial" w:eastAsia="宋体" w:hAnsi="Arial" w:cs="Arial"/>
                <w:b/>
                <w:bCs/>
                <w:color w:val="026DCE"/>
                <w:sz w:val="18"/>
                <w:szCs w:val="18"/>
              </w:rPr>
              <w:t>66 </w:t>
            </w:r>
          </w:p>
        </w:tc>
        <w:tc>
          <w:tcPr>
            <w:tcW w:w="0" w:type="auto"/>
            <w:tcBorders>
              <w:top w:val="single" w:sz="8" w:space="0" w:color="333333"/>
            </w:tcBorders>
            <w:shd w:val="clear" w:color="auto" w:fill="auto"/>
            <w:tcMar>
              <w:top w:w="40" w:type="dxa"/>
              <w:bottom w:w="40" w:type="dxa"/>
              <w:right w:w="20" w:type="dxa"/>
            </w:tcMar>
            <w:vAlign w:val="bottom"/>
          </w:tcPr>
          <w:p w14:paraId="20AE0AEF"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0AF0"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0AF1" w14:textId="77777777" w:rsidR="00B626E7" w:rsidRDefault="00175C1D">
            <w:pPr>
              <w:jc w:val="right"/>
              <w:textAlignment w:val="bottom"/>
            </w:pPr>
            <w:r>
              <w:rPr>
                <w:rFonts w:ascii="Arial" w:eastAsia="宋体" w:hAnsi="Arial" w:cs="Arial"/>
                <w:b/>
                <w:bCs/>
                <w:color w:val="333333"/>
                <w:sz w:val="18"/>
                <w:szCs w:val="18"/>
              </w:rPr>
              <w:t>347 </w:t>
            </w:r>
          </w:p>
        </w:tc>
        <w:tc>
          <w:tcPr>
            <w:tcW w:w="0" w:type="auto"/>
            <w:tcBorders>
              <w:top w:val="single" w:sz="8" w:space="0" w:color="333333"/>
            </w:tcBorders>
            <w:shd w:val="clear" w:color="auto" w:fill="auto"/>
            <w:tcMar>
              <w:top w:w="40" w:type="dxa"/>
              <w:bottom w:w="40" w:type="dxa"/>
              <w:right w:w="20" w:type="dxa"/>
            </w:tcMar>
            <w:vAlign w:val="bottom"/>
          </w:tcPr>
          <w:p w14:paraId="20AE0AF2"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0AF3"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0AF4" w14:textId="77777777" w:rsidR="00B626E7" w:rsidRDefault="00175C1D">
            <w:pPr>
              <w:jc w:val="right"/>
              <w:textAlignment w:val="bottom"/>
            </w:pPr>
            <w:r>
              <w:rPr>
                <w:rFonts w:ascii="Arial" w:eastAsia="宋体" w:hAnsi="Arial" w:cs="Arial"/>
                <w:b/>
                <w:bCs/>
                <w:color w:val="0071C5"/>
                <w:sz w:val="18"/>
                <w:szCs w:val="18"/>
              </w:rPr>
              <w:t>397 </w:t>
            </w:r>
          </w:p>
        </w:tc>
        <w:tc>
          <w:tcPr>
            <w:tcW w:w="0" w:type="auto"/>
            <w:tcBorders>
              <w:top w:val="single" w:sz="8" w:space="0" w:color="333333"/>
            </w:tcBorders>
            <w:shd w:val="clear" w:color="auto" w:fill="auto"/>
            <w:tcMar>
              <w:top w:w="40" w:type="dxa"/>
              <w:bottom w:w="40" w:type="dxa"/>
              <w:right w:w="20" w:type="dxa"/>
            </w:tcMar>
            <w:vAlign w:val="bottom"/>
          </w:tcPr>
          <w:p w14:paraId="20AE0AF5"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0AF6"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0AF7" w14:textId="77777777" w:rsidR="00B626E7" w:rsidRDefault="00175C1D">
            <w:pPr>
              <w:jc w:val="right"/>
              <w:textAlignment w:val="bottom"/>
            </w:pPr>
            <w:r>
              <w:rPr>
                <w:rFonts w:ascii="Arial" w:eastAsia="宋体" w:hAnsi="Arial" w:cs="Arial"/>
                <w:b/>
                <w:bCs/>
                <w:color w:val="333333"/>
                <w:sz w:val="18"/>
                <w:szCs w:val="18"/>
              </w:rPr>
              <w:t>666 </w:t>
            </w:r>
          </w:p>
        </w:tc>
        <w:tc>
          <w:tcPr>
            <w:tcW w:w="0" w:type="auto"/>
            <w:tcBorders>
              <w:top w:val="single" w:sz="8" w:space="0" w:color="333333"/>
            </w:tcBorders>
            <w:shd w:val="clear" w:color="auto" w:fill="auto"/>
            <w:tcMar>
              <w:top w:w="40" w:type="dxa"/>
              <w:bottom w:w="40" w:type="dxa"/>
              <w:right w:w="20" w:type="dxa"/>
            </w:tcMar>
            <w:vAlign w:val="bottom"/>
          </w:tcPr>
          <w:p w14:paraId="20AE0AF8"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E0AF9" w14:textId="77777777" w:rsidR="00B626E7" w:rsidRDefault="00B626E7">
            <w:pPr>
              <w:rPr>
                <w:rFonts w:ascii="宋体"/>
              </w:rPr>
            </w:pPr>
          </w:p>
        </w:tc>
        <w:tc>
          <w:tcPr>
            <w:tcW w:w="0" w:type="auto"/>
            <w:shd w:val="clear" w:color="auto" w:fill="auto"/>
          </w:tcPr>
          <w:p w14:paraId="20AE0AFA" w14:textId="77777777" w:rsidR="00B626E7" w:rsidRDefault="00B626E7">
            <w:pPr>
              <w:rPr>
                <w:rFonts w:ascii="宋体"/>
              </w:rPr>
            </w:pPr>
          </w:p>
        </w:tc>
        <w:tc>
          <w:tcPr>
            <w:tcW w:w="0" w:type="auto"/>
            <w:shd w:val="clear" w:color="auto" w:fill="auto"/>
          </w:tcPr>
          <w:p w14:paraId="20AE0AFB" w14:textId="77777777" w:rsidR="00B626E7" w:rsidRDefault="00B626E7">
            <w:pPr>
              <w:rPr>
                <w:rFonts w:ascii="宋体"/>
              </w:rPr>
            </w:pPr>
          </w:p>
        </w:tc>
        <w:tc>
          <w:tcPr>
            <w:tcW w:w="0" w:type="auto"/>
            <w:shd w:val="clear" w:color="auto" w:fill="auto"/>
          </w:tcPr>
          <w:p w14:paraId="20AE0AFC" w14:textId="77777777" w:rsidR="00B626E7" w:rsidRDefault="00B626E7">
            <w:pPr>
              <w:rPr>
                <w:rFonts w:ascii="宋体"/>
              </w:rPr>
            </w:pPr>
          </w:p>
        </w:tc>
        <w:tc>
          <w:tcPr>
            <w:tcW w:w="0" w:type="auto"/>
            <w:shd w:val="clear" w:color="auto" w:fill="auto"/>
          </w:tcPr>
          <w:p w14:paraId="20AE0AFD" w14:textId="77777777" w:rsidR="00B626E7" w:rsidRDefault="00B626E7">
            <w:pPr>
              <w:rPr>
                <w:rFonts w:ascii="宋体"/>
              </w:rPr>
            </w:pPr>
          </w:p>
        </w:tc>
        <w:tc>
          <w:tcPr>
            <w:tcW w:w="0" w:type="auto"/>
            <w:shd w:val="clear" w:color="auto" w:fill="auto"/>
          </w:tcPr>
          <w:p w14:paraId="20AE0AFE" w14:textId="77777777" w:rsidR="00B626E7" w:rsidRDefault="00B626E7">
            <w:pPr>
              <w:rPr>
                <w:rFonts w:ascii="宋体"/>
              </w:rPr>
            </w:pPr>
          </w:p>
        </w:tc>
        <w:tc>
          <w:tcPr>
            <w:tcW w:w="0" w:type="auto"/>
            <w:shd w:val="clear" w:color="auto" w:fill="auto"/>
          </w:tcPr>
          <w:p w14:paraId="20AE0AFF" w14:textId="77777777" w:rsidR="00B626E7" w:rsidRDefault="00B626E7">
            <w:pPr>
              <w:rPr>
                <w:rFonts w:ascii="宋体"/>
              </w:rPr>
            </w:pPr>
          </w:p>
        </w:tc>
        <w:tc>
          <w:tcPr>
            <w:tcW w:w="0" w:type="auto"/>
            <w:shd w:val="clear" w:color="auto" w:fill="auto"/>
          </w:tcPr>
          <w:p w14:paraId="20AE0B00" w14:textId="77777777" w:rsidR="00B626E7" w:rsidRDefault="00B626E7">
            <w:pPr>
              <w:rPr>
                <w:rFonts w:ascii="宋体"/>
              </w:rPr>
            </w:pPr>
          </w:p>
        </w:tc>
        <w:tc>
          <w:tcPr>
            <w:tcW w:w="0" w:type="auto"/>
            <w:shd w:val="clear" w:color="auto" w:fill="auto"/>
          </w:tcPr>
          <w:p w14:paraId="20AE0B01" w14:textId="77777777" w:rsidR="00B626E7" w:rsidRDefault="00B626E7">
            <w:pPr>
              <w:rPr>
                <w:rFonts w:ascii="宋体"/>
              </w:rPr>
            </w:pPr>
          </w:p>
        </w:tc>
        <w:tc>
          <w:tcPr>
            <w:tcW w:w="0" w:type="auto"/>
            <w:shd w:val="clear" w:color="auto" w:fill="auto"/>
          </w:tcPr>
          <w:p w14:paraId="20AE0B02" w14:textId="77777777" w:rsidR="00B626E7" w:rsidRDefault="00B626E7">
            <w:pPr>
              <w:rPr>
                <w:rFonts w:ascii="宋体"/>
              </w:rPr>
            </w:pPr>
          </w:p>
        </w:tc>
        <w:tc>
          <w:tcPr>
            <w:tcW w:w="0" w:type="auto"/>
            <w:shd w:val="clear" w:color="auto" w:fill="auto"/>
          </w:tcPr>
          <w:p w14:paraId="20AE0B03" w14:textId="77777777" w:rsidR="00B626E7" w:rsidRDefault="00B626E7">
            <w:pPr>
              <w:rPr>
                <w:rFonts w:ascii="宋体"/>
              </w:rPr>
            </w:pPr>
          </w:p>
        </w:tc>
        <w:tc>
          <w:tcPr>
            <w:tcW w:w="0" w:type="auto"/>
            <w:shd w:val="clear" w:color="auto" w:fill="auto"/>
          </w:tcPr>
          <w:p w14:paraId="20AE0B04" w14:textId="77777777" w:rsidR="00B626E7" w:rsidRDefault="00B626E7">
            <w:pPr>
              <w:rPr>
                <w:rFonts w:ascii="宋体"/>
              </w:rPr>
            </w:pPr>
          </w:p>
        </w:tc>
      </w:tr>
      <w:tr w:rsidR="00B626E7" w14:paraId="20AE0B1B" w14:textId="77777777">
        <w:trPr>
          <w:trHeight w:val="280"/>
        </w:trPr>
        <w:tc>
          <w:tcPr>
            <w:tcW w:w="0" w:type="auto"/>
            <w:gridSpan w:val="3"/>
            <w:shd w:val="clear" w:color="auto" w:fill="auto"/>
            <w:tcMar>
              <w:left w:w="20" w:type="dxa"/>
              <w:right w:w="20" w:type="dxa"/>
            </w:tcMar>
            <w:vAlign w:val="bottom"/>
          </w:tcPr>
          <w:p w14:paraId="20AE0B06"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B07"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B08"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B09"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B0A"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B0B"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B0C"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B0D"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B0E" w14:textId="77777777" w:rsidR="00B626E7" w:rsidRDefault="00B626E7">
            <w:pPr>
              <w:rPr>
                <w:rFonts w:ascii="宋体"/>
              </w:rPr>
            </w:pPr>
          </w:p>
        </w:tc>
        <w:tc>
          <w:tcPr>
            <w:tcW w:w="0" w:type="auto"/>
            <w:shd w:val="clear" w:color="auto" w:fill="auto"/>
          </w:tcPr>
          <w:p w14:paraId="20AE0B0F" w14:textId="77777777" w:rsidR="00B626E7" w:rsidRDefault="00B626E7">
            <w:pPr>
              <w:rPr>
                <w:rFonts w:ascii="宋体"/>
              </w:rPr>
            </w:pPr>
          </w:p>
        </w:tc>
        <w:tc>
          <w:tcPr>
            <w:tcW w:w="0" w:type="auto"/>
            <w:shd w:val="clear" w:color="auto" w:fill="auto"/>
          </w:tcPr>
          <w:p w14:paraId="20AE0B10" w14:textId="77777777" w:rsidR="00B626E7" w:rsidRDefault="00B626E7">
            <w:pPr>
              <w:rPr>
                <w:rFonts w:ascii="宋体"/>
              </w:rPr>
            </w:pPr>
          </w:p>
        </w:tc>
        <w:tc>
          <w:tcPr>
            <w:tcW w:w="0" w:type="auto"/>
            <w:shd w:val="clear" w:color="auto" w:fill="auto"/>
          </w:tcPr>
          <w:p w14:paraId="20AE0B11" w14:textId="77777777" w:rsidR="00B626E7" w:rsidRDefault="00B626E7">
            <w:pPr>
              <w:rPr>
                <w:rFonts w:ascii="宋体"/>
              </w:rPr>
            </w:pPr>
          </w:p>
        </w:tc>
        <w:tc>
          <w:tcPr>
            <w:tcW w:w="0" w:type="auto"/>
            <w:shd w:val="clear" w:color="auto" w:fill="auto"/>
          </w:tcPr>
          <w:p w14:paraId="20AE0B12" w14:textId="77777777" w:rsidR="00B626E7" w:rsidRDefault="00B626E7">
            <w:pPr>
              <w:rPr>
                <w:rFonts w:ascii="宋体"/>
              </w:rPr>
            </w:pPr>
          </w:p>
        </w:tc>
        <w:tc>
          <w:tcPr>
            <w:tcW w:w="0" w:type="auto"/>
            <w:shd w:val="clear" w:color="auto" w:fill="auto"/>
          </w:tcPr>
          <w:p w14:paraId="20AE0B13" w14:textId="77777777" w:rsidR="00B626E7" w:rsidRDefault="00B626E7">
            <w:pPr>
              <w:rPr>
                <w:rFonts w:ascii="宋体"/>
              </w:rPr>
            </w:pPr>
          </w:p>
        </w:tc>
        <w:tc>
          <w:tcPr>
            <w:tcW w:w="0" w:type="auto"/>
            <w:shd w:val="clear" w:color="auto" w:fill="auto"/>
          </w:tcPr>
          <w:p w14:paraId="20AE0B14" w14:textId="77777777" w:rsidR="00B626E7" w:rsidRDefault="00B626E7">
            <w:pPr>
              <w:rPr>
                <w:rFonts w:ascii="宋体"/>
              </w:rPr>
            </w:pPr>
          </w:p>
        </w:tc>
        <w:tc>
          <w:tcPr>
            <w:tcW w:w="0" w:type="auto"/>
            <w:shd w:val="clear" w:color="auto" w:fill="auto"/>
          </w:tcPr>
          <w:p w14:paraId="20AE0B15" w14:textId="77777777" w:rsidR="00B626E7" w:rsidRDefault="00B626E7">
            <w:pPr>
              <w:rPr>
                <w:rFonts w:ascii="宋体"/>
              </w:rPr>
            </w:pPr>
          </w:p>
        </w:tc>
        <w:tc>
          <w:tcPr>
            <w:tcW w:w="0" w:type="auto"/>
            <w:shd w:val="clear" w:color="auto" w:fill="auto"/>
          </w:tcPr>
          <w:p w14:paraId="20AE0B16" w14:textId="77777777" w:rsidR="00B626E7" w:rsidRDefault="00B626E7">
            <w:pPr>
              <w:rPr>
                <w:rFonts w:ascii="宋体"/>
              </w:rPr>
            </w:pPr>
          </w:p>
        </w:tc>
        <w:tc>
          <w:tcPr>
            <w:tcW w:w="0" w:type="auto"/>
            <w:shd w:val="clear" w:color="auto" w:fill="auto"/>
          </w:tcPr>
          <w:p w14:paraId="20AE0B17" w14:textId="77777777" w:rsidR="00B626E7" w:rsidRDefault="00B626E7">
            <w:pPr>
              <w:rPr>
                <w:rFonts w:ascii="宋体"/>
              </w:rPr>
            </w:pPr>
          </w:p>
        </w:tc>
        <w:tc>
          <w:tcPr>
            <w:tcW w:w="0" w:type="auto"/>
            <w:shd w:val="clear" w:color="auto" w:fill="auto"/>
          </w:tcPr>
          <w:p w14:paraId="20AE0B18" w14:textId="77777777" w:rsidR="00B626E7" w:rsidRDefault="00B626E7">
            <w:pPr>
              <w:rPr>
                <w:rFonts w:ascii="宋体"/>
              </w:rPr>
            </w:pPr>
          </w:p>
        </w:tc>
        <w:tc>
          <w:tcPr>
            <w:tcW w:w="0" w:type="auto"/>
            <w:shd w:val="clear" w:color="auto" w:fill="auto"/>
          </w:tcPr>
          <w:p w14:paraId="20AE0B19" w14:textId="77777777" w:rsidR="00B626E7" w:rsidRDefault="00B626E7">
            <w:pPr>
              <w:rPr>
                <w:rFonts w:ascii="宋体"/>
              </w:rPr>
            </w:pPr>
          </w:p>
        </w:tc>
        <w:tc>
          <w:tcPr>
            <w:tcW w:w="0" w:type="auto"/>
            <w:shd w:val="clear" w:color="auto" w:fill="auto"/>
          </w:tcPr>
          <w:p w14:paraId="20AE0B1A" w14:textId="77777777" w:rsidR="00B626E7" w:rsidRDefault="00B626E7">
            <w:pPr>
              <w:rPr>
                <w:rFonts w:ascii="宋体"/>
              </w:rPr>
            </w:pPr>
          </w:p>
        </w:tc>
      </w:tr>
      <w:tr w:rsidR="00B626E7" w14:paraId="20AE0B35" w14:textId="77777777">
        <w:tc>
          <w:tcPr>
            <w:tcW w:w="0" w:type="auto"/>
            <w:gridSpan w:val="3"/>
            <w:shd w:val="clear" w:color="auto" w:fill="auto"/>
            <w:tcMar>
              <w:top w:w="40" w:type="dxa"/>
              <w:left w:w="120" w:type="dxa"/>
              <w:bottom w:w="40" w:type="dxa"/>
              <w:right w:w="20" w:type="dxa"/>
            </w:tcMar>
            <w:vAlign w:val="bottom"/>
          </w:tcPr>
          <w:p w14:paraId="20AE0B1C" w14:textId="77777777" w:rsidR="00B626E7" w:rsidRDefault="00175C1D">
            <w:pPr>
              <w:textAlignment w:val="bottom"/>
            </w:pPr>
            <w:r>
              <w:rPr>
                <w:rFonts w:ascii="Arial" w:eastAsia="宋体" w:hAnsi="Arial" w:cs="Arial"/>
                <w:b/>
                <w:bCs/>
                <w:color w:val="333333"/>
                <w:sz w:val="18"/>
                <w:szCs w:val="18"/>
              </w:rPr>
              <w:t>Non-Volatile Memory Solutions Group</w:t>
            </w:r>
          </w:p>
        </w:tc>
        <w:tc>
          <w:tcPr>
            <w:tcW w:w="0" w:type="auto"/>
            <w:gridSpan w:val="3"/>
            <w:shd w:val="clear" w:color="auto" w:fill="auto"/>
            <w:tcMar>
              <w:left w:w="20" w:type="dxa"/>
              <w:right w:w="20" w:type="dxa"/>
            </w:tcMar>
            <w:vAlign w:val="bottom"/>
          </w:tcPr>
          <w:p w14:paraId="20AE0B1D"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B1E" w14:textId="77777777" w:rsidR="00B626E7" w:rsidRDefault="00175C1D">
            <w:pPr>
              <w:jc w:val="right"/>
              <w:textAlignment w:val="bottom"/>
            </w:pPr>
            <w:r>
              <w:rPr>
                <w:rFonts w:ascii="Arial" w:eastAsia="宋体" w:hAnsi="Arial" w:cs="Arial"/>
                <w:b/>
                <w:bCs/>
                <w:color w:val="026DCE"/>
                <w:sz w:val="18"/>
                <w:szCs w:val="18"/>
              </w:rPr>
              <w:t>322 </w:t>
            </w:r>
          </w:p>
        </w:tc>
        <w:tc>
          <w:tcPr>
            <w:tcW w:w="0" w:type="auto"/>
            <w:shd w:val="clear" w:color="auto" w:fill="auto"/>
            <w:tcMar>
              <w:top w:w="40" w:type="dxa"/>
              <w:bottom w:w="40" w:type="dxa"/>
              <w:right w:w="20" w:type="dxa"/>
            </w:tcMar>
            <w:vAlign w:val="bottom"/>
          </w:tcPr>
          <w:p w14:paraId="20AE0B1F"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0B20"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B21" w14:textId="77777777" w:rsidR="00B626E7" w:rsidRDefault="00175C1D">
            <w:pPr>
              <w:jc w:val="right"/>
              <w:textAlignment w:val="bottom"/>
            </w:pPr>
            <w:r>
              <w:rPr>
                <w:rFonts w:ascii="Arial" w:eastAsia="宋体" w:hAnsi="Arial" w:cs="Arial"/>
                <w:b/>
                <w:bCs/>
                <w:color w:val="333333"/>
                <w:sz w:val="18"/>
                <w:szCs w:val="18"/>
              </w:rPr>
              <w:t>(284)</w:t>
            </w:r>
          </w:p>
        </w:tc>
        <w:tc>
          <w:tcPr>
            <w:tcW w:w="0" w:type="auto"/>
            <w:shd w:val="clear" w:color="auto" w:fill="auto"/>
            <w:tcMar>
              <w:top w:w="40" w:type="dxa"/>
              <w:bottom w:w="40" w:type="dxa"/>
              <w:right w:w="20" w:type="dxa"/>
            </w:tcMar>
            <w:vAlign w:val="bottom"/>
          </w:tcPr>
          <w:p w14:paraId="20AE0B22"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0B23"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B24" w14:textId="77777777" w:rsidR="00B626E7" w:rsidRDefault="00175C1D">
            <w:pPr>
              <w:jc w:val="right"/>
              <w:textAlignment w:val="bottom"/>
            </w:pPr>
            <w:r>
              <w:rPr>
                <w:rFonts w:ascii="Arial" w:eastAsia="宋体" w:hAnsi="Arial" w:cs="Arial"/>
                <w:b/>
                <w:bCs/>
                <w:color w:val="0071C5"/>
                <w:sz w:val="18"/>
                <w:szCs w:val="18"/>
              </w:rPr>
              <w:t>256 </w:t>
            </w:r>
          </w:p>
        </w:tc>
        <w:tc>
          <w:tcPr>
            <w:tcW w:w="0" w:type="auto"/>
            <w:shd w:val="clear" w:color="auto" w:fill="auto"/>
            <w:tcMar>
              <w:top w:w="40" w:type="dxa"/>
              <w:bottom w:w="40" w:type="dxa"/>
              <w:right w:w="20" w:type="dxa"/>
            </w:tcMar>
            <w:vAlign w:val="bottom"/>
          </w:tcPr>
          <w:p w14:paraId="20AE0B25"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0B26"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B27" w14:textId="77777777" w:rsidR="00B626E7" w:rsidRDefault="00175C1D">
            <w:pPr>
              <w:jc w:val="right"/>
              <w:textAlignment w:val="bottom"/>
            </w:pPr>
            <w:r>
              <w:rPr>
                <w:rFonts w:ascii="Arial" w:eastAsia="宋体" w:hAnsi="Arial" w:cs="Arial"/>
                <w:b/>
                <w:bCs/>
                <w:color w:val="333333"/>
                <w:sz w:val="18"/>
                <w:szCs w:val="18"/>
              </w:rPr>
              <w:t>(581)</w:t>
            </w:r>
          </w:p>
        </w:tc>
        <w:tc>
          <w:tcPr>
            <w:tcW w:w="0" w:type="auto"/>
            <w:shd w:val="clear" w:color="auto" w:fill="auto"/>
            <w:tcMar>
              <w:top w:w="40" w:type="dxa"/>
              <w:bottom w:w="40" w:type="dxa"/>
              <w:right w:w="20" w:type="dxa"/>
            </w:tcMar>
            <w:vAlign w:val="bottom"/>
          </w:tcPr>
          <w:p w14:paraId="20AE0B28"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E0B29" w14:textId="77777777" w:rsidR="00B626E7" w:rsidRDefault="00B626E7">
            <w:pPr>
              <w:rPr>
                <w:rFonts w:ascii="宋体"/>
              </w:rPr>
            </w:pPr>
          </w:p>
        </w:tc>
        <w:tc>
          <w:tcPr>
            <w:tcW w:w="0" w:type="auto"/>
            <w:shd w:val="clear" w:color="auto" w:fill="auto"/>
          </w:tcPr>
          <w:p w14:paraId="20AE0B2A" w14:textId="77777777" w:rsidR="00B626E7" w:rsidRDefault="00B626E7">
            <w:pPr>
              <w:rPr>
                <w:rFonts w:ascii="宋体"/>
              </w:rPr>
            </w:pPr>
          </w:p>
        </w:tc>
        <w:tc>
          <w:tcPr>
            <w:tcW w:w="0" w:type="auto"/>
            <w:shd w:val="clear" w:color="auto" w:fill="auto"/>
          </w:tcPr>
          <w:p w14:paraId="20AE0B2B" w14:textId="77777777" w:rsidR="00B626E7" w:rsidRDefault="00B626E7">
            <w:pPr>
              <w:rPr>
                <w:rFonts w:ascii="宋体"/>
              </w:rPr>
            </w:pPr>
          </w:p>
        </w:tc>
        <w:tc>
          <w:tcPr>
            <w:tcW w:w="0" w:type="auto"/>
            <w:shd w:val="clear" w:color="auto" w:fill="auto"/>
          </w:tcPr>
          <w:p w14:paraId="20AE0B2C" w14:textId="77777777" w:rsidR="00B626E7" w:rsidRDefault="00B626E7">
            <w:pPr>
              <w:rPr>
                <w:rFonts w:ascii="宋体"/>
              </w:rPr>
            </w:pPr>
          </w:p>
        </w:tc>
        <w:tc>
          <w:tcPr>
            <w:tcW w:w="0" w:type="auto"/>
            <w:shd w:val="clear" w:color="auto" w:fill="auto"/>
          </w:tcPr>
          <w:p w14:paraId="20AE0B2D" w14:textId="77777777" w:rsidR="00B626E7" w:rsidRDefault="00B626E7">
            <w:pPr>
              <w:rPr>
                <w:rFonts w:ascii="宋体"/>
              </w:rPr>
            </w:pPr>
          </w:p>
        </w:tc>
        <w:tc>
          <w:tcPr>
            <w:tcW w:w="0" w:type="auto"/>
            <w:shd w:val="clear" w:color="auto" w:fill="auto"/>
          </w:tcPr>
          <w:p w14:paraId="20AE0B2E" w14:textId="77777777" w:rsidR="00B626E7" w:rsidRDefault="00B626E7">
            <w:pPr>
              <w:rPr>
                <w:rFonts w:ascii="宋体"/>
              </w:rPr>
            </w:pPr>
          </w:p>
        </w:tc>
        <w:tc>
          <w:tcPr>
            <w:tcW w:w="0" w:type="auto"/>
            <w:shd w:val="clear" w:color="auto" w:fill="auto"/>
          </w:tcPr>
          <w:p w14:paraId="20AE0B2F" w14:textId="77777777" w:rsidR="00B626E7" w:rsidRDefault="00B626E7">
            <w:pPr>
              <w:rPr>
                <w:rFonts w:ascii="宋体"/>
              </w:rPr>
            </w:pPr>
          </w:p>
        </w:tc>
        <w:tc>
          <w:tcPr>
            <w:tcW w:w="0" w:type="auto"/>
            <w:shd w:val="clear" w:color="auto" w:fill="auto"/>
          </w:tcPr>
          <w:p w14:paraId="20AE0B30" w14:textId="77777777" w:rsidR="00B626E7" w:rsidRDefault="00B626E7">
            <w:pPr>
              <w:rPr>
                <w:rFonts w:ascii="宋体"/>
              </w:rPr>
            </w:pPr>
          </w:p>
        </w:tc>
        <w:tc>
          <w:tcPr>
            <w:tcW w:w="0" w:type="auto"/>
            <w:shd w:val="clear" w:color="auto" w:fill="auto"/>
          </w:tcPr>
          <w:p w14:paraId="20AE0B31" w14:textId="77777777" w:rsidR="00B626E7" w:rsidRDefault="00B626E7">
            <w:pPr>
              <w:rPr>
                <w:rFonts w:ascii="宋体"/>
              </w:rPr>
            </w:pPr>
          </w:p>
        </w:tc>
        <w:tc>
          <w:tcPr>
            <w:tcW w:w="0" w:type="auto"/>
            <w:shd w:val="clear" w:color="auto" w:fill="auto"/>
          </w:tcPr>
          <w:p w14:paraId="20AE0B32" w14:textId="77777777" w:rsidR="00B626E7" w:rsidRDefault="00B626E7">
            <w:pPr>
              <w:rPr>
                <w:rFonts w:ascii="宋体"/>
              </w:rPr>
            </w:pPr>
          </w:p>
        </w:tc>
        <w:tc>
          <w:tcPr>
            <w:tcW w:w="0" w:type="auto"/>
            <w:shd w:val="clear" w:color="auto" w:fill="auto"/>
          </w:tcPr>
          <w:p w14:paraId="20AE0B33" w14:textId="77777777" w:rsidR="00B626E7" w:rsidRDefault="00B626E7">
            <w:pPr>
              <w:rPr>
                <w:rFonts w:ascii="宋体"/>
              </w:rPr>
            </w:pPr>
          </w:p>
        </w:tc>
        <w:tc>
          <w:tcPr>
            <w:tcW w:w="0" w:type="auto"/>
            <w:shd w:val="clear" w:color="auto" w:fill="auto"/>
          </w:tcPr>
          <w:p w14:paraId="20AE0B34" w14:textId="77777777" w:rsidR="00B626E7" w:rsidRDefault="00B626E7">
            <w:pPr>
              <w:rPr>
                <w:rFonts w:ascii="宋体"/>
              </w:rPr>
            </w:pPr>
          </w:p>
        </w:tc>
      </w:tr>
      <w:tr w:rsidR="00B626E7" w14:paraId="20AE0B4F" w14:textId="77777777">
        <w:tc>
          <w:tcPr>
            <w:tcW w:w="0" w:type="auto"/>
            <w:gridSpan w:val="3"/>
            <w:shd w:val="clear" w:color="auto" w:fill="auto"/>
            <w:tcMar>
              <w:top w:w="40" w:type="dxa"/>
              <w:left w:w="120" w:type="dxa"/>
              <w:bottom w:w="40" w:type="dxa"/>
              <w:right w:w="20" w:type="dxa"/>
            </w:tcMar>
            <w:vAlign w:val="bottom"/>
          </w:tcPr>
          <w:p w14:paraId="20AE0B36" w14:textId="77777777" w:rsidR="00B626E7" w:rsidRDefault="00175C1D">
            <w:pPr>
              <w:textAlignment w:val="bottom"/>
            </w:pPr>
            <w:r>
              <w:rPr>
                <w:rFonts w:ascii="Arial" w:eastAsia="宋体" w:hAnsi="Arial" w:cs="Arial"/>
                <w:b/>
                <w:bCs/>
                <w:color w:val="333333"/>
                <w:sz w:val="18"/>
                <w:szCs w:val="18"/>
              </w:rPr>
              <w:t>Programmable Solutions Group</w:t>
            </w:r>
          </w:p>
        </w:tc>
        <w:tc>
          <w:tcPr>
            <w:tcW w:w="0" w:type="auto"/>
            <w:gridSpan w:val="3"/>
            <w:shd w:val="clear" w:color="auto" w:fill="auto"/>
            <w:tcMar>
              <w:left w:w="20" w:type="dxa"/>
              <w:right w:w="20" w:type="dxa"/>
            </w:tcMar>
            <w:vAlign w:val="bottom"/>
          </w:tcPr>
          <w:p w14:paraId="20AE0B37"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B38" w14:textId="77777777" w:rsidR="00B626E7" w:rsidRDefault="00175C1D">
            <w:pPr>
              <w:jc w:val="right"/>
              <w:textAlignment w:val="bottom"/>
            </w:pPr>
            <w:r>
              <w:rPr>
                <w:rFonts w:ascii="Arial" w:eastAsia="宋体" w:hAnsi="Arial" w:cs="Arial"/>
                <w:b/>
                <w:bCs/>
                <w:color w:val="026DCE"/>
                <w:sz w:val="18"/>
                <w:szCs w:val="18"/>
              </w:rPr>
              <w:t>80 </w:t>
            </w:r>
          </w:p>
        </w:tc>
        <w:tc>
          <w:tcPr>
            <w:tcW w:w="0" w:type="auto"/>
            <w:shd w:val="clear" w:color="auto" w:fill="auto"/>
            <w:tcMar>
              <w:top w:w="40" w:type="dxa"/>
              <w:bottom w:w="40" w:type="dxa"/>
              <w:right w:w="20" w:type="dxa"/>
            </w:tcMar>
            <w:vAlign w:val="bottom"/>
          </w:tcPr>
          <w:p w14:paraId="20AE0B39"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0B3A"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B3B" w14:textId="77777777" w:rsidR="00B626E7" w:rsidRDefault="00175C1D">
            <w:pPr>
              <w:jc w:val="right"/>
              <w:textAlignment w:val="bottom"/>
            </w:pPr>
            <w:r>
              <w:rPr>
                <w:rFonts w:ascii="Arial" w:eastAsia="宋体" w:hAnsi="Arial" w:cs="Arial"/>
                <w:b/>
                <w:bCs/>
                <w:color w:val="333333"/>
                <w:sz w:val="18"/>
                <w:szCs w:val="18"/>
              </w:rPr>
              <w:t>52 </w:t>
            </w:r>
          </w:p>
        </w:tc>
        <w:tc>
          <w:tcPr>
            <w:tcW w:w="0" w:type="auto"/>
            <w:shd w:val="clear" w:color="auto" w:fill="auto"/>
            <w:tcMar>
              <w:top w:w="40" w:type="dxa"/>
              <w:bottom w:w="40" w:type="dxa"/>
              <w:right w:w="20" w:type="dxa"/>
            </w:tcMar>
            <w:vAlign w:val="bottom"/>
          </w:tcPr>
          <w:p w14:paraId="20AE0B3C"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0B3D"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B3E" w14:textId="77777777" w:rsidR="00B626E7" w:rsidRDefault="00175C1D">
            <w:pPr>
              <w:jc w:val="right"/>
              <w:textAlignment w:val="bottom"/>
            </w:pPr>
            <w:r>
              <w:rPr>
                <w:rFonts w:ascii="Arial" w:eastAsia="宋体" w:hAnsi="Arial" w:cs="Arial"/>
                <w:b/>
                <w:bCs/>
                <w:color w:val="0071C5"/>
                <w:sz w:val="18"/>
                <w:szCs w:val="18"/>
              </w:rPr>
              <w:t>177 </w:t>
            </w:r>
          </w:p>
        </w:tc>
        <w:tc>
          <w:tcPr>
            <w:tcW w:w="0" w:type="auto"/>
            <w:shd w:val="clear" w:color="auto" w:fill="auto"/>
            <w:tcMar>
              <w:top w:w="40" w:type="dxa"/>
              <w:bottom w:w="40" w:type="dxa"/>
              <w:right w:w="20" w:type="dxa"/>
            </w:tcMar>
            <w:vAlign w:val="bottom"/>
          </w:tcPr>
          <w:p w14:paraId="20AE0B3F"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0B40"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B41" w14:textId="77777777" w:rsidR="00B626E7" w:rsidRDefault="00175C1D">
            <w:pPr>
              <w:jc w:val="right"/>
              <w:textAlignment w:val="bottom"/>
            </w:pPr>
            <w:r>
              <w:rPr>
                <w:rFonts w:ascii="Arial" w:eastAsia="宋体" w:hAnsi="Arial" w:cs="Arial"/>
                <w:b/>
                <w:bCs/>
                <w:color w:val="333333"/>
                <w:sz w:val="18"/>
                <w:szCs w:val="18"/>
              </w:rPr>
              <w:t>141 </w:t>
            </w:r>
          </w:p>
        </w:tc>
        <w:tc>
          <w:tcPr>
            <w:tcW w:w="0" w:type="auto"/>
            <w:shd w:val="clear" w:color="auto" w:fill="auto"/>
            <w:tcMar>
              <w:top w:w="40" w:type="dxa"/>
              <w:bottom w:w="40" w:type="dxa"/>
              <w:right w:w="20" w:type="dxa"/>
            </w:tcMar>
            <w:vAlign w:val="bottom"/>
          </w:tcPr>
          <w:p w14:paraId="20AE0B42"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E0B43" w14:textId="77777777" w:rsidR="00B626E7" w:rsidRDefault="00B626E7">
            <w:pPr>
              <w:rPr>
                <w:rFonts w:ascii="宋体"/>
              </w:rPr>
            </w:pPr>
          </w:p>
        </w:tc>
        <w:tc>
          <w:tcPr>
            <w:tcW w:w="0" w:type="auto"/>
            <w:shd w:val="clear" w:color="auto" w:fill="auto"/>
          </w:tcPr>
          <w:p w14:paraId="20AE0B44" w14:textId="77777777" w:rsidR="00B626E7" w:rsidRDefault="00B626E7">
            <w:pPr>
              <w:rPr>
                <w:rFonts w:ascii="宋体"/>
              </w:rPr>
            </w:pPr>
          </w:p>
        </w:tc>
        <w:tc>
          <w:tcPr>
            <w:tcW w:w="0" w:type="auto"/>
            <w:shd w:val="clear" w:color="auto" w:fill="auto"/>
          </w:tcPr>
          <w:p w14:paraId="20AE0B45" w14:textId="77777777" w:rsidR="00B626E7" w:rsidRDefault="00B626E7">
            <w:pPr>
              <w:rPr>
                <w:rFonts w:ascii="宋体"/>
              </w:rPr>
            </w:pPr>
          </w:p>
        </w:tc>
        <w:tc>
          <w:tcPr>
            <w:tcW w:w="0" w:type="auto"/>
            <w:shd w:val="clear" w:color="auto" w:fill="auto"/>
          </w:tcPr>
          <w:p w14:paraId="20AE0B46" w14:textId="77777777" w:rsidR="00B626E7" w:rsidRDefault="00B626E7">
            <w:pPr>
              <w:rPr>
                <w:rFonts w:ascii="宋体"/>
              </w:rPr>
            </w:pPr>
          </w:p>
        </w:tc>
        <w:tc>
          <w:tcPr>
            <w:tcW w:w="0" w:type="auto"/>
            <w:shd w:val="clear" w:color="auto" w:fill="auto"/>
          </w:tcPr>
          <w:p w14:paraId="20AE0B47" w14:textId="77777777" w:rsidR="00B626E7" w:rsidRDefault="00B626E7">
            <w:pPr>
              <w:rPr>
                <w:rFonts w:ascii="宋体"/>
              </w:rPr>
            </w:pPr>
          </w:p>
        </w:tc>
        <w:tc>
          <w:tcPr>
            <w:tcW w:w="0" w:type="auto"/>
            <w:shd w:val="clear" w:color="auto" w:fill="auto"/>
          </w:tcPr>
          <w:p w14:paraId="20AE0B48" w14:textId="77777777" w:rsidR="00B626E7" w:rsidRDefault="00B626E7">
            <w:pPr>
              <w:rPr>
                <w:rFonts w:ascii="宋体"/>
              </w:rPr>
            </w:pPr>
          </w:p>
        </w:tc>
        <w:tc>
          <w:tcPr>
            <w:tcW w:w="0" w:type="auto"/>
            <w:shd w:val="clear" w:color="auto" w:fill="auto"/>
          </w:tcPr>
          <w:p w14:paraId="20AE0B49" w14:textId="77777777" w:rsidR="00B626E7" w:rsidRDefault="00B626E7">
            <w:pPr>
              <w:rPr>
                <w:rFonts w:ascii="宋体"/>
              </w:rPr>
            </w:pPr>
          </w:p>
        </w:tc>
        <w:tc>
          <w:tcPr>
            <w:tcW w:w="0" w:type="auto"/>
            <w:shd w:val="clear" w:color="auto" w:fill="auto"/>
          </w:tcPr>
          <w:p w14:paraId="20AE0B4A" w14:textId="77777777" w:rsidR="00B626E7" w:rsidRDefault="00B626E7">
            <w:pPr>
              <w:rPr>
                <w:rFonts w:ascii="宋体"/>
              </w:rPr>
            </w:pPr>
          </w:p>
        </w:tc>
        <w:tc>
          <w:tcPr>
            <w:tcW w:w="0" w:type="auto"/>
            <w:shd w:val="clear" w:color="auto" w:fill="auto"/>
          </w:tcPr>
          <w:p w14:paraId="20AE0B4B" w14:textId="77777777" w:rsidR="00B626E7" w:rsidRDefault="00B626E7">
            <w:pPr>
              <w:rPr>
                <w:rFonts w:ascii="宋体"/>
              </w:rPr>
            </w:pPr>
          </w:p>
        </w:tc>
        <w:tc>
          <w:tcPr>
            <w:tcW w:w="0" w:type="auto"/>
            <w:shd w:val="clear" w:color="auto" w:fill="auto"/>
          </w:tcPr>
          <w:p w14:paraId="20AE0B4C" w14:textId="77777777" w:rsidR="00B626E7" w:rsidRDefault="00B626E7">
            <w:pPr>
              <w:rPr>
                <w:rFonts w:ascii="宋体"/>
              </w:rPr>
            </w:pPr>
          </w:p>
        </w:tc>
        <w:tc>
          <w:tcPr>
            <w:tcW w:w="0" w:type="auto"/>
            <w:shd w:val="clear" w:color="auto" w:fill="auto"/>
          </w:tcPr>
          <w:p w14:paraId="20AE0B4D" w14:textId="77777777" w:rsidR="00B626E7" w:rsidRDefault="00B626E7">
            <w:pPr>
              <w:rPr>
                <w:rFonts w:ascii="宋体"/>
              </w:rPr>
            </w:pPr>
          </w:p>
        </w:tc>
        <w:tc>
          <w:tcPr>
            <w:tcW w:w="0" w:type="auto"/>
            <w:shd w:val="clear" w:color="auto" w:fill="auto"/>
          </w:tcPr>
          <w:p w14:paraId="20AE0B4E" w14:textId="77777777" w:rsidR="00B626E7" w:rsidRDefault="00B626E7">
            <w:pPr>
              <w:rPr>
                <w:rFonts w:ascii="宋体"/>
              </w:rPr>
            </w:pPr>
          </w:p>
        </w:tc>
      </w:tr>
      <w:tr w:rsidR="00B626E7" w14:paraId="20AE0B69" w14:textId="77777777">
        <w:tc>
          <w:tcPr>
            <w:tcW w:w="0" w:type="auto"/>
            <w:gridSpan w:val="3"/>
            <w:shd w:val="clear" w:color="auto" w:fill="auto"/>
            <w:tcMar>
              <w:top w:w="40" w:type="dxa"/>
              <w:left w:w="120" w:type="dxa"/>
              <w:bottom w:w="40" w:type="dxa"/>
              <w:right w:w="20" w:type="dxa"/>
            </w:tcMar>
            <w:vAlign w:val="bottom"/>
          </w:tcPr>
          <w:p w14:paraId="20AE0B50" w14:textId="77777777" w:rsidR="00B626E7" w:rsidRDefault="00175C1D">
            <w:pPr>
              <w:textAlignment w:val="bottom"/>
            </w:pPr>
            <w:r>
              <w:rPr>
                <w:rFonts w:ascii="Arial" w:eastAsia="宋体" w:hAnsi="Arial" w:cs="Arial"/>
                <w:b/>
                <w:bCs/>
                <w:color w:val="333333"/>
                <w:sz w:val="18"/>
                <w:szCs w:val="18"/>
              </w:rPr>
              <w:t>Client Computing Group</w:t>
            </w:r>
          </w:p>
        </w:tc>
        <w:tc>
          <w:tcPr>
            <w:tcW w:w="0" w:type="auto"/>
            <w:gridSpan w:val="3"/>
            <w:shd w:val="clear" w:color="auto" w:fill="auto"/>
            <w:tcMar>
              <w:left w:w="20" w:type="dxa"/>
              <w:right w:w="20" w:type="dxa"/>
            </w:tcMar>
            <w:vAlign w:val="bottom"/>
          </w:tcPr>
          <w:p w14:paraId="20AE0B51"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B52" w14:textId="77777777" w:rsidR="00B626E7" w:rsidRDefault="00175C1D">
            <w:pPr>
              <w:jc w:val="right"/>
              <w:textAlignment w:val="bottom"/>
            </w:pPr>
            <w:r>
              <w:rPr>
                <w:rFonts w:ascii="Arial" w:eastAsia="宋体" w:hAnsi="Arial" w:cs="Arial"/>
                <w:b/>
                <w:bCs/>
                <w:color w:val="026DCE"/>
                <w:sz w:val="18"/>
                <w:szCs w:val="18"/>
              </w:rPr>
              <w:t>2,842 </w:t>
            </w:r>
          </w:p>
        </w:tc>
        <w:tc>
          <w:tcPr>
            <w:tcW w:w="0" w:type="auto"/>
            <w:shd w:val="clear" w:color="auto" w:fill="auto"/>
            <w:tcMar>
              <w:top w:w="40" w:type="dxa"/>
              <w:bottom w:w="40" w:type="dxa"/>
              <w:right w:w="20" w:type="dxa"/>
            </w:tcMar>
            <w:vAlign w:val="bottom"/>
          </w:tcPr>
          <w:p w14:paraId="20AE0B53"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0B54"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B55" w14:textId="77777777" w:rsidR="00B626E7" w:rsidRDefault="00175C1D">
            <w:pPr>
              <w:jc w:val="right"/>
              <w:textAlignment w:val="bottom"/>
            </w:pPr>
            <w:r>
              <w:rPr>
                <w:rFonts w:ascii="Arial" w:eastAsia="宋体" w:hAnsi="Arial" w:cs="Arial"/>
                <w:b/>
                <w:bCs/>
                <w:color w:val="333333"/>
                <w:sz w:val="18"/>
                <w:szCs w:val="18"/>
              </w:rPr>
              <w:t>3,737 </w:t>
            </w:r>
          </w:p>
        </w:tc>
        <w:tc>
          <w:tcPr>
            <w:tcW w:w="0" w:type="auto"/>
            <w:shd w:val="clear" w:color="auto" w:fill="auto"/>
            <w:tcMar>
              <w:top w:w="40" w:type="dxa"/>
              <w:bottom w:w="40" w:type="dxa"/>
              <w:right w:w="20" w:type="dxa"/>
            </w:tcMar>
            <w:vAlign w:val="bottom"/>
          </w:tcPr>
          <w:p w14:paraId="20AE0B56"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0B57"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B58" w14:textId="77777777" w:rsidR="00B626E7" w:rsidRDefault="00175C1D">
            <w:pPr>
              <w:jc w:val="right"/>
              <w:textAlignment w:val="bottom"/>
            </w:pPr>
            <w:r>
              <w:rPr>
                <w:rFonts w:ascii="Arial" w:eastAsia="宋体" w:hAnsi="Arial" w:cs="Arial"/>
                <w:b/>
                <w:bCs/>
                <w:color w:val="0071C5"/>
                <w:sz w:val="18"/>
                <w:szCs w:val="18"/>
              </w:rPr>
              <w:t>7,067 </w:t>
            </w:r>
          </w:p>
        </w:tc>
        <w:tc>
          <w:tcPr>
            <w:tcW w:w="0" w:type="auto"/>
            <w:shd w:val="clear" w:color="auto" w:fill="auto"/>
            <w:tcMar>
              <w:top w:w="40" w:type="dxa"/>
              <w:bottom w:w="40" w:type="dxa"/>
              <w:right w:w="20" w:type="dxa"/>
            </w:tcMar>
            <w:vAlign w:val="bottom"/>
          </w:tcPr>
          <w:p w14:paraId="20AE0B59"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0B5A"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B5B" w14:textId="77777777" w:rsidR="00B626E7" w:rsidRDefault="00175C1D">
            <w:pPr>
              <w:jc w:val="right"/>
              <w:textAlignment w:val="bottom"/>
            </w:pPr>
            <w:r>
              <w:rPr>
                <w:rFonts w:ascii="Arial" w:eastAsia="宋体" w:hAnsi="Arial" w:cs="Arial"/>
                <w:b/>
                <w:bCs/>
                <w:color w:val="333333"/>
                <w:sz w:val="18"/>
                <w:szCs w:val="18"/>
              </w:rPr>
              <w:t>6,809 </w:t>
            </w:r>
          </w:p>
        </w:tc>
        <w:tc>
          <w:tcPr>
            <w:tcW w:w="0" w:type="auto"/>
            <w:shd w:val="clear" w:color="auto" w:fill="auto"/>
            <w:tcMar>
              <w:top w:w="40" w:type="dxa"/>
              <w:bottom w:w="40" w:type="dxa"/>
              <w:right w:w="20" w:type="dxa"/>
            </w:tcMar>
            <w:vAlign w:val="bottom"/>
          </w:tcPr>
          <w:p w14:paraId="20AE0B5C"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E0B5D" w14:textId="77777777" w:rsidR="00B626E7" w:rsidRDefault="00B626E7">
            <w:pPr>
              <w:rPr>
                <w:rFonts w:ascii="宋体"/>
              </w:rPr>
            </w:pPr>
          </w:p>
        </w:tc>
        <w:tc>
          <w:tcPr>
            <w:tcW w:w="0" w:type="auto"/>
            <w:shd w:val="clear" w:color="auto" w:fill="auto"/>
          </w:tcPr>
          <w:p w14:paraId="20AE0B5E" w14:textId="77777777" w:rsidR="00B626E7" w:rsidRDefault="00B626E7">
            <w:pPr>
              <w:rPr>
                <w:rFonts w:ascii="宋体"/>
              </w:rPr>
            </w:pPr>
          </w:p>
        </w:tc>
        <w:tc>
          <w:tcPr>
            <w:tcW w:w="0" w:type="auto"/>
            <w:shd w:val="clear" w:color="auto" w:fill="auto"/>
          </w:tcPr>
          <w:p w14:paraId="20AE0B5F" w14:textId="77777777" w:rsidR="00B626E7" w:rsidRDefault="00B626E7">
            <w:pPr>
              <w:rPr>
                <w:rFonts w:ascii="宋体"/>
              </w:rPr>
            </w:pPr>
          </w:p>
        </w:tc>
        <w:tc>
          <w:tcPr>
            <w:tcW w:w="0" w:type="auto"/>
            <w:shd w:val="clear" w:color="auto" w:fill="auto"/>
          </w:tcPr>
          <w:p w14:paraId="20AE0B60" w14:textId="77777777" w:rsidR="00B626E7" w:rsidRDefault="00B626E7">
            <w:pPr>
              <w:rPr>
                <w:rFonts w:ascii="宋体"/>
              </w:rPr>
            </w:pPr>
          </w:p>
        </w:tc>
        <w:tc>
          <w:tcPr>
            <w:tcW w:w="0" w:type="auto"/>
            <w:shd w:val="clear" w:color="auto" w:fill="auto"/>
          </w:tcPr>
          <w:p w14:paraId="20AE0B61" w14:textId="77777777" w:rsidR="00B626E7" w:rsidRDefault="00B626E7">
            <w:pPr>
              <w:rPr>
                <w:rFonts w:ascii="宋体"/>
              </w:rPr>
            </w:pPr>
          </w:p>
        </w:tc>
        <w:tc>
          <w:tcPr>
            <w:tcW w:w="0" w:type="auto"/>
            <w:shd w:val="clear" w:color="auto" w:fill="auto"/>
          </w:tcPr>
          <w:p w14:paraId="20AE0B62" w14:textId="77777777" w:rsidR="00B626E7" w:rsidRDefault="00B626E7">
            <w:pPr>
              <w:rPr>
                <w:rFonts w:ascii="宋体"/>
              </w:rPr>
            </w:pPr>
          </w:p>
        </w:tc>
        <w:tc>
          <w:tcPr>
            <w:tcW w:w="0" w:type="auto"/>
            <w:shd w:val="clear" w:color="auto" w:fill="auto"/>
          </w:tcPr>
          <w:p w14:paraId="20AE0B63" w14:textId="77777777" w:rsidR="00B626E7" w:rsidRDefault="00B626E7">
            <w:pPr>
              <w:rPr>
                <w:rFonts w:ascii="宋体"/>
              </w:rPr>
            </w:pPr>
          </w:p>
        </w:tc>
        <w:tc>
          <w:tcPr>
            <w:tcW w:w="0" w:type="auto"/>
            <w:shd w:val="clear" w:color="auto" w:fill="auto"/>
          </w:tcPr>
          <w:p w14:paraId="20AE0B64" w14:textId="77777777" w:rsidR="00B626E7" w:rsidRDefault="00B626E7">
            <w:pPr>
              <w:rPr>
                <w:rFonts w:ascii="宋体"/>
              </w:rPr>
            </w:pPr>
          </w:p>
        </w:tc>
        <w:tc>
          <w:tcPr>
            <w:tcW w:w="0" w:type="auto"/>
            <w:shd w:val="clear" w:color="auto" w:fill="auto"/>
          </w:tcPr>
          <w:p w14:paraId="20AE0B65" w14:textId="77777777" w:rsidR="00B626E7" w:rsidRDefault="00B626E7">
            <w:pPr>
              <w:rPr>
                <w:rFonts w:ascii="宋体"/>
              </w:rPr>
            </w:pPr>
          </w:p>
        </w:tc>
        <w:tc>
          <w:tcPr>
            <w:tcW w:w="0" w:type="auto"/>
            <w:shd w:val="clear" w:color="auto" w:fill="auto"/>
          </w:tcPr>
          <w:p w14:paraId="20AE0B66" w14:textId="77777777" w:rsidR="00B626E7" w:rsidRDefault="00B626E7">
            <w:pPr>
              <w:rPr>
                <w:rFonts w:ascii="宋体"/>
              </w:rPr>
            </w:pPr>
          </w:p>
        </w:tc>
        <w:tc>
          <w:tcPr>
            <w:tcW w:w="0" w:type="auto"/>
            <w:shd w:val="clear" w:color="auto" w:fill="auto"/>
          </w:tcPr>
          <w:p w14:paraId="20AE0B67" w14:textId="77777777" w:rsidR="00B626E7" w:rsidRDefault="00B626E7">
            <w:pPr>
              <w:rPr>
                <w:rFonts w:ascii="宋体"/>
              </w:rPr>
            </w:pPr>
          </w:p>
        </w:tc>
        <w:tc>
          <w:tcPr>
            <w:tcW w:w="0" w:type="auto"/>
            <w:shd w:val="clear" w:color="auto" w:fill="auto"/>
          </w:tcPr>
          <w:p w14:paraId="20AE0B68" w14:textId="77777777" w:rsidR="00B626E7" w:rsidRDefault="00B626E7">
            <w:pPr>
              <w:rPr>
                <w:rFonts w:ascii="宋体"/>
              </w:rPr>
            </w:pPr>
          </w:p>
        </w:tc>
      </w:tr>
      <w:tr w:rsidR="00B626E7" w14:paraId="20AE0B83" w14:textId="77777777">
        <w:tc>
          <w:tcPr>
            <w:tcW w:w="0" w:type="auto"/>
            <w:gridSpan w:val="3"/>
            <w:shd w:val="clear" w:color="auto" w:fill="auto"/>
            <w:tcMar>
              <w:top w:w="40" w:type="dxa"/>
              <w:left w:w="120" w:type="dxa"/>
              <w:bottom w:w="40" w:type="dxa"/>
              <w:right w:w="20" w:type="dxa"/>
            </w:tcMar>
            <w:vAlign w:val="bottom"/>
          </w:tcPr>
          <w:p w14:paraId="20AE0B6A" w14:textId="77777777" w:rsidR="00B626E7" w:rsidRDefault="00175C1D">
            <w:pPr>
              <w:textAlignment w:val="bottom"/>
            </w:pPr>
            <w:r>
              <w:rPr>
                <w:rFonts w:ascii="Arial" w:eastAsia="宋体" w:hAnsi="Arial" w:cs="Arial"/>
                <w:b/>
                <w:bCs/>
                <w:color w:val="333333"/>
                <w:sz w:val="18"/>
                <w:szCs w:val="18"/>
              </w:rPr>
              <w:t>All other</w:t>
            </w:r>
          </w:p>
        </w:tc>
        <w:tc>
          <w:tcPr>
            <w:tcW w:w="0" w:type="auto"/>
            <w:gridSpan w:val="3"/>
            <w:shd w:val="clear" w:color="auto" w:fill="auto"/>
            <w:tcMar>
              <w:left w:w="20" w:type="dxa"/>
              <w:right w:w="20" w:type="dxa"/>
            </w:tcMar>
            <w:vAlign w:val="bottom"/>
          </w:tcPr>
          <w:p w14:paraId="20AE0B6B"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B6C" w14:textId="77777777" w:rsidR="00B626E7" w:rsidRDefault="00175C1D">
            <w:pPr>
              <w:jc w:val="right"/>
              <w:textAlignment w:val="bottom"/>
            </w:pPr>
            <w:r>
              <w:rPr>
                <w:rFonts w:ascii="Arial" w:eastAsia="宋体" w:hAnsi="Arial" w:cs="Arial"/>
                <w:b/>
                <w:bCs/>
                <w:color w:val="026DCE"/>
                <w:sz w:val="18"/>
                <w:szCs w:val="18"/>
              </w:rPr>
              <w:t>(712)</w:t>
            </w:r>
          </w:p>
        </w:tc>
        <w:tc>
          <w:tcPr>
            <w:tcW w:w="0" w:type="auto"/>
            <w:shd w:val="clear" w:color="auto" w:fill="auto"/>
            <w:tcMar>
              <w:top w:w="40" w:type="dxa"/>
              <w:bottom w:w="40" w:type="dxa"/>
              <w:right w:w="20" w:type="dxa"/>
            </w:tcMar>
            <w:vAlign w:val="bottom"/>
          </w:tcPr>
          <w:p w14:paraId="20AE0B6D"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0B6E"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B6F" w14:textId="77777777" w:rsidR="00B626E7" w:rsidRDefault="00175C1D">
            <w:pPr>
              <w:jc w:val="right"/>
              <w:textAlignment w:val="bottom"/>
            </w:pPr>
            <w:r>
              <w:rPr>
                <w:rFonts w:ascii="Arial" w:eastAsia="宋体" w:hAnsi="Arial" w:cs="Arial"/>
                <w:b/>
                <w:bCs/>
                <w:color w:val="333333"/>
                <w:sz w:val="18"/>
                <w:szCs w:val="18"/>
              </w:rPr>
              <w:t>(1,035)</w:t>
            </w:r>
          </w:p>
        </w:tc>
        <w:tc>
          <w:tcPr>
            <w:tcW w:w="0" w:type="auto"/>
            <w:shd w:val="clear" w:color="auto" w:fill="auto"/>
            <w:tcMar>
              <w:top w:w="40" w:type="dxa"/>
              <w:bottom w:w="40" w:type="dxa"/>
              <w:right w:w="20" w:type="dxa"/>
            </w:tcMar>
            <w:vAlign w:val="bottom"/>
          </w:tcPr>
          <w:p w14:paraId="20AE0B70"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0B71"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B72" w14:textId="77777777" w:rsidR="00B626E7" w:rsidRDefault="00175C1D">
            <w:pPr>
              <w:jc w:val="right"/>
              <w:textAlignment w:val="bottom"/>
            </w:pPr>
            <w:r>
              <w:rPr>
                <w:rFonts w:ascii="Arial" w:eastAsia="宋体" w:hAnsi="Arial" w:cs="Arial"/>
                <w:b/>
                <w:bCs/>
                <w:color w:val="0071C5"/>
                <w:sz w:val="18"/>
                <w:szCs w:val="18"/>
              </w:rPr>
              <w:t>(1,753)</w:t>
            </w:r>
          </w:p>
        </w:tc>
        <w:tc>
          <w:tcPr>
            <w:tcW w:w="0" w:type="auto"/>
            <w:shd w:val="clear" w:color="auto" w:fill="auto"/>
            <w:tcMar>
              <w:top w:w="40" w:type="dxa"/>
              <w:bottom w:w="40" w:type="dxa"/>
              <w:right w:w="20" w:type="dxa"/>
            </w:tcMar>
            <w:vAlign w:val="bottom"/>
          </w:tcPr>
          <w:p w14:paraId="20AE0B73"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0B74"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B75" w14:textId="77777777" w:rsidR="00B626E7" w:rsidRDefault="00175C1D">
            <w:pPr>
              <w:jc w:val="right"/>
              <w:textAlignment w:val="bottom"/>
            </w:pPr>
            <w:r>
              <w:rPr>
                <w:rFonts w:ascii="Arial" w:eastAsia="宋体" w:hAnsi="Arial" w:cs="Arial"/>
                <w:b/>
                <w:bCs/>
                <w:color w:val="333333"/>
                <w:sz w:val="18"/>
                <w:szCs w:val="18"/>
              </w:rPr>
              <w:t>(1,885)</w:t>
            </w:r>
          </w:p>
        </w:tc>
        <w:tc>
          <w:tcPr>
            <w:tcW w:w="0" w:type="auto"/>
            <w:shd w:val="clear" w:color="auto" w:fill="auto"/>
            <w:tcMar>
              <w:top w:w="40" w:type="dxa"/>
              <w:bottom w:w="40" w:type="dxa"/>
              <w:right w:w="20" w:type="dxa"/>
            </w:tcMar>
            <w:vAlign w:val="bottom"/>
          </w:tcPr>
          <w:p w14:paraId="20AE0B76"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E0B77" w14:textId="77777777" w:rsidR="00B626E7" w:rsidRDefault="00B626E7">
            <w:pPr>
              <w:rPr>
                <w:rFonts w:ascii="宋体"/>
              </w:rPr>
            </w:pPr>
          </w:p>
        </w:tc>
        <w:tc>
          <w:tcPr>
            <w:tcW w:w="0" w:type="auto"/>
            <w:shd w:val="clear" w:color="auto" w:fill="auto"/>
          </w:tcPr>
          <w:p w14:paraId="20AE0B78" w14:textId="77777777" w:rsidR="00B626E7" w:rsidRDefault="00B626E7">
            <w:pPr>
              <w:rPr>
                <w:rFonts w:ascii="宋体"/>
              </w:rPr>
            </w:pPr>
          </w:p>
        </w:tc>
        <w:tc>
          <w:tcPr>
            <w:tcW w:w="0" w:type="auto"/>
            <w:shd w:val="clear" w:color="auto" w:fill="auto"/>
          </w:tcPr>
          <w:p w14:paraId="20AE0B79" w14:textId="77777777" w:rsidR="00B626E7" w:rsidRDefault="00B626E7">
            <w:pPr>
              <w:rPr>
                <w:rFonts w:ascii="宋体"/>
              </w:rPr>
            </w:pPr>
          </w:p>
        </w:tc>
        <w:tc>
          <w:tcPr>
            <w:tcW w:w="0" w:type="auto"/>
            <w:shd w:val="clear" w:color="auto" w:fill="auto"/>
          </w:tcPr>
          <w:p w14:paraId="20AE0B7A" w14:textId="77777777" w:rsidR="00B626E7" w:rsidRDefault="00B626E7">
            <w:pPr>
              <w:rPr>
                <w:rFonts w:ascii="宋体"/>
              </w:rPr>
            </w:pPr>
          </w:p>
        </w:tc>
        <w:tc>
          <w:tcPr>
            <w:tcW w:w="0" w:type="auto"/>
            <w:shd w:val="clear" w:color="auto" w:fill="auto"/>
          </w:tcPr>
          <w:p w14:paraId="20AE0B7B" w14:textId="77777777" w:rsidR="00B626E7" w:rsidRDefault="00B626E7">
            <w:pPr>
              <w:rPr>
                <w:rFonts w:ascii="宋体"/>
              </w:rPr>
            </w:pPr>
          </w:p>
        </w:tc>
        <w:tc>
          <w:tcPr>
            <w:tcW w:w="0" w:type="auto"/>
            <w:shd w:val="clear" w:color="auto" w:fill="auto"/>
          </w:tcPr>
          <w:p w14:paraId="20AE0B7C" w14:textId="77777777" w:rsidR="00B626E7" w:rsidRDefault="00B626E7">
            <w:pPr>
              <w:rPr>
                <w:rFonts w:ascii="宋体"/>
              </w:rPr>
            </w:pPr>
          </w:p>
        </w:tc>
        <w:tc>
          <w:tcPr>
            <w:tcW w:w="0" w:type="auto"/>
            <w:shd w:val="clear" w:color="auto" w:fill="auto"/>
          </w:tcPr>
          <w:p w14:paraId="20AE0B7D" w14:textId="77777777" w:rsidR="00B626E7" w:rsidRDefault="00B626E7">
            <w:pPr>
              <w:rPr>
                <w:rFonts w:ascii="宋体"/>
              </w:rPr>
            </w:pPr>
          </w:p>
        </w:tc>
        <w:tc>
          <w:tcPr>
            <w:tcW w:w="0" w:type="auto"/>
            <w:shd w:val="clear" w:color="auto" w:fill="auto"/>
          </w:tcPr>
          <w:p w14:paraId="20AE0B7E" w14:textId="77777777" w:rsidR="00B626E7" w:rsidRDefault="00B626E7">
            <w:pPr>
              <w:rPr>
                <w:rFonts w:ascii="宋体"/>
              </w:rPr>
            </w:pPr>
          </w:p>
        </w:tc>
        <w:tc>
          <w:tcPr>
            <w:tcW w:w="0" w:type="auto"/>
            <w:shd w:val="clear" w:color="auto" w:fill="auto"/>
          </w:tcPr>
          <w:p w14:paraId="20AE0B7F" w14:textId="77777777" w:rsidR="00B626E7" w:rsidRDefault="00B626E7">
            <w:pPr>
              <w:rPr>
                <w:rFonts w:ascii="宋体"/>
              </w:rPr>
            </w:pPr>
          </w:p>
        </w:tc>
        <w:tc>
          <w:tcPr>
            <w:tcW w:w="0" w:type="auto"/>
            <w:shd w:val="clear" w:color="auto" w:fill="auto"/>
          </w:tcPr>
          <w:p w14:paraId="20AE0B80" w14:textId="77777777" w:rsidR="00B626E7" w:rsidRDefault="00B626E7">
            <w:pPr>
              <w:rPr>
                <w:rFonts w:ascii="宋体"/>
              </w:rPr>
            </w:pPr>
          </w:p>
        </w:tc>
        <w:tc>
          <w:tcPr>
            <w:tcW w:w="0" w:type="auto"/>
            <w:shd w:val="clear" w:color="auto" w:fill="auto"/>
          </w:tcPr>
          <w:p w14:paraId="20AE0B81" w14:textId="77777777" w:rsidR="00B626E7" w:rsidRDefault="00B626E7">
            <w:pPr>
              <w:rPr>
                <w:rFonts w:ascii="宋体"/>
              </w:rPr>
            </w:pPr>
          </w:p>
        </w:tc>
        <w:tc>
          <w:tcPr>
            <w:tcW w:w="0" w:type="auto"/>
            <w:shd w:val="clear" w:color="auto" w:fill="auto"/>
          </w:tcPr>
          <w:p w14:paraId="20AE0B82" w14:textId="77777777" w:rsidR="00B626E7" w:rsidRDefault="00B626E7">
            <w:pPr>
              <w:rPr>
                <w:rFonts w:ascii="宋体"/>
              </w:rPr>
            </w:pPr>
          </w:p>
        </w:tc>
      </w:tr>
      <w:tr w:rsidR="00B626E7" w14:paraId="20AE0BA1" w14:textId="77777777">
        <w:tc>
          <w:tcPr>
            <w:tcW w:w="0" w:type="auto"/>
            <w:gridSpan w:val="3"/>
            <w:shd w:val="clear" w:color="auto" w:fill="auto"/>
            <w:tcMar>
              <w:top w:w="40" w:type="dxa"/>
              <w:left w:w="20" w:type="dxa"/>
              <w:bottom w:w="40" w:type="dxa"/>
              <w:right w:w="20" w:type="dxa"/>
            </w:tcMar>
            <w:vAlign w:val="bottom"/>
          </w:tcPr>
          <w:p w14:paraId="20AE0B84" w14:textId="77777777" w:rsidR="00B626E7" w:rsidRDefault="00175C1D">
            <w:pPr>
              <w:textAlignment w:val="bottom"/>
            </w:pPr>
            <w:r>
              <w:rPr>
                <w:rFonts w:ascii="Arial" w:eastAsia="宋体" w:hAnsi="Arial" w:cs="Arial"/>
                <w:b/>
                <w:bCs/>
                <w:color w:val="333333"/>
                <w:sz w:val="18"/>
                <w:szCs w:val="18"/>
              </w:rPr>
              <w:t>Total operating income</w:t>
            </w:r>
          </w:p>
        </w:tc>
        <w:tc>
          <w:tcPr>
            <w:tcW w:w="0" w:type="auto"/>
            <w:gridSpan w:val="3"/>
            <w:shd w:val="clear" w:color="auto" w:fill="auto"/>
            <w:tcMar>
              <w:left w:w="20" w:type="dxa"/>
              <w:right w:w="20" w:type="dxa"/>
            </w:tcMar>
            <w:vAlign w:val="bottom"/>
          </w:tcPr>
          <w:p w14:paraId="20AE0B85"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0B86" w14:textId="77777777" w:rsidR="00B626E7" w:rsidRDefault="00175C1D">
            <w:pPr>
              <w:textAlignment w:val="bottom"/>
            </w:pPr>
            <w:r>
              <w:rPr>
                <w:rFonts w:ascii="Arial" w:eastAsia="宋体" w:hAnsi="Arial" w:cs="Arial"/>
                <w:b/>
                <w:bCs/>
                <w:color w:val="026DCE"/>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0B87" w14:textId="77777777" w:rsidR="00B626E7" w:rsidRDefault="00175C1D">
            <w:pPr>
              <w:jc w:val="right"/>
              <w:textAlignment w:val="bottom"/>
            </w:pPr>
            <w:r>
              <w:rPr>
                <w:rFonts w:ascii="Arial" w:eastAsia="宋体" w:hAnsi="Arial" w:cs="Arial"/>
                <w:b/>
                <w:bCs/>
                <w:color w:val="026DCE"/>
                <w:sz w:val="18"/>
                <w:szCs w:val="18"/>
              </w:rPr>
              <w:t>5,697 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0B88"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0B89"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0B8A"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0B8B" w14:textId="77777777" w:rsidR="00B626E7" w:rsidRDefault="00175C1D">
            <w:pPr>
              <w:jc w:val="right"/>
              <w:textAlignment w:val="bottom"/>
            </w:pPr>
            <w:r>
              <w:rPr>
                <w:rFonts w:ascii="Arial" w:eastAsia="宋体" w:hAnsi="Arial" w:cs="Arial"/>
                <w:b/>
                <w:bCs/>
                <w:color w:val="333333"/>
                <w:sz w:val="18"/>
                <w:szCs w:val="18"/>
              </w:rPr>
              <w:t>4,617 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0B8C"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0B8D"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0B8E" w14:textId="77777777" w:rsidR="00B626E7" w:rsidRDefault="00175C1D">
            <w:pPr>
              <w:textAlignment w:val="bottom"/>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0B8F" w14:textId="77777777" w:rsidR="00B626E7" w:rsidRDefault="00175C1D">
            <w:pPr>
              <w:jc w:val="right"/>
              <w:textAlignment w:val="bottom"/>
            </w:pPr>
            <w:r>
              <w:rPr>
                <w:rFonts w:ascii="Arial" w:eastAsia="宋体" w:hAnsi="Arial" w:cs="Arial"/>
                <w:b/>
                <w:bCs/>
                <w:color w:val="0071C5"/>
                <w:sz w:val="18"/>
                <w:szCs w:val="18"/>
              </w:rPr>
              <w:t>12,735 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0B90"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0B91"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0B92"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0B93" w14:textId="77777777" w:rsidR="00B626E7" w:rsidRDefault="00175C1D">
            <w:pPr>
              <w:jc w:val="right"/>
              <w:textAlignment w:val="bottom"/>
            </w:pPr>
            <w:r>
              <w:rPr>
                <w:rFonts w:ascii="Arial" w:eastAsia="宋体" w:hAnsi="Arial" w:cs="Arial"/>
                <w:b/>
                <w:bCs/>
                <w:color w:val="333333"/>
                <w:sz w:val="18"/>
                <w:szCs w:val="18"/>
              </w:rPr>
              <w:t>8,791 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0B94"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E0B95" w14:textId="77777777" w:rsidR="00B626E7" w:rsidRDefault="00B626E7">
            <w:pPr>
              <w:rPr>
                <w:rFonts w:ascii="宋体"/>
              </w:rPr>
            </w:pPr>
          </w:p>
        </w:tc>
        <w:tc>
          <w:tcPr>
            <w:tcW w:w="0" w:type="auto"/>
            <w:shd w:val="clear" w:color="auto" w:fill="auto"/>
          </w:tcPr>
          <w:p w14:paraId="20AE0B96" w14:textId="77777777" w:rsidR="00B626E7" w:rsidRDefault="00B626E7">
            <w:pPr>
              <w:rPr>
                <w:rFonts w:ascii="宋体"/>
              </w:rPr>
            </w:pPr>
          </w:p>
        </w:tc>
        <w:tc>
          <w:tcPr>
            <w:tcW w:w="0" w:type="auto"/>
            <w:shd w:val="clear" w:color="auto" w:fill="auto"/>
          </w:tcPr>
          <w:p w14:paraId="20AE0B97" w14:textId="77777777" w:rsidR="00B626E7" w:rsidRDefault="00B626E7">
            <w:pPr>
              <w:rPr>
                <w:rFonts w:ascii="宋体"/>
              </w:rPr>
            </w:pPr>
          </w:p>
        </w:tc>
        <w:tc>
          <w:tcPr>
            <w:tcW w:w="0" w:type="auto"/>
            <w:shd w:val="clear" w:color="auto" w:fill="auto"/>
          </w:tcPr>
          <w:p w14:paraId="20AE0B98" w14:textId="77777777" w:rsidR="00B626E7" w:rsidRDefault="00B626E7">
            <w:pPr>
              <w:rPr>
                <w:rFonts w:ascii="宋体"/>
              </w:rPr>
            </w:pPr>
          </w:p>
        </w:tc>
        <w:tc>
          <w:tcPr>
            <w:tcW w:w="0" w:type="auto"/>
            <w:shd w:val="clear" w:color="auto" w:fill="auto"/>
          </w:tcPr>
          <w:p w14:paraId="20AE0B99" w14:textId="77777777" w:rsidR="00B626E7" w:rsidRDefault="00B626E7">
            <w:pPr>
              <w:rPr>
                <w:rFonts w:ascii="宋体"/>
              </w:rPr>
            </w:pPr>
          </w:p>
        </w:tc>
        <w:tc>
          <w:tcPr>
            <w:tcW w:w="0" w:type="auto"/>
            <w:shd w:val="clear" w:color="auto" w:fill="auto"/>
          </w:tcPr>
          <w:p w14:paraId="20AE0B9A" w14:textId="77777777" w:rsidR="00B626E7" w:rsidRDefault="00B626E7">
            <w:pPr>
              <w:rPr>
                <w:rFonts w:ascii="宋体"/>
              </w:rPr>
            </w:pPr>
          </w:p>
        </w:tc>
        <w:tc>
          <w:tcPr>
            <w:tcW w:w="0" w:type="auto"/>
            <w:shd w:val="clear" w:color="auto" w:fill="auto"/>
          </w:tcPr>
          <w:p w14:paraId="20AE0B9B" w14:textId="77777777" w:rsidR="00B626E7" w:rsidRDefault="00B626E7">
            <w:pPr>
              <w:rPr>
                <w:rFonts w:ascii="宋体"/>
              </w:rPr>
            </w:pPr>
          </w:p>
        </w:tc>
        <w:tc>
          <w:tcPr>
            <w:tcW w:w="0" w:type="auto"/>
            <w:shd w:val="clear" w:color="auto" w:fill="auto"/>
          </w:tcPr>
          <w:p w14:paraId="20AE0B9C" w14:textId="77777777" w:rsidR="00B626E7" w:rsidRDefault="00B626E7">
            <w:pPr>
              <w:rPr>
                <w:rFonts w:ascii="宋体"/>
              </w:rPr>
            </w:pPr>
          </w:p>
        </w:tc>
        <w:tc>
          <w:tcPr>
            <w:tcW w:w="0" w:type="auto"/>
            <w:shd w:val="clear" w:color="auto" w:fill="auto"/>
          </w:tcPr>
          <w:p w14:paraId="20AE0B9D" w14:textId="77777777" w:rsidR="00B626E7" w:rsidRDefault="00B626E7">
            <w:pPr>
              <w:rPr>
                <w:rFonts w:ascii="宋体"/>
              </w:rPr>
            </w:pPr>
          </w:p>
        </w:tc>
        <w:tc>
          <w:tcPr>
            <w:tcW w:w="0" w:type="auto"/>
            <w:shd w:val="clear" w:color="auto" w:fill="auto"/>
          </w:tcPr>
          <w:p w14:paraId="20AE0B9E" w14:textId="77777777" w:rsidR="00B626E7" w:rsidRDefault="00B626E7">
            <w:pPr>
              <w:rPr>
                <w:rFonts w:ascii="宋体"/>
              </w:rPr>
            </w:pPr>
          </w:p>
        </w:tc>
        <w:tc>
          <w:tcPr>
            <w:tcW w:w="0" w:type="auto"/>
            <w:shd w:val="clear" w:color="auto" w:fill="auto"/>
          </w:tcPr>
          <w:p w14:paraId="20AE0B9F" w14:textId="77777777" w:rsidR="00B626E7" w:rsidRDefault="00B626E7">
            <w:pPr>
              <w:rPr>
                <w:rFonts w:ascii="宋体"/>
              </w:rPr>
            </w:pPr>
          </w:p>
        </w:tc>
        <w:tc>
          <w:tcPr>
            <w:tcW w:w="0" w:type="auto"/>
            <w:shd w:val="clear" w:color="auto" w:fill="auto"/>
          </w:tcPr>
          <w:p w14:paraId="20AE0BA0" w14:textId="77777777" w:rsidR="00B626E7" w:rsidRDefault="00B626E7">
            <w:pPr>
              <w:rPr>
                <w:rFonts w:ascii="宋体"/>
              </w:rPr>
            </w:pPr>
          </w:p>
        </w:tc>
      </w:tr>
    </w:tbl>
    <w:p w14:paraId="20AE0BA2" w14:textId="77777777" w:rsidR="00B626E7" w:rsidRDefault="00B626E7">
      <w:pPr>
        <w:spacing w:after="180"/>
      </w:pPr>
    </w:p>
    <w:p w14:paraId="20AE0BA3" w14:textId="77777777" w:rsidR="00B626E7" w:rsidRDefault="00B626E7">
      <w:pPr>
        <w:spacing w:after="180"/>
      </w:pPr>
    </w:p>
    <w:p w14:paraId="20AE0BA4" w14:textId="77777777" w:rsidR="00B626E7" w:rsidRDefault="00B626E7">
      <w:pPr>
        <w:spacing w:after="180"/>
      </w:pPr>
    </w:p>
    <w:p w14:paraId="20AE0BA5" w14:textId="77777777" w:rsidR="00B626E7" w:rsidRDefault="00B626E7">
      <w:pPr>
        <w:spacing w:after="180"/>
      </w:pPr>
    </w:p>
    <w:p w14:paraId="20AE0BA6" w14:textId="77777777" w:rsidR="00B626E7" w:rsidRDefault="00B626E7">
      <w:pPr>
        <w:spacing w:after="180"/>
      </w:pPr>
    </w:p>
    <w:p w14:paraId="20AE0BA7" w14:textId="77777777" w:rsidR="00B626E7" w:rsidRDefault="00B626E7">
      <w:pPr>
        <w:spacing w:after="180"/>
      </w:pPr>
    </w:p>
    <w:p w14:paraId="20AE0BA8" w14:textId="77777777" w:rsidR="00B626E7" w:rsidRDefault="00B626E7">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4"/>
        <w:gridCol w:w="2423"/>
        <w:gridCol w:w="84"/>
        <w:gridCol w:w="83"/>
        <w:gridCol w:w="3471"/>
        <w:gridCol w:w="83"/>
        <w:gridCol w:w="83"/>
        <w:gridCol w:w="1942"/>
        <w:gridCol w:w="83"/>
      </w:tblGrid>
      <w:tr w:rsidR="00B626E7" w14:paraId="20AE0BB2" w14:textId="77777777">
        <w:tc>
          <w:tcPr>
            <w:tcW w:w="50" w:type="pct"/>
            <w:shd w:val="clear" w:color="auto" w:fill="auto"/>
            <w:vAlign w:val="bottom"/>
          </w:tcPr>
          <w:p w14:paraId="20AE0BA9" w14:textId="77777777" w:rsidR="00B626E7" w:rsidRDefault="00B626E7">
            <w:pPr>
              <w:rPr>
                <w:rFonts w:ascii="宋体"/>
              </w:rPr>
            </w:pPr>
          </w:p>
        </w:tc>
        <w:tc>
          <w:tcPr>
            <w:tcW w:w="1452" w:type="pct"/>
            <w:shd w:val="clear" w:color="auto" w:fill="auto"/>
            <w:vAlign w:val="bottom"/>
          </w:tcPr>
          <w:p w14:paraId="20AE0BAA" w14:textId="77777777" w:rsidR="00B626E7" w:rsidRDefault="00B626E7">
            <w:pPr>
              <w:rPr>
                <w:rFonts w:ascii="宋体"/>
              </w:rPr>
            </w:pPr>
          </w:p>
        </w:tc>
        <w:tc>
          <w:tcPr>
            <w:tcW w:w="50" w:type="pct"/>
            <w:shd w:val="clear" w:color="auto" w:fill="auto"/>
            <w:vAlign w:val="bottom"/>
          </w:tcPr>
          <w:p w14:paraId="20AE0BAB" w14:textId="77777777" w:rsidR="00B626E7" w:rsidRDefault="00B626E7">
            <w:pPr>
              <w:rPr>
                <w:rFonts w:ascii="宋体"/>
              </w:rPr>
            </w:pPr>
          </w:p>
        </w:tc>
        <w:tc>
          <w:tcPr>
            <w:tcW w:w="50" w:type="pct"/>
            <w:shd w:val="clear" w:color="auto" w:fill="auto"/>
            <w:vAlign w:val="bottom"/>
          </w:tcPr>
          <w:p w14:paraId="20AE0BAC" w14:textId="77777777" w:rsidR="00B626E7" w:rsidRDefault="00B626E7">
            <w:pPr>
              <w:rPr>
                <w:rFonts w:ascii="宋体"/>
              </w:rPr>
            </w:pPr>
          </w:p>
        </w:tc>
        <w:tc>
          <w:tcPr>
            <w:tcW w:w="2081" w:type="pct"/>
            <w:shd w:val="clear" w:color="auto" w:fill="auto"/>
            <w:vAlign w:val="bottom"/>
          </w:tcPr>
          <w:p w14:paraId="20AE0BAD" w14:textId="77777777" w:rsidR="00B626E7" w:rsidRDefault="00B626E7">
            <w:pPr>
              <w:rPr>
                <w:rFonts w:ascii="宋体"/>
              </w:rPr>
            </w:pPr>
          </w:p>
        </w:tc>
        <w:tc>
          <w:tcPr>
            <w:tcW w:w="50" w:type="pct"/>
            <w:shd w:val="clear" w:color="auto" w:fill="auto"/>
            <w:vAlign w:val="bottom"/>
          </w:tcPr>
          <w:p w14:paraId="20AE0BAE" w14:textId="77777777" w:rsidR="00B626E7" w:rsidRDefault="00B626E7">
            <w:pPr>
              <w:rPr>
                <w:rFonts w:ascii="宋体"/>
              </w:rPr>
            </w:pPr>
          </w:p>
        </w:tc>
        <w:tc>
          <w:tcPr>
            <w:tcW w:w="50" w:type="pct"/>
            <w:shd w:val="clear" w:color="auto" w:fill="auto"/>
            <w:vAlign w:val="bottom"/>
          </w:tcPr>
          <w:p w14:paraId="20AE0BAF" w14:textId="77777777" w:rsidR="00B626E7" w:rsidRDefault="00B626E7">
            <w:pPr>
              <w:rPr>
                <w:rFonts w:ascii="宋体"/>
              </w:rPr>
            </w:pPr>
          </w:p>
        </w:tc>
        <w:tc>
          <w:tcPr>
            <w:tcW w:w="1165" w:type="pct"/>
            <w:shd w:val="clear" w:color="auto" w:fill="auto"/>
            <w:vAlign w:val="bottom"/>
          </w:tcPr>
          <w:p w14:paraId="20AE0BB0" w14:textId="77777777" w:rsidR="00B626E7" w:rsidRDefault="00B626E7">
            <w:pPr>
              <w:rPr>
                <w:rFonts w:ascii="宋体"/>
              </w:rPr>
            </w:pPr>
          </w:p>
        </w:tc>
        <w:tc>
          <w:tcPr>
            <w:tcW w:w="50" w:type="pct"/>
            <w:shd w:val="clear" w:color="auto" w:fill="auto"/>
            <w:vAlign w:val="bottom"/>
          </w:tcPr>
          <w:p w14:paraId="20AE0BB1" w14:textId="77777777" w:rsidR="00B626E7" w:rsidRDefault="00B626E7">
            <w:pPr>
              <w:rPr>
                <w:rFonts w:ascii="宋体"/>
              </w:rPr>
            </w:pPr>
          </w:p>
        </w:tc>
      </w:tr>
      <w:tr w:rsidR="00B626E7" w14:paraId="20AE0BB6" w14:textId="77777777">
        <w:tc>
          <w:tcPr>
            <w:tcW w:w="0" w:type="auto"/>
            <w:gridSpan w:val="3"/>
            <w:tcBorders>
              <w:top w:val="single" w:sz="8" w:space="0" w:color="0071C5"/>
            </w:tcBorders>
            <w:shd w:val="clear" w:color="auto" w:fill="auto"/>
            <w:tcMar>
              <w:top w:w="40" w:type="dxa"/>
              <w:left w:w="20" w:type="dxa"/>
              <w:bottom w:w="40" w:type="dxa"/>
              <w:right w:w="20" w:type="dxa"/>
            </w:tcMar>
            <w:vAlign w:val="center"/>
          </w:tcPr>
          <w:p w14:paraId="20AE0BB3" w14:textId="77777777" w:rsidR="00B626E7" w:rsidRDefault="00175C1D">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Viewer10_files/intc-20200627_g15.jpg"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38" wp14:editId="20AE3C39">
                  <wp:extent cx="304800" cy="304800"/>
                  <wp:effectExtent l="0" t="0" r="0" b="0"/>
                  <wp:docPr id="3" name="图片 61"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1" descr="IMG_28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Arial" w:eastAsia="宋体" w:hAnsi="Arial" w:cs="Arial"/>
                <w:color w:val="333333"/>
                <w:sz w:val="16"/>
                <w:szCs w:val="16"/>
              </w:rPr>
              <w:t>FINANCIAL STATEMENTS</w:t>
            </w:r>
          </w:p>
        </w:tc>
        <w:tc>
          <w:tcPr>
            <w:tcW w:w="0" w:type="auto"/>
            <w:gridSpan w:val="3"/>
            <w:tcBorders>
              <w:top w:val="single" w:sz="8" w:space="0" w:color="0071C5"/>
              <w:left w:val="single" w:sz="24" w:space="0" w:color="0071C5"/>
            </w:tcBorders>
            <w:shd w:val="clear" w:color="auto" w:fill="auto"/>
            <w:tcMar>
              <w:top w:w="40" w:type="dxa"/>
              <w:left w:w="20" w:type="dxa"/>
              <w:bottom w:w="40" w:type="dxa"/>
              <w:right w:w="20" w:type="dxa"/>
            </w:tcMar>
            <w:vAlign w:val="bottom"/>
          </w:tcPr>
          <w:p w14:paraId="20AE0BB4" w14:textId="77777777" w:rsidR="00B626E7" w:rsidRDefault="00175C1D">
            <w:pPr>
              <w:textAlignment w:val="bottom"/>
            </w:pPr>
            <w:r>
              <w:rPr>
                <w:rFonts w:ascii="Arial" w:eastAsia="宋体" w:hAnsi="Arial" w:cs="Arial"/>
                <w:color w:val="333333"/>
                <w:sz w:val="16"/>
                <w:szCs w:val="16"/>
              </w:rPr>
              <w:t>  Notes to Financial Statements</w:t>
            </w: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0BB5" w14:textId="77777777" w:rsidR="00B626E7" w:rsidRDefault="00175C1D">
            <w:pPr>
              <w:jc w:val="right"/>
              <w:textAlignment w:val="bottom"/>
            </w:pPr>
            <w:r>
              <w:rPr>
                <w:rFonts w:ascii="Arial" w:eastAsia="宋体" w:hAnsi="Arial" w:cs="Arial"/>
                <w:color w:val="333333"/>
                <w:sz w:val="16"/>
                <w:szCs w:val="16"/>
              </w:rPr>
              <w:t>11</w:t>
            </w:r>
          </w:p>
        </w:tc>
      </w:tr>
    </w:tbl>
    <w:p w14:paraId="20AE0BB7" w14:textId="77777777" w:rsidR="00B626E7" w:rsidRDefault="00175C1D">
      <w:r>
        <w:pict w14:anchorId="20AE3C3A">
          <v:rect id="_x0000_i1037" style="width:415.3pt;height:1.5pt" o:hralign="center" o:hrstd="t" o:hr="t" fillcolor="#a0a0a0" stroked="f"/>
        </w:pict>
      </w:r>
    </w:p>
    <w:p w14:paraId="20AE0BB8" w14:textId="77777777" w:rsidR="00B626E7" w:rsidRDefault="00175C1D">
      <w:pPr>
        <w:spacing w:after="180"/>
        <w:jc w:val="right"/>
      </w:pPr>
      <w:hyperlink r:id="rId39" w:anchor="ib035cc8759904e51927d703ec8414366_7" w:history="1">
        <w:r>
          <w:rPr>
            <w:rStyle w:val="a5"/>
            <w:rFonts w:ascii="Arial" w:eastAsia="宋体" w:hAnsi="Arial" w:cs="Arial"/>
            <w:b/>
            <w:bCs/>
            <w:sz w:val="16"/>
            <w:szCs w:val="16"/>
          </w:rPr>
          <w:t>Table of Contents</w:t>
        </w:r>
      </w:hyperlink>
    </w:p>
    <w:p w14:paraId="20AE0BB9" w14:textId="77777777" w:rsidR="00B626E7" w:rsidRDefault="00B626E7">
      <w:pPr>
        <w:spacing w:after="180"/>
        <w:jc w:val="right"/>
      </w:pPr>
    </w:p>
    <w:p w14:paraId="20AE0BBA" w14:textId="77777777" w:rsidR="00B626E7" w:rsidRDefault="00175C1D">
      <w:pPr>
        <w:spacing w:after="120"/>
      </w:pPr>
      <w:r>
        <w:rPr>
          <w:rFonts w:ascii="Arial" w:eastAsia="宋体" w:hAnsi="Arial" w:cs="Arial"/>
          <w:color w:val="333333"/>
          <w:sz w:val="18"/>
          <w:szCs w:val="18"/>
        </w:rPr>
        <w:t>Disaggregated net revenue for each period was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3723"/>
        <w:gridCol w:w="39"/>
        <w:gridCol w:w="36"/>
        <w:gridCol w:w="36"/>
        <w:gridCol w:w="36"/>
        <w:gridCol w:w="136"/>
        <w:gridCol w:w="691"/>
        <w:gridCol w:w="86"/>
        <w:gridCol w:w="36"/>
        <w:gridCol w:w="36"/>
        <w:gridCol w:w="36"/>
        <w:gridCol w:w="136"/>
        <w:gridCol w:w="696"/>
        <w:gridCol w:w="86"/>
        <w:gridCol w:w="36"/>
        <w:gridCol w:w="36"/>
        <w:gridCol w:w="36"/>
        <w:gridCol w:w="136"/>
        <w:gridCol w:w="697"/>
        <w:gridCol w:w="86"/>
        <w:gridCol w:w="36"/>
        <w:gridCol w:w="36"/>
        <w:gridCol w:w="36"/>
        <w:gridCol w:w="136"/>
        <w:gridCol w:w="698"/>
        <w:gridCol w:w="86"/>
        <w:gridCol w:w="36"/>
        <w:gridCol w:w="36"/>
        <w:gridCol w:w="36"/>
        <w:gridCol w:w="36"/>
        <w:gridCol w:w="36"/>
        <w:gridCol w:w="36"/>
        <w:gridCol w:w="36"/>
        <w:gridCol w:w="36"/>
        <w:gridCol w:w="36"/>
        <w:gridCol w:w="36"/>
        <w:gridCol w:w="36"/>
        <w:gridCol w:w="36"/>
      </w:tblGrid>
      <w:tr w:rsidR="00B626E7" w14:paraId="20AE0BD6" w14:textId="77777777">
        <w:trPr>
          <w:gridAfter w:val="12"/>
        </w:trPr>
        <w:tc>
          <w:tcPr>
            <w:tcW w:w="50" w:type="pct"/>
            <w:shd w:val="clear" w:color="auto" w:fill="auto"/>
          </w:tcPr>
          <w:p w14:paraId="20AE0BBB" w14:textId="77777777" w:rsidR="00B626E7" w:rsidRDefault="00B626E7">
            <w:pPr>
              <w:rPr>
                <w:rFonts w:ascii="宋体"/>
              </w:rPr>
            </w:pPr>
          </w:p>
        </w:tc>
        <w:tc>
          <w:tcPr>
            <w:tcW w:w="2386" w:type="pct"/>
            <w:shd w:val="clear" w:color="auto" w:fill="auto"/>
          </w:tcPr>
          <w:p w14:paraId="20AE0BBC" w14:textId="77777777" w:rsidR="00B626E7" w:rsidRDefault="00B626E7">
            <w:pPr>
              <w:rPr>
                <w:rFonts w:ascii="宋体"/>
              </w:rPr>
            </w:pPr>
          </w:p>
        </w:tc>
        <w:tc>
          <w:tcPr>
            <w:tcW w:w="50" w:type="pct"/>
            <w:shd w:val="clear" w:color="auto" w:fill="auto"/>
          </w:tcPr>
          <w:p w14:paraId="20AE0BBD" w14:textId="77777777" w:rsidR="00B626E7" w:rsidRDefault="00B626E7">
            <w:pPr>
              <w:rPr>
                <w:rFonts w:ascii="宋体"/>
              </w:rPr>
            </w:pPr>
          </w:p>
        </w:tc>
        <w:tc>
          <w:tcPr>
            <w:tcW w:w="5" w:type="pct"/>
            <w:shd w:val="clear" w:color="auto" w:fill="auto"/>
          </w:tcPr>
          <w:p w14:paraId="20AE0BBE" w14:textId="77777777" w:rsidR="00B626E7" w:rsidRDefault="00B626E7">
            <w:pPr>
              <w:rPr>
                <w:rFonts w:ascii="宋体"/>
              </w:rPr>
            </w:pPr>
          </w:p>
        </w:tc>
        <w:tc>
          <w:tcPr>
            <w:tcW w:w="24" w:type="pct"/>
            <w:shd w:val="clear" w:color="auto" w:fill="auto"/>
          </w:tcPr>
          <w:p w14:paraId="20AE0BBF" w14:textId="77777777" w:rsidR="00B626E7" w:rsidRDefault="00B626E7">
            <w:pPr>
              <w:rPr>
                <w:rFonts w:ascii="宋体"/>
              </w:rPr>
            </w:pPr>
          </w:p>
        </w:tc>
        <w:tc>
          <w:tcPr>
            <w:tcW w:w="5" w:type="pct"/>
            <w:shd w:val="clear" w:color="auto" w:fill="auto"/>
          </w:tcPr>
          <w:p w14:paraId="20AE0BC0" w14:textId="77777777" w:rsidR="00B626E7" w:rsidRDefault="00B626E7">
            <w:pPr>
              <w:rPr>
                <w:rFonts w:ascii="宋体"/>
              </w:rPr>
            </w:pPr>
          </w:p>
        </w:tc>
        <w:tc>
          <w:tcPr>
            <w:tcW w:w="50" w:type="pct"/>
            <w:shd w:val="clear" w:color="auto" w:fill="auto"/>
          </w:tcPr>
          <w:p w14:paraId="20AE0BC1" w14:textId="77777777" w:rsidR="00B626E7" w:rsidRDefault="00B626E7">
            <w:pPr>
              <w:rPr>
                <w:rFonts w:ascii="宋体"/>
              </w:rPr>
            </w:pPr>
          </w:p>
        </w:tc>
        <w:tc>
          <w:tcPr>
            <w:tcW w:w="494" w:type="pct"/>
            <w:shd w:val="clear" w:color="auto" w:fill="auto"/>
          </w:tcPr>
          <w:p w14:paraId="20AE0BC2" w14:textId="77777777" w:rsidR="00B626E7" w:rsidRDefault="00B626E7">
            <w:pPr>
              <w:rPr>
                <w:rFonts w:ascii="宋体"/>
              </w:rPr>
            </w:pPr>
          </w:p>
        </w:tc>
        <w:tc>
          <w:tcPr>
            <w:tcW w:w="50" w:type="pct"/>
            <w:shd w:val="clear" w:color="auto" w:fill="auto"/>
          </w:tcPr>
          <w:p w14:paraId="20AE0BC3" w14:textId="77777777" w:rsidR="00B626E7" w:rsidRDefault="00B626E7">
            <w:pPr>
              <w:rPr>
                <w:rFonts w:ascii="宋体"/>
              </w:rPr>
            </w:pPr>
          </w:p>
        </w:tc>
        <w:tc>
          <w:tcPr>
            <w:tcW w:w="5" w:type="pct"/>
            <w:shd w:val="clear" w:color="auto" w:fill="auto"/>
          </w:tcPr>
          <w:p w14:paraId="20AE0BC4" w14:textId="77777777" w:rsidR="00B626E7" w:rsidRDefault="00B626E7">
            <w:pPr>
              <w:rPr>
                <w:rFonts w:ascii="宋体"/>
              </w:rPr>
            </w:pPr>
          </w:p>
        </w:tc>
        <w:tc>
          <w:tcPr>
            <w:tcW w:w="24" w:type="pct"/>
            <w:shd w:val="clear" w:color="auto" w:fill="auto"/>
          </w:tcPr>
          <w:p w14:paraId="20AE0BC5" w14:textId="77777777" w:rsidR="00B626E7" w:rsidRDefault="00B626E7">
            <w:pPr>
              <w:rPr>
                <w:rFonts w:ascii="宋体"/>
              </w:rPr>
            </w:pPr>
          </w:p>
        </w:tc>
        <w:tc>
          <w:tcPr>
            <w:tcW w:w="5" w:type="pct"/>
            <w:shd w:val="clear" w:color="auto" w:fill="auto"/>
          </w:tcPr>
          <w:p w14:paraId="20AE0BC6" w14:textId="77777777" w:rsidR="00B626E7" w:rsidRDefault="00B626E7">
            <w:pPr>
              <w:rPr>
                <w:rFonts w:ascii="宋体"/>
              </w:rPr>
            </w:pPr>
          </w:p>
        </w:tc>
        <w:tc>
          <w:tcPr>
            <w:tcW w:w="50" w:type="pct"/>
            <w:shd w:val="clear" w:color="auto" w:fill="auto"/>
          </w:tcPr>
          <w:p w14:paraId="20AE0BC7" w14:textId="77777777" w:rsidR="00B626E7" w:rsidRDefault="00B626E7">
            <w:pPr>
              <w:rPr>
                <w:rFonts w:ascii="宋体"/>
              </w:rPr>
            </w:pPr>
          </w:p>
        </w:tc>
        <w:tc>
          <w:tcPr>
            <w:tcW w:w="494" w:type="pct"/>
            <w:shd w:val="clear" w:color="auto" w:fill="auto"/>
          </w:tcPr>
          <w:p w14:paraId="20AE0BC8" w14:textId="77777777" w:rsidR="00B626E7" w:rsidRDefault="00B626E7">
            <w:pPr>
              <w:rPr>
                <w:rFonts w:ascii="宋体"/>
              </w:rPr>
            </w:pPr>
          </w:p>
        </w:tc>
        <w:tc>
          <w:tcPr>
            <w:tcW w:w="50" w:type="pct"/>
            <w:shd w:val="clear" w:color="auto" w:fill="auto"/>
          </w:tcPr>
          <w:p w14:paraId="20AE0BC9" w14:textId="77777777" w:rsidR="00B626E7" w:rsidRDefault="00B626E7">
            <w:pPr>
              <w:rPr>
                <w:rFonts w:ascii="宋体"/>
              </w:rPr>
            </w:pPr>
          </w:p>
        </w:tc>
        <w:tc>
          <w:tcPr>
            <w:tcW w:w="5" w:type="pct"/>
            <w:shd w:val="clear" w:color="auto" w:fill="auto"/>
          </w:tcPr>
          <w:p w14:paraId="20AE0BCA" w14:textId="77777777" w:rsidR="00B626E7" w:rsidRDefault="00B626E7">
            <w:pPr>
              <w:rPr>
                <w:rFonts w:ascii="宋体"/>
              </w:rPr>
            </w:pPr>
          </w:p>
        </w:tc>
        <w:tc>
          <w:tcPr>
            <w:tcW w:w="24" w:type="pct"/>
            <w:shd w:val="clear" w:color="auto" w:fill="auto"/>
          </w:tcPr>
          <w:p w14:paraId="20AE0BCB" w14:textId="77777777" w:rsidR="00B626E7" w:rsidRDefault="00B626E7">
            <w:pPr>
              <w:rPr>
                <w:rFonts w:ascii="宋体"/>
              </w:rPr>
            </w:pPr>
          </w:p>
        </w:tc>
        <w:tc>
          <w:tcPr>
            <w:tcW w:w="5" w:type="pct"/>
            <w:shd w:val="clear" w:color="auto" w:fill="auto"/>
          </w:tcPr>
          <w:p w14:paraId="20AE0BCC" w14:textId="77777777" w:rsidR="00B626E7" w:rsidRDefault="00B626E7">
            <w:pPr>
              <w:rPr>
                <w:rFonts w:ascii="宋体"/>
              </w:rPr>
            </w:pPr>
          </w:p>
        </w:tc>
        <w:tc>
          <w:tcPr>
            <w:tcW w:w="50" w:type="pct"/>
            <w:shd w:val="clear" w:color="auto" w:fill="auto"/>
          </w:tcPr>
          <w:p w14:paraId="20AE0BCD" w14:textId="77777777" w:rsidR="00B626E7" w:rsidRDefault="00B626E7">
            <w:pPr>
              <w:rPr>
                <w:rFonts w:ascii="宋体"/>
              </w:rPr>
            </w:pPr>
          </w:p>
        </w:tc>
        <w:tc>
          <w:tcPr>
            <w:tcW w:w="494" w:type="pct"/>
            <w:shd w:val="clear" w:color="auto" w:fill="auto"/>
          </w:tcPr>
          <w:p w14:paraId="20AE0BCE" w14:textId="77777777" w:rsidR="00B626E7" w:rsidRDefault="00B626E7">
            <w:pPr>
              <w:rPr>
                <w:rFonts w:ascii="宋体"/>
              </w:rPr>
            </w:pPr>
          </w:p>
        </w:tc>
        <w:tc>
          <w:tcPr>
            <w:tcW w:w="50" w:type="pct"/>
            <w:shd w:val="clear" w:color="auto" w:fill="auto"/>
          </w:tcPr>
          <w:p w14:paraId="20AE0BCF" w14:textId="77777777" w:rsidR="00B626E7" w:rsidRDefault="00B626E7">
            <w:pPr>
              <w:rPr>
                <w:rFonts w:ascii="宋体"/>
              </w:rPr>
            </w:pPr>
          </w:p>
        </w:tc>
        <w:tc>
          <w:tcPr>
            <w:tcW w:w="5" w:type="pct"/>
            <w:shd w:val="clear" w:color="auto" w:fill="auto"/>
          </w:tcPr>
          <w:p w14:paraId="20AE0BD0" w14:textId="77777777" w:rsidR="00B626E7" w:rsidRDefault="00B626E7">
            <w:pPr>
              <w:rPr>
                <w:rFonts w:ascii="宋体"/>
              </w:rPr>
            </w:pPr>
          </w:p>
        </w:tc>
        <w:tc>
          <w:tcPr>
            <w:tcW w:w="24" w:type="pct"/>
            <w:shd w:val="clear" w:color="auto" w:fill="auto"/>
          </w:tcPr>
          <w:p w14:paraId="20AE0BD1" w14:textId="77777777" w:rsidR="00B626E7" w:rsidRDefault="00B626E7">
            <w:pPr>
              <w:rPr>
                <w:rFonts w:ascii="宋体"/>
              </w:rPr>
            </w:pPr>
          </w:p>
        </w:tc>
        <w:tc>
          <w:tcPr>
            <w:tcW w:w="5" w:type="pct"/>
            <w:shd w:val="clear" w:color="auto" w:fill="auto"/>
          </w:tcPr>
          <w:p w14:paraId="20AE0BD2" w14:textId="77777777" w:rsidR="00B626E7" w:rsidRDefault="00B626E7">
            <w:pPr>
              <w:rPr>
                <w:rFonts w:ascii="宋体"/>
              </w:rPr>
            </w:pPr>
          </w:p>
        </w:tc>
        <w:tc>
          <w:tcPr>
            <w:tcW w:w="50" w:type="pct"/>
            <w:shd w:val="clear" w:color="auto" w:fill="auto"/>
          </w:tcPr>
          <w:p w14:paraId="20AE0BD3" w14:textId="77777777" w:rsidR="00B626E7" w:rsidRDefault="00B626E7">
            <w:pPr>
              <w:rPr>
                <w:rFonts w:ascii="宋体"/>
              </w:rPr>
            </w:pPr>
          </w:p>
        </w:tc>
        <w:tc>
          <w:tcPr>
            <w:tcW w:w="494" w:type="pct"/>
            <w:shd w:val="clear" w:color="auto" w:fill="auto"/>
          </w:tcPr>
          <w:p w14:paraId="20AE0BD4" w14:textId="77777777" w:rsidR="00B626E7" w:rsidRDefault="00B626E7">
            <w:pPr>
              <w:rPr>
                <w:rFonts w:ascii="宋体"/>
              </w:rPr>
            </w:pPr>
          </w:p>
        </w:tc>
        <w:tc>
          <w:tcPr>
            <w:tcW w:w="50" w:type="pct"/>
            <w:shd w:val="clear" w:color="auto" w:fill="auto"/>
          </w:tcPr>
          <w:p w14:paraId="20AE0BD5" w14:textId="77777777" w:rsidR="00B626E7" w:rsidRDefault="00B626E7">
            <w:pPr>
              <w:rPr>
                <w:rFonts w:ascii="宋体"/>
              </w:rPr>
            </w:pPr>
          </w:p>
        </w:tc>
      </w:tr>
      <w:tr w:rsidR="00B626E7" w14:paraId="20AE0BE0" w14:textId="77777777">
        <w:tc>
          <w:tcPr>
            <w:tcW w:w="0" w:type="auto"/>
            <w:gridSpan w:val="3"/>
            <w:shd w:val="clear" w:color="auto" w:fill="auto"/>
            <w:tcMar>
              <w:left w:w="20" w:type="dxa"/>
              <w:right w:w="20" w:type="dxa"/>
            </w:tcMar>
            <w:vAlign w:val="bottom"/>
          </w:tcPr>
          <w:p w14:paraId="20AE0BD7"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BD8" w14:textId="77777777" w:rsidR="00B626E7" w:rsidRDefault="00B626E7">
            <w:pPr>
              <w:rPr>
                <w:rFonts w:ascii="宋体"/>
              </w:rPr>
            </w:pPr>
          </w:p>
        </w:tc>
        <w:tc>
          <w:tcPr>
            <w:tcW w:w="0" w:type="auto"/>
            <w:gridSpan w:val="9"/>
            <w:shd w:val="clear" w:color="auto" w:fill="auto"/>
            <w:tcMar>
              <w:top w:w="40" w:type="dxa"/>
              <w:left w:w="20" w:type="dxa"/>
              <w:bottom w:w="40" w:type="dxa"/>
              <w:right w:w="20" w:type="dxa"/>
            </w:tcMar>
            <w:vAlign w:val="bottom"/>
          </w:tcPr>
          <w:p w14:paraId="20AE0BD9" w14:textId="77777777" w:rsidR="00B626E7" w:rsidRDefault="00175C1D">
            <w:pPr>
              <w:jc w:val="center"/>
              <w:textAlignment w:val="bottom"/>
            </w:pPr>
            <w:r>
              <w:rPr>
                <w:rFonts w:ascii="Arial" w:eastAsia="宋体" w:hAnsi="Arial" w:cs="Arial"/>
                <w:b/>
                <w:bCs/>
                <w:color w:val="333333"/>
                <w:sz w:val="18"/>
                <w:szCs w:val="18"/>
              </w:rPr>
              <w:t>Three Months Ended</w:t>
            </w:r>
          </w:p>
        </w:tc>
        <w:tc>
          <w:tcPr>
            <w:tcW w:w="0" w:type="auto"/>
            <w:gridSpan w:val="3"/>
            <w:shd w:val="clear" w:color="auto" w:fill="auto"/>
          </w:tcPr>
          <w:p w14:paraId="20AE0BDA" w14:textId="77777777" w:rsidR="00B626E7" w:rsidRDefault="00B626E7">
            <w:pPr>
              <w:rPr>
                <w:rFonts w:ascii="宋体"/>
                <w:vanish/>
              </w:rPr>
            </w:pPr>
          </w:p>
        </w:tc>
        <w:tc>
          <w:tcPr>
            <w:tcW w:w="0" w:type="auto"/>
            <w:gridSpan w:val="3"/>
            <w:shd w:val="clear" w:color="auto" w:fill="auto"/>
          </w:tcPr>
          <w:p w14:paraId="20AE0BDB" w14:textId="77777777" w:rsidR="00B626E7" w:rsidRDefault="00B626E7">
            <w:pPr>
              <w:rPr>
                <w:rFonts w:ascii="宋体"/>
                <w:vanish/>
              </w:rPr>
            </w:pPr>
          </w:p>
        </w:tc>
        <w:tc>
          <w:tcPr>
            <w:tcW w:w="0" w:type="auto"/>
            <w:gridSpan w:val="3"/>
            <w:shd w:val="clear" w:color="auto" w:fill="auto"/>
            <w:tcMar>
              <w:left w:w="20" w:type="dxa"/>
              <w:right w:w="20" w:type="dxa"/>
            </w:tcMar>
            <w:vAlign w:val="bottom"/>
          </w:tcPr>
          <w:p w14:paraId="20AE0BDC" w14:textId="77777777" w:rsidR="00B626E7" w:rsidRDefault="00B626E7">
            <w:pPr>
              <w:rPr>
                <w:rFonts w:ascii="宋体"/>
              </w:rPr>
            </w:pPr>
          </w:p>
        </w:tc>
        <w:tc>
          <w:tcPr>
            <w:tcW w:w="0" w:type="auto"/>
            <w:gridSpan w:val="9"/>
            <w:shd w:val="clear" w:color="auto" w:fill="auto"/>
            <w:tcMar>
              <w:top w:w="40" w:type="dxa"/>
              <w:left w:w="20" w:type="dxa"/>
              <w:bottom w:w="40" w:type="dxa"/>
              <w:right w:w="20" w:type="dxa"/>
            </w:tcMar>
            <w:vAlign w:val="bottom"/>
          </w:tcPr>
          <w:p w14:paraId="20AE0BDD" w14:textId="77777777" w:rsidR="00B626E7" w:rsidRDefault="00175C1D">
            <w:pPr>
              <w:jc w:val="center"/>
              <w:textAlignment w:val="bottom"/>
            </w:pPr>
            <w:r>
              <w:rPr>
                <w:rFonts w:ascii="Arial" w:eastAsia="宋体" w:hAnsi="Arial" w:cs="Arial"/>
                <w:b/>
                <w:bCs/>
                <w:color w:val="333333"/>
                <w:sz w:val="18"/>
                <w:szCs w:val="18"/>
              </w:rPr>
              <w:t>Six Months Ended</w:t>
            </w:r>
          </w:p>
        </w:tc>
        <w:tc>
          <w:tcPr>
            <w:tcW w:w="0" w:type="auto"/>
            <w:gridSpan w:val="3"/>
            <w:shd w:val="clear" w:color="auto" w:fill="auto"/>
          </w:tcPr>
          <w:p w14:paraId="20AE0BDE" w14:textId="77777777" w:rsidR="00B626E7" w:rsidRDefault="00B626E7">
            <w:pPr>
              <w:rPr>
                <w:rFonts w:ascii="宋体"/>
                <w:vanish/>
              </w:rPr>
            </w:pPr>
          </w:p>
        </w:tc>
        <w:tc>
          <w:tcPr>
            <w:tcW w:w="0" w:type="auto"/>
            <w:gridSpan w:val="3"/>
            <w:shd w:val="clear" w:color="auto" w:fill="auto"/>
          </w:tcPr>
          <w:p w14:paraId="20AE0BDF" w14:textId="77777777" w:rsidR="00B626E7" w:rsidRDefault="00B626E7">
            <w:pPr>
              <w:rPr>
                <w:rFonts w:ascii="宋体"/>
                <w:vanish/>
              </w:rPr>
            </w:pPr>
          </w:p>
        </w:tc>
      </w:tr>
      <w:tr w:rsidR="00B626E7" w14:paraId="20AE0BF6" w14:textId="77777777">
        <w:tc>
          <w:tcPr>
            <w:tcW w:w="0" w:type="auto"/>
            <w:gridSpan w:val="3"/>
            <w:shd w:val="clear" w:color="auto" w:fill="auto"/>
            <w:tcMar>
              <w:top w:w="40" w:type="dxa"/>
              <w:left w:w="20" w:type="dxa"/>
              <w:bottom w:w="40" w:type="dxa"/>
              <w:right w:w="20" w:type="dxa"/>
            </w:tcMar>
            <w:vAlign w:val="bottom"/>
          </w:tcPr>
          <w:p w14:paraId="20AE0BE1" w14:textId="77777777" w:rsidR="00B626E7" w:rsidRDefault="00175C1D">
            <w:pPr>
              <w:textAlignment w:val="bottom"/>
            </w:pPr>
            <w:r>
              <w:rPr>
                <w:rFonts w:ascii="Arial" w:eastAsia="宋体" w:hAnsi="Arial" w:cs="Arial"/>
                <w:b/>
                <w:bCs/>
                <w:color w:val="333333"/>
                <w:sz w:val="18"/>
                <w:szCs w:val="18"/>
              </w:rPr>
              <w:t>(In Millions)</w:t>
            </w:r>
          </w:p>
        </w:tc>
        <w:tc>
          <w:tcPr>
            <w:tcW w:w="0" w:type="auto"/>
            <w:gridSpan w:val="3"/>
            <w:shd w:val="clear" w:color="auto" w:fill="auto"/>
            <w:tcMar>
              <w:left w:w="20" w:type="dxa"/>
              <w:right w:w="20" w:type="dxa"/>
            </w:tcMar>
            <w:vAlign w:val="bottom"/>
          </w:tcPr>
          <w:p w14:paraId="20AE0BE2"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0BE3" w14:textId="77777777" w:rsidR="00B626E7" w:rsidRDefault="00175C1D">
            <w:pPr>
              <w:jc w:val="center"/>
              <w:textAlignment w:val="bottom"/>
            </w:pPr>
            <w:r>
              <w:rPr>
                <w:rFonts w:ascii="Arial" w:eastAsia="宋体" w:hAnsi="Arial" w:cs="Arial"/>
                <w:b/>
                <w:bCs/>
                <w:color w:val="333333"/>
                <w:sz w:val="18"/>
                <w:szCs w:val="18"/>
              </w:rPr>
              <w:t>Jun 27, 2020</w:t>
            </w:r>
          </w:p>
        </w:tc>
        <w:tc>
          <w:tcPr>
            <w:tcW w:w="0" w:type="auto"/>
            <w:gridSpan w:val="3"/>
            <w:tcBorders>
              <w:top w:val="single" w:sz="8" w:space="0" w:color="0071C5"/>
            </w:tcBorders>
            <w:shd w:val="clear" w:color="auto" w:fill="auto"/>
            <w:tcMar>
              <w:left w:w="20" w:type="dxa"/>
              <w:right w:w="20" w:type="dxa"/>
            </w:tcMar>
            <w:vAlign w:val="bottom"/>
          </w:tcPr>
          <w:p w14:paraId="20AE0BE4"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0BE5" w14:textId="77777777" w:rsidR="00B626E7" w:rsidRDefault="00175C1D">
            <w:pPr>
              <w:jc w:val="center"/>
              <w:textAlignment w:val="bottom"/>
            </w:pPr>
            <w:r>
              <w:rPr>
                <w:rFonts w:ascii="Arial" w:eastAsia="宋体" w:hAnsi="Arial" w:cs="Arial"/>
                <w:b/>
                <w:bCs/>
                <w:color w:val="333333"/>
                <w:sz w:val="18"/>
                <w:szCs w:val="18"/>
              </w:rPr>
              <w:t>Jun 29, 2019</w:t>
            </w:r>
          </w:p>
        </w:tc>
        <w:tc>
          <w:tcPr>
            <w:tcW w:w="0" w:type="auto"/>
            <w:gridSpan w:val="3"/>
            <w:shd w:val="clear" w:color="auto" w:fill="auto"/>
            <w:tcMar>
              <w:left w:w="20" w:type="dxa"/>
              <w:right w:w="20" w:type="dxa"/>
            </w:tcMar>
            <w:vAlign w:val="bottom"/>
          </w:tcPr>
          <w:p w14:paraId="20AE0BE6"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0BE7" w14:textId="77777777" w:rsidR="00B626E7" w:rsidRDefault="00175C1D">
            <w:pPr>
              <w:jc w:val="center"/>
              <w:textAlignment w:val="bottom"/>
            </w:pPr>
            <w:r>
              <w:rPr>
                <w:rFonts w:ascii="Arial" w:eastAsia="宋体" w:hAnsi="Arial" w:cs="Arial"/>
                <w:b/>
                <w:bCs/>
                <w:color w:val="333333"/>
                <w:sz w:val="18"/>
                <w:szCs w:val="18"/>
              </w:rPr>
              <w:t>Jun 27, 2020</w:t>
            </w:r>
          </w:p>
        </w:tc>
        <w:tc>
          <w:tcPr>
            <w:tcW w:w="0" w:type="auto"/>
            <w:gridSpan w:val="3"/>
            <w:tcBorders>
              <w:top w:val="single" w:sz="8" w:space="0" w:color="0071C5"/>
            </w:tcBorders>
            <w:shd w:val="clear" w:color="auto" w:fill="auto"/>
            <w:tcMar>
              <w:left w:w="20" w:type="dxa"/>
              <w:right w:w="20" w:type="dxa"/>
            </w:tcMar>
            <w:vAlign w:val="bottom"/>
          </w:tcPr>
          <w:p w14:paraId="20AE0BE8"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0BE9" w14:textId="77777777" w:rsidR="00B626E7" w:rsidRDefault="00175C1D">
            <w:pPr>
              <w:jc w:val="center"/>
              <w:textAlignment w:val="bottom"/>
            </w:pPr>
            <w:r>
              <w:rPr>
                <w:rFonts w:ascii="Arial" w:eastAsia="宋体" w:hAnsi="Arial" w:cs="Arial"/>
                <w:b/>
                <w:bCs/>
                <w:color w:val="333333"/>
                <w:sz w:val="18"/>
                <w:szCs w:val="18"/>
              </w:rPr>
              <w:t>Jun 29, 2019</w:t>
            </w:r>
          </w:p>
        </w:tc>
        <w:tc>
          <w:tcPr>
            <w:tcW w:w="0" w:type="auto"/>
            <w:shd w:val="clear" w:color="auto" w:fill="auto"/>
          </w:tcPr>
          <w:p w14:paraId="20AE0BEA" w14:textId="77777777" w:rsidR="00B626E7" w:rsidRDefault="00B626E7">
            <w:pPr>
              <w:rPr>
                <w:rFonts w:ascii="宋体"/>
              </w:rPr>
            </w:pPr>
          </w:p>
        </w:tc>
        <w:tc>
          <w:tcPr>
            <w:tcW w:w="0" w:type="auto"/>
            <w:shd w:val="clear" w:color="auto" w:fill="auto"/>
          </w:tcPr>
          <w:p w14:paraId="20AE0BEB" w14:textId="77777777" w:rsidR="00B626E7" w:rsidRDefault="00B626E7">
            <w:pPr>
              <w:rPr>
                <w:rFonts w:ascii="宋体"/>
              </w:rPr>
            </w:pPr>
          </w:p>
        </w:tc>
        <w:tc>
          <w:tcPr>
            <w:tcW w:w="0" w:type="auto"/>
            <w:shd w:val="clear" w:color="auto" w:fill="auto"/>
          </w:tcPr>
          <w:p w14:paraId="20AE0BEC" w14:textId="77777777" w:rsidR="00B626E7" w:rsidRDefault="00B626E7">
            <w:pPr>
              <w:rPr>
                <w:rFonts w:ascii="宋体"/>
              </w:rPr>
            </w:pPr>
          </w:p>
        </w:tc>
        <w:tc>
          <w:tcPr>
            <w:tcW w:w="0" w:type="auto"/>
            <w:shd w:val="clear" w:color="auto" w:fill="auto"/>
          </w:tcPr>
          <w:p w14:paraId="20AE0BED" w14:textId="77777777" w:rsidR="00B626E7" w:rsidRDefault="00B626E7">
            <w:pPr>
              <w:rPr>
                <w:rFonts w:ascii="宋体"/>
              </w:rPr>
            </w:pPr>
          </w:p>
        </w:tc>
        <w:tc>
          <w:tcPr>
            <w:tcW w:w="0" w:type="auto"/>
            <w:shd w:val="clear" w:color="auto" w:fill="auto"/>
          </w:tcPr>
          <w:p w14:paraId="20AE0BEE" w14:textId="77777777" w:rsidR="00B626E7" w:rsidRDefault="00B626E7">
            <w:pPr>
              <w:rPr>
                <w:rFonts w:ascii="宋体"/>
              </w:rPr>
            </w:pPr>
          </w:p>
        </w:tc>
        <w:tc>
          <w:tcPr>
            <w:tcW w:w="0" w:type="auto"/>
            <w:shd w:val="clear" w:color="auto" w:fill="auto"/>
          </w:tcPr>
          <w:p w14:paraId="20AE0BEF" w14:textId="77777777" w:rsidR="00B626E7" w:rsidRDefault="00B626E7">
            <w:pPr>
              <w:rPr>
                <w:rFonts w:ascii="宋体"/>
              </w:rPr>
            </w:pPr>
          </w:p>
        </w:tc>
        <w:tc>
          <w:tcPr>
            <w:tcW w:w="0" w:type="auto"/>
            <w:shd w:val="clear" w:color="auto" w:fill="auto"/>
          </w:tcPr>
          <w:p w14:paraId="20AE0BF0" w14:textId="77777777" w:rsidR="00B626E7" w:rsidRDefault="00B626E7">
            <w:pPr>
              <w:rPr>
                <w:rFonts w:ascii="宋体"/>
              </w:rPr>
            </w:pPr>
          </w:p>
        </w:tc>
        <w:tc>
          <w:tcPr>
            <w:tcW w:w="0" w:type="auto"/>
            <w:shd w:val="clear" w:color="auto" w:fill="auto"/>
          </w:tcPr>
          <w:p w14:paraId="20AE0BF1" w14:textId="77777777" w:rsidR="00B626E7" w:rsidRDefault="00B626E7">
            <w:pPr>
              <w:rPr>
                <w:rFonts w:ascii="宋体"/>
              </w:rPr>
            </w:pPr>
          </w:p>
        </w:tc>
        <w:tc>
          <w:tcPr>
            <w:tcW w:w="0" w:type="auto"/>
            <w:shd w:val="clear" w:color="auto" w:fill="auto"/>
          </w:tcPr>
          <w:p w14:paraId="20AE0BF2" w14:textId="77777777" w:rsidR="00B626E7" w:rsidRDefault="00B626E7">
            <w:pPr>
              <w:rPr>
                <w:rFonts w:ascii="宋体"/>
              </w:rPr>
            </w:pPr>
          </w:p>
        </w:tc>
        <w:tc>
          <w:tcPr>
            <w:tcW w:w="0" w:type="auto"/>
            <w:shd w:val="clear" w:color="auto" w:fill="auto"/>
          </w:tcPr>
          <w:p w14:paraId="20AE0BF3" w14:textId="77777777" w:rsidR="00B626E7" w:rsidRDefault="00B626E7">
            <w:pPr>
              <w:rPr>
                <w:rFonts w:ascii="宋体"/>
              </w:rPr>
            </w:pPr>
          </w:p>
        </w:tc>
        <w:tc>
          <w:tcPr>
            <w:tcW w:w="0" w:type="auto"/>
            <w:shd w:val="clear" w:color="auto" w:fill="auto"/>
          </w:tcPr>
          <w:p w14:paraId="20AE0BF4" w14:textId="77777777" w:rsidR="00B626E7" w:rsidRDefault="00B626E7">
            <w:pPr>
              <w:rPr>
                <w:rFonts w:ascii="宋体"/>
              </w:rPr>
            </w:pPr>
          </w:p>
        </w:tc>
        <w:tc>
          <w:tcPr>
            <w:tcW w:w="0" w:type="auto"/>
            <w:shd w:val="clear" w:color="auto" w:fill="auto"/>
          </w:tcPr>
          <w:p w14:paraId="20AE0BF5" w14:textId="77777777" w:rsidR="00B626E7" w:rsidRDefault="00B626E7">
            <w:pPr>
              <w:rPr>
                <w:rFonts w:ascii="宋体"/>
              </w:rPr>
            </w:pPr>
          </w:p>
        </w:tc>
      </w:tr>
      <w:tr w:rsidR="00B626E7" w14:paraId="20AE0C0C" w14:textId="77777777">
        <w:tc>
          <w:tcPr>
            <w:tcW w:w="0" w:type="auto"/>
            <w:gridSpan w:val="3"/>
            <w:tcBorders>
              <w:top w:val="single" w:sz="8" w:space="0" w:color="0071C5"/>
            </w:tcBorders>
            <w:shd w:val="clear" w:color="auto" w:fill="auto"/>
            <w:tcMar>
              <w:top w:w="40" w:type="dxa"/>
              <w:left w:w="135" w:type="dxa"/>
              <w:bottom w:w="40" w:type="dxa"/>
              <w:right w:w="20" w:type="dxa"/>
            </w:tcMar>
            <w:vAlign w:val="bottom"/>
          </w:tcPr>
          <w:p w14:paraId="20AE0BF7" w14:textId="77777777" w:rsidR="00B626E7" w:rsidRDefault="00175C1D">
            <w:pPr>
              <w:textAlignment w:val="bottom"/>
            </w:pPr>
            <w:r>
              <w:rPr>
                <w:rFonts w:ascii="Arial" w:eastAsia="宋体" w:hAnsi="Arial" w:cs="Arial"/>
                <w:b/>
                <w:bCs/>
                <w:color w:val="333333"/>
                <w:sz w:val="18"/>
                <w:szCs w:val="18"/>
              </w:rPr>
              <w:t>Plat</w:t>
            </w:r>
            <w:r>
              <w:rPr>
                <w:rFonts w:ascii="Arial" w:eastAsia="宋体" w:hAnsi="Arial" w:cs="Arial"/>
                <w:b/>
                <w:bCs/>
                <w:color w:val="333333"/>
                <w:sz w:val="18"/>
                <w:szCs w:val="18"/>
              </w:rPr>
              <w:t>form revenue</w:t>
            </w:r>
          </w:p>
        </w:tc>
        <w:tc>
          <w:tcPr>
            <w:tcW w:w="0" w:type="auto"/>
            <w:gridSpan w:val="3"/>
            <w:shd w:val="clear" w:color="auto" w:fill="auto"/>
            <w:tcMar>
              <w:left w:w="20" w:type="dxa"/>
              <w:right w:w="20" w:type="dxa"/>
            </w:tcMar>
            <w:vAlign w:val="bottom"/>
          </w:tcPr>
          <w:p w14:paraId="20AE0BF8"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0BF9"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BFA"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0BFB"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BFC"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0BFD"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BFE"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0BFF" w14:textId="77777777" w:rsidR="00B626E7" w:rsidRDefault="00B626E7">
            <w:pPr>
              <w:rPr>
                <w:rFonts w:ascii="宋体"/>
              </w:rPr>
            </w:pPr>
          </w:p>
        </w:tc>
        <w:tc>
          <w:tcPr>
            <w:tcW w:w="0" w:type="auto"/>
            <w:shd w:val="clear" w:color="auto" w:fill="auto"/>
          </w:tcPr>
          <w:p w14:paraId="20AE0C00" w14:textId="77777777" w:rsidR="00B626E7" w:rsidRDefault="00B626E7">
            <w:pPr>
              <w:rPr>
                <w:rFonts w:ascii="宋体"/>
              </w:rPr>
            </w:pPr>
          </w:p>
        </w:tc>
        <w:tc>
          <w:tcPr>
            <w:tcW w:w="0" w:type="auto"/>
            <w:shd w:val="clear" w:color="auto" w:fill="auto"/>
          </w:tcPr>
          <w:p w14:paraId="20AE0C01" w14:textId="77777777" w:rsidR="00B626E7" w:rsidRDefault="00B626E7">
            <w:pPr>
              <w:rPr>
                <w:rFonts w:ascii="宋体"/>
              </w:rPr>
            </w:pPr>
          </w:p>
        </w:tc>
        <w:tc>
          <w:tcPr>
            <w:tcW w:w="0" w:type="auto"/>
            <w:shd w:val="clear" w:color="auto" w:fill="auto"/>
          </w:tcPr>
          <w:p w14:paraId="20AE0C02" w14:textId="77777777" w:rsidR="00B626E7" w:rsidRDefault="00B626E7">
            <w:pPr>
              <w:rPr>
                <w:rFonts w:ascii="宋体"/>
              </w:rPr>
            </w:pPr>
          </w:p>
        </w:tc>
        <w:tc>
          <w:tcPr>
            <w:tcW w:w="0" w:type="auto"/>
            <w:shd w:val="clear" w:color="auto" w:fill="auto"/>
          </w:tcPr>
          <w:p w14:paraId="20AE0C03" w14:textId="77777777" w:rsidR="00B626E7" w:rsidRDefault="00B626E7">
            <w:pPr>
              <w:rPr>
                <w:rFonts w:ascii="宋体"/>
              </w:rPr>
            </w:pPr>
          </w:p>
        </w:tc>
        <w:tc>
          <w:tcPr>
            <w:tcW w:w="0" w:type="auto"/>
            <w:shd w:val="clear" w:color="auto" w:fill="auto"/>
          </w:tcPr>
          <w:p w14:paraId="20AE0C04" w14:textId="77777777" w:rsidR="00B626E7" w:rsidRDefault="00B626E7">
            <w:pPr>
              <w:rPr>
                <w:rFonts w:ascii="宋体"/>
              </w:rPr>
            </w:pPr>
          </w:p>
        </w:tc>
        <w:tc>
          <w:tcPr>
            <w:tcW w:w="0" w:type="auto"/>
            <w:shd w:val="clear" w:color="auto" w:fill="auto"/>
          </w:tcPr>
          <w:p w14:paraId="20AE0C05" w14:textId="77777777" w:rsidR="00B626E7" w:rsidRDefault="00B626E7">
            <w:pPr>
              <w:rPr>
                <w:rFonts w:ascii="宋体"/>
              </w:rPr>
            </w:pPr>
          </w:p>
        </w:tc>
        <w:tc>
          <w:tcPr>
            <w:tcW w:w="0" w:type="auto"/>
            <w:shd w:val="clear" w:color="auto" w:fill="auto"/>
          </w:tcPr>
          <w:p w14:paraId="20AE0C06" w14:textId="77777777" w:rsidR="00B626E7" w:rsidRDefault="00B626E7">
            <w:pPr>
              <w:rPr>
                <w:rFonts w:ascii="宋体"/>
              </w:rPr>
            </w:pPr>
          </w:p>
        </w:tc>
        <w:tc>
          <w:tcPr>
            <w:tcW w:w="0" w:type="auto"/>
            <w:shd w:val="clear" w:color="auto" w:fill="auto"/>
          </w:tcPr>
          <w:p w14:paraId="20AE0C07" w14:textId="77777777" w:rsidR="00B626E7" w:rsidRDefault="00B626E7">
            <w:pPr>
              <w:rPr>
                <w:rFonts w:ascii="宋体"/>
              </w:rPr>
            </w:pPr>
          </w:p>
        </w:tc>
        <w:tc>
          <w:tcPr>
            <w:tcW w:w="0" w:type="auto"/>
            <w:shd w:val="clear" w:color="auto" w:fill="auto"/>
          </w:tcPr>
          <w:p w14:paraId="20AE0C08" w14:textId="77777777" w:rsidR="00B626E7" w:rsidRDefault="00B626E7">
            <w:pPr>
              <w:rPr>
                <w:rFonts w:ascii="宋体"/>
              </w:rPr>
            </w:pPr>
          </w:p>
        </w:tc>
        <w:tc>
          <w:tcPr>
            <w:tcW w:w="0" w:type="auto"/>
            <w:shd w:val="clear" w:color="auto" w:fill="auto"/>
          </w:tcPr>
          <w:p w14:paraId="20AE0C09" w14:textId="77777777" w:rsidR="00B626E7" w:rsidRDefault="00B626E7">
            <w:pPr>
              <w:rPr>
                <w:rFonts w:ascii="宋体"/>
              </w:rPr>
            </w:pPr>
          </w:p>
        </w:tc>
        <w:tc>
          <w:tcPr>
            <w:tcW w:w="0" w:type="auto"/>
            <w:shd w:val="clear" w:color="auto" w:fill="auto"/>
          </w:tcPr>
          <w:p w14:paraId="20AE0C0A" w14:textId="77777777" w:rsidR="00B626E7" w:rsidRDefault="00B626E7">
            <w:pPr>
              <w:rPr>
                <w:rFonts w:ascii="宋体"/>
              </w:rPr>
            </w:pPr>
          </w:p>
        </w:tc>
        <w:tc>
          <w:tcPr>
            <w:tcW w:w="0" w:type="auto"/>
            <w:shd w:val="clear" w:color="auto" w:fill="auto"/>
          </w:tcPr>
          <w:p w14:paraId="20AE0C0B" w14:textId="77777777" w:rsidR="00B626E7" w:rsidRDefault="00B626E7">
            <w:pPr>
              <w:rPr>
                <w:rFonts w:ascii="宋体"/>
              </w:rPr>
            </w:pPr>
          </w:p>
        </w:tc>
      </w:tr>
      <w:tr w:rsidR="00B626E7" w14:paraId="20AE0C2A" w14:textId="77777777">
        <w:tc>
          <w:tcPr>
            <w:tcW w:w="0" w:type="auto"/>
            <w:gridSpan w:val="3"/>
            <w:shd w:val="clear" w:color="auto" w:fill="auto"/>
            <w:tcMar>
              <w:top w:w="40" w:type="dxa"/>
              <w:left w:w="360" w:type="dxa"/>
              <w:bottom w:w="40" w:type="dxa"/>
              <w:right w:w="20" w:type="dxa"/>
            </w:tcMar>
            <w:vAlign w:val="bottom"/>
          </w:tcPr>
          <w:p w14:paraId="20AE0C0D" w14:textId="77777777" w:rsidR="00B626E7" w:rsidRDefault="00175C1D">
            <w:pPr>
              <w:textAlignment w:val="bottom"/>
            </w:pPr>
            <w:r>
              <w:rPr>
                <w:rFonts w:ascii="Arial" w:eastAsia="宋体" w:hAnsi="Arial" w:cs="Arial"/>
                <w:color w:val="333333"/>
                <w:sz w:val="18"/>
                <w:szCs w:val="18"/>
              </w:rPr>
              <w:t>DCG platform</w:t>
            </w:r>
          </w:p>
        </w:tc>
        <w:tc>
          <w:tcPr>
            <w:tcW w:w="0" w:type="auto"/>
            <w:gridSpan w:val="3"/>
            <w:shd w:val="clear" w:color="auto" w:fill="auto"/>
            <w:tcMar>
              <w:left w:w="20" w:type="dxa"/>
              <w:right w:w="20" w:type="dxa"/>
            </w:tcMar>
            <w:vAlign w:val="bottom"/>
          </w:tcPr>
          <w:p w14:paraId="20AE0C0E"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0C0F" w14:textId="77777777" w:rsidR="00B626E7" w:rsidRDefault="00175C1D">
            <w:pPr>
              <w:textAlignment w:val="bottom"/>
            </w:pPr>
            <w:r>
              <w:rPr>
                <w:rFonts w:ascii="Arial" w:eastAsia="宋体" w:hAnsi="Arial" w:cs="Arial"/>
                <w:color w:val="026DCE"/>
                <w:sz w:val="18"/>
                <w:szCs w:val="18"/>
              </w:rPr>
              <w:t>$</w:t>
            </w:r>
          </w:p>
        </w:tc>
        <w:tc>
          <w:tcPr>
            <w:tcW w:w="0" w:type="auto"/>
            <w:shd w:val="clear" w:color="auto" w:fill="auto"/>
            <w:tcMar>
              <w:top w:w="40" w:type="dxa"/>
              <w:bottom w:w="40" w:type="dxa"/>
              <w:right w:w="0" w:type="dxa"/>
            </w:tcMar>
            <w:vAlign w:val="bottom"/>
          </w:tcPr>
          <w:p w14:paraId="20AE0C10" w14:textId="77777777" w:rsidR="00B626E7" w:rsidRDefault="00175C1D">
            <w:pPr>
              <w:jc w:val="right"/>
              <w:textAlignment w:val="bottom"/>
            </w:pPr>
            <w:r>
              <w:rPr>
                <w:rFonts w:ascii="Arial" w:eastAsia="宋体" w:hAnsi="Arial" w:cs="Arial"/>
                <w:color w:val="026DCE"/>
                <w:sz w:val="18"/>
                <w:szCs w:val="18"/>
              </w:rPr>
              <w:t>6,181 </w:t>
            </w:r>
          </w:p>
        </w:tc>
        <w:tc>
          <w:tcPr>
            <w:tcW w:w="0" w:type="auto"/>
            <w:shd w:val="clear" w:color="auto" w:fill="auto"/>
            <w:tcMar>
              <w:top w:w="40" w:type="dxa"/>
              <w:bottom w:w="40" w:type="dxa"/>
              <w:right w:w="20" w:type="dxa"/>
            </w:tcMar>
            <w:vAlign w:val="bottom"/>
          </w:tcPr>
          <w:p w14:paraId="20AE0C11"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0C12"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0C13" w14:textId="77777777" w:rsidR="00B626E7" w:rsidRDefault="00175C1D">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20AE0C14" w14:textId="77777777" w:rsidR="00B626E7" w:rsidRDefault="00175C1D">
            <w:pPr>
              <w:jc w:val="right"/>
              <w:textAlignment w:val="bottom"/>
            </w:pPr>
            <w:r>
              <w:rPr>
                <w:rFonts w:ascii="Arial" w:eastAsia="宋体" w:hAnsi="Arial" w:cs="Arial"/>
                <w:color w:val="333333"/>
                <w:sz w:val="18"/>
                <w:szCs w:val="18"/>
              </w:rPr>
              <w:t>4,553 </w:t>
            </w:r>
          </w:p>
        </w:tc>
        <w:tc>
          <w:tcPr>
            <w:tcW w:w="0" w:type="auto"/>
            <w:shd w:val="clear" w:color="auto" w:fill="auto"/>
            <w:tcMar>
              <w:top w:w="40" w:type="dxa"/>
              <w:bottom w:w="40" w:type="dxa"/>
              <w:right w:w="20" w:type="dxa"/>
            </w:tcMar>
            <w:vAlign w:val="bottom"/>
          </w:tcPr>
          <w:p w14:paraId="20AE0C15"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C16"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0C17" w14:textId="77777777" w:rsidR="00B626E7" w:rsidRDefault="00175C1D">
            <w:pPr>
              <w:textAlignment w:val="bottom"/>
            </w:pPr>
            <w:r>
              <w:rPr>
                <w:rFonts w:ascii="Arial" w:eastAsia="宋体" w:hAnsi="Arial" w:cs="Arial"/>
                <w:color w:val="0071C5"/>
                <w:sz w:val="18"/>
                <w:szCs w:val="18"/>
              </w:rPr>
              <w:t>$</w:t>
            </w:r>
          </w:p>
        </w:tc>
        <w:tc>
          <w:tcPr>
            <w:tcW w:w="0" w:type="auto"/>
            <w:shd w:val="clear" w:color="auto" w:fill="auto"/>
            <w:tcMar>
              <w:top w:w="40" w:type="dxa"/>
              <w:bottom w:w="40" w:type="dxa"/>
              <w:right w:w="0" w:type="dxa"/>
            </w:tcMar>
            <w:vAlign w:val="bottom"/>
          </w:tcPr>
          <w:p w14:paraId="20AE0C18" w14:textId="77777777" w:rsidR="00B626E7" w:rsidRDefault="00175C1D">
            <w:pPr>
              <w:jc w:val="right"/>
              <w:textAlignment w:val="bottom"/>
            </w:pPr>
            <w:r>
              <w:rPr>
                <w:rFonts w:ascii="Arial" w:eastAsia="宋体" w:hAnsi="Arial" w:cs="Arial"/>
                <w:color w:val="0071C5"/>
                <w:sz w:val="18"/>
                <w:szCs w:val="18"/>
              </w:rPr>
              <w:t>12,608 </w:t>
            </w:r>
          </w:p>
        </w:tc>
        <w:tc>
          <w:tcPr>
            <w:tcW w:w="0" w:type="auto"/>
            <w:shd w:val="clear" w:color="auto" w:fill="auto"/>
            <w:tcMar>
              <w:top w:w="40" w:type="dxa"/>
              <w:bottom w:w="40" w:type="dxa"/>
              <w:right w:w="20" w:type="dxa"/>
            </w:tcMar>
            <w:vAlign w:val="bottom"/>
          </w:tcPr>
          <w:p w14:paraId="20AE0C19"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C1A"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0C1B" w14:textId="77777777" w:rsidR="00B626E7" w:rsidRDefault="00175C1D">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20AE0C1C" w14:textId="77777777" w:rsidR="00B626E7" w:rsidRDefault="00175C1D">
            <w:pPr>
              <w:jc w:val="right"/>
              <w:textAlignment w:val="bottom"/>
            </w:pPr>
            <w:r>
              <w:rPr>
                <w:rFonts w:ascii="Arial" w:eastAsia="宋体" w:hAnsi="Arial" w:cs="Arial"/>
                <w:color w:val="333333"/>
                <w:sz w:val="18"/>
                <w:szCs w:val="18"/>
              </w:rPr>
              <w:t>9,035 </w:t>
            </w:r>
          </w:p>
        </w:tc>
        <w:tc>
          <w:tcPr>
            <w:tcW w:w="0" w:type="auto"/>
            <w:shd w:val="clear" w:color="auto" w:fill="auto"/>
            <w:tcMar>
              <w:top w:w="40" w:type="dxa"/>
              <w:bottom w:w="40" w:type="dxa"/>
              <w:right w:w="20" w:type="dxa"/>
            </w:tcMar>
            <w:vAlign w:val="bottom"/>
          </w:tcPr>
          <w:p w14:paraId="20AE0C1D"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0C1E" w14:textId="77777777" w:rsidR="00B626E7" w:rsidRDefault="00B626E7">
            <w:pPr>
              <w:rPr>
                <w:rFonts w:ascii="宋体"/>
              </w:rPr>
            </w:pPr>
          </w:p>
        </w:tc>
        <w:tc>
          <w:tcPr>
            <w:tcW w:w="0" w:type="auto"/>
            <w:shd w:val="clear" w:color="auto" w:fill="auto"/>
          </w:tcPr>
          <w:p w14:paraId="20AE0C1F" w14:textId="77777777" w:rsidR="00B626E7" w:rsidRDefault="00B626E7">
            <w:pPr>
              <w:rPr>
                <w:rFonts w:ascii="宋体"/>
              </w:rPr>
            </w:pPr>
          </w:p>
        </w:tc>
        <w:tc>
          <w:tcPr>
            <w:tcW w:w="0" w:type="auto"/>
            <w:shd w:val="clear" w:color="auto" w:fill="auto"/>
          </w:tcPr>
          <w:p w14:paraId="20AE0C20" w14:textId="77777777" w:rsidR="00B626E7" w:rsidRDefault="00B626E7">
            <w:pPr>
              <w:rPr>
                <w:rFonts w:ascii="宋体"/>
              </w:rPr>
            </w:pPr>
          </w:p>
        </w:tc>
        <w:tc>
          <w:tcPr>
            <w:tcW w:w="0" w:type="auto"/>
            <w:shd w:val="clear" w:color="auto" w:fill="auto"/>
          </w:tcPr>
          <w:p w14:paraId="20AE0C21" w14:textId="77777777" w:rsidR="00B626E7" w:rsidRDefault="00B626E7">
            <w:pPr>
              <w:rPr>
                <w:rFonts w:ascii="宋体"/>
              </w:rPr>
            </w:pPr>
          </w:p>
        </w:tc>
        <w:tc>
          <w:tcPr>
            <w:tcW w:w="0" w:type="auto"/>
            <w:shd w:val="clear" w:color="auto" w:fill="auto"/>
          </w:tcPr>
          <w:p w14:paraId="20AE0C22" w14:textId="77777777" w:rsidR="00B626E7" w:rsidRDefault="00B626E7">
            <w:pPr>
              <w:rPr>
                <w:rFonts w:ascii="宋体"/>
              </w:rPr>
            </w:pPr>
          </w:p>
        </w:tc>
        <w:tc>
          <w:tcPr>
            <w:tcW w:w="0" w:type="auto"/>
            <w:shd w:val="clear" w:color="auto" w:fill="auto"/>
          </w:tcPr>
          <w:p w14:paraId="20AE0C23" w14:textId="77777777" w:rsidR="00B626E7" w:rsidRDefault="00B626E7">
            <w:pPr>
              <w:rPr>
                <w:rFonts w:ascii="宋体"/>
              </w:rPr>
            </w:pPr>
          </w:p>
        </w:tc>
        <w:tc>
          <w:tcPr>
            <w:tcW w:w="0" w:type="auto"/>
            <w:shd w:val="clear" w:color="auto" w:fill="auto"/>
          </w:tcPr>
          <w:p w14:paraId="20AE0C24" w14:textId="77777777" w:rsidR="00B626E7" w:rsidRDefault="00B626E7">
            <w:pPr>
              <w:rPr>
                <w:rFonts w:ascii="宋体"/>
              </w:rPr>
            </w:pPr>
          </w:p>
        </w:tc>
        <w:tc>
          <w:tcPr>
            <w:tcW w:w="0" w:type="auto"/>
            <w:shd w:val="clear" w:color="auto" w:fill="auto"/>
          </w:tcPr>
          <w:p w14:paraId="20AE0C25" w14:textId="77777777" w:rsidR="00B626E7" w:rsidRDefault="00B626E7">
            <w:pPr>
              <w:rPr>
                <w:rFonts w:ascii="宋体"/>
              </w:rPr>
            </w:pPr>
          </w:p>
        </w:tc>
        <w:tc>
          <w:tcPr>
            <w:tcW w:w="0" w:type="auto"/>
            <w:shd w:val="clear" w:color="auto" w:fill="auto"/>
          </w:tcPr>
          <w:p w14:paraId="20AE0C26" w14:textId="77777777" w:rsidR="00B626E7" w:rsidRDefault="00B626E7">
            <w:pPr>
              <w:rPr>
                <w:rFonts w:ascii="宋体"/>
              </w:rPr>
            </w:pPr>
          </w:p>
        </w:tc>
        <w:tc>
          <w:tcPr>
            <w:tcW w:w="0" w:type="auto"/>
            <w:shd w:val="clear" w:color="auto" w:fill="auto"/>
          </w:tcPr>
          <w:p w14:paraId="20AE0C27" w14:textId="77777777" w:rsidR="00B626E7" w:rsidRDefault="00B626E7">
            <w:pPr>
              <w:rPr>
                <w:rFonts w:ascii="宋体"/>
              </w:rPr>
            </w:pPr>
          </w:p>
        </w:tc>
        <w:tc>
          <w:tcPr>
            <w:tcW w:w="0" w:type="auto"/>
            <w:shd w:val="clear" w:color="auto" w:fill="auto"/>
          </w:tcPr>
          <w:p w14:paraId="20AE0C28" w14:textId="77777777" w:rsidR="00B626E7" w:rsidRDefault="00B626E7">
            <w:pPr>
              <w:rPr>
                <w:rFonts w:ascii="宋体"/>
              </w:rPr>
            </w:pPr>
          </w:p>
        </w:tc>
        <w:tc>
          <w:tcPr>
            <w:tcW w:w="0" w:type="auto"/>
            <w:shd w:val="clear" w:color="auto" w:fill="auto"/>
          </w:tcPr>
          <w:p w14:paraId="20AE0C29" w14:textId="77777777" w:rsidR="00B626E7" w:rsidRDefault="00B626E7">
            <w:pPr>
              <w:rPr>
                <w:rFonts w:ascii="宋体"/>
              </w:rPr>
            </w:pPr>
          </w:p>
        </w:tc>
      </w:tr>
      <w:tr w:rsidR="00B626E7" w14:paraId="20AE0C44" w14:textId="77777777">
        <w:tc>
          <w:tcPr>
            <w:tcW w:w="0" w:type="auto"/>
            <w:gridSpan w:val="3"/>
            <w:shd w:val="clear" w:color="auto" w:fill="auto"/>
            <w:tcMar>
              <w:top w:w="40" w:type="dxa"/>
              <w:left w:w="360" w:type="dxa"/>
              <w:bottom w:w="40" w:type="dxa"/>
              <w:right w:w="20" w:type="dxa"/>
            </w:tcMar>
            <w:vAlign w:val="bottom"/>
          </w:tcPr>
          <w:p w14:paraId="20AE0C2B" w14:textId="77777777" w:rsidR="00B626E7" w:rsidRDefault="00175C1D">
            <w:pPr>
              <w:textAlignment w:val="bottom"/>
            </w:pPr>
            <w:r>
              <w:rPr>
                <w:rFonts w:ascii="Arial" w:eastAsia="宋体" w:hAnsi="Arial" w:cs="Arial"/>
                <w:color w:val="333333"/>
                <w:sz w:val="18"/>
                <w:szCs w:val="18"/>
              </w:rPr>
              <w:t>IOTG platform</w:t>
            </w:r>
          </w:p>
        </w:tc>
        <w:tc>
          <w:tcPr>
            <w:tcW w:w="0" w:type="auto"/>
            <w:gridSpan w:val="3"/>
            <w:shd w:val="clear" w:color="auto" w:fill="auto"/>
            <w:tcMar>
              <w:left w:w="20" w:type="dxa"/>
              <w:right w:w="20" w:type="dxa"/>
            </w:tcMar>
            <w:vAlign w:val="bottom"/>
          </w:tcPr>
          <w:p w14:paraId="20AE0C2C"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C2D" w14:textId="77777777" w:rsidR="00B626E7" w:rsidRDefault="00175C1D">
            <w:pPr>
              <w:jc w:val="right"/>
              <w:textAlignment w:val="bottom"/>
            </w:pPr>
            <w:r>
              <w:rPr>
                <w:rFonts w:ascii="Arial" w:eastAsia="宋体" w:hAnsi="Arial" w:cs="Arial"/>
                <w:color w:val="026DCE"/>
                <w:sz w:val="18"/>
                <w:szCs w:val="18"/>
              </w:rPr>
              <w:t>619 </w:t>
            </w:r>
          </w:p>
        </w:tc>
        <w:tc>
          <w:tcPr>
            <w:tcW w:w="0" w:type="auto"/>
            <w:shd w:val="clear" w:color="auto" w:fill="auto"/>
            <w:tcMar>
              <w:top w:w="40" w:type="dxa"/>
              <w:bottom w:w="40" w:type="dxa"/>
              <w:right w:w="20" w:type="dxa"/>
            </w:tcMar>
            <w:vAlign w:val="bottom"/>
          </w:tcPr>
          <w:p w14:paraId="20AE0C2E"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0C2F"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C30" w14:textId="77777777" w:rsidR="00B626E7" w:rsidRDefault="00175C1D">
            <w:pPr>
              <w:jc w:val="right"/>
              <w:textAlignment w:val="bottom"/>
            </w:pPr>
            <w:r>
              <w:rPr>
                <w:rFonts w:ascii="Arial" w:eastAsia="宋体" w:hAnsi="Arial" w:cs="Arial"/>
                <w:color w:val="333333"/>
                <w:sz w:val="18"/>
                <w:szCs w:val="18"/>
              </w:rPr>
              <w:t>891 </w:t>
            </w:r>
          </w:p>
        </w:tc>
        <w:tc>
          <w:tcPr>
            <w:tcW w:w="0" w:type="auto"/>
            <w:shd w:val="clear" w:color="auto" w:fill="auto"/>
            <w:tcMar>
              <w:top w:w="40" w:type="dxa"/>
              <w:bottom w:w="40" w:type="dxa"/>
              <w:right w:w="20" w:type="dxa"/>
            </w:tcMar>
            <w:vAlign w:val="bottom"/>
          </w:tcPr>
          <w:p w14:paraId="20AE0C31"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C32"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C33" w14:textId="77777777" w:rsidR="00B626E7" w:rsidRDefault="00175C1D">
            <w:pPr>
              <w:jc w:val="right"/>
              <w:textAlignment w:val="bottom"/>
            </w:pPr>
            <w:r>
              <w:rPr>
                <w:rFonts w:ascii="Arial" w:eastAsia="宋体" w:hAnsi="Arial" w:cs="Arial"/>
                <w:color w:val="0071C5"/>
                <w:sz w:val="18"/>
                <w:szCs w:val="18"/>
              </w:rPr>
              <w:t>1,414 </w:t>
            </w:r>
          </w:p>
        </w:tc>
        <w:tc>
          <w:tcPr>
            <w:tcW w:w="0" w:type="auto"/>
            <w:shd w:val="clear" w:color="auto" w:fill="auto"/>
            <w:tcMar>
              <w:top w:w="40" w:type="dxa"/>
              <w:bottom w:w="40" w:type="dxa"/>
              <w:right w:w="20" w:type="dxa"/>
            </w:tcMar>
            <w:vAlign w:val="bottom"/>
          </w:tcPr>
          <w:p w14:paraId="20AE0C34"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C35"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C36" w14:textId="77777777" w:rsidR="00B626E7" w:rsidRDefault="00175C1D">
            <w:pPr>
              <w:jc w:val="right"/>
              <w:textAlignment w:val="bottom"/>
            </w:pPr>
            <w:r>
              <w:rPr>
                <w:rFonts w:ascii="Arial" w:eastAsia="宋体" w:hAnsi="Arial" w:cs="Arial"/>
                <w:color w:val="333333"/>
                <w:sz w:val="18"/>
                <w:szCs w:val="18"/>
              </w:rPr>
              <w:t>1,716 </w:t>
            </w:r>
          </w:p>
        </w:tc>
        <w:tc>
          <w:tcPr>
            <w:tcW w:w="0" w:type="auto"/>
            <w:shd w:val="clear" w:color="auto" w:fill="auto"/>
            <w:tcMar>
              <w:top w:w="40" w:type="dxa"/>
              <w:bottom w:w="40" w:type="dxa"/>
              <w:right w:w="20" w:type="dxa"/>
            </w:tcMar>
            <w:vAlign w:val="bottom"/>
          </w:tcPr>
          <w:p w14:paraId="20AE0C37"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0C38" w14:textId="77777777" w:rsidR="00B626E7" w:rsidRDefault="00B626E7">
            <w:pPr>
              <w:rPr>
                <w:rFonts w:ascii="宋体"/>
              </w:rPr>
            </w:pPr>
          </w:p>
        </w:tc>
        <w:tc>
          <w:tcPr>
            <w:tcW w:w="0" w:type="auto"/>
            <w:shd w:val="clear" w:color="auto" w:fill="auto"/>
          </w:tcPr>
          <w:p w14:paraId="20AE0C39" w14:textId="77777777" w:rsidR="00B626E7" w:rsidRDefault="00B626E7">
            <w:pPr>
              <w:rPr>
                <w:rFonts w:ascii="宋体"/>
              </w:rPr>
            </w:pPr>
          </w:p>
        </w:tc>
        <w:tc>
          <w:tcPr>
            <w:tcW w:w="0" w:type="auto"/>
            <w:shd w:val="clear" w:color="auto" w:fill="auto"/>
          </w:tcPr>
          <w:p w14:paraId="20AE0C3A" w14:textId="77777777" w:rsidR="00B626E7" w:rsidRDefault="00B626E7">
            <w:pPr>
              <w:rPr>
                <w:rFonts w:ascii="宋体"/>
              </w:rPr>
            </w:pPr>
          </w:p>
        </w:tc>
        <w:tc>
          <w:tcPr>
            <w:tcW w:w="0" w:type="auto"/>
            <w:shd w:val="clear" w:color="auto" w:fill="auto"/>
          </w:tcPr>
          <w:p w14:paraId="20AE0C3B" w14:textId="77777777" w:rsidR="00B626E7" w:rsidRDefault="00B626E7">
            <w:pPr>
              <w:rPr>
                <w:rFonts w:ascii="宋体"/>
              </w:rPr>
            </w:pPr>
          </w:p>
        </w:tc>
        <w:tc>
          <w:tcPr>
            <w:tcW w:w="0" w:type="auto"/>
            <w:shd w:val="clear" w:color="auto" w:fill="auto"/>
          </w:tcPr>
          <w:p w14:paraId="20AE0C3C" w14:textId="77777777" w:rsidR="00B626E7" w:rsidRDefault="00B626E7">
            <w:pPr>
              <w:rPr>
                <w:rFonts w:ascii="宋体"/>
              </w:rPr>
            </w:pPr>
          </w:p>
        </w:tc>
        <w:tc>
          <w:tcPr>
            <w:tcW w:w="0" w:type="auto"/>
            <w:shd w:val="clear" w:color="auto" w:fill="auto"/>
          </w:tcPr>
          <w:p w14:paraId="20AE0C3D" w14:textId="77777777" w:rsidR="00B626E7" w:rsidRDefault="00B626E7">
            <w:pPr>
              <w:rPr>
                <w:rFonts w:ascii="宋体"/>
              </w:rPr>
            </w:pPr>
          </w:p>
        </w:tc>
        <w:tc>
          <w:tcPr>
            <w:tcW w:w="0" w:type="auto"/>
            <w:shd w:val="clear" w:color="auto" w:fill="auto"/>
          </w:tcPr>
          <w:p w14:paraId="20AE0C3E" w14:textId="77777777" w:rsidR="00B626E7" w:rsidRDefault="00B626E7">
            <w:pPr>
              <w:rPr>
                <w:rFonts w:ascii="宋体"/>
              </w:rPr>
            </w:pPr>
          </w:p>
        </w:tc>
        <w:tc>
          <w:tcPr>
            <w:tcW w:w="0" w:type="auto"/>
            <w:shd w:val="clear" w:color="auto" w:fill="auto"/>
          </w:tcPr>
          <w:p w14:paraId="20AE0C3F" w14:textId="77777777" w:rsidR="00B626E7" w:rsidRDefault="00B626E7">
            <w:pPr>
              <w:rPr>
                <w:rFonts w:ascii="宋体"/>
              </w:rPr>
            </w:pPr>
          </w:p>
        </w:tc>
        <w:tc>
          <w:tcPr>
            <w:tcW w:w="0" w:type="auto"/>
            <w:shd w:val="clear" w:color="auto" w:fill="auto"/>
          </w:tcPr>
          <w:p w14:paraId="20AE0C40" w14:textId="77777777" w:rsidR="00B626E7" w:rsidRDefault="00B626E7">
            <w:pPr>
              <w:rPr>
                <w:rFonts w:ascii="宋体"/>
              </w:rPr>
            </w:pPr>
          </w:p>
        </w:tc>
        <w:tc>
          <w:tcPr>
            <w:tcW w:w="0" w:type="auto"/>
            <w:shd w:val="clear" w:color="auto" w:fill="auto"/>
          </w:tcPr>
          <w:p w14:paraId="20AE0C41" w14:textId="77777777" w:rsidR="00B626E7" w:rsidRDefault="00B626E7">
            <w:pPr>
              <w:rPr>
                <w:rFonts w:ascii="宋体"/>
              </w:rPr>
            </w:pPr>
          </w:p>
        </w:tc>
        <w:tc>
          <w:tcPr>
            <w:tcW w:w="0" w:type="auto"/>
            <w:shd w:val="clear" w:color="auto" w:fill="auto"/>
          </w:tcPr>
          <w:p w14:paraId="20AE0C42" w14:textId="77777777" w:rsidR="00B626E7" w:rsidRDefault="00B626E7">
            <w:pPr>
              <w:rPr>
                <w:rFonts w:ascii="宋体"/>
              </w:rPr>
            </w:pPr>
          </w:p>
        </w:tc>
        <w:tc>
          <w:tcPr>
            <w:tcW w:w="0" w:type="auto"/>
            <w:shd w:val="clear" w:color="auto" w:fill="auto"/>
          </w:tcPr>
          <w:p w14:paraId="20AE0C43" w14:textId="77777777" w:rsidR="00B626E7" w:rsidRDefault="00B626E7">
            <w:pPr>
              <w:rPr>
                <w:rFonts w:ascii="宋体"/>
              </w:rPr>
            </w:pPr>
          </w:p>
        </w:tc>
      </w:tr>
      <w:tr w:rsidR="00B626E7" w14:paraId="20AE0C5E" w14:textId="77777777">
        <w:tc>
          <w:tcPr>
            <w:tcW w:w="0" w:type="auto"/>
            <w:gridSpan w:val="3"/>
            <w:shd w:val="clear" w:color="auto" w:fill="auto"/>
            <w:tcMar>
              <w:top w:w="40" w:type="dxa"/>
              <w:left w:w="360" w:type="dxa"/>
              <w:bottom w:w="40" w:type="dxa"/>
              <w:right w:w="20" w:type="dxa"/>
            </w:tcMar>
            <w:vAlign w:val="bottom"/>
          </w:tcPr>
          <w:p w14:paraId="20AE0C45" w14:textId="77777777" w:rsidR="00B626E7" w:rsidRDefault="00175C1D">
            <w:pPr>
              <w:textAlignment w:val="bottom"/>
            </w:pPr>
            <w:r>
              <w:rPr>
                <w:rFonts w:ascii="Arial" w:eastAsia="宋体" w:hAnsi="Arial" w:cs="Arial"/>
                <w:color w:val="333333"/>
                <w:sz w:val="18"/>
                <w:szCs w:val="18"/>
              </w:rPr>
              <w:t>CCG desktop platform</w:t>
            </w:r>
          </w:p>
        </w:tc>
        <w:tc>
          <w:tcPr>
            <w:tcW w:w="0" w:type="auto"/>
            <w:gridSpan w:val="3"/>
            <w:shd w:val="clear" w:color="auto" w:fill="auto"/>
            <w:tcMar>
              <w:left w:w="20" w:type="dxa"/>
              <w:right w:w="20" w:type="dxa"/>
            </w:tcMar>
            <w:vAlign w:val="bottom"/>
          </w:tcPr>
          <w:p w14:paraId="20AE0C46"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C47" w14:textId="77777777" w:rsidR="00B626E7" w:rsidRDefault="00175C1D">
            <w:pPr>
              <w:jc w:val="right"/>
              <w:textAlignment w:val="bottom"/>
            </w:pPr>
            <w:r>
              <w:rPr>
                <w:rFonts w:ascii="Arial" w:eastAsia="宋体" w:hAnsi="Arial" w:cs="Arial"/>
                <w:color w:val="026DCE"/>
                <w:sz w:val="18"/>
                <w:szCs w:val="18"/>
              </w:rPr>
              <w:t>2,368 </w:t>
            </w:r>
          </w:p>
        </w:tc>
        <w:tc>
          <w:tcPr>
            <w:tcW w:w="0" w:type="auto"/>
            <w:shd w:val="clear" w:color="auto" w:fill="auto"/>
            <w:tcMar>
              <w:top w:w="40" w:type="dxa"/>
              <w:bottom w:w="40" w:type="dxa"/>
              <w:right w:w="20" w:type="dxa"/>
            </w:tcMar>
            <w:vAlign w:val="bottom"/>
          </w:tcPr>
          <w:p w14:paraId="20AE0C48"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0C49"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C4A" w14:textId="77777777" w:rsidR="00B626E7" w:rsidRDefault="00175C1D">
            <w:pPr>
              <w:jc w:val="right"/>
              <w:textAlignment w:val="bottom"/>
            </w:pPr>
            <w:r>
              <w:rPr>
                <w:rFonts w:ascii="Arial" w:eastAsia="宋体" w:hAnsi="Arial" w:cs="Arial"/>
                <w:color w:val="333333"/>
                <w:sz w:val="18"/>
                <w:szCs w:val="18"/>
              </w:rPr>
              <w:t>2,767 </w:t>
            </w:r>
          </w:p>
        </w:tc>
        <w:tc>
          <w:tcPr>
            <w:tcW w:w="0" w:type="auto"/>
            <w:shd w:val="clear" w:color="auto" w:fill="auto"/>
            <w:tcMar>
              <w:top w:w="40" w:type="dxa"/>
              <w:bottom w:w="40" w:type="dxa"/>
              <w:right w:w="20" w:type="dxa"/>
            </w:tcMar>
            <w:vAlign w:val="bottom"/>
          </w:tcPr>
          <w:p w14:paraId="20AE0C4B"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C4C"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C4D" w14:textId="77777777" w:rsidR="00B626E7" w:rsidRDefault="00175C1D">
            <w:pPr>
              <w:jc w:val="right"/>
              <w:textAlignment w:val="bottom"/>
            </w:pPr>
            <w:r>
              <w:rPr>
                <w:rFonts w:ascii="Arial" w:eastAsia="宋体" w:hAnsi="Arial" w:cs="Arial"/>
                <w:color w:val="0071C5"/>
                <w:sz w:val="18"/>
                <w:szCs w:val="18"/>
              </w:rPr>
              <w:t>5,208 </w:t>
            </w:r>
          </w:p>
        </w:tc>
        <w:tc>
          <w:tcPr>
            <w:tcW w:w="0" w:type="auto"/>
            <w:shd w:val="clear" w:color="auto" w:fill="auto"/>
            <w:tcMar>
              <w:top w:w="40" w:type="dxa"/>
              <w:bottom w:w="40" w:type="dxa"/>
              <w:right w:w="20" w:type="dxa"/>
            </w:tcMar>
            <w:vAlign w:val="bottom"/>
          </w:tcPr>
          <w:p w14:paraId="20AE0C4E"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C4F"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C50" w14:textId="77777777" w:rsidR="00B626E7" w:rsidRDefault="00175C1D">
            <w:pPr>
              <w:jc w:val="right"/>
              <w:textAlignment w:val="bottom"/>
            </w:pPr>
            <w:r>
              <w:rPr>
                <w:rFonts w:ascii="Arial" w:eastAsia="宋体" w:hAnsi="Arial" w:cs="Arial"/>
                <w:color w:val="333333"/>
                <w:sz w:val="18"/>
                <w:szCs w:val="18"/>
              </w:rPr>
              <w:t>5,653 </w:t>
            </w:r>
          </w:p>
        </w:tc>
        <w:tc>
          <w:tcPr>
            <w:tcW w:w="0" w:type="auto"/>
            <w:shd w:val="clear" w:color="auto" w:fill="auto"/>
            <w:tcMar>
              <w:top w:w="40" w:type="dxa"/>
              <w:bottom w:w="40" w:type="dxa"/>
              <w:right w:w="20" w:type="dxa"/>
            </w:tcMar>
            <w:vAlign w:val="bottom"/>
          </w:tcPr>
          <w:p w14:paraId="20AE0C51"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0C52" w14:textId="77777777" w:rsidR="00B626E7" w:rsidRDefault="00B626E7">
            <w:pPr>
              <w:rPr>
                <w:rFonts w:ascii="宋体"/>
              </w:rPr>
            </w:pPr>
          </w:p>
        </w:tc>
        <w:tc>
          <w:tcPr>
            <w:tcW w:w="0" w:type="auto"/>
            <w:shd w:val="clear" w:color="auto" w:fill="auto"/>
          </w:tcPr>
          <w:p w14:paraId="20AE0C53" w14:textId="77777777" w:rsidR="00B626E7" w:rsidRDefault="00B626E7">
            <w:pPr>
              <w:rPr>
                <w:rFonts w:ascii="宋体"/>
              </w:rPr>
            </w:pPr>
          </w:p>
        </w:tc>
        <w:tc>
          <w:tcPr>
            <w:tcW w:w="0" w:type="auto"/>
            <w:shd w:val="clear" w:color="auto" w:fill="auto"/>
          </w:tcPr>
          <w:p w14:paraId="20AE0C54" w14:textId="77777777" w:rsidR="00B626E7" w:rsidRDefault="00B626E7">
            <w:pPr>
              <w:rPr>
                <w:rFonts w:ascii="宋体"/>
              </w:rPr>
            </w:pPr>
          </w:p>
        </w:tc>
        <w:tc>
          <w:tcPr>
            <w:tcW w:w="0" w:type="auto"/>
            <w:shd w:val="clear" w:color="auto" w:fill="auto"/>
          </w:tcPr>
          <w:p w14:paraId="20AE0C55" w14:textId="77777777" w:rsidR="00B626E7" w:rsidRDefault="00B626E7">
            <w:pPr>
              <w:rPr>
                <w:rFonts w:ascii="宋体"/>
              </w:rPr>
            </w:pPr>
          </w:p>
        </w:tc>
        <w:tc>
          <w:tcPr>
            <w:tcW w:w="0" w:type="auto"/>
            <w:shd w:val="clear" w:color="auto" w:fill="auto"/>
          </w:tcPr>
          <w:p w14:paraId="20AE0C56" w14:textId="77777777" w:rsidR="00B626E7" w:rsidRDefault="00B626E7">
            <w:pPr>
              <w:rPr>
                <w:rFonts w:ascii="宋体"/>
              </w:rPr>
            </w:pPr>
          </w:p>
        </w:tc>
        <w:tc>
          <w:tcPr>
            <w:tcW w:w="0" w:type="auto"/>
            <w:shd w:val="clear" w:color="auto" w:fill="auto"/>
          </w:tcPr>
          <w:p w14:paraId="20AE0C57" w14:textId="77777777" w:rsidR="00B626E7" w:rsidRDefault="00B626E7">
            <w:pPr>
              <w:rPr>
                <w:rFonts w:ascii="宋体"/>
              </w:rPr>
            </w:pPr>
          </w:p>
        </w:tc>
        <w:tc>
          <w:tcPr>
            <w:tcW w:w="0" w:type="auto"/>
            <w:shd w:val="clear" w:color="auto" w:fill="auto"/>
          </w:tcPr>
          <w:p w14:paraId="20AE0C58" w14:textId="77777777" w:rsidR="00B626E7" w:rsidRDefault="00B626E7">
            <w:pPr>
              <w:rPr>
                <w:rFonts w:ascii="宋体"/>
              </w:rPr>
            </w:pPr>
          </w:p>
        </w:tc>
        <w:tc>
          <w:tcPr>
            <w:tcW w:w="0" w:type="auto"/>
            <w:shd w:val="clear" w:color="auto" w:fill="auto"/>
          </w:tcPr>
          <w:p w14:paraId="20AE0C59" w14:textId="77777777" w:rsidR="00B626E7" w:rsidRDefault="00B626E7">
            <w:pPr>
              <w:rPr>
                <w:rFonts w:ascii="宋体"/>
              </w:rPr>
            </w:pPr>
          </w:p>
        </w:tc>
        <w:tc>
          <w:tcPr>
            <w:tcW w:w="0" w:type="auto"/>
            <w:shd w:val="clear" w:color="auto" w:fill="auto"/>
          </w:tcPr>
          <w:p w14:paraId="20AE0C5A" w14:textId="77777777" w:rsidR="00B626E7" w:rsidRDefault="00B626E7">
            <w:pPr>
              <w:rPr>
                <w:rFonts w:ascii="宋体"/>
              </w:rPr>
            </w:pPr>
          </w:p>
        </w:tc>
        <w:tc>
          <w:tcPr>
            <w:tcW w:w="0" w:type="auto"/>
            <w:shd w:val="clear" w:color="auto" w:fill="auto"/>
          </w:tcPr>
          <w:p w14:paraId="20AE0C5B" w14:textId="77777777" w:rsidR="00B626E7" w:rsidRDefault="00B626E7">
            <w:pPr>
              <w:rPr>
                <w:rFonts w:ascii="宋体"/>
              </w:rPr>
            </w:pPr>
          </w:p>
        </w:tc>
        <w:tc>
          <w:tcPr>
            <w:tcW w:w="0" w:type="auto"/>
            <w:shd w:val="clear" w:color="auto" w:fill="auto"/>
          </w:tcPr>
          <w:p w14:paraId="20AE0C5C" w14:textId="77777777" w:rsidR="00B626E7" w:rsidRDefault="00B626E7">
            <w:pPr>
              <w:rPr>
                <w:rFonts w:ascii="宋体"/>
              </w:rPr>
            </w:pPr>
          </w:p>
        </w:tc>
        <w:tc>
          <w:tcPr>
            <w:tcW w:w="0" w:type="auto"/>
            <w:shd w:val="clear" w:color="auto" w:fill="auto"/>
          </w:tcPr>
          <w:p w14:paraId="20AE0C5D" w14:textId="77777777" w:rsidR="00B626E7" w:rsidRDefault="00B626E7">
            <w:pPr>
              <w:rPr>
                <w:rFonts w:ascii="宋体"/>
              </w:rPr>
            </w:pPr>
          </w:p>
        </w:tc>
      </w:tr>
      <w:tr w:rsidR="00B626E7" w14:paraId="20AE0C78" w14:textId="77777777">
        <w:tc>
          <w:tcPr>
            <w:tcW w:w="0" w:type="auto"/>
            <w:gridSpan w:val="3"/>
            <w:shd w:val="clear" w:color="auto" w:fill="auto"/>
            <w:tcMar>
              <w:top w:w="40" w:type="dxa"/>
              <w:left w:w="360" w:type="dxa"/>
              <w:bottom w:w="40" w:type="dxa"/>
              <w:right w:w="20" w:type="dxa"/>
            </w:tcMar>
            <w:vAlign w:val="bottom"/>
          </w:tcPr>
          <w:p w14:paraId="20AE0C5F" w14:textId="77777777" w:rsidR="00B626E7" w:rsidRDefault="00175C1D">
            <w:pPr>
              <w:textAlignment w:val="bottom"/>
            </w:pPr>
            <w:r>
              <w:rPr>
                <w:rFonts w:ascii="Arial" w:eastAsia="宋体" w:hAnsi="Arial" w:cs="Arial"/>
                <w:color w:val="333333"/>
                <w:sz w:val="18"/>
                <w:szCs w:val="18"/>
              </w:rPr>
              <w:t>CCG notebook platform</w:t>
            </w:r>
          </w:p>
        </w:tc>
        <w:tc>
          <w:tcPr>
            <w:tcW w:w="0" w:type="auto"/>
            <w:gridSpan w:val="3"/>
            <w:shd w:val="clear" w:color="auto" w:fill="auto"/>
            <w:tcMar>
              <w:left w:w="20" w:type="dxa"/>
              <w:right w:w="20" w:type="dxa"/>
            </w:tcMar>
            <w:vAlign w:val="bottom"/>
          </w:tcPr>
          <w:p w14:paraId="20AE0C60"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C61" w14:textId="77777777" w:rsidR="00B626E7" w:rsidRDefault="00175C1D">
            <w:pPr>
              <w:jc w:val="right"/>
              <w:textAlignment w:val="bottom"/>
            </w:pPr>
            <w:r>
              <w:rPr>
                <w:rFonts w:ascii="Arial" w:eastAsia="宋体" w:hAnsi="Arial" w:cs="Arial"/>
                <w:color w:val="026DCE"/>
                <w:sz w:val="18"/>
                <w:szCs w:val="18"/>
              </w:rPr>
              <w:t>5,844 </w:t>
            </w:r>
          </w:p>
        </w:tc>
        <w:tc>
          <w:tcPr>
            <w:tcW w:w="0" w:type="auto"/>
            <w:shd w:val="clear" w:color="auto" w:fill="auto"/>
            <w:tcMar>
              <w:top w:w="40" w:type="dxa"/>
              <w:bottom w:w="40" w:type="dxa"/>
              <w:right w:w="20" w:type="dxa"/>
            </w:tcMar>
            <w:vAlign w:val="bottom"/>
          </w:tcPr>
          <w:p w14:paraId="20AE0C62"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0C63"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C64" w14:textId="77777777" w:rsidR="00B626E7" w:rsidRDefault="00175C1D">
            <w:pPr>
              <w:jc w:val="right"/>
              <w:textAlignment w:val="bottom"/>
            </w:pPr>
            <w:r>
              <w:rPr>
                <w:rFonts w:ascii="Arial" w:eastAsia="宋体" w:hAnsi="Arial" w:cs="Arial"/>
                <w:color w:val="333333"/>
                <w:sz w:val="18"/>
                <w:szCs w:val="18"/>
              </w:rPr>
              <w:t>5,136 </w:t>
            </w:r>
          </w:p>
        </w:tc>
        <w:tc>
          <w:tcPr>
            <w:tcW w:w="0" w:type="auto"/>
            <w:shd w:val="clear" w:color="auto" w:fill="auto"/>
            <w:tcMar>
              <w:top w:w="40" w:type="dxa"/>
              <w:bottom w:w="40" w:type="dxa"/>
              <w:right w:w="20" w:type="dxa"/>
            </w:tcMar>
            <w:vAlign w:val="bottom"/>
          </w:tcPr>
          <w:p w14:paraId="20AE0C65"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C66"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C67" w14:textId="77777777" w:rsidR="00B626E7" w:rsidRDefault="00175C1D">
            <w:pPr>
              <w:jc w:val="right"/>
              <w:textAlignment w:val="bottom"/>
            </w:pPr>
            <w:r>
              <w:rPr>
                <w:rFonts w:ascii="Arial" w:eastAsia="宋体" w:hAnsi="Arial" w:cs="Arial"/>
                <w:color w:val="0071C5"/>
                <w:sz w:val="18"/>
                <w:szCs w:val="18"/>
              </w:rPr>
              <w:t>11,701 </w:t>
            </w:r>
          </w:p>
        </w:tc>
        <w:tc>
          <w:tcPr>
            <w:tcW w:w="0" w:type="auto"/>
            <w:shd w:val="clear" w:color="auto" w:fill="auto"/>
            <w:tcMar>
              <w:top w:w="40" w:type="dxa"/>
              <w:bottom w:w="40" w:type="dxa"/>
              <w:right w:w="20" w:type="dxa"/>
            </w:tcMar>
            <w:vAlign w:val="bottom"/>
          </w:tcPr>
          <w:p w14:paraId="20AE0C68"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C69"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C6A" w14:textId="77777777" w:rsidR="00B626E7" w:rsidRDefault="00175C1D">
            <w:pPr>
              <w:jc w:val="right"/>
              <w:textAlignment w:val="bottom"/>
            </w:pPr>
            <w:r>
              <w:rPr>
                <w:rFonts w:ascii="Arial" w:eastAsia="宋体" w:hAnsi="Arial" w:cs="Arial"/>
                <w:color w:val="333333"/>
                <w:sz w:val="18"/>
                <w:szCs w:val="18"/>
              </w:rPr>
              <w:t>10,063 </w:t>
            </w:r>
          </w:p>
        </w:tc>
        <w:tc>
          <w:tcPr>
            <w:tcW w:w="0" w:type="auto"/>
            <w:shd w:val="clear" w:color="auto" w:fill="auto"/>
            <w:tcMar>
              <w:top w:w="40" w:type="dxa"/>
              <w:bottom w:w="40" w:type="dxa"/>
              <w:right w:w="20" w:type="dxa"/>
            </w:tcMar>
            <w:vAlign w:val="bottom"/>
          </w:tcPr>
          <w:p w14:paraId="20AE0C6B"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0C6C" w14:textId="77777777" w:rsidR="00B626E7" w:rsidRDefault="00B626E7">
            <w:pPr>
              <w:rPr>
                <w:rFonts w:ascii="宋体"/>
              </w:rPr>
            </w:pPr>
          </w:p>
        </w:tc>
        <w:tc>
          <w:tcPr>
            <w:tcW w:w="0" w:type="auto"/>
            <w:shd w:val="clear" w:color="auto" w:fill="auto"/>
          </w:tcPr>
          <w:p w14:paraId="20AE0C6D" w14:textId="77777777" w:rsidR="00B626E7" w:rsidRDefault="00B626E7">
            <w:pPr>
              <w:rPr>
                <w:rFonts w:ascii="宋体"/>
              </w:rPr>
            </w:pPr>
          </w:p>
        </w:tc>
        <w:tc>
          <w:tcPr>
            <w:tcW w:w="0" w:type="auto"/>
            <w:shd w:val="clear" w:color="auto" w:fill="auto"/>
          </w:tcPr>
          <w:p w14:paraId="20AE0C6E" w14:textId="77777777" w:rsidR="00B626E7" w:rsidRDefault="00B626E7">
            <w:pPr>
              <w:rPr>
                <w:rFonts w:ascii="宋体"/>
              </w:rPr>
            </w:pPr>
          </w:p>
        </w:tc>
        <w:tc>
          <w:tcPr>
            <w:tcW w:w="0" w:type="auto"/>
            <w:shd w:val="clear" w:color="auto" w:fill="auto"/>
          </w:tcPr>
          <w:p w14:paraId="20AE0C6F" w14:textId="77777777" w:rsidR="00B626E7" w:rsidRDefault="00B626E7">
            <w:pPr>
              <w:rPr>
                <w:rFonts w:ascii="宋体"/>
              </w:rPr>
            </w:pPr>
          </w:p>
        </w:tc>
        <w:tc>
          <w:tcPr>
            <w:tcW w:w="0" w:type="auto"/>
            <w:shd w:val="clear" w:color="auto" w:fill="auto"/>
          </w:tcPr>
          <w:p w14:paraId="20AE0C70" w14:textId="77777777" w:rsidR="00B626E7" w:rsidRDefault="00B626E7">
            <w:pPr>
              <w:rPr>
                <w:rFonts w:ascii="宋体"/>
              </w:rPr>
            </w:pPr>
          </w:p>
        </w:tc>
        <w:tc>
          <w:tcPr>
            <w:tcW w:w="0" w:type="auto"/>
            <w:shd w:val="clear" w:color="auto" w:fill="auto"/>
          </w:tcPr>
          <w:p w14:paraId="20AE0C71" w14:textId="77777777" w:rsidR="00B626E7" w:rsidRDefault="00B626E7">
            <w:pPr>
              <w:rPr>
                <w:rFonts w:ascii="宋体"/>
              </w:rPr>
            </w:pPr>
          </w:p>
        </w:tc>
        <w:tc>
          <w:tcPr>
            <w:tcW w:w="0" w:type="auto"/>
            <w:shd w:val="clear" w:color="auto" w:fill="auto"/>
          </w:tcPr>
          <w:p w14:paraId="20AE0C72" w14:textId="77777777" w:rsidR="00B626E7" w:rsidRDefault="00B626E7">
            <w:pPr>
              <w:rPr>
                <w:rFonts w:ascii="宋体"/>
              </w:rPr>
            </w:pPr>
          </w:p>
        </w:tc>
        <w:tc>
          <w:tcPr>
            <w:tcW w:w="0" w:type="auto"/>
            <w:shd w:val="clear" w:color="auto" w:fill="auto"/>
          </w:tcPr>
          <w:p w14:paraId="20AE0C73" w14:textId="77777777" w:rsidR="00B626E7" w:rsidRDefault="00B626E7">
            <w:pPr>
              <w:rPr>
                <w:rFonts w:ascii="宋体"/>
              </w:rPr>
            </w:pPr>
          </w:p>
        </w:tc>
        <w:tc>
          <w:tcPr>
            <w:tcW w:w="0" w:type="auto"/>
            <w:shd w:val="clear" w:color="auto" w:fill="auto"/>
          </w:tcPr>
          <w:p w14:paraId="20AE0C74" w14:textId="77777777" w:rsidR="00B626E7" w:rsidRDefault="00B626E7">
            <w:pPr>
              <w:rPr>
                <w:rFonts w:ascii="宋体"/>
              </w:rPr>
            </w:pPr>
          </w:p>
        </w:tc>
        <w:tc>
          <w:tcPr>
            <w:tcW w:w="0" w:type="auto"/>
            <w:shd w:val="clear" w:color="auto" w:fill="auto"/>
          </w:tcPr>
          <w:p w14:paraId="20AE0C75" w14:textId="77777777" w:rsidR="00B626E7" w:rsidRDefault="00B626E7">
            <w:pPr>
              <w:rPr>
                <w:rFonts w:ascii="宋体"/>
              </w:rPr>
            </w:pPr>
          </w:p>
        </w:tc>
        <w:tc>
          <w:tcPr>
            <w:tcW w:w="0" w:type="auto"/>
            <w:shd w:val="clear" w:color="auto" w:fill="auto"/>
          </w:tcPr>
          <w:p w14:paraId="20AE0C76" w14:textId="77777777" w:rsidR="00B626E7" w:rsidRDefault="00B626E7">
            <w:pPr>
              <w:rPr>
                <w:rFonts w:ascii="宋体"/>
              </w:rPr>
            </w:pPr>
          </w:p>
        </w:tc>
        <w:tc>
          <w:tcPr>
            <w:tcW w:w="0" w:type="auto"/>
            <w:shd w:val="clear" w:color="auto" w:fill="auto"/>
          </w:tcPr>
          <w:p w14:paraId="20AE0C77" w14:textId="77777777" w:rsidR="00B626E7" w:rsidRDefault="00B626E7">
            <w:pPr>
              <w:rPr>
                <w:rFonts w:ascii="宋体"/>
              </w:rPr>
            </w:pPr>
          </w:p>
        </w:tc>
      </w:tr>
      <w:tr w:rsidR="00B626E7" w14:paraId="20AE0C92" w14:textId="77777777">
        <w:tc>
          <w:tcPr>
            <w:tcW w:w="0" w:type="auto"/>
            <w:gridSpan w:val="3"/>
            <w:shd w:val="clear" w:color="auto" w:fill="auto"/>
            <w:tcMar>
              <w:top w:w="40" w:type="dxa"/>
              <w:left w:w="20" w:type="dxa"/>
              <w:bottom w:w="40" w:type="dxa"/>
              <w:right w:w="20" w:type="dxa"/>
            </w:tcMar>
            <w:vAlign w:val="bottom"/>
          </w:tcPr>
          <w:p w14:paraId="20AE0C79" w14:textId="77777777" w:rsidR="00B626E7" w:rsidRDefault="00175C1D">
            <w:pPr>
              <w:textAlignment w:val="bottom"/>
            </w:pPr>
            <w:r>
              <w:rPr>
                <w:rFonts w:ascii="Arial" w:eastAsia="宋体" w:hAnsi="Arial" w:cs="Arial"/>
                <w:color w:val="333333"/>
                <w:sz w:val="18"/>
                <w:szCs w:val="18"/>
              </w:rPr>
              <w:t>CCG other platform</w:t>
            </w:r>
            <w:r>
              <w:rPr>
                <w:rFonts w:ascii="Arial" w:eastAsia="宋体" w:hAnsi="Arial" w:cs="Arial"/>
                <w:color w:val="333333"/>
                <w:sz w:val="11"/>
                <w:szCs w:val="11"/>
              </w:rPr>
              <w:t>1</w:t>
            </w:r>
          </w:p>
        </w:tc>
        <w:tc>
          <w:tcPr>
            <w:tcW w:w="0" w:type="auto"/>
            <w:gridSpan w:val="3"/>
            <w:shd w:val="clear" w:color="auto" w:fill="auto"/>
            <w:tcMar>
              <w:left w:w="20" w:type="dxa"/>
              <w:right w:w="20" w:type="dxa"/>
            </w:tcMar>
            <w:vAlign w:val="bottom"/>
          </w:tcPr>
          <w:p w14:paraId="20AE0C7A"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C7B" w14:textId="77777777" w:rsidR="00B626E7" w:rsidRDefault="00175C1D">
            <w:pPr>
              <w:jc w:val="right"/>
              <w:textAlignment w:val="bottom"/>
            </w:pPr>
            <w:r>
              <w:rPr>
                <w:rFonts w:ascii="Arial" w:eastAsia="宋体" w:hAnsi="Arial" w:cs="Arial"/>
                <w:color w:val="026DCE"/>
                <w:sz w:val="18"/>
                <w:szCs w:val="18"/>
              </w:rPr>
              <w:t>16 </w:t>
            </w:r>
          </w:p>
        </w:tc>
        <w:tc>
          <w:tcPr>
            <w:tcW w:w="0" w:type="auto"/>
            <w:shd w:val="clear" w:color="auto" w:fill="auto"/>
            <w:tcMar>
              <w:top w:w="40" w:type="dxa"/>
              <w:bottom w:w="40" w:type="dxa"/>
              <w:right w:w="20" w:type="dxa"/>
            </w:tcMar>
            <w:vAlign w:val="bottom"/>
          </w:tcPr>
          <w:p w14:paraId="20AE0C7C"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0C7D"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C7E" w14:textId="77777777" w:rsidR="00B626E7" w:rsidRDefault="00175C1D">
            <w:pPr>
              <w:jc w:val="right"/>
              <w:textAlignment w:val="bottom"/>
            </w:pPr>
            <w:r>
              <w:rPr>
                <w:rFonts w:ascii="Arial" w:eastAsia="宋体" w:hAnsi="Arial" w:cs="Arial"/>
                <w:color w:val="333333"/>
                <w:sz w:val="18"/>
                <w:szCs w:val="18"/>
              </w:rPr>
              <w:t>22 </w:t>
            </w:r>
          </w:p>
        </w:tc>
        <w:tc>
          <w:tcPr>
            <w:tcW w:w="0" w:type="auto"/>
            <w:shd w:val="clear" w:color="auto" w:fill="auto"/>
            <w:tcMar>
              <w:top w:w="40" w:type="dxa"/>
              <w:bottom w:w="40" w:type="dxa"/>
              <w:right w:w="20" w:type="dxa"/>
            </w:tcMar>
            <w:vAlign w:val="bottom"/>
          </w:tcPr>
          <w:p w14:paraId="20AE0C7F"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C80"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C81" w14:textId="77777777" w:rsidR="00B626E7" w:rsidRDefault="00175C1D">
            <w:pPr>
              <w:jc w:val="right"/>
              <w:textAlignment w:val="bottom"/>
            </w:pPr>
            <w:r>
              <w:rPr>
                <w:rFonts w:ascii="Arial" w:eastAsia="宋体" w:hAnsi="Arial" w:cs="Arial"/>
                <w:color w:val="0071C5"/>
                <w:sz w:val="18"/>
                <w:szCs w:val="18"/>
              </w:rPr>
              <w:t>31 </w:t>
            </w:r>
          </w:p>
        </w:tc>
        <w:tc>
          <w:tcPr>
            <w:tcW w:w="0" w:type="auto"/>
            <w:shd w:val="clear" w:color="auto" w:fill="auto"/>
            <w:tcMar>
              <w:top w:w="40" w:type="dxa"/>
              <w:bottom w:w="40" w:type="dxa"/>
              <w:right w:w="20" w:type="dxa"/>
            </w:tcMar>
            <w:vAlign w:val="bottom"/>
          </w:tcPr>
          <w:p w14:paraId="20AE0C82"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C83"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C84" w14:textId="77777777" w:rsidR="00B626E7" w:rsidRDefault="00175C1D">
            <w:pPr>
              <w:jc w:val="right"/>
              <w:textAlignment w:val="bottom"/>
            </w:pPr>
            <w:r>
              <w:rPr>
                <w:rFonts w:ascii="Arial" w:eastAsia="宋体" w:hAnsi="Arial" w:cs="Arial"/>
                <w:color w:val="333333"/>
                <w:sz w:val="18"/>
                <w:szCs w:val="18"/>
              </w:rPr>
              <w:t>33 </w:t>
            </w:r>
          </w:p>
        </w:tc>
        <w:tc>
          <w:tcPr>
            <w:tcW w:w="0" w:type="auto"/>
            <w:shd w:val="clear" w:color="auto" w:fill="auto"/>
            <w:tcMar>
              <w:top w:w="40" w:type="dxa"/>
              <w:bottom w:w="40" w:type="dxa"/>
              <w:right w:w="20" w:type="dxa"/>
            </w:tcMar>
            <w:vAlign w:val="bottom"/>
          </w:tcPr>
          <w:p w14:paraId="20AE0C85"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0C86" w14:textId="77777777" w:rsidR="00B626E7" w:rsidRDefault="00B626E7">
            <w:pPr>
              <w:rPr>
                <w:rFonts w:ascii="宋体"/>
              </w:rPr>
            </w:pPr>
          </w:p>
        </w:tc>
        <w:tc>
          <w:tcPr>
            <w:tcW w:w="0" w:type="auto"/>
            <w:shd w:val="clear" w:color="auto" w:fill="auto"/>
          </w:tcPr>
          <w:p w14:paraId="20AE0C87" w14:textId="77777777" w:rsidR="00B626E7" w:rsidRDefault="00B626E7">
            <w:pPr>
              <w:rPr>
                <w:rFonts w:ascii="宋体"/>
              </w:rPr>
            </w:pPr>
          </w:p>
        </w:tc>
        <w:tc>
          <w:tcPr>
            <w:tcW w:w="0" w:type="auto"/>
            <w:shd w:val="clear" w:color="auto" w:fill="auto"/>
          </w:tcPr>
          <w:p w14:paraId="20AE0C88" w14:textId="77777777" w:rsidR="00B626E7" w:rsidRDefault="00B626E7">
            <w:pPr>
              <w:rPr>
                <w:rFonts w:ascii="宋体"/>
              </w:rPr>
            </w:pPr>
          </w:p>
        </w:tc>
        <w:tc>
          <w:tcPr>
            <w:tcW w:w="0" w:type="auto"/>
            <w:shd w:val="clear" w:color="auto" w:fill="auto"/>
          </w:tcPr>
          <w:p w14:paraId="20AE0C89" w14:textId="77777777" w:rsidR="00B626E7" w:rsidRDefault="00B626E7">
            <w:pPr>
              <w:rPr>
                <w:rFonts w:ascii="宋体"/>
              </w:rPr>
            </w:pPr>
          </w:p>
        </w:tc>
        <w:tc>
          <w:tcPr>
            <w:tcW w:w="0" w:type="auto"/>
            <w:shd w:val="clear" w:color="auto" w:fill="auto"/>
          </w:tcPr>
          <w:p w14:paraId="20AE0C8A" w14:textId="77777777" w:rsidR="00B626E7" w:rsidRDefault="00B626E7">
            <w:pPr>
              <w:rPr>
                <w:rFonts w:ascii="宋体"/>
              </w:rPr>
            </w:pPr>
          </w:p>
        </w:tc>
        <w:tc>
          <w:tcPr>
            <w:tcW w:w="0" w:type="auto"/>
            <w:shd w:val="clear" w:color="auto" w:fill="auto"/>
          </w:tcPr>
          <w:p w14:paraId="20AE0C8B" w14:textId="77777777" w:rsidR="00B626E7" w:rsidRDefault="00B626E7">
            <w:pPr>
              <w:rPr>
                <w:rFonts w:ascii="宋体"/>
              </w:rPr>
            </w:pPr>
          </w:p>
        </w:tc>
        <w:tc>
          <w:tcPr>
            <w:tcW w:w="0" w:type="auto"/>
            <w:shd w:val="clear" w:color="auto" w:fill="auto"/>
          </w:tcPr>
          <w:p w14:paraId="20AE0C8C" w14:textId="77777777" w:rsidR="00B626E7" w:rsidRDefault="00B626E7">
            <w:pPr>
              <w:rPr>
                <w:rFonts w:ascii="宋体"/>
              </w:rPr>
            </w:pPr>
          </w:p>
        </w:tc>
        <w:tc>
          <w:tcPr>
            <w:tcW w:w="0" w:type="auto"/>
            <w:shd w:val="clear" w:color="auto" w:fill="auto"/>
          </w:tcPr>
          <w:p w14:paraId="20AE0C8D" w14:textId="77777777" w:rsidR="00B626E7" w:rsidRDefault="00B626E7">
            <w:pPr>
              <w:rPr>
                <w:rFonts w:ascii="宋体"/>
              </w:rPr>
            </w:pPr>
          </w:p>
        </w:tc>
        <w:tc>
          <w:tcPr>
            <w:tcW w:w="0" w:type="auto"/>
            <w:shd w:val="clear" w:color="auto" w:fill="auto"/>
          </w:tcPr>
          <w:p w14:paraId="20AE0C8E" w14:textId="77777777" w:rsidR="00B626E7" w:rsidRDefault="00B626E7">
            <w:pPr>
              <w:rPr>
                <w:rFonts w:ascii="宋体"/>
              </w:rPr>
            </w:pPr>
          </w:p>
        </w:tc>
        <w:tc>
          <w:tcPr>
            <w:tcW w:w="0" w:type="auto"/>
            <w:shd w:val="clear" w:color="auto" w:fill="auto"/>
          </w:tcPr>
          <w:p w14:paraId="20AE0C8F" w14:textId="77777777" w:rsidR="00B626E7" w:rsidRDefault="00B626E7">
            <w:pPr>
              <w:rPr>
                <w:rFonts w:ascii="宋体"/>
              </w:rPr>
            </w:pPr>
          </w:p>
        </w:tc>
        <w:tc>
          <w:tcPr>
            <w:tcW w:w="0" w:type="auto"/>
            <w:shd w:val="clear" w:color="auto" w:fill="auto"/>
          </w:tcPr>
          <w:p w14:paraId="20AE0C90" w14:textId="77777777" w:rsidR="00B626E7" w:rsidRDefault="00B626E7">
            <w:pPr>
              <w:rPr>
                <w:rFonts w:ascii="宋体"/>
              </w:rPr>
            </w:pPr>
          </w:p>
        </w:tc>
        <w:tc>
          <w:tcPr>
            <w:tcW w:w="0" w:type="auto"/>
            <w:shd w:val="clear" w:color="auto" w:fill="auto"/>
          </w:tcPr>
          <w:p w14:paraId="20AE0C91" w14:textId="77777777" w:rsidR="00B626E7" w:rsidRDefault="00B626E7">
            <w:pPr>
              <w:rPr>
                <w:rFonts w:ascii="宋体"/>
              </w:rPr>
            </w:pPr>
          </w:p>
        </w:tc>
      </w:tr>
      <w:tr w:rsidR="00B626E7" w14:paraId="20AE0CAC" w14:textId="77777777">
        <w:tc>
          <w:tcPr>
            <w:tcW w:w="0" w:type="auto"/>
            <w:gridSpan w:val="3"/>
            <w:shd w:val="clear" w:color="auto" w:fill="auto"/>
            <w:tcMar>
              <w:left w:w="20" w:type="dxa"/>
              <w:right w:w="20" w:type="dxa"/>
            </w:tcMar>
            <w:vAlign w:val="bottom"/>
          </w:tcPr>
          <w:p w14:paraId="20AE0C93"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C94"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0C95" w14:textId="77777777" w:rsidR="00B626E7" w:rsidRDefault="00175C1D">
            <w:pPr>
              <w:jc w:val="right"/>
              <w:textAlignment w:val="bottom"/>
            </w:pPr>
            <w:r>
              <w:rPr>
                <w:rFonts w:ascii="Arial" w:eastAsia="宋体" w:hAnsi="Arial" w:cs="Arial"/>
                <w:b/>
                <w:bCs/>
                <w:color w:val="026DCE"/>
                <w:sz w:val="18"/>
                <w:szCs w:val="18"/>
              </w:rPr>
              <w:t>15,028 </w:t>
            </w:r>
          </w:p>
        </w:tc>
        <w:tc>
          <w:tcPr>
            <w:tcW w:w="0" w:type="auto"/>
            <w:tcBorders>
              <w:top w:val="single" w:sz="8" w:space="0" w:color="333333"/>
            </w:tcBorders>
            <w:shd w:val="clear" w:color="auto" w:fill="auto"/>
            <w:tcMar>
              <w:top w:w="40" w:type="dxa"/>
              <w:bottom w:w="40" w:type="dxa"/>
              <w:right w:w="20" w:type="dxa"/>
            </w:tcMar>
            <w:vAlign w:val="bottom"/>
          </w:tcPr>
          <w:p w14:paraId="20AE0C96"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0C97"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0C98" w14:textId="77777777" w:rsidR="00B626E7" w:rsidRDefault="00175C1D">
            <w:pPr>
              <w:jc w:val="right"/>
              <w:textAlignment w:val="bottom"/>
            </w:pPr>
            <w:r>
              <w:rPr>
                <w:rFonts w:ascii="Arial" w:eastAsia="宋体" w:hAnsi="Arial" w:cs="Arial"/>
                <w:b/>
                <w:bCs/>
                <w:color w:val="333333"/>
                <w:sz w:val="18"/>
                <w:szCs w:val="18"/>
              </w:rPr>
              <w:t>13,369 </w:t>
            </w:r>
          </w:p>
        </w:tc>
        <w:tc>
          <w:tcPr>
            <w:tcW w:w="0" w:type="auto"/>
            <w:tcBorders>
              <w:top w:val="single" w:sz="8" w:space="0" w:color="333333"/>
            </w:tcBorders>
            <w:shd w:val="clear" w:color="auto" w:fill="auto"/>
            <w:tcMar>
              <w:top w:w="40" w:type="dxa"/>
              <w:bottom w:w="40" w:type="dxa"/>
              <w:right w:w="20" w:type="dxa"/>
            </w:tcMar>
            <w:vAlign w:val="bottom"/>
          </w:tcPr>
          <w:p w14:paraId="20AE0C99"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0C9A"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0C9B" w14:textId="77777777" w:rsidR="00B626E7" w:rsidRDefault="00175C1D">
            <w:pPr>
              <w:jc w:val="right"/>
              <w:textAlignment w:val="bottom"/>
            </w:pPr>
            <w:r>
              <w:rPr>
                <w:rFonts w:ascii="Arial" w:eastAsia="宋体" w:hAnsi="Arial" w:cs="Arial"/>
                <w:b/>
                <w:bCs/>
                <w:color w:val="0071C5"/>
                <w:sz w:val="18"/>
                <w:szCs w:val="18"/>
              </w:rPr>
              <w:t>30,962 </w:t>
            </w:r>
          </w:p>
        </w:tc>
        <w:tc>
          <w:tcPr>
            <w:tcW w:w="0" w:type="auto"/>
            <w:tcBorders>
              <w:top w:val="single" w:sz="8" w:space="0" w:color="333333"/>
            </w:tcBorders>
            <w:shd w:val="clear" w:color="auto" w:fill="auto"/>
            <w:tcMar>
              <w:top w:w="40" w:type="dxa"/>
              <w:bottom w:w="40" w:type="dxa"/>
              <w:right w:w="20" w:type="dxa"/>
            </w:tcMar>
            <w:vAlign w:val="bottom"/>
          </w:tcPr>
          <w:p w14:paraId="20AE0C9C"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0C9D"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0C9E" w14:textId="77777777" w:rsidR="00B626E7" w:rsidRDefault="00175C1D">
            <w:pPr>
              <w:jc w:val="right"/>
              <w:textAlignment w:val="bottom"/>
            </w:pPr>
            <w:r>
              <w:rPr>
                <w:rFonts w:ascii="Arial" w:eastAsia="宋体" w:hAnsi="Arial" w:cs="Arial"/>
                <w:b/>
                <w:bCs/>
                <w:color w:val="333333"/>
                <w:sz w:val="18"/>
                <w:szCs w:val="18"/>
              </w:rPr>
              <w:t>26,500 </w:t>
            </w:r>
          </w:p>
        </w:tc>
        <w:tc>
          <w:tcPr>
            <w:tcW w:w="0" w:type="auto"/>
            <w:tcBorders>
              <w:top w:val="single" w:sz="8" w:space="0" w:color="333333"/>
            </w:tcBorders>
            <w:shd w:val="clear" w:color="auto" w:fill="auto"/>
            <w:tcMar>
              <w:top w:w="40" w:type="dxa"/>
              <w:bottom w:w="40" w:type="dxa"/>
              <w:right w:w="20" w:type="dxa"/>
            </w:tcMar>
            <w:vAlign w:val="bottom"/>
          </w:tcPr>
          <w:p w14:paraId="20AE0C9F"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E0CA0" w14:textId="77777777" w:rsidR="00B626E7" w:rsidRDefault="00B626E7">
            <w:pPr>
              <w:rPr>
                <w:rFonts w:ascii="宋体"/>
              </w:rPr>
            </w:pPr>
          </w:p>
        </w:tc>
        <w:tc>
          <w:tcPr>
            <w:tcW w:w="0" w:type="auto"/>
            <w:shd w:val="clear" w:color="auto" w:fill="auto"/>
          </w:tcPr>
          <w:p w14:paraId="20AE0CA1" w14:textId="77777777" w:rsidR="00B626E7" w:rsidRDefault="00B626E7">
            <w:pPr>
              <w:rPr>
                <w:rFonts w:ascii="宋体"/>
              </w:rPr>
            </w:pPr>
          </w:p>
        </w:tc>
        <w:tc>
          <w:tcPr>
            <w:tcW w:w="0" w:type="auto"/>
            <w:shd w:val="clear" w:color="auto" w:fill="auto"/>
          </w:tcPr>
          <w:p w14:paraId="20AE0CA2" w14:textId="77777777" w:rsidR="00B626E7" w:rsidRDefault="00B626E7">
            <w:pPr>
              <w:rPr>
                <w:rFonts w:ascii="宋体"/>
              </w:rPr>
            </w:pPr>
          </w:p>
        </w:tc>
        <w:tc>
          <w:tcPr>
            <w:tcW w:w="0" w:type="auto"/>
            <w:shd w:val="clear" w:color="auto" w:fill="auto"/>
          </w:tcPr>
          <w:p w14:paraId="20AE0CA3" w14:textId="77777777" w:rsidR="00B626E7" w:rsidRDefault="00B626E7">
            <w:pPr>
              <w:rPr>
                <w:rFonts w:ascii="宋体"/>
              </w:rPr>
            </w:pPr>
          </w:p>
        </w:tc>
        <w:tc>
          <w:tcPr>
            <w:tcW w:w="0" w:type="auto"/>
            <w:shd w:val="clear" w:color="auto" w:fill="auto"/>
          </w:tcPr>
          <w:p w14:paraId="20AE0CA4" w14:textId="77777777" w:rsidR="00B626E7" w:rsidRDefault="00B626E7">
            <w:pPr>
              <w:rPr>
                <w:rFonts w:ascii="宋体"/>
              </w:rPr>
            </w:pPr>
          </w:p>
        </w:tc>
        <w:tc>
          <w:tcPr>
            <w:tcW w:w="0" w:type="auto"/>
            <w:shd w:val="clear" w:color="auto" w:fill="auto"/>
          </w:tcPr>
          <w:p w14:paraId="20AE0CA5" w14:textId="77777777" w:rsidR="00B626E7" w:rsidRDefault="00B626E7">
            <w:pPr>
              <w:rPr>
                <w:rFonts w:ascii="宋体"/>
              </w:rPr>
            </w:pPr>
          </w:p>
        </w:tc>
        <w:tc>
          <w:tcPr>
            <w:tcW w:w="0" w:type="auto"/>
            <w:shd w:val="clear" w:color="auto" w:fill="auto"/>
          </w:tcPr>
          <w:p w14:paraId="20AE0CA6" w14:textId="77777777" w:rsidR="00B626E7" w:rsidRDefault="00B626E7">
            <w:pPr>
              <w:rPr>
                <w:rFonts w:ascii="宋体"/>
              </w:rPr>
            </w:pPr>
          </w:p>
        </w:tc>
        <w:tc>
          <w:tcPr>
            <w:tcW w:w="0" w:type="auto"/>
            <w:shd w:val="clear" w:color="auto" w:fill="auto"/>
          </w:tcPr>
          <w:p w14:paraId="20AE0CA7" w14:textId="77777777" w:rsidR="00B626E7" w:rsidRDefault="00B626E7">
            <w:pPr>
              <w:rPr>
                <w:rFonts w:ascii="宋体"/>
              </w:rPr>
            </w:pPr>
          </w:p>
        </w:tc>
        <w:tc>
          <w:tcPr>
            <w:tcW w:w="0" w:type="auto"/>
            <w:shd w:val="clear" w:color="auto" w:fill="auto"/>
          </w:tcPr>
          <w:p w14:paraId="20AE0CA8" w14:textId="77777777" w:rsidR="00B626E7" w:rsidRDefault="00B626E7">
            <w:pPr>
              <w:rPr>
                <w:rFonts w:ascii="宋体"/>
              </w:rPr>
            </w:pPr>
          </w:p>
        </w:tc>
        <w:tc>
          <w:tcPr>
            <w:tcW w:w="0" w:type="auto"/>
            <w:shd w:val="clear" w:color="auto" w:fill="auto"/>
          </w:tcPr>
          <w:p w14:paraId="20AE0CA9" w14:textId="77777777" w:rsidR="00B626E7" w:rsidRDefault="00B626E7">
            <w:pPr>
              <w:rPr>
                <w:rFonts w:ascii="宋体"/>
              </w:rPr>
            </w:pPr>
          </w:p>
        </w:tc>
        <w:tc>
          <w:tcPr>
            <w:tcW w:w="0" w:type="auto"/>
            <w:shd w:val="clear" w:color="auto" w:fill="auto"/>
          </w:tcPr>
          <w:p w14:paraId="20AE0CAA" w14:textId="77777777" w:rsidR="00B626E7" w:rsidRDefault="00B626E7">
            <w:pPr>
              <w:rPr>
                <w:rFonts w:ascii="宋体"/>
              </w:rPr>
            </w:pPr>
          </w:p>
        </w:tc>
        <w:tc>
          <w:tcPr>
            <w:tcW w:w="0" w:type="auto"/>
            <w:shd w:val="clear" w:color="auto" w:fill="auto"/>
          </w:tcPr>
          <w:p w14:paraId="20AE0CAB" w14:textId="77777777" w:rsidR="00B626E7" w:rsidRDefault="00B626E7">
            <w:pPr>
              <w:rPr>
                <w:rFonts w:ascii="宋体"/>
              </w:rPr>
            </w:pPr>
          </w:p>
        </w:tc>
      </w:tr>
      <w:tr w:rsidR="00B626E7" w14:paraId="20AE0CC2" w14:textId="77777777">
        <w:trPr>
          <w:trHeight w:val="60"/>
        </w:trPr>
        <w:tc>
          <w:tcPr>
            <w:tcW w:w="0" w:type="auto"/>
            <w:gridSpan w:val="3"/>
            <w:shd w:val="clear" w:color="auto" w:fill="auto"/>
            <w:tcMar>
              <w:left w:w="20" w:type="dxa"/>
              <w:right w:w="20" w:type="dxa"/>
            </w:tcMar>
            <w:vAlign w:val="bottom"/>
          </w:tcPr>
          <w:p w14:paraId="20AE0CAD"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CAE"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CAF"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CB0"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CB1"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CB2"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CB3"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CB4"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CB5" w14:textId="77777777" w:rsidR="00B626E7" w:rsidRDefault="00B626E7">
            <w:pPr>
              <w:rPr>
                <w:rFonts w:ascii="宋体"/>
              </w:rPr>
            </w:pPr>
          </w:p>
        </w:tc>
        <w:tc>
          <w:tcPr>
            <w:tcW w:w="0" w:type="auto"/>
            <w:shd w:val="clear" w:color="auto" w:fill="auto"/>
          </w:tcPr>
          <w:p w14:paraId="20AE0CB6" w14:textId="77777777" w:rsidR="00B626E7" w:rsidRDefault="00B626E7">
            <w:pPr>
              <w:rPr>
                <w:rFonts w:ascii="宋体"/>
              </w:rPr>
            </w:pPr>
          </w:p>
        </w:tc>
        <w:tc>
          <w:tcPr>
            <w:tcW w:w="0" w:type="auto"/>
            <w:shd w:val="clear" w:color="auto" w:fill="auto"/>
          </w:tcPr>
          <w:p w14:paraId="20AE0CB7" w14:textId="77777777" w:rsidR="00B626E7" w:rsidRDefault="00B626E7">
            <w:pPr>
              <w:rPr>
                <w:rFonts w:ascii="宋体"/>
              </w:rPr>
            </w:pPr>
          </w:p>
        </w:tc>
        <w:tc>
          <w:tcPr>
            <w:tcW w:w="0" w:type="auto"/>
            <w:shd w:val="clear" w:color="auto" w:fill="auto"/>
          </w:tcPr>
          <w:p w14:paraId="20AE0CB8" w14:textId="77777777" w:rsidR="00B626E7" w:rsidRDefault="00B626E7">
            <w:pPr>
              <w:rPr>
                <w:rFonts w:ascii="宋体"/>
              </w:rPr>
            </w:pPr>
          </w:p>
        </w:tc>
        <w:tc>
          <w:tcPr>
            <w:tcW w:w="0" w:type="auto"/>
            <w:shd w:val="clear" w:color="auto" w:fill="auto"/>
          </w:tcPr>
          <w:p w14:paraId="20AE0CB9" w14:textId="77777777" w:rsidR="00B626E7" w:rsidRDefault="00B626E7">
            <w:pPr>
              <w:rPr>
                <w:rFonts w:ascii="宋体"/>
              </w:rPr>
            </w:pPr>
          </w:p>
        </w:tc>
        <w:tc>
          <w:tcPr>
            <w:tcW w:w="0" w:type="auto"/>
            <w:shd w:val="clear" w:color="auto" w:fill="auto"/>
          </w:tcPr>
          <w:p w14:paraId="20AE0CBA" w14:textId="77777777" w:rsidR="00B626E7" w:rsidRDefault="00B626E7">
            <w:pPr>
              <w:rPr>
                <w:rFonts w:ascii="宋体"/>
              </w:rPr>
            </w:pPr>
          </w:p>
        </w:tc>
        <w:tc>
          <w:tcPr>
            <w:tcW w:w="0" w:type="auto"/>
            <w:shd w:val="clear" w:color="auto" w:fill="auto"/>
          </w:tcPr>
          <w:p w14:paraId="20AE0CBB" w14:textId="77777777" w:rsidR="00B626E7" w:rsidRDefault="00B626E7">
            <w:pPr>
              <w:rPr>
                <w:rFonts w:ascii="宋体"/>
              </w:rPr>
            </w:pPr>
          </w:p>
        </w:tc>
        <w:tc>
          <w:tcPr>
            <w:tcW w:w="0" w:type="auto"/>
            <w:shd w:val="clear" w:color="auto" w:fill="auto"/>
          </w:tcPr>
          <w:p w14:paraId="20AE0CBC" w14:textId="77777777" w:rsidR="00B626E7" w:rsidRDefault="00B626E7">
            <w:pPr>
              <w:rPr>
                <w:rFonts w:ascii="宋体"/>
              </w:rPr>
            </w:pPr>
          </w:p>
        </w:tc>
        <w:tc>
          <w:tcPr>
            <w:tcW w:w="0" w:type="auto"/>
            <w:shd w:val="clear" w:color="auto" w:fill="auto"/>
          </w:tcPr>
          <w:p w14:paraId="20AE0CBD" w14:textId="77777777" w:rsidR="00B626E7" w:rsidRDefault="00B626E7">
            <w:pPr>
              <w:rPr>
                <w:rFonts w:ascii="宋体"/>
              </w:rPr>
            </w:pPr>
          </w:p>
        </w:tc>
        <w:tc>
          <w:tcPr>
            <w:tcW w:w="0" w:type="auto"/>
            <w:shd w:val="clear" w:color="auto" w:fill="auto"/>
          </w:tcPr>
          <w:p w14:paraId="20AE0CBE" w14:textId="77777777" w:rsidR="00B626E7" w:rsidRDefault="00B626E7">
            <w:pPr>
              <w:rPr>
                <w:rFonts w:ascii="宋体"/>
              </w:rPr>
            </w:pPr>
          </w:p>
        </w:tc>
        <w:tc>
          <w:tcPr>
            <w:tcW w:w="0" w:type="auto"/>
            <w:shd w:val="clear" w:color="auto" w:fill="auto"/>
          </w:tcPr>
          <w:p w14:paraId="20AE0CBF" w14:textId="77777777" w:rsidR="00B626E7" w:rsidRDefault="00B626E7">
            <w:pPr>
              <w:rPr>
                <w:rFonts w:ascii="宋体"/>
              </w:rPr>
            </w:pPr>
          </w:p>
        </w:tc>
        <w:tc>
          <w:tcPr>
            <w:tcW w:w="0" w:type="auto"/>
            <w:shd w:val="clear" w:color="auto" w:fill="auto"/>
          </w:tcPr>
          <w:p w14:paraId="20AE0CC0" w14:textId="77777777" w:rsidR="00B626E7" w:rsidRDefault="00B626E7">
            <w:pPr>
              <w:rPr>
                <w:rFonts w:ascii="宋体"/>
              </w:rPr>
            </w:pPr>
          </w:p>
        </w:tc>
        <w:tc>
          <w:tcPr>
            <w:tcW w:w="0" w:type="auto"/>
            <w:shd w:val="clear" w:color="auto" w:fill="auto"/>
          </w:tcPr>
          <w:p w14:paraId="20AE0CC1" w14:textId="77777777" w:rsidR="00B626E7" w:rsidRDefault="00B626E7">
            <w:pPr>
              <w:rPr>
                <w:rFonts w:ascii="宋体"/>
              </w:rPr>
            </w:pPr>
          </w:p>
        </w:tc>
      </w:tr>
      <w:tr w:rsidR="00B626E7" w14:paraId="20AE0CDC" w14:textId="77777777">
        <w:tc>
          <w:tcPr>
            <w:tcW w:w="0" w:type="auto"/>
            <w:gridSpan w:val="3"/>
            <w:shd w:val="clear" w:color="auto" w:fill="auto"/>
            <w:tcMar>
              <w:top w:w="40" w:type="dxa"/>
              <w:left w:w="20" w:type="dxa"/>
              <w:bottom w:w="40" w:type="dxa"/>
              <w:right w:w="20" w:type="dxa"/>
            </w:tcMar>
            <w:vAlign w:val="bottom"/>
          </w:tcPr>
          <w:p w14:paraId="20AE0CC3" w14:textId="77777777" w:rsidR="00B626E7" w:rsidRDefault="00175C1D">
            <w:pPr>
              <w:textAlignment w:val="bottom"/>
            </w:pPr>
            <w:r>
              <w:rPr>
                <w:rFonts w:ascii="Arial" w:eastAsia="宋体" w:hAnsi="Arial" w:cs="Arial"/>
                <w:b/>
                <w:bCs/>
                <w:color w:val="333333"/>
                <w:sz w:val="18"/>
                <w:szCs w:val="18"/>
              </w:rPr>
              <w:t>Adjacent revenue</w:t>
            </w:r>
            <w:r>
              <w:rPr>
                <w:rFonts w:ascii="Arial" w:eastAsia="宋体" w:hAnsi="Arial" w:cs="Arial"/>
                <w:b/>
                <w:bCs/>
                <w:color w:val="333333"/>
                <w:sz w:val="11"/>
                <w:szCs w:val="11"/>
              </w:rPr>
              <w:t>2</w:t>
            </w:r>
          </w:p>
        </w:tc>
        <w:tc>
          <w:tcPr>
            <w:tcW w:w="0" w:type="auto"/>
            <w:gridSpan w:val="3"/>
            <w:shd w:val="clear" w:color="auto" w:fill="auto"/>
            <w:tcMar>
              <w:left w:w="20" w:type="dxa"/>
              <w:right w:w="20" w:type="dxa"/>
            </w:tcMar>
            <w:vAlign w:val="bottom"/>
          </w:tcPr>
          <w:p w14:paraId="20AE0CC4"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CC5" w14:textId="77777777" w:rsidR="00B626E7" w:rsidRDefault="00175C1D">
            <w:pPr>
              <w:jc w:val="right"/>
              <w:textAlignment w:val="bottom"/>
            </w:pPr>
            <w:r>
              <w:rPr>
                <w:rFonts w:ascii="Arial" w:eastAsia="宋体" w:hAnsi="Arial" w:cs="Arial"/>
                <w:b/>
                <w:bCs/>
                <w:color w:val="026DCE"/>
                <w:sz w:val="18"/>
                <w:szCs w:val="18"/>
              </w:rPr>
              <w:t>4,700 </w:t>
            </w:r>
          </w:p>
        </w:tc>
        <w:tc>
          <w:tcPr>
            <w:tcW w:w="0" w:type="auto"/>
            <w:shd w:val="clear" w:color="auto" w:fill="auto"/>
            <w:tcMar>
              <w:top w:w="40" w:type="dxa"/>
              <w:bottom w:w="40" w:type="dxa"/>
              <w:right w:w="20" w:type="dxa"/>
            </w:tcMar>
            <w:vAlign w:val="bottom"/>
          </w:tcPr>
          <w:p w14:paraId="20AE0CC6"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0CC7"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CC8" w14:textId="77777777" w:rsidR="00B626E7" w:rsidRDefault="00175C1D">
            <w:pPr>
              <w:jc w:val="right"/>
              <w:textAlignment w:val="bottom"/>
            </w:pPr>
            <w:r>
              <w:rPr>
                <w:rFonts w:ascii="Arial" w:eastAsia="宋体" w:hAnsi="Arial" w:cs="Arial"/>
                <w:b/>
                <w:bCs/>
                <w:color w:val="333333"/>
                <w:sz w:val="18"/>
                <w:szCs w:val="18"/>
              </w:rPr>
              <w:t>3,136 </w:t>
            </w:r>
          </w:p>
        </w:tc>
        <w:tc>
          <w:tcPr>
            <w:tcW w:w="0" w:type="auto"/>
            <w:shd w:val="clear" w:color="auto" w:fill="auto"/>
            <w:tcMar>
              <w:top w:w="40" w:type="dxa"/>
              <w:bottom w:w="40" w:type="dxa"/>
              <w:right w:w="20" w:type="dxa"/>
            </w:tcMar>
            <w:vAlign w:val="bottom"/>
          </w:tcPr>
          <w:p w14:paraId="20AE0CC9"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0CCA"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CCB" w14:textId="77777777" w:rsidR="00B626E7" w:rsidRDefault="00175C1D">
            <w:pPr>
              <w:jc w:val="right"/>
              <w:textAlignment w:val="bottom"/>
            </w:pPr>
            <w:r>
              <w:rPr>
                <w:rFonts w:ascii="Arial" w:eastAsia="宋体" w:hAnsi="Arial" w:cs="Arial"/>
                <w:b/>
                <w:bCs/>
                <w:color w:val="0071C5"/>
                <w:sz w:val="18"/>
                <w:szCs w:val="18"/>
              </w:rPr>
              <w:t>8,594 </w:t>
            </w:r>
          </w:p>
        </w:tc>
        <w:tc>
          <w:tcPr>
            <w:tcW w:w="0" w:type="auto"/>
            <w:shd w:val="clear" w:color="auto" w:fill="auto"/>
            <w:tcMar>
              <w:top w:w="40" w:type="dxa"/>
              <w:bottom w:w="40" w:type="dxa"/>
              <w:right w:w="20" w:type="dxa"/>
            </w:tcMar>
            <w:vAlign w:val="bottom"/>
          </w:tcPr>
          <w:p w14:paraId="20AE0CCC"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0CCD"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CCE" w14:textId="77777777" w:rsidR="00B626E7" w:rsidRDefault="00175C1D">
            <w:pPr>
              <w:jc w:val="right"/>
              <w:textAlignment w:val="bottom"/>
            </w:pPr>
            <w:r>
              <w:rPr>
                <w:rFonts w:ascii="Arial" w:eastAsia="宋体" w:hAnsi="Arial" w:cs="Arial"/>
                <w:b/>
                <w:bCs/>
                <w:color w:val="333333"/>
                <w:sz w:val="18"/>
                <w:szCs w:val="18"/>
              </w:rPr>
              <w:t>6,066 </w:t>
            </w:r>
          </w:p>
        </w:tc>
        <w:tc>
          <w:tcPr>
            <w:tcW w:w="0" w:type="auto"/>
            <w:shd w:val="clear" w:color="auto" w:fill="auto"/>
            <w:tcMar>
              <w:top w:w="40" w:type="dxa"/>
              <w:bottom w:w="40" w:type="dxa"/>
              <w:right w:w="20" w:type="dxa"/>
            </w:tcMar>
            <w:vAlign w:val="bottom"/>
          </w:tcPr>
          <w:p w14:paraId="20AE0CCF"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E0CD0" w14:textId="77777777" w:rsidR="00B626E7" w:rsidRDefault="00B626E7">
            <w:pPr>
              <w:rPr>
                <w:rFonts w:ascii="宋体"/>
              </w:rPr>
            </w:pPr>
          </w:p>
        </w:tc>
        <w:tc>
          <w:tcPr>
            <w:tcW w:w="0" w:type="auto"/>
            <w:shd w:val="clear" w:color="auto" w:fill="auto"/>
          </w:tcPr>
          <w:p w14:paraId="20AE0CD1" w14:textId="77777777" w:rsidR="00B626E7" w:rsidRDefault="00B626E7">
            <w:pPr>
              <w:rPr>
                <w:rFonts w:ascii="宋体"/>
              </w:rPr>
            </w:pPr>
          </w:p>
        </w:tc>
        <w:tc>
          <w:tcPr>
            <w:tcW w:w="0" w:type="auto"/>
            <w:shd w:val="clear" w:color="auto" w:fill="auto"/>
          </w:tcPr>
          <w:p w14:paraId="20AE0CD2" w14:textId="77777777" w:rsidR="00B626E7" w:rsidRDefault="00B626E7">
            <w:pPr>
              <w:rPr>
                <w:rFonts w:ascii="宋体"/>
              </w:rPr>
            </w:pPr>
          </w:p>
        </w:tc>
        <w:tc>
          <w:tcPr>
            <w:tcW w:w="0" w:type="auto"/>
            <w:shd w:val="clear" w:color="auto" w:fill="auto"/>
          </w:tcPr>
          <w:p w14:paraId="20AE0CD3" w14:textId="77777777" w:rsidR="00B626E7" w:rsidRDefault="00B626E7">
            <w:pPr>
              <w:rPr>
                <w:rFonts w:ascii="宋体"/>
              </w:rPr>
            </w:pPr>
          </w:p>
        </w:tc>
        <w:tc>
          <w:tcPr>
            <w:tcW w:w="0" w:type="auto"/>
            <w:shd w:val="clear" w:color="auto" w:fill="auto"/>
          </w:tcPr>
          <w:p w14:paraId="20AE0CD4" w14:textId="77777777" w:rsidR="00B626E7" w:rsidRDefault="00B626E7">
            <w:pPr>
              <w:rPr>
                <w:rFonts w:ascii="宋体"/>
              </w:rPr>
            </w:pPr>
          </w:p>
        </w:tc>
        <w:tc>
          <w:tcPr>
            <w:tcW w:w="0" w:type="auto"/>
            <w:shd w:val="clear" w:color="auto" w:fill="auto"/>
          </w:tcPr>
          <w:p w14:paraId="20AE0CD5" w14:textId="77777777" w:rsidR="00B626E7" w:rsidRDefault="00B626E7">
            <w:pPr>
              <w:rPr>
                <w:rFonts w:ascii="宋体"/>
              </w:rPr>
            </w:pPr>
          </w:p>
        </w:tc>
        <w:tc>
          <w:tcPr>
            <w:tcW w:w="0" w:type="auto"/>
            <w:shd w:val="clear" w:color="auto" w:fill="auto"/>
          </w:tcPr>
          <w:p w14:paraId="20AE0CD6" w14:textId="77777777" w:rsidR="00B626E7" w:rsidRDefault="00B626E7">
            <w:pPr>
              <w:rPr>
                <w:rFonts w:ascii="宋体"/>
              </w:rPr>
            </w:pPr>
          </w:p>
        </w:tc>
        <w:tc>
          <w:tcPr>
            <w:tcW w:w="0" w:type="auto"/>
            <w:shd w:val="clear" w:color="auto" w:fill="auto"/>
          </w:tcPr>
          <w:p w14:paraId="20AE0CD7" w14:textId="77777777" w:rsidR="00B626E7" w:rsidRDefault="00B626E7">
            <w:pPr>
              <w:rPr>
                <w:rFonts w:ascii="宋体"/>
              </w:rPr>
            </w:pPr>
          </w:p>
        </w:tc>
        <w:tc>
          <w:tcPr>
            <w:tcW w:w="0" w:type="auto"/>
            <w:shd w:val="clear" w:color="auto" w:fill="auto"/>
          </w:tcPr>
          <w:p w14:paraId="20AE0CD8" w14:textId="77777777" w:rsidR="00B626E7" w:rsidRDefault="00B626E7">
            <w:pPr>
              <w:rPr>
                <w:rFonts w:ascii="宋体"/>
              </w:rPr>
            </w:pPr>
          </w:p>
        </w:tc>
        <w:tc>
          <w:tcPr>
            <w:tcW w:w="0" w:type="auto"/>
            <w:shd w:val="clear" w:color="auto" w:fill="auto"/>
          </w:tcPr>
          <w:p w14:paraId="20AE0CD9" w14:textId="77777777" w:rsidR="00B626E7" w:rsidRDefault="00B626E7">
            <w:pPr>
              <w:rPr>
                <w:rFonts w:ascii="宋体"/>
              </w:rPr>
            </w:pPr>
          </w:p>
        </w:tc>
        <w:tc>
          <w:tcPr>
            <w:tcW w:w="0" w:type="auto"/>
            <w:shd w:val="clear" w:color="auto" w:fill="auto"/>
          </w:tcPr>
          <w:p w14:paraId="20AE0CDA" w14:textId="77777777" w:rsidR="00B626E7" w:rsidRDefault="00B626E7">
            <w:pPr>
              <w:rPr>
                <w:rFonts w:ascii="宋体"/>
              </w:rPr>
            </w:pPr>
          </w:p>
        </w:tc>
        <w:tc>
          <w:tcPr>
            <w:tcW w:w="0" w:type="auto"/>
            <w:shd w:val="clear" w:color="auto" w:fill="auto"/>
          </w:tcPr>
          <w:p w14:paraId="20AE0CDB" w14:textId="77777777" w:rsidR="00B626E7" w:rsidRDefault="00B626E7">
            <w:pPr>
              <w:rPr>
                <w:rFonts w:ascii="宋体"/>
              </w:rPr>
            </w:pPr>
          </w:p>
        </w:tc>
      </w:tr>
      <w:tr w:rsidR="00B626E7" w14:paraId="20AE0CFA" w14:textId="77777777">
        <w:tc>
          <w:tcPr>
            <w:tcW w:w="0" w:type="auto"/>
            <w:gridSpan w:val="3"/>
            <w:shd w:val="clear" w:color="auto" w:fill="auto"/>
            <w:tcMar>
              <w:top w:w="40" w:type="dxa"/>
              <w:left w:w="20" w:type="dxa"/>
              <w:bottom w:w="40" w:type="dxa"/>
              <w:right w:w="20" w:type="dxa"/>
            </w:tcMar>
            <w:vAlign w:val="bottom"/>
          </w:tcPr>
          <w:p w14:paraId="20AE0CDD" w14:textId="77777777" w:rsidR="00B626E7" w:rsidRDefault="00175C1D">
            <w:pPr>
              <w:textAlignment w:val="bottom"/>
            </w:pPr>
            <w:r>
              <w:rPr>
                <w:rFonts w:ascii="Arial" w:eastAsia="宋体" w:hAnsi="Arial" w:cs="Arial"/>
                <w:b/>
                <w:bCs/>
                <w:color w:val="333333"/>
                <w:sz w:val="18"/>
                <w:szCs w:val="18"/>
              </w:rPr>
              <w:t>Total revenue</w:t>
            </w:r>
          </w:p>
        </w:tc>
        <w:tc>
          <w:tcPr>
            <w:tcW w:w="0" w:type="auto"/>
            <w:gridSpan w:val="3"/>
            <w:shd w:val="clear" w:color="auto" w:fill="auto"/>
            <w:tcMar>
              <w:left w:w="20" w:type="dxa"/>
              <w:right w:w="20" w:type="dxa"/>
            </w:tcMar>
            <w:vAlign w:val="bottom"/>
          </w:tcPr>
          <w:p w14:paraId="20AE0CDE"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0CDF" w14:textId="77777777" w:rsidR="00B626E7" w:rsidRDefault="00175C1D">
            <w:pPr>
              <w:textAlignment w:val="bottom"/>
            </w:pPr>
            <w:r>
              <w:rPr>
                <w:rFonts w:ascii="Arial" w:eastAsia="宋体" w:hAnsi="Arial" w:cs="Arial"/>
                <w:b/>
                <w:bCs/>
                <w:color w:val="026DCE"/>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0CE0" w14:textId="77777777" w:rsidR="00B626E7" w:rsidRDefault="00175C1D">
            <w:pPr>
              <w:jc w:val="right"/>
              <w:textAlignment w:val="bottom"/>
            </w:pPr>
            <w:r>
              <w:rPr>
                <w:rFonts w:ascii="Arial" w:eastAsia="宋体" w:hAnsi="Arial" w:cs="Arial"/>
                <w:b/>
                <w:bCs/>
                <w:color w:val="026DCE"/>
                <w:sz w:val="18"/>
                <w:szCs w:val="18"/>
              </w:rPr>
              <w:t>19,728 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0CE1"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0CE2"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0CE3"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0CE4" w14:textId="77777777" w:rsidR="00B626E7" w:rsidRDefault="00175C1D">
            <w:pPr>
              <w:jc w:val="right"/>
              <w:textAlignment w:val="bottom"/>
            </w:pPr>
            <w:r>
              <w:rPr>
                <w:rFonts w:ascii="Arial" w:eastAsia="宋体" w:hAnsi="Arial" w:cs="Arial"/>
                <w:b/>
                <w:bCs/>
                <w:color w:val="333333"/>
                <w:sz w:val="18"/>
                <w:szCs w:val="18"/>
              </w:rPr>
              <w:t>16,505 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0CE5"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0CE6"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0CE7" w14:textId="77777777" w:rsidR="00B626E7" w:rsidRDefault="00175C1D">
            <w:pPr>
              <w:textAlignment w:val="bottom"/>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0CE8" w14:textId="77777777" w:rsidR="00B626E7" w:rsidRDefault="00175C1D">
            <w:pPr>
              <w:jc w:val="right"/>
              <w:textAlignment w:val="bottom"/>
            </w:pPr>
            <w:r>
              <w:rPr>
                <w:rFonts w:ascii="Arial" w:eastAsia="宋体" w:hAnsi="Arial" w:cs="Arial"/>
                <w:b/>
                <w:bCs/>
                <w:color w:val="0071C5"/>
                <w:sz w:val="18"/>
                <w:szCs w:val="18"/>
              </w:rPr>
              <w:t>39,556 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0CE9"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0CEA"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0CEB"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0CEC" w14:textId="77777777" w:rsidR="00B626E7" w:rsidRDefault="00175C1D">
            <w:pPr>
              <w:jc w:val="right"/>
              <w:textAlignment w:val="bottom"/>
            </w:pPr>
            <w:r>
              <w:rPr>
                <w:rFonts w:ascii="Arial" w:eastAsia="宋体" w:hAnsi="Arial" w:cs="Arial"/>
                <w:b/>
                <w:bCs/>
                <w:color w:val="333333"/>
                <w:sz w:val="18"/>
                <w:szCs w:val="18"/>
              </w:rPr>
              <w:t>32,566 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0CED"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E0CEE" w14:textId="77777777" w:rsidR="00B626E7" w:rsidRDefault="00B626E7">
            <w:pPr>
              <w:rPr>
                <w:rFonts w:ascii="宋体"/>
              </w:rPr>
            </w:pPr>
          </w:p>
        </w:tc>
        <w:tc>
          <w:tcPr>
            <w:tcW w:w="0" w:type="auto"/>
            <w:shd w:val="clear" w:color="auto" w:fill="auto"/>
          </w:tcPr>
          <w:p w14:paraId="20AE0CEF" w14:textId="77777777" w:rsidR="00B626E7" w:rsidRDefault="00B626E7">
            <w:pPr>
              <w:rPr>
                <w:rFonts w:ascii="宋体"/>
              </w:rPr>
            </w:pPr>
          </w:p>
        </w:tc>
        <w:tc>
          <w:tcPr>
            <w:tcW w:w="0" w:type="auto"/>
            <w:shd w:val="clear" w:color="auto" w:fill="auto"/>
          </w:tcPr>
          <w:p w14:paraId="20AE0CF0" w14:textId="77777777" w:rsidR="00B626E7" w:rsidRDefault="00B626E7">
            <w:pPr>
              <w:rPr>
                <w:rFonts w:ascii="宋体"/>
              </w:rPr>
            </w:pPr>
          </w:p>
        </w:tc>
        <w:tc>
          <w:tcPr>
            <w:tcW w:w="0" w:type="auto"/>
            <w:shd w:val="clear" w:color="auto" w:fill="auto"/>
          </w:tcPr>
          <w:p w14:paraId="20AE0CF1" w14:textId="77777777" w:rsidR="00B626E7" w:rsidRDefault="00B626E7">
            <w:pPr>
              <w:rPr>
                <w:rFonts w:ascii="宋体"/>
              </w:rPr>
            </w:pPr>
          </w:p>
        </w:tc>
        <w:tc>
          <w:tcPr>
            <w:tcW w:w="0" w:type="auto"/>
            <w:shd w:val="clear" w:color="auto" w:fill="auto"/>
          </w:tcPr>
          <w:p w14:paraId="20AE0CF2" w14:textId="77777777" w:rsidR="00B626E7" w:rsidRDefault="00B626E7">
            <w:pPr>
              <w:rPr>
                <w:rFonts w:ascii="宋体"/>
              </w:rPr>
            </w:pPr>
          </w:p>
        </w:tc>
        <w:tc>
          <w:tcPr>
            <w:tcW w:w="0" w:type="auto"/>
            <w:shd w:val="clear" w:color="auto" w:fill="auto"/>
          </w:tcPr>
          <w:p w14:paraId="20AE0CF3" w14:textId="77777777" w:rsidR="00B626E7" w:rsidRDefault="00B626E7">
            <w:pPr>
              <w:rPr>
                <w:rFonts w:ascii="宋体"/>
              </w:rPr>
            </w:pPr>
          </w:p>
        </w:tc>
        <w:tc>
          <w:tcPr>
            <w:tcW w:w="0" w:type="auto"/>
            <w:shd w:val="clear" w:color="auto" w:fill="auto"/>
          </w:tcPr>
          <w:p w14:paraId="20AE0CF4" w14:textId="77777777" w:rsidR="00B626E7" w:rsidRDefault="00B626E7">
            <w:pPr>
              <w:rPr>
                <w:rFonts w:ascii="宋体"/>
              </w:rPr>
            </w:pPr>
          </w:p>
        </w:tc>
        <w:tc>
          <w:tcPr>
            <w:tcW w:w="0" w:type="auto"/>
            <w:shd w:val="clear" w:color="auto" w:fill="auto"/>
          </w:tcPr>
          <w:p w14:paraId="20AE0CF5" w14:textId="77777777" w:rsidR="00B626E7" w:rsidRDefault="00B626E7">
            <w:pPr>
              <w:rPr>
                <w:rFonts w:ascii="宋体"/>
              </w:rPr>
            </w:pPr>
          </w:p>
        </w:tc>
        <w:tc>
          <w:tcPr>
            <w:tcW w:w="0" w:type="auto"/>
            <w:shd w:val="clear" w:color="auto" w:fill="auto"/>
          </w:tcPr>
          <w:p w14:paraId="20AE0CF6" w14:textId="77777777" w:rsidR="00B626E7" w:rsidRDefault="00B626E7">
            <w:pPr>
              <w:rPr>
                <w:rFonts w:ascii="宋体"/>
              </w:rPr>
            </w:pPr>
          </w:p>
        </w:tc>
        <w:tc>
          <w:tcPr>
            <w:tcW w:w="0" w:type="auto"/>
            <w:shd w:val="clear" w:color="auto" w:fill="auto"/>
          </w:tcPr>
          <w:p w14:paraId="20AE0CF7" w14:textId="77777777" w:rsidR="00B626E7" w:rsidRDefault="00B626E7">
            <w:pPr>
              <w:rPr>
                <w:rFonts w:ascii="宋体"/>
              </w:rPr>
            </w:pPr>
          </w:p>
        </w:tc>
        <w:tc>
          <w:tcPr>
            <w:tcW w:w="0" w:type="auto"/>
            <w:shd w:val="clear" w:color="auto" w:fill="auto"/>
          </w:tcPr>
          <w:p w14:paraId="20AE0CF8" w14:textId="77777777" w:rsidR="00B626E7" w:rsidRDefault="00B626E7">
            <w:pPr>
              <w:rPr>
                <w:rFonts w:ascii="宋体"/>
              </w:rPr>
            </w:pPr>
          </w:p>
        </w:tc>
        <w:tc>
          <w:tcPr>
            <w:tcW w:w="0" w:type="auto"/>
            <w:shd w:val="clear" w:color="auto" w:fill="auto"/>
          </w:tcPr>
          <w:p w14:paraId="20AE0CF9" w14:textId="77777777" w:rsidR="00B626E7" w:rsidRDefault="00B626E7">
            <w:pPr>
              <w:rPr>
                <w:rFonts w:ascii="宋体"/>
              </w:rPr>
            </w:pPr>
          </w:p>
        </w:tc>
      </w:tr>
    </w:tbl>
    <w:p w14:paraId="20AE0CFB" w14:textId="77777777" w:rsidR="00B626E7" w:rsidRDefault="00175C1D">
      <w:pPr>
        <w:spacing w:before="180"/>
        <w:ind w:hanging="180"/>
      </w:pPr>
      <w:r>
        <w:rPr>
          <w:rFonts w:ascii="Arial" w:eastAsia="宋体" w:hAnsi="Arial" w:cs="Arial"/>
          <w:i/>
          <w:iCs/>
          <w:color w:val="333333"/>
          <w:sz w:val="10"/>
          <w:szCs w:val="10"/>
        </w:rPr>
        <w:t>1 </w:t>
      </w:r>
      <w:r>
        <w:rPr>
          <w:rFonts w:ascii="Arial" w:eastAsia="宋体" w:hAnsi="Arial" w:cs="Arial"/>
          <w:i/>
          <w:iCs/>
          <w:color w:val="333333"/>
          <w:sz w:val="16"/>
          <w:szCs w:val="16"/>
        </w:rPr>
        <w:t>Includes our tablet and service provider revenue.</w:t>
      </w:r>
    </w:p>
    <w:p w14:paraId="20AE0CFC" w14:textId="77777777" w:rsidR="00B626E7" w:rsidRDefault="00175C1D">
      <w:pPr>
        <w:spacing w:after="180"/>
        <w:ind w:hanging="180"/>
      </w:pPr>
      <w:r>
        <w:rPr>
          <w:rFonts w:ascii="Arial" w:eastAsia="宋体" w:hAnsi="Arial" w:cs="Arial"/>
          <w:i/>
          <w:iCs/>
          <w:color w:val="333333"/>
          <w:sz w:val="10"/>
          <w:szCs w:val="10"/>
        </w:rPr>
        <w:t>2 </w:t>
      </w:r>
      <w:r>
        <w:rPr>
          <w:rFonts w:ascii="Arial" w:eastAsia="宋体" w:hAnsi="Arial" w:cs="Arial"/>
          <w:i/>
          <w:iCs/>
          <w:color w:val="333333"/>
          <w:sz w:val="16"/>
          <w:szCs w:val="16"/>
        </w:rPr>
        <w:t xml:space="preserve">Includes all of our </w:t>
      </w:r>
      <w:r>
        <w:rPr>
          <w:rFonts w:ascii="Arial" w:eastAsia="宋体" w:hAnsi="Arial" w:cs="Arial"/>
          <w:i/>
          <w:iCs/>
          <w:color w:val="333333"/>
          <w:sz w:val="16"/>
          <w:szCs w:val="16"/>
        </w:rPr>
        <w:t>non-platform products for DCG, IOTG, and CCG such as modem, Ethernet, and silicon photonics, as well as Mobileye, NSG, and PSG products.</w:t>
      </w:r>
    </w:p>
    <w:tbl>
      <w:tblPr>
        <w:tblW w:w="5000" w:type="pct"/>
        <w:tblCellMar>
          <w:top w:w="15" w:type="dxa"/>
          <w:left w:w="15" w:type="dxa"/>
          <w:bottom w:w="15" w:type="dxa"/>
          <w:right w:w="15" w:type="dxa"/>
        </w:tblCellMar>
        <w:tblLook w:val="04A0" w:firstRow="1" w:lastRow="0" w:firstColumn="1" w:lastColumn="0" w:noHBand="0" w:noVBand="1"/>
      </w:tblPr>
      <w:tblGrid>
        <w:gridCol w:w="84"/>
        <w:gridCol w:w="937"/>
        <w:gridCol w:w="83"/>
        <w:gridCol w:w="83"/>
        <w:gridCol w:w="7066"/>
        <w:gridCol w:w="83"/>
      </w:tblGrid>
      <w:tr w:rsidR="00B626E7" w14:paraId="20AE0D03" w14:textId="77777777">
        <w:tc>
          <w:tcPr>
            <w:tcW w:w="50" w:type="pct"/>
            <w:shd w:val="clear" w:color="auto" w:fill="auto"/>
          </w:tcPr>
          <w:p w14:paraId="20AE0CFD" w14:textId="77777777" w:rsidR="00B626E7" w:rsidRDefault="00B626E7">
            <w:pPr>
              <w:rPr>
                <w:rFonts w:ascii="宋体"/>
              </w:rPr>
            </w:pPr>
          </w:p>
        </w:tc>
        <w:tc>
          <w:tcPr>
            <w:tcW w:w="562" w:type="pct"/>
            <w:shd w:val="clear" w:color="auto" w:fill="auto"/>
          </w:tcPr>
          <w:p w14:paraId="20AE0CFE" w14:textId="77777777" w:rsidR="00B626E7" w:rsidRDefault="00B626E7">
            <w:pPr>
              <w:rPr>
                <w:rFonts w:ascii="宋体"/>
              </w:rPr>
            </w:pPr>
          </w:p>
        </w:tc>
        <w:tc>
          <w:tcPr>
            <w:tcW w:w="50" w:type="pct"/>
            <w:shd w:val="clear" w:color="auto" w:fill="auto"/>
          </w:tcPr>
          <w:p w14:paraId="20AE0CFF" w14:textId="77777777" w:rsidR="00B626E7" w:rsidRDefault="00B626E7">
            <w:pPr>
              <w:rPr>
                <w:rFonts w:ascii="宋体"/>
              </w:rPr>
            </w:pPr>
          </w:p>
        </w:tc>
        <w:tc>
          <w:tcPr>
            <w:tcW w:w="50" w:type="pct"/>
            <w:shd w:val="clear" w:color="auto" w:fill="auto"/>
          </w:tcPr>
          <w:p w14:paraId="20AE0D00" w14:textId="77777777" w:rsidR="00B626E7" w:rsidRDefault="00B626E7">
            <w:pPr>
              <w:rPr>
                <w:rFonts w:ascii="宋体"/>
              </w:rPr>
            </w:pPr>
          </w:p>
        </w:tc>
        <w:tc>
          <w:tcPr>
            <w:tcW w:w="4237" w:type="pct"/>
            <w:shd w:val="clear" w:color="auto" w:fill="auto"/>
          </w:tcPr>
          <w:p w14:paraId="20AE0D01" w14:textId="77777777" w:rsidR="00B626E7" w:rsidRDefault="00B626E7">
            <w:pPr>
              <w:rPr>
                <w:rFonts w:ascii="宋体"/>
              </w:rPr>
            </w:pPr>
          </w:p>
        </w:tc>
        <w:tc>
          <w:tcPr>
            <w:tcW w:w="50" w:type="pct"/>
            <w:shd w:val="clear" w:color="auto" w:fill="auto"/>
          </w:tcPr>
          <w:p w14:paraId="20AE0D02" w14:textId="77777777" w:rsidR="00B626E7" w:rsidRDefault="00B626E7">
            <w:pPr>
              <w:rPr>
                <w:rFonts w:ascii="宋体"/>
              </w:rPr>
            </w:pPr>
          </w:p>
        </w:tc>
      </w:tr>
      <w:tr w:rsidR="00B626E7" w14:paraId="20AE0D06" w14:textId="77777777">
        <w:tc>
          <w:tcPr>
            <w:tcW w:w="0" w:type="auto"/>
            <w:gridSpan w:val="3"/>
            <w:tcBorders>
              <w:bottom w:val="single" w:sz="8" w:space="0" w:color="0071C5"/>
            </w:tcBorders>
            <w:shd w:val="clear" w:color="auto" w:fill="0071C5"/>
            <w:tcMar>
              <w:top w:w="40" w:type="dxa"/>
              <w:left w:w="20" w:type="dxa"/>
              <w:bottom w:w="40" w:type="dxa"/>
              <w:right w:w="20" w:type="dxa"/>
            </w:tcMar>
            <w:vAlign w:val="bottom"/>
          </w:tcPr>
          <w:p w14:paraId="20AE0D04" w14:textId="77777777" w:rsidR="00B626E7" w:rsidRDefault="00175C1D">
            <w:pPr>
              <w:textAlignment w:val="bottom"/>
            </w:pPr>
            <w:r>
              <w:rPr>
                <w:rFonts w:ascii="Arial" w:eastAsia="宋体" w:hAnsi="Arial" w:cs="Arial"/>
                <w:b/>
                <w:bCs/>
                <w:color w:val="FFFFFF"/>
                <w:sz w:val="28"/>
                <w:szCs w:val="28"/>
              </w:rPr>
              <w:t xml:space="preserve">NOTE 3 : </w:t>
            </w:r>
          </w:p>
        </w:tc>
        <w:tc>
          <w:tcPr>
            <w:tcW w:w="0" w:type="auto"/>
            <w:gridSpan w:val="3"/>
            <w:tcBorders>
              <w:bottom w:val="single" w:sz="8" w:space="0" w:color="0071C5"/>
            </w:tcBorders>
            <w:shd w:val="clear" w:color="auto" w:fill="auto"/>
            <w:tcMar>
              <w:top w:w="40" w:type="dxa"/>
              <w:left w:w="20" w:type="dxa"/>
              <w:bottom w:w="40" w:type="dxa"/>
              <w:right w:w="20" w:type="dxa"/>
            </w:tcMar>
            <w:vAlign w:val="bottom"/>
          </w:tcPr>
          <w:p w14:paraId="20AE0D05" w14:textId="77777777" w:rsidR="00B626E7" w:rsidRDefault="00175C1D">
            <w:pPr>
              <w:textAlignment w:val="bottom"/>
            </w:pPr>
            <w:r>
              <w:rPr>
                <w:rFonts w:ascii="Arial" w:eastAsia="宋体" w:hAnsi="Arial" w:cs="Arial"/>
                <w:b/>
                <w:bCs/>
                <w:color w:val="0071C5"/>
                <w:sz w:val="28"/>
                <w:szCs w:val="28"/>
              </w:rPr>
              <w:t>EARNINGS PER SHARE</w:t>
            </w:r>
          </w:p>
        </w:tc>
      </w:tr>
    </w:tbl>
    <w:p w14:paraId="20AE0D07" w14:textId="77777777" w:rsidR="00B626E7" w:rsidRDefault="00175C1D">
      <w:pPr>
        <w:spacing w:before="180" w:after="180"/>
      </w:pPr>
      <w:r>
        <w:rPr>
          <w:rFonts w:ascii="Arial" w:eastAsia="宋体" w:hAnsi="Arial" w:cs="Arial"/>
          <w:color w:val="333333"/>
          <w:sz w:val="18"/>
          <w:szCs w:val="18"/>
        </w:rPr>
        <w:t>We computed basic earnings per share of common stock based on the weighted average number of shares of common stock outstanding during the period. We computed diluted earnings per share of common stock based on the weighted average number of shares of comm</w:t>
      </w:r>
      <w:r>
        <w:rPr>
          <w:rFonts w:ascii="Arial" w:eastAsia="宋体" w:hAnsi="Arial" w:cs="Arial"/>
          <w:color w:val="333333"/>
          <w:sz w:val="18"/>
          <w:szCs w:val="18"/>
        </w:rPr>
        <w:t xml:space="preserve">on stock outstanding plus potentially dilutive shares of common stock outstanding during the period. </w:t>
      </w:r>
    </w:p>
    <w:tbl>
      <w:tblPr>
        <w:tblW w:w="5000" w:type="pct"/>
        <w:tblCellMar>
          <w:top w:w="15" w:type="dxa"/>
          <w:left w:w="15" w:type="dxa"/>
          <w:bottom w:w="15" w:type="dxa"/>
          <w:right w:w="15" w:type="dxa"/>
        </w:tblCellMar>
        <w:tblLook w:val="04A0" w:firstRow="1" w:lastRow="0" w:firstColumn="1" w:lastColumn="0" w:noHBand="0" w:noVBand="1"/>
      </w:tblPr>
      <w:tblGrid>
        <w:gridCol w:w="40"/>
        <w:gridCol w:w="4026"/>
        <w:gridCol w:w="39"/>
        <w:gridCol w:w="36"/>
        <w:gridCol w:w="36"/>
        <w:gridCol w:w="36"/>
        <w:gridCol w:w="136"/>
        <w:gridCol w:w="616"/>
        <w:gridCol w:w="86"/>
        <w:gridCol w:w="36"/>
        <w:gridCol w:w="36"/>
        <w:gridCol w:w="36"/>
        <w:gridCol w:w="136"/>
        <w:gridCol w:w="621"/>
        <w:gridCol w:w="86"/>
        <w:gridCol w:w="36"/>
        <w:gridCol w:w="36"/>
        <w:gridCol w:w="36"/>
        <w:gridCol w:w="136"/>
        <w:gridCol w:w="621"/>
        <w:gridCol w:w="86"/>
        <w:gridCol w:w="36"/>
        <w:gridCol w:w="36"/>
        <w:gridCol w:w="36"/>
        <w:gridCol w:w="136"/>
        <w:gridCol w:w="621"/>
        <w:gridCol w:w="86"/>
        <w:gridCol w:w="36"/>
        <w:gridCol w:w="36"/>
        <w:gridCol w:w="36"/>
        <w:gridCol w:w="36"/>
        <w:gridCol w:w="36"/>
        <w:gridCol w:w="36"/>
        <w:gridCol w:w="36"/>
        <w:gridCol w:w="36"/>
        <w:gridCol w:w="36"/>
        <w:gridCol w:w="36"/>
        <w:gridCol w:w="36"/>
        <w:gridCol w:w="36"/>
      </w:tblGrid>
      <w:tr w:rsidR="00B626E7" w14:paraId="20AE0D23" w14:textId="77777777">
        <w:trPr>
          <w:gridAfter w:val="12"/>
        </w:trPr>
        <w:tc>
          <w:tcPr>
            <w:tcW w:w="50" w:type="pct"/>
            <w:shd w:val="clear" w:color="auto" w:fill="auto"/>
          </w:tcPr>
          <w:p w14:paraId="20AE0D08" w14:textId="77777777" w:rsidR="00B626E7" w:rsidRDefault="00B626E7">
            <w:pPr>
              <w:rPr>
                <w:rFonts w:ascii="宋体"/>
              </w:rPr>
            </w:pPr>
          </w:p>
        </w:tc>
        <w:tc>
          <w:tcPr>
            <w:tcW w:w="2577" w:type="pct"/>
            <w:shd w:val="clear" w:color="auto" w:fill="auto"/>
          </w:tcPr>
          <w:p w14:paraId="20AE0D09" w14:textId="77777777" w:rsidR="00B626E7" w:rsidRDefault="00B626E7">
            <w:pPr>
              <w:rPr>
                <w:rFonts w:ascii="宋体"/>
              </w:rPr>
            </w:pPr>
          </w:p>
        </w:tc>
        <w:tc>
          <w:tcPr>
            <w:tcW w:w="50" w:type="pct"/>
            <w:shd w:val="clear" w:color="auto" w:fill="auto"/>
          </w:tcPr>
          <w:p w14:paraId="20AE0D0A" w14:textId="77777777" w:rsidR="00B626E7" w:rsidRDefault="00B626E7">
            <w:pPr>
              <w:rPr>
                <w:rFonts w:ascii="宋体"/>
              </w:rPr>
            </w:pPr>
          </w:p>
        </w:tc>
        <w:tc>
          <w:tcPr>
            <w:tcW w:w="5" w:type="pct"/>
            <w:shd w:val="clear" w:color="auto" w:fill="auto"/>
          </w:tcPr>
          <w:p w14:paraId="20AE0D0B" w14:textId="77777777" w:rsidR="00B626E7" w:rsidRDefault="00B626E7">
            <w:pPr>
              <w:rPr>
                <w:rFonts w:ascii="宋体"/>
              </w:rPr>
            </w:pPr>
          </w:p>
        </w:tc>
        <w:tc>
          <w:tcPr>
            <w:tcW w:w="24" w:type="pct"/>
            <w:shd w:val="clear" w:color="auto" w:fill="auto"/>
          </w:tcPr>
          <w:p w14:paraId="20AE0D0C" w14:textId="77777777" w:rsidR="00B626E7" w:rsidRDefault="00B626E7">
            <w:pPr>
              <w:rPr>
                <w:rFonts w:ascii="宋体"/>
              </w:rPr>
            </w:pPr>
          </w:p>
        </w:tc>
        <w:tc>
          <w:tcPr>
            <w:tcW w:w="5" w:type="pct"/>
            <w:shd w:val="clear" w:color="auto" w:fill="auto"/>
          </w:tcPr>
          <w:p w14:paraId="20AE0D0D" w14:textId="77777777" w:rsidR="00B626E7" w:rsidRDefault="00B626E7">
            <w:pPr>
              <w:rPr>
                <w:rFonts w:ascii="宋体"/>
              </w:rPr>
            </w:pPr>
          </w:p>
        </w:tc>
        <w:tc>
          <w:tcPr>
            <w:tcW w:w="50" w:type="pct"/>
            <w:shd w:val="clear" w:color="auto" w:fill="auto"/>
          </w:tcPr>
          <w:p w14:paraId="20AE0D0E" w14:textId="77777777" w:rsidR="00B626E7" w:rsidRDefault="00B626E7">
            <w:pPr>
              <w:rPr>
                <w:rFonts w:ascii="宋体"/>
              </w:rPr>
            </w:pPr>
          </w:p>
        </w:tc>
        <w:tc>
          <w:tcPr>
            <w:tcW w:w="446" w:type="pct"/>
            <w:shd w:val="clear" w:color="auto" w:fill="auto"/>
          </w:tcPr>
          <w:p w14:paraId="20AE0D0F" w14:textId="77777777" w:rsidR="00B626E7" w:rsidRDefault="00B626E7">
            <w:pPr>
              <w:rPr>
                <w:rFonts w:ascii="宋体"/>
              </w:rPr>
            </w:pPr>
          </w:p>
        </w:tc>
        <w:tc>
          <w:tcPr>
            <w:tcW w:w="50" w:type="pct"/>
            <w:shd w:val="clear" w:color="auto" w:fill="auto"/>
          </w:tcPr>
          <w:p w14:paraId="20AE0D10" w14:textId="77777777" w:rsidR="00B626E7" w:rsidRDefault="00B626E7">
            <w:pPr>
              <w:rPr>
                <w:rFonts w:ascii="宋体"/>
              </w:rPr>
            </w:pPr>
          </w:p>
        </w:tc>
        <w:tc>
          <w:tcPr>
            <w:tcW w:w="5" w:type="pct"/>
            <w:shd w:val="clear" w:color="auto" w:fill="auto"/>
          </w:tcPr>
          <w:p w14:paraId="20AE0D11" w14:textId="77777777" w:rsidR="00B626E7" w:rsidRDefault="00B626E7">
            <w:pPr>
              <w:rPr>
                <w:rFonts w:ascii="宋体"/>
              </w:rPr>
            </w:pPr>
          </w:p>
        </w:tc>
        <w:tc>
          <w:tcPr>
            <w:tcW w:w="24" w:type="pct"/>
            <w:shd w:val="clear" w:color="auto" w:fill="auto"/>
          </w:tcPr>
          <w:p w14:paraId="20AE0D12" w14:textId="77777777" w:rsidR="00B626E7" w:rsidRDefault="00B626E7">
            <w:pPr>
              <w:rPr>
                <w:rFonts w:ascii="宋体"/>
              </w:rPr>
            </w:pPr>
          </w:p>
        </w:tc>
        <w:tc>
          <w:tcPr>
            <w:tcW w:w="5" w:type="pct"/>
            <w:shd w:val="clear" w:color="auto" w:fill="auto"/>
          </w:tcPr>
          <w:p w14:paraId="20AE0D13" w14:textId="77777777" w:rsidR="00B626E7" w:rsidRDefault="00B626E7">
            <w:pPr>
              <w:rPr>
                <w:rFonts w:ascii="宋体"/>
              </w:rPr>
            </w:pPr>
          </w:p>
        </w:tc>
        <w:tc>
          <w:tcPr>
            <w:tcW w:w="50" w:type="pct"/>
            <w:shd w:val="clear" w:color="auto" w:fill="auto"/>
          </w:tcPr>
          <w:p w14:paraId="20AE0D14" w14:textId="77777777" w:rsidR="00B626E7" w:rsidRDefault="00B626E7">
            <w:pPr>
              <w:rPr>
                <w:rFonts w:ascii="宋体"/>
              </w:rPr>
            </w:pPr>
          </w:p>
        </w:tc>
        <w:tc>
          <w:tcPr>
            <w:tcW w:w="446" w:type="pct"/>
            <w:shd w:val="clear" w:color="auto" w:fill="auto"/>
          </w:tcPr>
          <w:p w14:paraId="20AE0D15" w14:textId="77777777" w:rsidR="00B626E7" w:rsidRDefault="00B626E7">
            <w:pPr>
              <w:rPr>
                <w:rFonts w:ascii="宋体"/>
              </w:rPr>
            </w:pPr>
          </w:p>
        </w:tc>
        <w:tc>
          <w:tcPr>
            <w:tcW w:w="50" w:type="pct"/>
            <w:shd w:val="clear" w:color="auto" w:fill="auto"/>
          </w:tcPr>
          <w:p w14:paraId="20AE0D16" w14:textId="77777777" w:rsidR="00B626E7" w:rsidRDefault="00B626E7">
            <w:pPr>
              <w:rPr>
                <w:rFonts w:ascii="宋体"/>
              </w:rPr>
            </w:pPr>
          </w:p>
        </w:tc>
        <w:tc>
          <w:tcPr>
            <w:tcW w:w="5" w:type="pct"/>
            <w:shd w:val="clear" w:color="auto" w:fill="auto"/>
          </w:tcPr>
          <w:p w14:paraId="20AE0D17" w14:textId="77777777" w:rsidR="00B626E7" w:rsidRDefault="00B626E7">
            <w:pPr>
              <w:rPr>
                <w:rFonts w:ascii="宋体"/>
              </w:rPr>
            </w:pPr>
          </w:p>
        </w:tc>
        <w:tc>
          <w:tcPr>
            <w:tcW w:w="24" w:type="pct"/>
            <w:shd w:val="clear" w:color="auto" w:fill="auto"/>
          </w:tcPr>
          <w:p w14:paraId="20AE0D18" w14:textId="77777777" w:rsidR="00B626E7" w:rsidRDefault="00B626E7">
            <w:pPr>
              <w:rPr>
                <w:rFonts w:ascii="宋体"/>
              </w:rPr>
            </w:pPr>
          </w:p>
        </w:tc>
        <w:tc>
          <w:tcPr>
            <w:tcW w:w="5" w:type="pct"/>
            <w:shd w:val="clear" w:color="auto" w:fill="auto"/>
          </w:tcPr>
          <w:p w14:paraId="20AE0D19" w14:textId="77777777" w:rsidR="00B626E7" w:rsidRDefault="00B626E7">
            <w:pPr>
              <w:rPr>
                <w:rFonts w:ascii="宋体"/>
              </w:rPr>
            </w:pPr>
          </w:p>
        </w:tc>
        <w:tc>
          <w:tcPr>
            <w:tcW w:w="50" w:type="pct"/>
            <w:shd w:val="clear" w:color="auto" w:fill="auto"/>
          </w:tcPr>
          <w:p w14:paraId="20AE0D1A" w14:textId="77777777" w:rsidR="00B626E7" w:rsidRDefault="00B626E7">
            <w:pPr>
              <w:rPr>
                <w:rFonts w:ascii="宋体"/>
              </w:rPr>
            </w:pPr>
          </w:p>
        </w:tc>
        <w:tc>
          <w:tcPr>
            <w:tcW w:w="446" w:type="pct"/>
            <w:shd w:val="clear" w:color="auto" w:fill="auto"/>
          </w:tcPr>
          <w:p w14:paraId="20AE0D1B" w14:textId="77777777" w:rsidR="00B626E7" w:rsidRDefault="00B626E7">
            <w:pPr>
              <w:rPr>
                <w:rFonts w:ascii="宋体"/>
              </w:rPr>
            </w:pPr>
          </w:p>
        </w:tc>
        <w:tc>
          <w:tcPr>
            <w:tcW w:w="50" w:type="pct"/>
            <w:shd w:val="clear" w:color="auto" w:fill="auto"/>
          </w:tcPr>
          <w:p w14:paraId="20AE0D1C" w14:textId="77777777" w:rsidR="00B626E7" w:rsidRDefault="00B626E7">
            <w:pPr>
              <w:rPr>
                <w:rFonts w:ascii="宋体"/>
              </w:rPr>
            </w:pPr>
          </w:p>
        </w:tc>
        <w:tc>
          <w:tcPr>
            <w:tcW w:w="5" w:type="pct"/>
            <w:shd w:val="clear" w:color="auto" w:fill="auto"/>
          </w:tcPr>
          <w:p w14:paraId="20AE0D1D" w14:textId="77777777" w:rsidR="00B626E7" w:rsidRDefault="00B626E7">
            <w:pPr>
              <w:rPr>
                <w:rFonts w:ascii="宋体"/>
              </w:rPr>
            </w:pPr>
          </w:p>
        </w:tc>
        <w:tc>
          <w:tcPr>
            <w:tcW w:w="24" w:type="pct"/>
            <w:shd w:val="clear" w:color="auto" w:fill="auto"/>
          </w:tcPr>
          <w:p w14:paraId="20AE0D1E" w14:textId="77777777" w:rsidR="00B626E7" w:rsidRDefault="00B626E7">
            <w:pPr>
              <w:rPr>
                <w:rFonts w:ascii="宋体"/>
              </w:rPr>
            </w:pPr>
          </w:p>
        </w:tc>
        <w:tc>
          <w:tcPr>
            <w:tcW w:w="5" w:type="pct"/>
            <w:shd w:val="clear" w:color="auto" w:fill="auto"/>
          </w:tcPr>
          <w:p w14:paraId="20AE0D1F" w14:textId="77777777" w:rsidR="00B626E7" w:rsidRDefault="00B626E7">
            <w:pPr>
              <w:rPr>
                <w:rFonts w:ascii="宋体"/>
              </w:rPr>
            </w:pPr>
          </w:p>
        </w:tc>
        <w:tc>
          <w:tcPr>
            <w:tcW w:w="50" w:type="pct"/>
            <w:shd w:val="clear" w:color="auto" w:fill="auto"/>
          </w:tcPr>
          <w:p w14:paraId="20AE0D20" w14:textId="77777777" w:rsidR="00B626E7" w:rsidRDefault="00B626E7">
            <w:pPr>
              <w:rPr>
                <w:rFonts w:ascii="宋体"/>
              </w:rPr>
            </w:pPr>
          </w:p>
        </w:tc>
        <w:tc>
          <w:tcPr>
            <w:tcW w:w="446" w:type="pct"/>
            <w:shd w:val="clear" w:color="auto" w:fill="auto"/>
          </w:tcPr>
          <w:p w14:paraId="20AE0D21" w14:textId="77777777" w:rsidR="00B626E7" w:rsidRDefault="00B626E7">
            <w:pPr>
              <w:rPr>
                <w:rFonts w:ascii="宋体"/>
              </w:rPr>
            </w:pPr>
          </w:p>
        </w:tc>
        <w:tc>
          <w:tcPr>
            <w:tcW w:w="50" w:type="pct"/>
            <w:shd w:val="clear" w:color="auto" w:fill="auto"/>
          </w:tcPr>
          <w:p w14:paraId="20AE0D22" w14:textId="77777777" w:rsidR="00B626E7" w:rsidRDefault="00B626E7">
            <w:pPr>
              <w:rPr>
                <w:rFonts w:ascii="宋体"/>
              </w:rPr>
            </w:pPr>
          </w:p>
        </w:tc>
      </w:tr>
      <w:tr w:rsidR="00B626E7" w14:paraId="20AE0D2D" w14:textId="77777777">
        <w:tc>
          <w:tcPr>
            <w:tcW w:w="0" w:type="auto"/>
            <w:gridSpan w:val="3"/>
            <w:shd w:val="clear" w:color="auto" w:fill="auto"/>
            <w:tcMar>
              <w:top w:w="40" w:type="dxa"/>
              <w:left w:w="20" w:type="dxa"/>
              <w:bottom w:w="40" w:type="dxa"/>
              <w:right w:w="20" w:type="dxa"/>
            </w:tcMar>
            <w:vAlign w:val="bottom"/>
          </w:tcPr>
          <w:p w14:paraId="20AE0D24" w14:textId="77777777" w:rsidR="00B626E7" w:rsidRDefault="00175C1D">
            <w:pPr>
              <w:ind w:hanging="180"/>
              <w:textAlignment w:val="bottom"/>
            </w:pPr>
            <w:r>
              <w:rPr>
                <w:rFonts w:ascii="Arial" w:eastAsia="宋体" w:hAnsi="Arial" w:cs="Arial"/>
                <w:color w:val="333333"/>
                <w:sz w:val="16"/>
                <w:szCs w:val="16"/>
              </w:rPr>
              <w:t> </w:t>
            </w:r>
          </w:p>
        </w:tc>
        <w:tc>
          <w:tcPr>
            <w:tcW w:w="0" w:type="auto"/>
            <w:gridSpan w:val="3"/>
            <w:shd w:val="clear" w:color="auto" w:fill="auto"/>
            <w:tcMar>
              <w:left w:w="20" w:type="dxa"/>
              <w:right w:w="20" w:type="dxa"/>
            </w:tcMar>
            <w:vAlign w:val="bottom"/>
          </w:tcPr>
          <w:p w14:paraId="20AE0D25" w14:textId="77777777" w:rsidR="00B626E7" w:rsidRDefault="00B626E7">
            <w:pPr>
              <w:rPr>
                <w:rFonts w:ascii="宋体"/>
              </w:rPr>
            </w:pPr>
          </w:p>
        </w:tc>
        <w:tc>
          <w:tcPr>
            <w:tcW w:w="0" w:type="auto"/>
            <w:gridSpan w:val="9"/>
            <w:shd w:val="clear" w:color="auto" w:fill="auto"/>
            <w:tcMar>
              <w:top w:w="40" w:type="dxa"/>
              <w:left w:w="20" w:type="dxa"/>
              <w:bottom w:w="40" w:type="dxa"/>
              <w:right w:w="20" w:type="dxa"/>
            </w:tcMar>
            <w:vAlign w:val="bottom"/>
          </w:tcPr>
          <w:p w14:paraId="20AE0D26" w14:textId="77777777" w:rsidR="00B626E7" w:rsidRDefault="00175C1D">
            <w:pPr>
              <w:jc w:val="center"/>
              <w:textAlignment w:val="bottom"/>
            </w:pPr>
            <w:r>
              <w:rPr>
                <w:rFonts w:ascii="Arial" w:eastAsia="宋体" w:hAnsi="Arial" w:cs="Arial"/>
                <w:b/>
                <w:bCs/>
                <w:color w:val="333333"/>
                <w:sz w:val="18"/>
                <w:szCs w:val="18"/>
              </w:rPr>
              <w:t>Three Months Ended</w:t>
            </w:r>
          </w:p>
        </w:tc>
        <w:tc>
          <w:tcPr>
            <w:tcW w:w="0" w:type="auto"/>
            <w:gridSpan w:val="3"/>
            <w:shd w:val="clear" w:color="auto" w:fill="auto"/>
          </w:tcPr>
          <w:p w14:paraId="20AE0D27" w14:textId="77777777" w:rsidR="00B626E7" w:rsidRDefault="00B626E7">
            <w:pPr>
              <w:rPr>
                <w:rFonts w:ascii="宋体"/>
                <w:vanish/>
              </w:rPr>
            </w:pPr>
          </w:p>
        </w:tc>
        <w:tc>
          <w:tcPr>
            <w:tcW w:w="0" w:type="auto"/>
            <w:gridSpan w:val="3"/>
            <w:shd w:val="clear" w:color="auto" w:fill="auto"/>
          </w:tcPr>
          <w:p w14:paraId="20AE0D28" w14:textId="77777777" w:rsidR="00B626E7" w:rsidRDefault="00B626E7">
            <w:pPr>
              <w:rPr>
                <w:rFonts w:ascii="宋体"/>
                <w:vanish/>
              </w:rPr>
            </w:pPr>
          </w:p>
        </w:tc>
        <w:tc>
          <w:tcPr>
            <w:tcW w:w="0" w:type="auto"/>
            <w:gridSpan w:val="3"/>
            <w:shd w:val="clear" w:color="auto" w:fill="auto"/>
            <w:tcMar>
              <w:left w:w="20" w:type="dxa"/>
              <w:right w:w="20" w:type="dxa"/>
            </w:tcMar>
            <w:vAlign w:val="bottom"/>
          </w:tcPr>
          <w:p w14:paraId="20AE0D29" w14:textId="77777777" w:rsidR="00B626E7" w:rsidRDefault="00B626E7">
            <w:pPr>
              <w:rPr>
                <w:rFonts w:ascii="宋体"/>
              </w:rPr>
            </w:pPr>
          </w:p>
        </w:tc>
        <w:tc>
          <w:tcPr>
            <w:tcW w:w="0" w:type="auto"/>
            <w:gridSpan w:val="9"/>
            <w:shd w:val="clear" w:color="auto" w:fill="auto"/>
            <w:tcMar>
              <w:top w:w="40" w:type="dxa"/>
              <w:left w:w="20" w:type="dxa"/>
              <w:bottom w:w="40" w:type="dxa"/>
              <w:right w:w="20" w:type="dxa"/>
            </w:tcMar>
            <w:vAlign w:val="bottom"/>
          </w:tcPr>
          <w:p w14:paraId="20AE0D2A" w14:textId="77777777" w:rsidR="00B626E7" w:rsidRDefault="00175C1D">
            <w:pPr>
              <w:jc w:val="center"/>
              <w:textAlignment w:val="bottom"/>
            </w:pPr>
            <w:r>
              <w:rPr>
                <w:rFonts w:ascii="Arial" w:eastAsia="宋体" w:hAnsi="Arial" w:cs="Arial"/>
                <w:b/>
                <w:bCs/>
                <w:color w:val="333333"/>
                <w:sz w:val="18"/>
                <w:szCs w:val="18"/>
              </w:rPr>
              <w:t>Six Months Ended</w:t>
            </w:r>
          </w:p>
        </w:tc>
        <w:tc>
          <w:tcPr>
            <w:tcW w:w="0" w:type="auto"/>
            <w:gridSpan w:val="3"/>
            <w:shd w:val="clear" w:color="auto" w:fill="auto"/>
          </w:tcPr>
          <w:p w14:paraId="20AE0D2B" w14:textId="77777777" w:rsidR="00B626E7" w:rsidRDefault="00B626E7">
            <w:pPr>
              <w:rPr>
                <w:rFonts w:ascii="宋体"/>
                <w:vanish/>
              </w:rPr>
            </w:pPr>
          </w:p>
        </w:tc>
        <w:tc>
          <w:tcPr>
            <w:tcW w:w="0" w:type="auto"/>
            <w:gridSpan w:val="3"/>
            <w:shd w:val="clear" w:color="auto" w:fill="auto"/>
          </w:tcPr>
          <w:p w14:paraId="20AE0D2C" w14:textId="77777777" w:rsidR="00B626E7" w:rsidRDefault="00B626E7">
            <w:pPr>
              <w:rPr>
                <w:rFonts w:ascii="宋体"/>
                <w:vanish/>
              </w:rPr>
            </w:pPr>
          </w:p>
        </w:tc>
      </w:tr>
      <w:tr w:rsidR="00B626E7" w14:paraId="20AE0D43" w14:textId="77777777">
        <w:tc>
          <w:tcPr>
            <w:tcW w:w="0" w:type="auto"/>
            <w:gridSpan w:val="3"/>
            <w:shd w:val="clear" w:color="auto" w:fill="auto"/>
            <w:tcMar>
              <w:top w:w="40" w:type="dxa"/>
              <w:left w:w="20" w:type="dxa"/>
              <w:bottom w:w="40" w:type="dxa"/>
              <w:right w:w="20" w:type="dxa"/>
            </w:tcMar>
            <w:vAlign w:val="bottom"/>
          </w:tcPr>
          <w:p w14:paraId="20AE0D2E" w14:textId="77777777" w:rsidR="00B626E7" w:rsidRDefault="00175C1D">
            <w:pPr>
              <w:textAlignment w:val="bottom"/>
            </w:pPr>
            <w:r>
              <w:rPr>
                <w:rFonts w:ascii="Arial" w:eastAsia="宋体" w:hAnsi="Arial" w:cs="Arial"/>
                <w:b/>
                <w:bCs/>
                <w:color w:val="333333"/>
                <w:sz w:val="18"/>
                <w:szCs w:val="18"/>
              </w:rPr>
              <w:t>(In Millions, Except Per Share Amounts)</w:t>
            </w:r>
          </w:p>
        </w:tc>
        <w:tc>
          <w:tcPr>
            <w:tcW w:w="0" w:type="auto"/>
            <w:gridSpan w:val="3"/>
            <w:shd w:val="clear" w:color="auto" w:fill="auto"/>
            <w:tcMar>
              <w:left w:w="20" w:type="dxa"/>
              <w:right w:w="20" w:type="dxa"/>
            </w:tcMar>
            <w:vAlign w:val="bottom"/>
          </w:tcPr>
          <w:p w14:paraId="20AE0D2F"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0D30" w14:textId="77777777" w:rsidR="00B626E7" w:rsidRDefault="00175C1D">
            <w:pPr>
              <w:jc w:val="center"/>
              <w:textAlignment w:val="bottom"/>
            </w:pPr>
            <w:r>
              <w:rPr>
                <w:rFonts w:ascii="Arial" w:eastAsia="宋体" w:hAnsi="Arial" w:cs="Arial"/>
                <w:b/>
                <w:bCs/>
                <w:color w:val="333333"/>
                <w:sz w:val="18"/>
                <w:szCs w:val="18"/>
              </w:rPr>
              <w:t>Jun 27, 2020</w:t>
            </w:r>
          </w:p>
        </w:tc>
        <w:tc>
          <w:tcPr>
            <w:tcW w:w="0" w:type="auto"/>
            <w:gridSpan w:val="3"/>
            <w:tcBorders>
              <w:top w:val="single" w:sz="8" w:space="0" w:color="0071C5"/>
            </w:tcBorders>
            <w:shd w:val="clear" w:color="auto" w:fill="auto"/>
            <w:tcMar>
              <w:left w:w="20" w:type="dxa"/>
              <w:right w:w="20" w:type="dxa"/>
            </w:tcMar>
            <w:vAlign w:val="bottom"/>
          </w:tcPr>
          <w:p w14:paraId="20AE0D31"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0D32" w14:textId="77777777" w:rsidR="00B626E7" w:rsidRDefault="00175C1D">
            <w:pPr>
              <w:jc w:val="center"/>
              <w:textAlignment w:val="bottom"/>
            </w:pPr>
            <w:r>
              <w:rPr>
                <w:rFonts w:ascii="Arial" w:eastAsia="宋体" w:hAnsi="Arial" w:cs="Arial"/>
                <w:b/>
                <w:bCs/>
                <w:color w:val="333333"/>
                <w:sz w:val="18"/>
                <w:szCs w:val="18"/>
              </w:rPr>
              <w:t>Jun 29, 2019</w:t>
            </w:r>
          </w:p>
        </w:tc>
        <w:tc>
          <w:tcPr>
            <w:tcW w:w="0" w:type="auto"/>
            <w:gridSpan w:val="3"/>
            <w:shd w:val="clear" w:color="auto" w:fill="auto"/>
            <w:tcMar>
              <w:left w:w="20" w:type="dxa"/>
              <w:right w:w="20" w:type="dxa"/>
            </w:tcMar>
            <w:vAlign w:val="bottom"/>
          </w:tcPr>
          <w:p w14:paraId="20AE0D33"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0D34" w14:textId="77777777" w:rsidR="00B626E7" w:rsidRDefault="00175C1D">
            <w:pPr>
              <w:jc w:val="center"/>
              <w:textAlignment w:val="bottom"/>
            </w:pPr>
            <w:r>
              <w:rPr>
                <w:rFonts w:ascii="Arial" w:eastAsia="宋体" w:hAnsi="Arial" w:cs="Arial"/>
                <w:b/>
                <w:bCs/>
                <w:color w:val="333333"/>
                <w:sz w:val="18"/>
                <w:szCs w:val="18"/>
              </w:rPr>
              <w:t>Jun 27, 2020</w:t>
            </w:r>
          </w:p>
        </w:tc>
        <w:tc>
          <w:tcPr>
            <w:tcW w:w="0" w:type="auto"/>
            <w:gridSpan w:val="3"/>
            <w:tcBorders>
              <w:top w:val="single" w:sz="8" w:space="0" w:color="0071C5"/>
            </w:tcBorders>
            <w:shd w:val="clear" w:color="auto" w:fill="auto"/>
            <w:tcMar>
              <w:left w:w="20" w:type="dxa"/>
              <w:right w:w="20" w:type="dxa"/>
            </w:tcMar>
            <w:vAlign w:val="bottom"/>
          </w:tcPr>
          <w:p w14:paraId="20AE0D35"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0D36" w14:textId="77777777" w:rsidR="00B626E7" w:rsidRDefault="00175C1D">
            <w:pPr>
              <w:jc w:val="center"/>
              <w:textAlignment w:val="bottom"/>
            </w:pPr>
            <w:r>
              <w:rPr>
                <w:rFonts w:ascii="Arial" w:eastAsia="宋体" w:hAnsi="Arial" w:cs="Arial"/>
                <w:b/>
                <w:bCs/>
                <w:color w:val="333333"/>
                <w:sz w:val="18"/>
                <w:szCs w:val="18"/>
              </w:rPr>
              <w:t>Jun 29, 2019</w:t>
            </w:r>
          </w:p>
        </w:tc>
        <w:tc>
          <w:tcPr>
            <w:tcW w:w="0" w:type="auto"/>
            <w:shd w:val="clear" w:color="auto" w:fill="auto"/>
          </w:tcPr>
          <w:p w14:paraId="20AE0D37" w14:textId="77777777" w:rsidR="00B626E7" w:rsidRDefault="00B626E7">
            <w:pPr>
              <w:rPr>
                <w:rFonts w:ascii="宋体"/>
              </w:rPr>
            </w:pPr>
          </w:p>
        </w:tc>
        <w:tc>
          <w:tcPr>
            <w:tcW w:w="0" w:type="auto"/>
            <w:shd w:val="clear" w:color="auto" w:fill="auto"/>
          </w:tcPr>
          <w:p w14:paraId="20AE0D38" w14:textId="77777777" w:rsidR="00B626E7" w:rsidRDefault="00B626E7">
            <w:pPr>
              <w:rPr>
                <w:rFonts w:ascii="宋体"/>
              </w:rPr>
            </w:pPr>
          </w:p>
        </w:tc>
        <w:tc>
          <w:tcPr>
            <w:tcW w:w="0" w:type="auto"/>
            <w:shd w:val="clear" w:color="auto" w:fill="auto"/>
          </w:tcPr>
          <w:p w14:paraId="20AE0D39" w14:textId="77777777" w:rsidR="00B626E7" w:rsidRDefault="00B626E7">
            <w:pPr>
              <w:rPr>
                <w:rFonts w:ascii="宋体"/>
              </w:rPr>
            </w:pPr>
          </w:p>
        </w:tc>
        <w:tc>
          <w:tcPr>
            <w:tcW w:w="0" w:type="auto"/>
            <w:shd w:val="clear" w:color="auto" w:fill="auto"/>
          </w:tcPr>
          <w:p w14:paraId="20AE0D3A" w14:textId="77777777" w:rsidR="00B626E7" w:rsidRDefault="00B626E7">
            <w:pPr>
              <w:rPr>
                <w:rFonts w:ascii="宋体"/>
              </w:rPr>
            </w:pPr>
          </w:p>
        </w:tc>
        <w:tc>
          <w:tcPr>
            <w:tcW w:w="0" w:type="auto"/>
            <w:shd w:val="clear" w:color="auto" w:fill="auto"/>
          </w:tcPr>
          <w:p w14:paraId="20AE0D3B" w14:textId="77777777" w:rsidR="00B626E7" w:rsidRDefault="00B626E7">
            <w:pPr>
              <w:rPr>
                <w:rFonts w:ascii="宋体"/>
              </w:rPr>
            </w:pPr>
          </w:p>
        </w:tc>
        <w:tc>
          <w:tcPr>
            <w:tcW w:w="0" w:type="auto"/>
            <w:shd w:val="clear" w:color="auto" w:fill="auto"/>
          </w:tcPr>
          <w:p w14:paraId="20AE0D3C" w14:textId="77777777" w:rsidR="00B626E7" w:rsidRDefault="00B626E7">
            <w:pPr>
              <w:rPr>
                <w:rFonts w:ascii="宋体"/>
              </w:rPr>
            </w:pPr>
          </w:p>
        </w:tc>
        <w:tc>
          <w:tcPr>
            <w:tcW w:w="0" w:type="auto"/>
            <w:shd w:val="clear" w:color="auto" w:fill="auto"/>
          </w:tcPr>
          <w:p w14:paraId="20AE0D3D" w14:textId="77777777" w:rsidR="00B626E7" w:rsidRDefault="00B626E7">
            <w:pPr>
              <w:rPr>
                <w:rFonts w:ascii="宋体"/>
              </w:rPr>
            </w:pPr>
          </w:p>
        </w:tc>
        <w:tc>
          <w:tcPr>
            <w:tcW w:w="0" w:type="auto"/>
            <w:shd w:val="clear" w:color="auto" w:fill="auto"/>
          </w:tcPr>
          <w:p w14:paraId="20AE0D3E" w14:textId="77777777" w:rsidR="00B626E7" w:rsidRDefault="00B626E7">
            <w:pPr>
              <w:rPr>
                <w:rFonts w:ascii="宋体"/>
              </w:rPr>
            </w:pPr>
          </w:p>
        </w:tc>
        <w:tc>
          <w:tcPr>
            <w:tcW w:w="0" w:type="auto"/>
            <w:shd w:val="clear" w:color="auto" w:fill="auto"/>
          </w:tcPr>
          <w:p w14:paraId="20AE0D3F" w14:textId="77777777" w:rsidR="00B626E7" w:rsidRDefault="00B626E7">
            <w:pPr>
              <w:rPr>
                <w:rFonts w:ascii="宋体"/>
              </w:rPr>
            </w:pPr>
          </w:p>
        </w:tc>
        <w:tc>
          <w:tcPr>
            <w:tcW w:w="0" w:type="auto"/>
            <w:shd w:val="clear" w:color="auto" w:fill="auto"/>
          </w:tcPr>
          <w:p w14:paraId="20AE0D40" w14:textId="77777777" w:rsidR="00B626E7" w:rsidRDefault="00B626E7">
            <w:pPr>
              <w:rPr>
                <w:rFonts w:ascii="宋体"/>
              </w:rPr>
            </w:pPr>
          </w:p>
        </w:tc>
        <w:tc>
          <w:tcPr>
            <w:tcW w:w="0" w:type="auto"/>
            <w:shd w:val="clear" w:color="auto" w:fill="auto"/>
          </w:tcPr>
          <w:p w14:paraId="20AE0D41" w14:textId="77777777" w:rsidR="00B626E7" w:rsidRDefault="00B626E7">
            <w:pPr>
              <w:rPr>
                <w:rFonts w:ascii="宋体"/>
              </w:rPr>
            </w:pPr>
          </w:p>
        </w:tc>
        <w:tc>
          <w:tcPr>
            <w:tcW w:w="0" w:type="auto"/>
            <w:shd w:val="clear" w:color="auto" w:fill="auto"/>
          </w:tcPr>
          <w:p w14:paraId="20AE0D42" w14:textId="77777777" w:rsidR="00B626E7" w:rsidRDefault="00B626E7">
            <w:pPr>
              <w:rPr>
                <w:rFonts w:ascii="宋体"/>
              </w:rPr>
            </w:pPr>
          </w:p>
        </w:tc>
      </w:tr>
      <w:tr w:rsidR="00B626E7" w14:paraId="20AE0D61" w14:textId="77777777">
        <w:tc>
          <w:tcPr>
            <w:tcW w:w="0" w:type="auto"/>
            <w:gridSpan w:val="3"/>
            <w:tcBorders>
              <w:top w:val="single" w:sz="8" w:space="0" w:color="0071C5"/>
            </w:tcBorders>
            <w:shd w:val="clear" w:color="auto" w:fill="auto"/>
            <w:tcMar>
              <w:top w:w="40" w:type="dxa"/>
              <w:left w:w="20" w:type="dxa"/>
              <w:bottom w:w="40" w:type="dxa"/>
              <w:right w:w="20" w:type="dxa"/>
            </w:tcMar>
          </w:tcPr>
          <w:p w14:paraId="20AE0D44" w14:textId="77777777" w:rsidR="00B626E7" w:rsidRDefault="00175C1D">
            <w:pPr>
              <w:textAlignment w:val="top"/>
            </w:pPr>
            <w:r>
              <w:rPr>
                <w:rFonts w:ascii="Arial" w:eastAsia="宋体" w:hAnsi="Arial" w:cs="Arial"/>
                <w:b/>
                <w:bCs/>
                <w:color w:val="333333"/>
                <w:sz w:val="18"/>
                <w:szCs w:val="18"/>
              </w:rPr>
              <w:t xml:space="preserve">Net </w:t>
            </w:r>
            <w:r>
              <w:rPr>
                <w:rFonts w:ascii="Arial" w:eastAsia="宋体" w:hAnsi="Arial" w:cs="Arial"/>
                <w:b/>
                <w:bCs/>
                <w:color w:val="333333"/>
                <w:sz w:val="18"/>
                <w:szCs w:val="18"/>
              </w:rPr>
              <w:t>income available to common stockholders</w:t>
            </w:r>
          </w:p>
        </w:tc>
        <w:tc>
          <w:tcPr>
            <w:tcW w:w="0" w:type="auto"/>
            <w:gridSpan w:val="3"/>
            <w:shd w:val="clear" w:color="auto" w:fill="auto"/>
            <w:tcMar>
              <w:left w:w="20" w:type="dxa"/>
              <w:right w:w="20" w:type="dxa"/>
            </w:tcMar>
            <w:vAlign w:val="bottom"/>
          </w:tcPr>
          <w:p w14:paraId="20AE0D45"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0D46" w14:textId="77777777" w:rsidR="00B626E7" w:rsidRDefault="00175C1D">
            <w:pPr>
              <w:textAlignment w:val="bottom"/>
            </w:pPr>
            <w:r>
              <w:rPr>
                <w:rFonts w:ascii="Arial" w:eastAsia="宋体" w:hAnsi="Arial" w:cs="Arial"/>
                <w:b/>
                <w:bCs/>
                <w:color w:val="026DCE"/>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0D47" w14:textId="77777777" w:rsidR="00B626E7" w:rsidRDefault="00175C1D">
            <w:pPr>
              <w:jc w:val="right"/>
              <w:textAlignment w:val="bottom"/>
            </w:pPr>
            <w:r>
              <w:rPr>
                <w:rFonts w:ascii="Arial" w:eastAsia="宋体" w:hAnsi="Arial" w:cs="Arial"/>
                <w:b/>
                <w:bCs/>
                <w:color w:val="026DCE"/>
                <w:sz w:val="18"/>
                <w:szCs w:val="18"/>
              </w:rPr>
              <w:t>5,105 </w:t>
            </w:r>
          </w:p>
        </w:tc>
        <w:tc>
          <w:tcPr>
            <w:tcW w:w="0" w:type="auto"/>
            <w:tcBorders>
              <w:top w:val="single" w:sz="8" w:space="0" w:color="0071C5"/>
            </w:tcBorders>
            <w:shd w:val="clear" w:color="auto" w:fill="auto"/>
            <w:tcMar>
              <w:top w:w="40" w:type="dxa"/>
              <w:bottom w:w="40" w:type="dxa"/>
              <w:right w:w="20" w:type="dxa"/>
            </w:tcMar>
            <w:vAlign w:val="bottom"/>
          </w:tcPr>
          <w:p w14:paraId="20AE0D48"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0D49"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0D4A"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0D4B" w14:textId="77777777" w:rsidR="00B626E7" w:rsidRDefault="00175C1D">
            <w:pPr>
              <w:jc w:val="right"/>
              <w:textAlignment w:val="bottom"/>
            </w:pPr>
            <w:r>
              <w:rPr>
                <w:rFonts w:ascii="Arial" w:eastAsia="宋体" w:hAnsi="Arial" w:cs="Arial"/>
                <w:b/>
                <w:bCs/>
                <w:color w:val="333333"/>
                <w:sz w:val="18"/>
                <w:szCs w:val="18"/>
              </w:rPr>
              <w:t>4,179 </w:t>
            </w:r>
          </w:p>
        </w:tc>
        <w:tc>
          <w:tcPr>
            <w:tcW w:w="0" w:type="auto"/>
            <w:tcBorders>
              <w:top w:val="single" w:sz="8" w:space="0" w:color="0071C5"/>
            </w:tcBorders>
            <w:shd w:val="clear" w:color="auto" w:fill="auto"/>
            <w:tcMar>
              <w:top w:w="40" w:type="dxa"/>
              <w:bottom w:w="40" w:type="dxa"/>
              <w:right w:w="20" w:type="dxa"/>
            </w:tcMar>
            <w:vAlign w:val="bottom"/>
          </w:tcPr>
          <w:p w14:paraId="20AE0D4C"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0D4D"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0D4E" w14:textId="77777777" w:rsidR="00B626E7" w:rsidRDefault="00175C1D">
            <w:pPr>
              <w:textAlignment w:val="bottom"/>
            </w:pPr>
            <w:r>
              <w:rPr>
                <w:rFonts w:ascii="Arial" w:eastAsia="宋体" w:hAnsi="Arial" w:cs="Arial"/>
                <w:b/>
                <w:bCs/>
                <w:color w:val="0071C5"/>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0D4F" w14:textId="77777777" w:rsidR="00B626E7" w:rsidRDefault="00175C1D">
            <w:pPr>
              <w:jc w:val="right"/>
              <w:textAlignment w:val="bottom"/>
            </w:pPr>
            <w:r>
              <w:rPr>
                <w:rFonts w:ascii="Arial" w:eastAsia="宋体" w:hAnsi="Arial" w:cs="Arial"/>
                <w:b/>
                <w:bCs/>
                <w:color w:val="0071C5"/>
                <w:sz w:val="18"/>
                <w:szCs w:val="18"/>
              </w:rPr>
              <w:t>10,766 </w:t>
            </w:r>
          </w:p>
        </w:tc>
        <w:tc>
          <w:tcPr>
            <w:tcW w:w="0" w:type="auto"/>
            <w:tcBorders>
              <w:top w:val="single" w:sz="8" w:space="0" w:color="0071C5"/>
            </w:tcBorders>
            <w:shd w:val="clear" w:color="auto" w:fill="auto"/>
            <w:tcMar>
              <w:top w:w="40" w:type="dxa"/>
              <w:bottom w:w="40" w:type="dxa"/>
              <w:right w:w="20" w:type="dxa"/>
            </w:tcMar>
            <w:vAlign w:val="bottom"/>
          </w:tcPr>
          <w:p w14:paraId="20AE0D50"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0D51"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0D52"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0D53" w14:textId="77777777" w:rsidR="00B626E7" w:rsidRDefault="00175C1D">
            <w:pPr>
              <w:jc w:val="right"/>
              <w:textAlignment w:val="bottom"/>
            </w:pPr>
            <w:r>
              <w:rPr>
                <w:rFonts w:ascii="Arial" w:eastAsia="宋体" w:hAnsi="Arial" w:cs="Arial"/>
                <w:b/>
                <w:bCs/>
                <w:color w:val="333333"/>
                <w:sz w:val="18"/>
                <w:szCs w:val="18"/>
              </w:rPr>
              <w:t>8,153 </w:t>
            </w:r>
          </w:p>
        </w:tc>
        <w:tc>
          <w:tcPr>
            <w:tcW w:w="0" w:type="auto"/>
            <w:tcBorders>
              <w:top w:val="single" w:sz="8" w:space="0" w:color="0071C5"/>
            </w:tcBorders>
            <w:shd w:val="clear" w:color="auto" w:fill="auto"/>
            <w:tcMar>
              <w:top w:w="40" w:type="dxa"/>
              <w:bottom w:w="40" w:type="dxa"/>
              <w:right w:w="20" w:type="dxa"/>
            </w:tcMar>
            <w:vAlign w:val="bottom"/>
          </w:tcPr>
          <w:p w14:paraId="20AE0D54"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E0D55" w14:textId="77777777" w:rsidR="00B626E7" w:rsidRDefault="00B626E7">
            <w:pPr>
              <w:rPr>
                <w:rFonts w:ascii="宋体"/>
              </w:rPr>
            </w:pPr>
          </w:p>
        </w:tc>
        <w:tc>
          <w:tcPr>
            <w:tcW w:w="0" w:type="auto"/>
            <w:shd w:val="clear" w:color="auto" w:fill="auto"/>
          </w:tcPr>
          <w:p w14:paraId="20AE0D56" w14:textId="77777777" w:rsidR="00B626E7" w:rsidRDefault="00B626E7">
            <w:pPr>
              <w:rPr>
                <w:rFonts w:ascii="宋体"/>
              </w:rPr>
            </w:pPr>
          </w:p>
        </w:tc>
        <w:tc>
          <w:tcPr>
            <w:tcW w:w="0" w:type="auto"/>
            <w:shd w:val="clear" w:color="auto" w:fill="auto"/>
          </w:tcPr>
          <w:p w14:paraId="20AE0D57" w14:textId="77777777" w:rsidR="00B626E7" w:rsidRDefault="00B626E7">
            <w:pPr>
              <w:rPr>
                <w:rFonts w:ascii="宋体"/>
              </w:rPr>
            </w:pPr>
          </w:p>
        </w:tc>
        <w:tc>
          <w:tcPr>
            <w:tcW w:w="0" w:type="auto"/>
            <w:shd w:val="clear" w:color="auto" w:fill="auto"/>
          </w:tcPr>
          <w:p w14:paraId="20AE0D58" w14:textId="77777777" w:rsidR="00B626E7" w:rsidRDefault="00B626E7">
            <w:pPr>
              <w:rPr>
                <w:rFonts w:ascii="宋体"/>
              </w:rPr>
            </w:pPr>
          </w:p>
        </w:tc>
        <w:tc>
          <w:tcPr>
            <w:tcW w:w="0" w:type="auto"/>
            <w:shd w:val="clear" w:color="auto" w:fill="auto"/>
          </w:tcPr>
          <w:p w14:paraId="20AE0D59" w14:textId="77777777" w:rsidR="00B626E7" w:rsidRDefault="00B626E7">
            <w:pPr>
              <w:rPr>
                <w:rFonts w:ascii="宋体"/>
              </w:rPr>
            </w:pPr>
          </w:p>
        </w:tc>
        <w:tc>
          <w:tcPr>
            <w:tcW w:w="0" w:type="auto"/>
            <w:shd w:val="clear" w:color="auto" w:fill="auto"/>
          </w:tcPr>
          <w:p w14:paraId="20AE0D5A" w14:textId="77777777" w:rsidR="00B626E7" w:rsidRDefault="00B626E7">
            <w:pPr>
              <w:rPr>
                <w:rFonts w:ascii="宋体"/>
              </w:rPr>
            </w:pPr>
          </w:p>
        </w:tc>
        <w:tc>
          <w:tcPr>
            <w:tcW w:w="0" w:type="auto"/>
            <w:shd w:val="clear" w:color="auto" w:fill="auto"/>
          </w:tcPr>
          <w:p w14:paraId="20AE0D5B" w14:textId="77777777" w:rsidR="00B626E7" w:rsidRDefault="00B626E7">
            <w:pPr>
              <w:rPr>
                <w:rFonts w:ascii="宋体"/>
              </w:rPr>
            </w:pPr>
          </w:p>
        </w:tc>
        <w:tc>
          <w:tcPr>
            <w:tcW w:w="0" w:type="auto"/>
            <w:shd w:val="clear" w:color="auto" w:fill="auto"/>
          </w:tcPr>
          <w:p w14:paraId="20AE0D5C" w14:textId="77777777" w:rsidR="00B626E7" w:rsidRDefault="00B626E7">
            <w:pPr>
              <w:rPr>
                <w:rFonts w:ascii="宋体"/>
              </w:rPr>
            </w:pPr>
          </w:p>
        </w:tc>
        <w:tc>
          <w:tcPr>
            <w:tcW w:w="0" w:type="auto"/>
            <w:shd w:val="clear" w:color="auto" w:fill="auto"/>
          </w:tcPr>
          <w:p w14:paraId="20AE0D5D" w14:textId="77777777" w:rsidR="00B626E7" w:rsidRDefault="00B626E7">
            <w:pPr>
              <w:rPr>
                <w:rFonts w:ascii="宋体"/>
              </w:rPr>
            </w:pPr>
          </w:p>
        </w:tc>
        <w:tc>
          <w:tcPr>
            <w:tcW w:w="0" w:type="auto"/>
            <w:shd w:val="clear" w:color="auto" w:fill="auto"/>
          </w:tcPr>
          <w:p w14:paraId="20AE0D5E" w14:textId="77777777" w:rsidR="00B626E7" w:rsidRDefault="00B626E7">
            <w:pPr>
              <w:rPr>
                <w:rFonts w:ascii="宋体"/>
              </w:rPr>
            </w:pPr>
          </w:p>
        </w:tc>
        <w:tc>
          <w:tcPr>
            <w:tcW w:w="0" w:type="auto"/>
            <w:shd w:val="clear" w:color="auto" w:fill="auto"/>
          </w:tcPr>
          <w:p w14:paraId="20AE0D5F" w14:textId="77777777" w:rsidR="00B626E7" w:rsidRDefault="00B626E7">
            <w:pPr>
              <w:rPr>
                <w:rFonts w:ascii="宋体"/>
              </w:rPr>
            </w:pPr>
          </w:p>
        </w:tc>
        <w:tc>
          <w:tcPr>
            <w:tcW w:w="0" w:type="auto"/>
            <w:shd w:val="clear" w:color="auto" w:fill="auto"/>
          </w:tcPr>
          <w:p w14:paraId="20AE0D60" w14:textId="77777777" w:rsidR="00B626E7" w:rsidRDefault="00B626E7">
            <w:pPr>
              <w:rPr>
                <w:rFonts w:ascii="宋体"/>
              </w:rPr>
            </w:pPr>
          </w:p>
        </w:tc>
      </w:tr>
      <w:tr w:rsidR="00B626E7" w14:paraId="20AE0D7B" w14:textId="77777777">
        <w:tc>
          <w:tcPr>
            <w:tcW w:w="0" w:type="auto"/>
            <w:gridSpan w:val="3"/>
            <w:shd w:val="clear" w:color="auto" w:fill="auto"/>
            <w:tcMar>
              <w:top w:w="40" w:type="dxa"/>
              <w:left w:w="20" w:type="dxa"/>
              <w:bottom w:w="40" w:type="dxa"/>
              <w:right w:w="20" w:type="dxa"/>
            </w:tcMar>
          </w:tcPr>
          <w:p w14:paraId="20AE0D62" w14:textId="77777777" w:rsidR="00B626E7" w:rsidRDefault="00175C1D">
            <w:pPr>
              <w:textAlignment w:val="top"/>
            </w:pPr>
            <w:r>
              <w:rPr>
                <w:rFonts w:ascii="Arial" w:eastAsia="宋体" w:hAnsi="Arial" w:cs="Arial"/>
                <w:b/>
                <w:bCs/>
                <w:color w:val="333333"/>
                <w:sz w:val="18"/>
                <w:szCs w:val="18"/>
              </w:rPr>
              <w:t>Weighted average shares of common stock outstanding—basic</w:t>
            </w:r>
          </w:p>
        </w:tc>
        <w:tc>
          <w:tcPr>
            <w:tcW w:w="0" w:type="auto"/>
            <w:gridSpan w:val="3"/>
            <w:shd w:val="clear" w:color="auto" w:fill="auto"/>
            <w:tcMar>
              <w:left w:w="20" w:type="dxa"/>
              <w:right w:w="20" w:type="dxa"/>
            </w:tcMar>
            <w:vAlign w:val="bottom"/>
          </w:tcPr>
          <w:p w14:paraId="20AE0D63"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D64" w14:textId="77777777" w:rsidR="00B626E7" w:rsidRDefault="00175C1D">
            <w:pPr>
              <w:jc w:val="right"/>
              <w:textAlignment w:val="bottom"/>
            </w:pPr>
            <w:r>
              <w:rPr>
                <w:rFonts w:ascii="Arial" w:eastAsia="宋体" w:hAnsi="Arial" w:cs="Arial"/>
                <w:b/>
                <w:bCs/>
                <w:color w:val="026DCE"/>
                <w:sz w:val="18"/>
                <w:szCs w:val="18"/>
              </w:rPr>
              <w:t>4,246 </w:t>
            </w:r>
          </w:p>
        </w:tc>
        <w:tc>
          <w:tcPr>
            <w:tcW w:w="0" w:type="auto"/>
            <w:shd w:val="clear" w:color="auto" w:fill="auto"/>
            <w:tcMar>
              <w:top w:w="40" w:type="dxa"/>
              <w:bottom w:w="40" w:type="dxa"/>
              <w:right w:w="20" w:type="dxa"/>
            </w:tcMar>
            <w:vAlign w:val="bottom"/>
          </w:tcPr>
          <w:p w14:paraId="20AE0D65"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0D66"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D67" w14:textId="77777777" w:rsidR="00B626E7" w:rsidRDefault="00175C1D">
            <w:pPr>
              <w:jc w:val="right"/>
              <w:textAlignment w:val="bottom"/>
            </w:pPr>
            <w:r>
              <w:rPr>
                <w:rFonts w:ascii="Arial" w:eastAsia="宋体" w:hAnsi="Arial" w:cs="Arial"/>
                <w:b/>
                <w:bCs/>
                <w:color w:val="333333"/>
                <w:sz w:val="18"/>
                <w:szCs w:val="18"/>
              </w:rPr>
              <w:t>4,466 </w:t>
            </w:r>
          </w:p>
        </w:tc>
        <w:tc>
          <w:tcPr>
            <w:tcW w:w="0" w:type="auto"/>
            <w:shd w:val="clear" w:color="auto" w:fill="auto"/>
            <w:tcMar>
              <w:top w:w="40" w:type="dxa"/>
              <w:bottom w:w="40" w:type="dxa"/>
              <w:right w:w="20" w:type="dxa"/>
            </w:tcMar>
            <w:vAlign w:val="bottom"/>
          </w:tcPr>
          <w:p w14:paraId="20AE0D68"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0D69"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D6A" w14:textId="77777777" w:rsidR="00B626E7" w:rsidRDefault="00175C1D">
            <w:pPr>
              <w:jc w:val="right"/>
              <w:textAlignment w:val="bottom"/>
            </w:pPr>
            <w:r>
              <w:rPr>
                <w:rFonts w:ascii="Arial" w:eastAsia="宋体" w:hAnsi="Arial" w:cs="Arial"/>
                <w:b/>
                <w:bCs/>
                <w:color w:val="0071C5"/>
                <w:sz w:val="18"/>
                <w:szCs w:val="18"/>
              </w:rPr>
              <w:t>4,256 </w:t>
            </w:r>
          </w:p>
        </w:tc>
        <w:tc>
          <w:tcPr>
            <w:tcW w:w="0" w:type="auto"/>
            <w:shd w:val="clear" w:color="auto" w:fill="auto"/>
            <w:tcMar>
              <w:top w:w="40" w:type="dxa"/>
              <w:bottom w:w="40" w:type="dxa"/>
              <w:right w:w="20" w:type="dxa"/>
            </w:tcMar>
            <w:vAlign w:val="bottom"/>
          </w:tcPr>
          <w:p w14:paraId="20AE0D6B"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0D6C"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D6D" w14:textId="77777777" w:rsidR="00B626E7" w:rsidRDefault="00175C1D">
            <w:pPr>
              <w:jc w:val="right"/>
              <w:textAlignment w:val="bottom"/>
            </w:pPr>
            <w:r>
              <w:rPr>
                <w:rFonts w:ascii="Arial" w:eastAsia="宋体" w:hAnsi="Arial" w:cs="Arial"/>
                <w:b/>
                <w:bCs/>
                <w:color w:val="333333"/>
                <w:sz w:val="18"/>
                <w:szCs w:val="18"/>
              </w:rPr>
              <w:t>4,479 </w:t>
            </w:r>
          </w:p>
        </w:tc>
        <w:tc>
          <w:tcPr>
            <w:tcW w:w="0" w:type="auto"/>
            <w:shd w:val="clear" w:color="auto" w:fill="auto"/>
            <w:tcMar>
              <w:top w:w="40" w:type="dxa"/>
              <w:bottom w:w="40" w:type="dxa"/>
              <w:right w:w="20" w:type="dxa"/>
            </w:tcMar>
            <w:vAlign w:val="bottom"/>
          </w:tcPr>
          <w:p w14:paraId="20AE0D6E"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E0D6F" w14:textId="77777777" w:rsidR="00B626E7" w:rsidRDefault="00B626E7">
            <w:pPr>
              <w:rPr>
                <w:rFonts w:ascii="宋体"/>
              </w:rPr>
            </w:pPr>
          </w:p>
        </w:tc>
        <w:tc>
          <w:tcPr>
            <w:tcW w:w="0" w:type="auto"/>
            <w:shd w:val="clear" w:color="auto" w:fill="auto"/>
          </w:tcPr>
          <w:p w14:paraId="20AE0D70" w14:textId="77777777" w:rsidR="00B626E7" w:rsidRDefault="00B626E7">
            <w:pPr>
              <w:rPr>
                <w:rFonts w:ascii="宋体"/>
              </w:rPr>
            </w:pPr>
          </w:p>
        </w:tc>
        <w:tc>
          <w:tcPr>
            <w:tcW w:w="0" w:type="auto"/>
            <w:shd w:val="clear" w:color="auto" w:fill="auto"/>
          </w:tcPr>
          <w:p w14:paraId="20AE0D71" w14:textId="77777777" w:rsidR="00B626E7" w:rsidRDefault="00B626E7">
            <w:pPr>
              <w:rPr>
                <w:rFonts w:ascii="宋体"/>
              </w:rPr>
            </w:pPr>
          </w:p>
        </w:tc>
        <w:tc>
          <w:tcPr>
            <w:tcW w:w="0" w:type="auto"/>
            <w:shd w:val="clear" w:color="auto" w:fill="auto"/>
          </w:tcPr>
          <w:p w14:paraId="20AE0D72" w14:textId="77777777" w:rsidR="00B626E7" w:rsidRDefault="00B626E7">
            <w:pPr>
              <w:rPr>
                <w:rFonts w:ascii="宋体"/>
              </w:rPr>
            </w:pPr>
          </w:p>
        </w:tc>
        <w:tc>
          <w:tcPr>
            <w:tcW w:w="0" w:type="auto"/>
            <w:shd w:val="clear" w:color="auto" w:fill="auto"/>
          </w:tcPr>
          <w:p w14:paraId="20AE0D73" w14:textId="77777777" w:rsidR="00B626E7" w:rsidRDefault="00B626E7">
            <w:pPr>
              <w:rPr>
                <w:rFonts w:ascii="宋体"/>
              </w:rPr>
            </w:pPr>
          </w:p>
        </w:tc>
        <w:tc>
          <w:tcPr>
            <w:tcW w:w="0" w:type="auto"/>
            <w:shd w:val="clear" w:color="auto" w:fill="auto"/>
          </w:tcPr>
          <w:p w14:paraId="20AE0D74" w14:textId="77777777" w:rsidR="00B626E7" w:rsidRDefault="00B626E7">
            <w:pPr>
              <w:rPr>
                <w:rFonts w:ascii="宋体"/>
              </w:rPr>
            </w:pPr>
          </w:p>
        </w:tc>
        <w:tc>
          <w:tcPr>
            <w:tcW w:w="0" w:type="auto"/>
            <w:shd w:val="clear" w:color="auto" w:fill="auto"/>
          </w:tcPr>
          <w:p w14:paraId="20AE0D75" w14:textId="77777777" w:rsidR="00B626E7" w:rsidRDefault="00B626E7">
            <w:pPr>
              <w:rPr>
                <w:rFonts w:ascii="宋体"/>
              </w:rPr>
            </w:pPr>
          </w:p>
        </w:tc>
        <w:tc>
          <w:tcPr>
            <w:tcW w:w="0" w:type="auto"/>
            <w:shd w:val="clear" w:color="auto" w:fill="auto"/>
          </w:tcPr>
          <w:p w14:paraId="20AE0D76" w14:textId="77777777" w:rsidR="00B626E7" w:rsidRDefault="00B626E7">
            <w:pPr>
              <w:rPr>
                <w:rFonts w:ascii="宋体"/>
              </w:rPr>
            </w:pPr>
          </w:p>
        </w:tc>
        <w:tc>
          <w:tcPr>
            <w:tcW w:w="0" w:type="auto"/>
            <w:shd w:val="clear" w:color="auto" w:fill="auto"/>
          </w:tcPr>
          <w:p w14:paraId="20AE0D77" w14:textId="77777777" w:rsidR="00B626E7" w:rsidRDefault="00B626E7">
            <w:pPr>
              <w:rPr>
                <w:rFonts w:ascii="宋体"/>
              </w:rPr>
            </w:pPr>
          </w:p>
        </w:tc>
        <w:tc>
          <w:tcPr>
            <w:tcW w:w="0" w:type="auto"/>
            <w:shd w:val="clear" w:color="auto" w:fill="auto"/>
          </w:tcPr>
          <w:p w14:paraId="20AE0D78" w14:textId="77777777" w:rsidR="00B626E7" w:rsidRDefault="00B626E7">
            <w:pPr>
              <w:rPr>
                <w:rFonts w:ascii="宋体"/>
              </w:rPr>
            </w:pPr>
          </w:p>
        </w:tc>
        <w:tc>
          <w:tcPr>
            <w:tcW w:w="0" w:type="auto"/>
            <w:shd w:val="clear" w:color="auto" w:fill="auto"/>
          </w:tcPr>
          <w:p w14:paraId="20AE0D79" w14:textId="77777777" w:rsidR="00B626E7" w:rsidRDefault="00B626E7">
            <w:pPr>
              <w:rPr>
                <w:rFonts w:ascii="宋体"/>
              </w:rPr>
            </w:pPr>
          </w:p>
        </w:tc>
        <w:tc>
          <w:tcPr>
            <w:tcW w:w="0" w:type="auto"/>
            <w:shd w:val="clear" w:color="auto" w:fill="auto"/>
          </w:tcPr>
          <w:p w14:paraId="20AE0D7A" w14:textId="77777777" w:rsidR="00B626E7" w:rsidRDefault="00B626E7">
            <w:pPr>
              <w:rPr>
                <w:rFonts w:ascii="宋体"/>
              </w:rPr>
            </w:pPr>
          </w:p>
        </w:tc>
      </w:tr>
      <w:tr w:rsidR="00B626E7" w14:paraId="20AE0D95" w14:textId="77777777">
        <w:tc>
          <w:tcPr>
            <w:tcW w:w="0" w:type="auto"/>
            <w:gridSpan w:val="3"/>
            <w:shd w:val="clear" w:color="auto" w:fill="auto"/>
            <w:tcMar>
              <w:top w:w="40" w:type="dxa"/>
              <w:left w:w="20" w:type="dxa"/>
              <w:bottom w:w="40" w:type="dxa"/>
              <w:right w:w="20" w:type="dxa"/>
            </w:tcMar>
          </w:tcPr>
          <w:p w14:paraId="20AE0D7C" w14:textId="77777777" w:rsidR="00B626E7" w:rsidRDefault="00175C1D">
            <w:pPr>
              <w:textAlignment w:val="top"/>
            </w:pPr>
            <w:r>
              <w:rPr>
                <w:rFonts w:ascii="Arial" w:eastAsia="宋体" w:hAnsi="Arial" w:cs="Arial"/>
                <w:color w:val="333333"/>
                <w:sz w:val="18"/>
                <w:szCs w:val="18"/>
              </w:rPr>
              <w:t>Dilutive effect of employee equity incentive plans</w:t>
            </w:r>
          </w:p>
        </w:tc>
        <w:tc>
          <w:tcPr>
            <w:tcW w:w="0" w:type="auto"/>
            <w:gridSpan w:val="3"/>
            <w:shd w:val="clear" w:color="auto" w:fill="auto"/>
            <w:tcMar>
              <w:left w:w="20" w:type="dxa"/>
              <w:right w:w="20" w:type="dxa"/>
            </w:tcMar>
            <w:vAlign w:val="bottom"/>
          </w:tcPr>
          <w:p w14:paraId="20AE0D7D"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D7E" w14:textId="77777777" w:rsidR="00B626E7" w:rsidRDefault="00175C1D">
            <w:pPr>
              <w:jc w:val="right"/>
              <w:textAlignment w:val="bottom"/>
            </w:pPr>
            <w:r>
              <w:rPr>
                <w:rFonts w:ascii="Arial" w:eastAsia="宋体" w:hAnsi="Arial" w:cs="Arial"/>
                <w:color w:val="026DCE"/>
                <w:sz w:val="18"/>
                <w:szCs w:val="18"/>
              </w:rPr>
              <w:t>38 </w:t>
            </w:r>
          </w:p>
        </w:tc>
        <w:tc>
          <w:tcPr>
            <w:tcW w:w="0" w:type="auto"/>
            <w:shd w:val="clear" w:color="auto" w:fill="auto"/>
            <w:tcMar>
              <w:top w:w="40" w:type="dxa"/>
              <w:bottom w:w="40" w:type="dxa"/>
              <w:right w:w="20" w:type="dxa"/>
            </w:tcMar>
            <w:vAlign w:val="bottom"/>
          </w:tcPr>
          <w:p w14:paraId="20AE0D7F"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0D80"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D81" w14:textId="77777777" w:rsidR="00B626E7" w:rsidRDefault="00175C1D">
            <w:pPr>
              <w:jc w:val="right"/>
              <w:textAlignment w:val="bottom"/>
            </w:pPr>
            <w:r>
              <w:rPr>
                <w:rFonts w:ascii="Arial" w:eastAsia="宋体" w:hAnsi="Arial" w:cs="Arial"/>
                <w:color w:val="333333"/>
                <w:sz w:val="18"/>
                <w:szCs w:val="18"/>
              </w:rPr>
              <w:t>40 </w:t>
            </w:r>
          </w:p>
        </w:tc>
        <w:tc>
          <w:tcPr>
            <w:tcW w:w="0" w:type="auto"/>
            <w:shd w:val="clear" w:color="auto" w:fill="auto"/>
            <w:tcMar>
              <w:top w:w="40" w:type="dxa"/>
              <w:bottom w:w="40" w:type="dxa"/>
              <w:right w:w="20" w:type="dxa"/>
            </w:tcMar>
            <w:vAlign w:val="bottom"/>
          </w:tcPr>
          <w:p w14:paraId="20AE0D82"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D83"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D84" w14:textId="77777777" w:rsidR="00B626E7" w:rsidRDefault="00175C1D">
            <w:pPr>
              <w:jc w:val="right"/>
              <w:textAlignment w:val="bottom"/>
            </w:pPr>
            <w:r>
              <w:rPr>
                <w:rFonts w:ascii="Arial" w:eastAsia="宋体" w:hAnsi="Arial" w:cs="Arial"/>
                <w:color w:val="0071C5"/>
                <w:sz w:val="18"/>
                <w:szCs w:val="18"/>
              </w:rPr>
              <w:t>42 </w:t>
            </w:r>
          </w:p>
        </w:tc>
        <w:tc>
          <w:tcPr>
            <w:tcW w:w="0" w:type="auto"/>
            <w:shd w:val="clear" w:color="auto" w:fill="auto"/>
            <w:tcMar>
              <w:top w:w="40" w:type="dxa"/>
              <w:bottom w:w="40" w:type="dxa"/>
              <w:right w:w="20" w:type="dxa"/>
            </w:tcMar>
            <w:vAlign w:val="bottom"/>
          </w:tcPr>
          <w:p w14:paraId="20AE0D85"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D86"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D87" w14:textId="77777777" w:rsidR="00B626E7" w:rsidRDefault="00175C1D">
            <w:pPr>
              <w:jc w:val="right"/>
              <w:textAlignment w:val="bottom"/>
            </w:pPr>
            <w:r>
              <w:rPr>
                <w:rFonts w:ascii="Arial" w:eastAsia="宋体" w:hAnsi="Arial" w:cs="Arial"/>
                <w:color w:val="333333"/>
                <w:sz w:val="18"/>
                <w:szCs w:val="18"/>
              </w:rPr>
              <w:t>46 </w:t>
            </w:r>
          </w:p>
        </w:tc>
        <w:tc>
          <w:tcPr>
            <w:tcW w:w="0" w:type="auto"/>
            <w:shd w:val="clear" w:color="auto" w:fill="auto"/>
            <w:tcMar>
              <w:top w:w="40" w:type="dxa"/>
              <w:bottom w:w="40" w:type="dxa"/>
              <w:right w:w="20" w:type="dxa"/>
            </w:tcMar>
            <w:vAlign w:val="bottom"/>
          </w:tcPr>
          <w:p w14:paraId="20AE0D88"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0D89" w14:textId="77777777" w:rsidR="00B626E7" w:rsidRDefault="00B626E7">
            <w:pPr>
              <w:rPr>
                <w:rFonts w:ascii="宋体"/>
              </w:rPr>
            </w:pPr>
          </w:p>
        </w:tc>
        <w:tc>
          <w:tcPr>
            <w:tcW w:w="0" w:type="auto"/>
            <w:shd w:val="clear" w:color="auto" w:fill="auto"/>
          </w:tcPr>
          <w:p w14:paraId="20AE0D8A" w14:textId="77777777" w:rsidR="00B626E7" w:rsidRDefault="00B626E7">
            <w:pPr>
              <w:rPr>
                <w:rFonts w:ascii="宋体"/>
              </w:rPr>
            </w:pPr>
          </w:p>
        </w:tc>
        <w:tc>
          <w:tcPr>
            <w:tcW w:w="0" w:type="auto"/>
            <w:shd w:val="clear" w:color="auto" w:fill="auto"/>
          </w:tcPr>
          <w:p w14:paraId="20AE0D8B" w14:textId="77777777" w:rsidR="00B626E7" w:rsidRDefault="00B626E7">
            <w:pPr>
              <w:rPr>
                <w:rFonts w:ascii="宋体"/>
              </w:rPr>
            </w:pPr>
          </w:p>
        </w:tc>
        <w:tc>
          <w:tcPr>
            <w:tcW w:w="0" w:type="auto"/>
            <w:shd w:val="clear" w:color="auto" w:fill="auto"/>
          </w:tcPr>
          <w:p w14:paraId="20AE0D8C" w14:textId="77777777" w:rsidR="00B626E7" w:rsidRDefault="00B626E7">
            <w:pPr>
              <w:rPr>
                <w:rFonts w:ascii="宋体"/>
              </w:rPr>
            </w:pPr>
          </w:p>
        </w:tc>
        <w:tc>
          <w:tcPr>
            <w:tcW w:w="0" w:type="auto"/>
            <w:shd w:val="clear" w:color="auto" w:fill="auto"/>
          </w:tcPr>
          <w:p w14:paraId="20AE0D8D" w14:textId="77777777" w:rsidR="00B626E7" w:rsidRDefault="00B626E7">
            <w:pPr>
              <w:rPr>
                <w:rFonts w:ascii="宋体"/>
              </w:rPr>
            </w:pPr>
          </w:p>
        </w:tc>
        <w:tc>
          <w:tcPr>
            <w:tcW w:w="0" w:type="auto"/>
            <w:shd w:val="clear" w:color="auto" w:fill="auto"/>
          </w:tcPr>
          <w:p w14:paraId="20AE0D8E" w14:textId="77777777" w:rsidR="00B626E7" w:rsidRDefault="00B626E7">
            <w:pPr>
              <w:rPr>
                <w:rFonts w:ascii="宋体"/>
              </w:rPr>
            </w:pPr>
          </w:p>
        </w:tc>
        <w:tc>
          <w:tcPr>
            <w:tcW w:w="0" w:type="auto"/>
            <w:shd w:val="clear" w:color="auto" w:fill="auto"/>
          </w:tcPr>
          <w:p w14:paraId="20AE0D8F" w14:textId="77777777" w:rsidR="00B626E7" w:rsidRDefault="00B626E7">
            <w:pPr>
              <w:rPr>
                <w:rFonts w:ascii="宋体"/>
              </w:rPr>
            </w:pPr>
          </w:p>
        </w:tc>
        <w:tc>
          <w:tcPr>
            <w:tcW w:w="0" w:type="auto"/>
            <w:shd w:val="clear" w:color="auto" w:fill="auto"/>
          </w:tcPr>
          <w:p w14:paraId="20AE0D90" w14:textId="77777777" w:rsidR="00B626E7" w:rsidRDefault="00B626E7">
            <w:pPr>
              <w:rPr>
                <w:rFonts w:ascii="宋体"/>
              </w:rPr>
            </w:pPr>
          </w:p>
        </w:tc>
        <w:tc>
          <w:tcPr>
            <w:tcW w:w="0" w:type="auto"/>
            <w:shd w:val="clear" w:color="auto" w:fill="auto"/>
          </w:tcPr>
          <w:p w14:paraId="20AE0D91" w14:textId="77777777" w:rsidR="00B626E7" w:rsidRDefault="00B626E7">
            <w:pPr>
              <w:rPr>
                <w:rFonts w:ascii="宋体"/>
              </w:rPr>
            </w:pPr>
          </w:p>
        </w:tc>
        <w:tc>
          <w:tcPr>
            <w:tcW w:w="0" w:type="auto"/>
            <w:shd w:val="clear" w:color="auto" w:fill="auto"/>
          </w:tcPr>
          <w:p w14:paraId="20AE0D92" w14:textId="77777777" w:rsidR="00B626E7" w:rsidRDefault="00B626E7">
            <w:pPr>
              <w:rPr>
                <w:rFonts w:ascii="宋体"/>
              </w:rPr>
            </w:pPr>
          </w:p>
        </w:tc>
        <w:tc>
          <w:tcPr>
            <w:tcW w:w="0" w:type="auto"/>
            <w:shd w:val="clear" w:color="auto" w:fill="auto"/>
          </w:tcPr>
          <w:p w14:paraId="20AE0D93" w14:textId="77777777" w:rsidR="00B626E7" w:rsidRDefault="00B626E7">
            <w:pPr>
              <w:rPr>
                <w:rFonts w:ascii="宋体"/>
              </w:rPr>
            </w:pPr>
          </w:p>
        </w:tc>
        <w:tc>
          <w:tcPr>
            <w:tcW w:w="0" w:type="auto"/>
            <w:shd w:val="clear" w:color="auto" w:fill="auto"/>
          </w:tcPr>
          <w:p w14:paraId="20AE0D94" w14:textId="77777777" w:rsidR="00B626E7" w:rsidRDefault="00B626E7">
            <w:pPr>
              <w:rPr>
                <w:rFonts w:ascii="宋体"/>
              </w:rPr>
            </w:pPr>
          </w:p>
        </w:tc>
      </w:tr>
      <w:tr w:rsidR="00B626E7" w14:paraId="20AE0DAF" w14:textId="77777777">
        <w:tc>
          <w:tcPr>
            <w:tcW w:w="0" w:type="auto"/>
            <w:gridSpan w:val="3"/>
            <w:shd w:val="clear" w:color="auto" w:fill="auto"/>
            <w:tcMar>
              <w:top w:w="40" w:type="dxa"/>
              <w:left w:w="20" w:type="dxa"/>
              <w:bottom w:w="40" w:type="dxa"/>
              <w:right w:w="20" w:type="dxa"/>
            </w:tcMar>
          </w:tcPr>
          <w:p w14:paraId="20AE0D96" w14:textId="77777777" w:rsidR="00B626E7" w:rsidRDefault="00175C1D">
            <w:pPr>
              <w:textAlignment w:val="top"/>
            </w:pPr>
            <w:r>
              <w:rPr>
                <w:rFonts w:ascii="Arial" w:eastAsia="宋体" w:hAnsi="Arial" w:cs="Arial"/>
                <w:color w:val="333333"/>
                <w:sz w:val="18"/>
                <w:szCs w:val="18"/>
              </w:rPr>
              <w:t>Dilutive effect of convertible debt</w:t>
            </w:r>
          </w:p>
        </w:tc>
        <w:tc>
          <w:tcPr>
            <w:tcW w:w="0" w:type="auto"/>
            <w:gridSpan w:val="3"/>
            <w:shd w:val="clear" w:color="auto" w:fill="auto"/>
            <w:tcMar>
              <w:left w:w="20" w:type="dxa"/>
              <w:right w:w="20" w:type="dxa"/>
            </w:tcMar>
            <w:vAlign w:val="bottom"/>
          </w:tcPr>
          <w:p w14:paraId="20AE0D97"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D98" w14:textId="77777777" w:rsidR="00B626E7" w:rsidRDefault="00175C1D">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20AE0D99"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0D9A"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D9B" w14:textId="77777777" w:rsidR="00B626E7" w:rsidRDefault="00175C1D">
            <w:pPr>
              <w:jc w:val="right"/>
              <w:textAlignment w:val="bottom"/>
            </w:pPr>
            <w:r>
              <w:rPr>
                <w:rFonts w:ascii="Arial" w:eastAsia="宋体" w:hAnsi="Arial" w:cs="Arial"/>
                <w:color w:val="333333"/>
                <w:sz w:val="18"/>
                <w:szCs w:val="18"/>
              </w:rPr>
              <w:t>17 </w:t>
            </w:r>
          </w:p>
        </w:tc>
        <w:tc>
          <w:tcPr>
            <w:tcW w:w="0" w:type="auto"/>
            <w:shd w:val="clear" w:color="auto" w:fill="auto"/>
            <w:tcMar>
              <w:top w:w="40" w:type="dxa"/>
              <w:bottom w:w="40" w:type="dxa"/>
              <w:right w:w="20" w:type="dxa"/>
            </w:tcMar>
            <w:vAlign w:val="bottom"/>
          </w:tcPr>
          <w:p w14:paraId="20AE0D9C"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D9D"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D9E"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20AE0D9F"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DA0"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DA1" w14:textId="77777777" w:rsidR="00B626E7" w:rsidRDefault="00175C1D">
            <w:pPr>
              <w:jc w:val="right"/>
              <w:textAlignment w:val="bottom"/>
            </w:pPr>
            <w:r>
              <w:rPr>
                <w:rFonts w:ascii="Arial" w:eastAsia="宋体" w:hAnsi="Arial" w:cs="Arial"/>
                <w:color w:val="333333"/>
                <w:sz w:val="18"/>
                <w:szCs w:val="18"/>
              </w:rPr>
              <w:t>18 </w:t>
            </w:r>
          </w:p>
        </w:tc>
        <w:tc>
          <w:tcPr>
            <w:tcW w:w="0" w:type="auto"/>
            <w:shd w:val="clear" w:color="auto" w:fill="auto"/>
            <w:tcMar>
              <w:top w:w="40" w:type="dxa"/>
              <w:bottom w:w="40" w:type="dxa"/>
              <w:right w:w="20" w:type="dxa"/>
            </w:tcMar>
            <w:vAlign w:val="bottom"/>
          </w:tcPr>
          <w:p w14:paraId="20AE0DA2"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0DA3" w14:textId="77777777" w:rsidR="00B626E7" w:rsidRDefault="00B626E7">
            <w:pPr>
              <w:rPr>
                <w:rFonts w:ascii="宋体"/>
              </w:rPr>
            </w:pPr>
          </w:p>
        </w:tc>
        <w:tc>
          <w:tcPr>
            <w:tcW w:w="0" w:type="auto"/>
            <w:shd w:val="clear" w:color="auto" w:fill="auto"/>
          </w:tcPr>
          <w:p w14:paraId="20AE0DA4" w14:textId="77777777" w:rsidR="00B626E7" w:rsidRDefault="00B626E7">
            <w:pPr>
              <w:rPr>
                <w:rFonts w:ascii="宋体"/>
              </w:rPr>
            </w:pPr>
          </w:p>
        </w:tc>
        <w:tc>
          <w:tcPr>
            <w:tcW w:w="0" w:type="auto"/>
            <w:shd w:val="clear" w:color="auto" w:fill="auto"/>
          </w:tcPr>
          <w:p w14:paraId="20AE0DA5" w14:textId="77777777" w:rsidR="00B626E7" w:rsidRDefault="00B626E7">
            <w:pPr>
              <w:rPr>
                <w:rFonts w:ascii="宋体"/>
              </w:rPr>
            </w:pPr>
          </w:p>
        </w:tc>
        <w:tc>
          <w:tcPr>
            <w:tcW w:w="0" w:type="auto"/>
            <w:shd w:val="clear" w:color="auto" w:fill="auto"/>
          </w:tcPr>
          <w:p w14:paraId="20AE0DA6" w14:textId="77777777" w:rsidR="00B626E7" w:rsidRDefault="00B626E7">
            <w:pPr>
              <w:rPr>
                <w:rFonts w:ascii="宋体"/>
              </w:rPr>
            </w:pPr>
          </w:p>
        </w:tc>
        <w:tc>
          <w:tcPr>
            <w:tcW w:w="0" w:type="auto"/>
            <w:shd w:val="clear" w:color="auto" w:fill="auto"/>
          </w:tcPr>
          <w:p w14:paraId="20AE0DA7" w14:textId="77777777" w:rsidR="00B626E7" w:rsidRDefault="00B626E7">
            <w:pPr>
              <w:rPr>
                <w:rFonts w:ascii="宋体"/>
              </w:rPr>
            </w:pPr>
          </w:p>
        </w:tc>
        <w:tc>
          <w:tcPr>
            <w:tcW w:w="0" w:type="auto"/>
            <w:shd w:val="clear" w:color="auto" w:fill="auto"/>
          </w:tcPr>
          <w:p w14:paraId="20AE0DA8" w14:textId="77777777" w:rsidR="00B626E7" w:rsidRDefault="00B626E7">
            <w:pPr>
              <w:rPr>
                <w:rFonts w:ascii="宋体"/>
              </w:rPr>
            </w:pPr>
          </w:p>
        </w:tc>
        <w:tc>
          <w:tcPr>
            <w:tcW w:w="0" w:type="auto"/>
            <w:shd w:val="clear" w:color="auto" w:fill="auto"/>
          </w:tcPr>
          <w:p w14:paraId="20AE0DA9" w14:textId="77777777" w:rsidR="00B626E7" w:rsidRDefault="00B626E7">
            <w:pPr>
              <w:rPr>
                <w:rFonts w:ascii="宋体"/>
              </w:rPr>
            </w:pPr>
          </w:p>
        </w:tc>
        <w:tc>
          <w:tcPr>
            <w:tcW w:w="0" w:type="auto"/>
            <w:shd w:val="clear" w:color="auto" w:fill="auto"/>
          </w:tcPr>
          <w:p w14:paraId="20AE0DAA" w14:textId="77777777" w:rsidR="00B626E7" w:rsidRDefault="00B626E7">
            <w:pPr>
              <w:rPr>
                <w:rFonts w:ascii="宋体"/>
              </w:rPr>
            </w:pPr>
          </w:p>
        </w:tc>
        <w:tc>
          <w:tcPr>
            <w:tcW w:w="0" w:type="auto"/>
            <w:shd w:val="clear" w:color="auto" w:fill="auto"/>
          </w:tcPr>
          <w:p w14:paraId="20AE0DAB" w14:textId="77777777" w:rsidR="00B626E7" w:rsidRDefault="00B626E7">
            <w:pPr>
              <w:rPr>
                <w:rFonts w:ascii="宋体"/>
              </w:rPr>
            </w:pPr>
          </w:p>
        </w:tc>
        <w:tc>
          <w:tcPr>
            <w:tcW w:w="0" w:type="auto"/>
            <w:shd w:val="clear" w:color="auto" w:fill="auto"/>
          </w:tcPr>
          <w:p w14:paraId="20AE0DAC" w14:textId="77777777" w:rsidR="00B626E7" w:rsidRDefault="00B626E7">
            <w:pPr>
              <w:rPr>
                <w:rFonts w:ascii="宋体"/>
              </w:rPr>
            </w:pPr>
          </w:p>
        </w:tc>
        <w:tc>
          <w:tcPr>
            <w:tcW w:w="0" w:type="auto"/>
            <w:shd w:val="clear" w:color="auto" w:fill="auto"/>
          </w:tcPr>
          <w:p w14:paraId="20AE0DAD" w14:textId="77777777" w:rsidR="00B626E7" w:rsidRDefault="00B626E7">
            <w:pPr>
              <w:rPr>
                <w:rFonts w:ascii="宋体"/>
              </w:rPr>
            </w:pPr>
          </w:p>
        </w:tc>
        <w:tc>
          <w:tcPr>
            <w:tcW w:w="0" w:type="auto"/>
            <w:shd w:val="clear" w:color="auto" w:fill="auto"/>
          </w:tcPr>
          <w:p w14:paraId="20AE0DAE" w14:textId="77777777" w:rsidR="00B626E7" w:rsidRDefault="00B626E7">
            <w:pPr>
              <w:rPr>
                <w:rFonts w:ascii="宋体"/>
              </w:rPr>
            </w:pPr>
          </w:p>
        </w:tc>
      </w:tr>
      <w:tr w:rsidR="00B626E7" w14:paraId="20AE0DC9" w14:textId="77777777">
        <w:tc>
          <w:tcPr>
            <w:tcW w:w="0" w:type="auto"/>
            <w:gridSpan w:val="3"/>
            <w:shd w:val="clear" w:color="auto" w:fill="auto"/>
            <w:tcMar>
              <w:top w:w="40" w:type="dxa"/>
              <w:left w:w="20" w:type="dxa"/>
              <w:bottom w:w="40" w:type="dxa"/>
              <w:right w:w="20" w:type="dxa"/>
            </w:tcMar>
          </w:tcPr>
          <w:p w14:paraId="20AE0DB0" w14:textId="77777777" w:rsidR="00B626E7" w:rsidRDefault="00175C1D">
            <w:pPr>
              <w:textAlignment w:val="top"/>
            </w:pPr>
            <w:r>
              <w:rPr>
                <w:rFonts w:ascii="Arial" w:eastAsia="宋体" w:hAnsi="Arial" w:cs="Arial"/>
                <w:b/>
                <w:bCs/>
                <w:color w:val="333333"/>
                <w:sz w:val="18"/>
                <w:szCs w:val="18"/>
              </w:rPr>
              <w:t>Weighted average shares of common stock outstanding—diluted</w:t>
            </w:r>
          </w:p>
        </w:tc>
        <w:tc>
          <w:tcPr>
            <w:tcW w:w="0" w:type="auto"/>
            <w:gridSpan w:val="3"/>
            <w:shd w:val="clear" w:color="auto" w:fill="auto"/>
            <w:tcMar>
              <w:left w:w="20" w:type="dxa"/>
              <w:right w:w="20" w:type="dxa"/>
            </w:tcMar>
            <w:vAlign w:val="bottom"/>
          </w:tcPr>
          <w:p w14:paraId="20AE0DB1"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0DB2" w14:textId="77777777" w:rsidR="00B626E7" w:rsidRDefault="00175C1D">
            <w:pPr>
              <w:jc w:val="right"/>
              <w:textAlignment w:val="bottom"/>
            </w:pPr>
            <w:r>
              <w:rPr>
                <w:rFonts w:ascii="Arial" w:eastAsia="宋体" w:hAnsi="Arial" w:cs="Arial"/>
                <w:b/>
                <w:bCs/>
                <w:color w:val="026DCE"/>
                <w:sz w:val="18"/>
                <w:szCs w:val="18"/>
              </w:rPr>
              <w:t>4,284 </w:t>
            </w:r>
          </w:p>
        </w:tc>
        <w:tc>
          <w:tcPr>
            <w:tcW w:w="0" w:type="auto"/>
            <w:tcBorders>
              <w:top w:val="single" w:sz="8" w:space="0" w:color="333333"/>
            </w:tcBorders>
            <w:shd w:val="clear" w:color="auto" w:fill="auto"/>
            <w:tcMar>
              <w:top w:w="40" w:type="dxa"/>
              <w:bottom w:w="40" w:type="dxa"/>
              <w:right w:w="20" w:type="dxa"/>
            </w:tcMar>
            <w:vAlign w:val="bottom"/>
          </w:tcPr>
          <w:p w14:paraId="20AE0DB3"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0DB4"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0DB5" w14:textId="77777777" w:rsidR="00B626E7" w:rsidRDefault="00175C1D">
            <w:pPr>
              <w:jc w:val="right"/>
              <w:textAlignment w:val="bottom"/>
            </w:pPr>
            <w:r>
              <w:rPr>
                <w:rFonts w:ascii="Arial" w:eastAsia="宋体" w:hAnsi="Arial" w:cs="Arial"/>
                <w:b/>
                <w:bCs/>
                <w:color w:val="333333"/>
                <w:sz w:val="18"/>
                <w:szCs w:val="18"/>
              </w:rPr>
              <w:t>4,523 </w:t>
            </w:r>
          </w:p>
        </w:tc>
        <w:tc>
          <w:tcPr>
            <w:tcW w:w="0" w:type="auto"/>
            <w:tcBorders>
              <w:top w:val="single" w:sz="8" w:space="0" w:color="333333"/>
            </w:tcBorders>
            <w:shd w:val="clear" w:color="auto" w:fill="auto"/>
            <w:tcMar>
              <w:top w:w="40" w:type="dxa"/>
              <w:bottom w:w="40" w:type="dxa"/>
              <w:right w:w="20" w:type="dxa"/>
            </w:tcMar>
            <w:vAlign w:val="bottom"/>
          </w:tcPr>
          <w:p w14:paraId="20AE0DB6"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0DB7"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0DB8" w14:textId="77777777" w:rsidR="00B626E7" w:rsidRDefault="00175C1D">
            <w:pPr>
              <w:jc w:val="right"/>
              <w:textAlignment w:val="bottom"/>
            </w:pPr>
            <w:r>
              <w:rPr>
                <w:rFonts w:ascii="Arial" w:eastAsia="宋体" w:hAnsi="Arial" w:cs="Arial"/>
                <w:b/>
                <w:bCs/>
                <w:color w:val="0071C5"/>
                <w:sz w:val="18"/>
                <w:szCs w:val="18"/>
              </w:rPr>
              <w:t>4,298 </w:t>
            </w:r>
          </w:p>
        </w:tc>
        <w:tc>
          <w:tcPr>
            <w:tcW w:w="0" w:type="auto"/>
            <w:tcBorders>
              <w:top w:val="single" w:sz="8" w:space="0" w:color="333333"/>
            </w:tcBorders>
            <w:shd w:val="clear" w:color="auto" w:fill="auto"/>
            <w:tcMar>
              <w:top w:w="40" w:type="dxa"/>
              <w:bottom w:w="40" w:type="dxa"/>
              <w:right w:w="20" w:type="dxa"/>
            </w:tcMar>
            <w:vAlign w:val="bottom"/>
          </w:tcPr>
          <w:p w14:paraId="20AE0DB9"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0DBA"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0DBB" w14:textId="77777777" w:rsidR="00B626E7" w:rsidRDefault="00175C1D">
            <w:pPr>
              <w:jc w:val="right"/>
              <w:textAlignment w:val="bottom"/>
            </w:pPr>
            <w:r>
              <w:rPr>
                <w:rFonts w:ascii="Arial" w:eastAsia="宋体" w:hAnsi="Arial" w:cs="Arial"/>
                <w:b/>
                <w:bCs/>
                <w:color w:val="333333"/>
                <w:sz w:val="18"/>
                <w:szCs w:val="18"/>
              </w:rPr>
              <w:t>4,543 </w:t>
            </w:r>
          </w:p>
        </w:tc>
        <w:tc>
          <w:tcPr>
            <w:tcW w:w="0" w:type="auto"/>
            <w:tcBorders>
              <w:top w:val="single" w:sz="8" w:space="0" w:color="333333"/>
            </w:tcBorders>
            <w:shd w:val="clear" w:color="auto" w:fill="auto"/>
            <w:tcMar>
              <w:top w:w="40" w:type="dxa"/>
              <w:bottom w:w="40" w:type="dxa"/>
              <w:right w:w="20" w:type="dxa"/>
            </w:tcMar>
            <w:vAlign w:val="bottom"/>
          </w:tcPr>
          <w:p w14:paraId="20AE0DBC"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E0DBD" w14:textId="77777777" w:rsidR="00B626E7" w:rsidRDefault="00B626E7">
            <w:pPr>
              <w:rPr>
                <w:rFonts w:ascii="宋体"/>
              </w:rPr>
            </w:pPr>
          </w:p>
        </w:tc>
        <w:tc>
          <w:tcPr>
            <w:tcW w:w="0" w:type="auto"/>
            <w:shd w:val="clear" w:color="auto" w:fill="auto"/>
          </w:tcPr>
          <w:p w14:paraId="20AE0DBE" w14:textId="77777777" w:rsidR="00B626E7" w:rsidRDefault="00B626E7">
            <w:pPr>
              <w:rPr>
                <w:rFonts w:ascii="宋体"/>
              </w:rPr>
            </w:pPr>
          </w:p>
        </w:tc>
        <w:tc>
          <w:tcPr>
            <w:tcW w:w="0" w:type="auto"/>
            <w:shd w:val="clear" w:color="auto" w:fill="auto"/>
          </w:tcPr>
          <w:p w14:paraId="20AE0DBF" w14:textId="77777777" w:rsidR="00B626E7" w:rsidRDefault="00B626E7">
            <w:pPr>
              <w:rPr>
                <w:rFonts w:ascii="宋体"/>
              </w:rPr>
            </w:pPr>
          </w:p>
        </w:tc>
        <w:tc>
          <w:tcPr>
            <w:tcW w:w="0" w:type="auto"/>
            <w:shd w:val="clear" w:color="auto" w:fill="auto"/>
          </w:tcPr>
          <w:p w14:paraId="20AE0DC0" w14:textId="77777777" w:rsidR="00B626E7" w:rsidRDefault="00B626E7">
            <w:pPr>
              <w:rPr>
                <w:rFonts w:ascii="宋体"/>
              </w:rPr>
            </w:pPr>
          </w:p>
        </w:tc>
        <w:tc>
          <w:tcPr>
            <w:tcW w:w="0" w:type="auto"/>
            <w:shd w:val="clear" w:color="auto" w:fill="auto"/>
          </w:tcPr>
          <w:p w14:paraId="20AE0DC1" w14:textId="77777777" w:rsidR="00B626E7" w:rsidRDefault="00B626E7">
            <w:pPr>
              <w:rPr>
                <w:rFonts w:ascii="宋体"/>
              </w:rPr>
            </w:pPr>
          </w:p>
        </w:tc>
        <w:tc>
          <w:tcPr>
            <w:tcW w:w="0" w:type="auto"/>
            <w:shd w:val="clear" w:color="auto" w:fill="auto"/>
          </w:tcPr>
          <w:p w14:paraId="20AE0DC2" w14:textId="77777777" w:rsidR="00B626E7" w:rsidRDefault="00B626E7">
            <w:pPr>
              <w:rPr>
                <w:rFonts w:ascii="宋体"/>
              </w:rPr>
            </w:pPr>
          </w:p>
        </w:tc>
        <w:tc>
          <w:tcPr>
            <w:tcW w:w="0" w:type="auto"/>
            <w:shd w:val="clear" w:color="auto" w:fill="auto"/>
          </w:tcPr>
          <w:p w14:paraId="20AE0DC3" w14:textId="77777777" w:rsidR="00B626E7" w:rsidRDefault="00B626E7">
            <w:pPr>
              <w:rPr>
                <w:rFonts w:ascii="宋体"/>
              </w:rPr>
            </w:pPr>
          </w:p>
        </w:tc>
        <w:tc>
          <w:tcPr>
            <w:tcW w:w="0" w:type="auto"/>
            <w:shd w:val="clear" w:color="auto" w:fill="auto"/>
          </w:tcPr>
          <w:p w14:paraId="20AE0DC4" w14:textId="77777777" w:rsidR="00B626E7" w:rsidRDefault="00B626E7">
            <w:pPr>
              <w:rPr>
                <w:rFonts w:ascii="宋体"/>
              </w:rPr>
            </w:pPr>
          </w:p>
        </w:tc>
        <w:tc>
          <w:tcPr>
            <w:tcW w:w="0" w:type="auto"/>
            <w:shd w:val="clear" w:color="auto" w:fill="auto"/>
          </w:tcPr>
          <w:p w14:paraId="20AE0DC5" w14:textId="77777777" w:rsidR="00B626E7" w:rsidRDefault="00B626E7">
            <w:pPr>
              <w:rPr>
                <w:rFonts w:ascii="宋体"/>
              </w:rPr>
            </w:pPr>
          </w:p>
        </w:tc>
        <w:tc>
          <w:tcPr>
            <w:tcW w:w="0" w:type="auto"/>
            <w:shd w:val="clear" w:color="auto" w:fill="auto"/>
          </w:tcPr>
          <w:p w14:paraId="20AE0DC6" w14:textId="77777777" w:rsidR="00B626E7" w:rsidRDefault="00B626E7">
            <w:pPr>
              <w:rPr>
                <w:rFonts w:ascii="宋体"/>
              </w:rPr>
            </w:pPr>
          </w:p>
        </w:tc>
        <w:tc>
          <w:tcPr>
            <w:tcW w:w="0" w:type="auto"/>
            <w:shd w:val="clear" w:color="auto" w:fill="auto"/>
          </w:tcPr>
          <w:p w14:paraId="20AE0DC7" w14:textId="77777777" w:rsidR="00B626E7" w:rsidRDefault="00B626E7">
            <w:pPr>
              <w:rPr>
                <w:rFonts w:ascii="宋体"/>
              </w:rPr>
            </w:pPr>
          </w:p>
        </w:tc>
        <w:tc>
          <w:tcPr>
            <w:tcW w:w="0" w:type="auto"/>
            <w:shd w:val="clear" w:color="auto" w:fill="auto"/>
          </w:tcPr>
          <w:p w14:paraId="20AE0DC8" w14:textId="77777777" w:rsidR="00B626E7" w:rsidRDefault="00B626E7">
            <w:pPr>
              <w:rPr>
                <w:rFonts w:ascii="宋体"/>
              </w:rPr>
            </w:pPr>
          </w:p>
        </w:tc>
      </w:tr>
      <w:tr w:rsidR="00B626E7" w14:paraId="20AE0DE7" w14:textId="77777777">
        <w:tc>
          <w:tcPr>
            <w:tcW w:w="0" w:type="auto"/>
            <w:gridSpan w:val="3"/>
            <w:shd w:val="clear" w:color="auto" w:fill="auto"/>
            <w:tcMar>
              <w:top w:w="40" w:type="dxa"/>
              <w:left w:w="20" w:type="dxa"/>
              <w:bottom w:w="40" w:type="dxa"/>
              <w:right w:w="20" w:type="dxa"/>
            </w:tcMar>
          </w:tcPr>
          <w:p w14:paraId="20AE0DCA" w14:textId="77777777" w:rsidR="00B626E7" w:rsidRDefault="00175C1D">
            <w:pPr>
              <w:textAlignment w:val="top"/>
            </w:pPr>
            <w:r>
              <w:rPr>
                <w:rFonts w:ascii="Arial" w:eastAsia="宋体" w:hAnsi="Arial" w:cs="Arial"/>
                <w:b/>
                <w:bCs/>
                <w:color w:val="333333"/>
                <w:sz w:val="18"/>
                <w:szCs w:val="18"/>
              </w:rPr>
              <w:t>Earnings per share—basic</w:t>
            </w:r>
          </w:p>
        </w:tc>
        <w:tc>
          <w:tcPr>
            <w:tcW w:w="0" w:type="auto"/>
            <w:gridSpan w:val="3"/>
            <w:shd w:val="clear" w:color="auto" w:fill="auto"/>
            <w:tcMar>
              <w:left w:w="20" w:type="dxa"/>
              <w:right w:w="20" w:type="dxa"/>
            </w:tcMar>
            <w:vAlign w:val="bottom"/>
          </w:tcPr>
          <w:p w14:paraId="20AE0DCB" w14:textId="77777777" w:rsidR="00B626E7" w:rsidRDefault="00B626E7">
            <w:pPr>
              <w:rPr>
                <w:rFonts w:ascii="宋体"/>
              </w:rPr>
            </w:pPr>
          </w:p>
        </w:tc>
        <w:tc>
          <w:tcPr>
            <w:tcW w:w="0" w:type="auto"/>
            <w:tcBorders>
              <w:top w:val="double" w:sz="6" w:space="0" w:color="333333"/>
            </w:tcBorders>
            <w:shd w:val="clear" w:color="auto" w:fill="auto"/>
            <w:tcMar>
              <w:top w:w="40" w:type="dxa"/>
              <w:left w:w="20" w:type="dxa"/>
              <w:bottom w:w="40" w:type="dxa"/>
            </w:tcMar>
            <w:vAlign w:val="bottom"/>
          </w:tcPr>
          <w:p w14:paraId="20AE0DCC" w14:textId="77777777" w:rsidR="00B626E7" w:rsidRDefault="00175C1D">
            <w:pPr>
              <w:textAlignment w:val="bottom"/>
            </w:pPr>
            <w:r>
              <w:rPr>
                <w:rFonts w:ascii="Arial" w:eastAsia="宋体" w:hAnsi="Arial" w:cs="Arial"/>
                <w:b/>
                <w:bCs/>
                <w:color w:val="026DCE"/>
                <w:sz w:val="18"/>
                <w:szCs w:val="18"/>
              </w:rPr>
              <w:t>$</w:t>
            </w:r>
          </w:p>
        </w:tc>
        <w:tc>
          <w:tcPr>
            <w:tcW w:w="0" w:type="auto"/>
            <w:tcBorders>
              <w:top w:val="double" w:sz="6" w:space="0" w:color="333333"/>
            </w:tcBorders>
            <w:shd w:val="clear" w:color="auto" w:fill="auto"/>
            <w:tcMar>
              <w:top w:w="40" w:type="dxa"/>
              <w:bottom w:w="40" w:type="dxa"/>
              <w:right w:w="0" w:type="dxa"/>
            </w:tcMar>
            <w:vAlign w:val="bottom"/>
          </w:tcPr>
          <w:p w14:paraId="20AE0DCD" w14:textId="77777777" w:rsidR="00B626E7" w:rsidRDefault="00175C1D">
            <w:pPr>
              <w:jc w:val="right"/>
              <w:textAlignment w:val="bottom"/>
            </w:pPr>
            <w:r>
              <w:rPr>
                <w:rFonts w:ascii="Arial" w:eastAsia="宋体" w:hAnsi="Arial" w:cs="Arial"/>
                <w:b/>
                <w:bCs/>
                <w:color w:val="026DCE"/>
                <w:sz w:val="18"/>
                <w:szCs w:val="18"/>
              </w:rPr>
              <w:t>1.20 </w:t>
            </w:r>
          </w:p>
        </w:tc>
        <w:tc>
          <w:tcPr>
            <w:tcW w:w="0" w:type="auto"/>
            <w:tcBorders>
              <w:top w:val="double" w:sz="6" w:space="0" w:color="333333"/>
            </w:tcBorders>
            <w:shd w:val="clear" w:color="auto" w:fill="auto"/>
            <w:tcMar>
              <w:top w:w="40" w:type="dxa"/>
              <w:bottom w:w="40" w:type="dxa"/>
              <w:right w:w="20" w:type="dxa"/>
            </w:tcMar>
            <w:vAlign w:val="bottom"/>
          </w:tcPr>
          <w:p w14:paraId="20AE0DCE"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0DCF" w14:textId="77777777" w:rsidR="00B626E7" w:rsidRDefault="00B626E7">
            <w:pPr>
              <w:rPr>
                <w:rFonts w:ascii="宋体"/>
              </w:rPr>
            </w:pPr>
          </w:p>
        </w:tc>
        <w:tc>
          <w:tcPr>
            <w:tcW w:w="0" w:type="auto"/>
            <w:tcBorders>
              <w:top w:val="double" w:sz="6" w:space="0" w:color="333333"/>
            </w:tcBorders>
            <w:shd w:val="clear" w:color="auto" w:fill="auto"/>
            <w:tcMar>
              <w:top w:w="40" w:type="dxa"/>
              <w:left w:w="20" w:type="dxa"/>
              <w:bottom w:w="40" w:type="dxa"/>
            </w:tcMar>
            <w:vAlign w:val="bottom"/>
          </w:tcPr>
          <w:p w14:paraId="20AE0DD0" w14:textId="77777777" w:rsidR="00B626E7" w:rsidRDefault="00175C1D">
            <w:pPr>
              <w:textAlignment w:val="bottom"/>
            </w:pPr>
            <w:r>
              <w:rPr>
                <w:rFonts w:ascii="Arial" w:eastAsia="宋体" w:hAnsi="Arial" w:cs="Arial"/>
                <w:b/>
                <w:bCs/>
                <w:color w:val="333333"/>
                <w:sz w:val="18"/>
                <w:szCs w:val="18"/>
              </w:rPr>
              <w:t>$</w:t>
            </w:r>
          </w:p>
        </w:tc>
        <w:tc>
          <w:tcPr>
            <w:tcW w:w="0" w:type="auto"/>
            <w:tcBorders>
              <w:top w:val="double" w:sz="6" w:space="0" w:color="333333"/>
            </w:tcBorders>
            <w:shd w:val="clear" w:color="auto" w:fill="auto"/>
            <w:tcMar>
              <w:top w:w="40" w:type="dxa"/>
              <w:bottom w:w="40" w:type="dxa"/>
              <w:right w:w="0" w:type="dxa"/>
            </w:tcMar>
            <w:vAlign w:val="bottom"/>
          </w:tcPr>
          <w:p w14:paraId="20AE0DD1" w14:textId="77777777" w:rsidR="00B626E7" w:rsidRDefault="00175C1D">
            <w:pPr>
              <w:jc w:val="right"/>
              <w:textAlignment w:val="bottom"/>
            </w:pPr>
            <w:r>
              <w:rPr>
                <w:rFonts w:ascii="Arial" w:eastAsia="宋体" w:hAnsi="Arial" w:cs="Arial"/>
                <w:b/>
                <w:bCs/>
                <w:color w:val="333333"/>
                <w:sz w:val="18"/>
                <w:szCs w:val="18"/>
              </w:rPr>
              <w:t>0.94 </w:t>
            </w:r>
          </w:p>
        </w:tc>
        <w:tc>
          <w:tcPr>
            <w:tcW w:w="0" w:type="auto"/>
            <w:tcBorders>
              <w:top w:val="double" w:sz="6" w:space="0" w:color="333333"/>
            </w:tcBorders>
            <w:shd w:val="clear" w:color="auto" w:fill="auto"/>
            <w:tcMar>
              <w:top w:w="40" w:type="dxa"/>
              <w:bottom w:w="40" w:type="dxa"/>
              <w:right w:w="20" w:type="dxa"/>
            </w:tcMar>
            <w:vAlign w:val="bottom"/>
          </w:tcPr>
          <w:p w14:paraId="20AE0DD2"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0DD3" w14:textId="77777777" w:rsidR="00B626E7" w:rsidRDefault="00B626E7">
            <w:pPr>
              <w:rPr>
                <w:rFonts w:ascii="宋体"/>
              </w:rPr>
            </w:pPr>
          </w:p>
        </w:tc>
        <w:tc>
          <w:tcPr>
            <w:tcW w:w="0" w:type="auto"/>
            <w:tcBorders>
              <w:top w:val="double" w:sz="6" w:space="0" w:color="333333"/>
            </w:tcBorders>
            <w:shd w:val="clear" w:color="auto" w:fill="auto"/>
            <w:tcMar>
              <w:top w:w="40" w:type="dxa"/>
              <w:left w:w="20" w:type="dxa"/>
              <w:bottom w:w="40" w:type="dxa"/>
            </w:tcMar>
            <w:vAlign w:val="bottom"/>
          </w:tcPr>
          <w:p w14:paraId="20AE0DD4" w14:textId="77777777" w:rsidR="00B626E7" w:rsidRDefault="00175C1D">
            <w:pPr>
              <w:textAlignment w:val="bottom"/>
            </w:pPr>
            <w:r>
              <w:rPr>
                <w:rFonts w:ascii="Arial" w:eastAsia="宋体" w:hAnsi="Arial" w:cs="Arial"/>
                <w:b/>
                <w:bCs/>
                <w:color w:val="0071C5"/>
                <w:sz w:val="18"/>
                <w:szCs w:val="18"/>
              </w:rPr>
              <w:t>$</w:t>
            </w:r>
          </w:p>
        </w:tc>
        <w:tc>
          <w:tcPr>
            <w:tcW w:w="0" w:type="auto"/>
            <w:tcBorders>
              <w:top w:val="double" w:sz="6" w:space="0" w:color="333333"/>
            </w:tcBorders>
            <w:shd w:val="clear" w:color="auto" w:fill="auto"/>
            <w:tcMar>
              <w:top w:w="40" w:type="dxa"/>
              <w:bottom w:w="40" w:type="dxa"/>
              <w:right w:w="0" w:type="dxa"/>
            </w:tcMar>
            <w:vAlign w:val="bottom"/>
          </w:tcPr>
          <w:p w14:paraId="20AE0DD5" w14:textId="77777777" w:rsidR="00B626E7" w:rsidRDefault="00175C1D">
            <w:pPr>
              <w:jc w:val="right"/>
              <w:textAlignment w:val="bottom"/>
            </w:pPr>
            <w:r>
              <w:rPr>
                <w:rFonts w:ascii="Arial" w:eastAsia="宋体" w:hAnsi="Arial" w:cs="Arial"/>
                <w:b/>
                <w:bCs/>
                <w:color w:val="0071C5"/>
                <w:sz w:val="18"/>
                <w:szCs w:val="18"/>
              </w:rPr>
              <w:t>2.53 </w:t>
            </w:r>
          </w:p>
        </w:tc>
        <w:tc>
          <w:tcPr>
            <w:tcW w:w="0" w:type="auto"/>
            <w:tcBorders>
              <w:top w:val="double" w:sz="6" w:space="0" w:color="333333"/>
            </w:tcBorders>
            <w:shd w:val="clear" w:color="auto" w:fill="auto"/>
            <w:tcMar>
              <w:top w:w="40" w:type="dxa"/>
              <w:bottom w:w="40" w:type="dxa"/>
              <w:right w:w="20" w:type="dxa"/>
            </w:tcMar>
            <w:vAlign w:val="bottom"/>
          </w:tcPr>
          <w:p w14:paraId="20AE0DD6"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0DD7" w14:textId="77777777" w:rsidR="00B626E7" w:rsidRDefault="00B626E7">
            <w:pPr>
              <w:rPr>
                <w:rFonts w:ascii="宋体"/>
              </w:rPr>
            </w:pPr>
          </w:p>
        </w:tc>
        <w:tc>
          <w:tcPr>
            <w:tcW w:w="0" w:type="auto"/>
            <w:tcBorders>
              <w:top w:val="double" w:sz="6" w:space="0" w:color="333333"/>
            </w:tcBorders>
            <w:shd w:val="clear" w:color="auto" w:fill="auto"/>
            <w:tcMar>
              <w:top w:w="40" w:type="dxa"/>
              <w:left w:w="20" w:type="dxa"/>
              <w:bottom w:w="40" w:type="dxa"/>
            </w:tcMar>
            <w:vAlign w:val="bottom"/>
          </w:tcPr>
          <w:p w14:paraId="20AE0DD8" w14:textId="77777777" w:rsidR="00B626E7" w:rsidRDefault="00175C1D">
            <w:pPr>
              <w:textAlignment w:val="bottom"/>
            </w:pPr>
            <w:r>
              <w:rPr>
                <w:rFonts w:ascii="Arial" w:eastAsia="宋体" w:hAnsi="Arial" w:cs="Arial"/>
                <w:b/>
                <w:bCs/>
                <w:color w:val="333333"/>
                <w:sz w:val="18"/>
                <w:szCs w:val="18"/>
              </w:rPr>
              <w:t>$</w:t>
            </w:r>
          </w:p>
        </w:tc>
        <w:tc>
          <w:tcPr>
            <w:tcW w:w="0" w:type="auto"/>
            <w:tcBorders>
              <w:top w:val="double" w:sz="6" w:space="0" w:color="333333"/>
            </w:tcBorders>
            <w:shd w:val="clear" w:color="auto" w:fill="auto"/>
            <w:tcMar>
              <w:top w:w="40" w:type="dxa"/>
              <w:bottom w:w="40" w:type="dxa"/>
              <w:right w:w="0" w:type="dxa"/>
            </w:tcMar>
            <w:vAlign w:val="bottom"/>
          </w:tcPr>
          <w:p w14:paraId="20AE0DD9" w14:textId="77777777" w:rsidR="00B626E7" w:rsidRDefault="00175C1D">
            <w:pPr>
              <w:jc w:val="right"/>
              <w:textAlignment w:val="bottom"/>
            </w:pPr>
            <w:r>
              <w:rPr>
                <w:rFonts w:ascii="Arial" w:eastAsia="宋体" w:hAnsi="Arial" w:cs="Arial"/>
                <w:b/>
                <w:bCs/>
                <w:color w:val="333333"/>
                <w:sz w:val="18"/>
                <w:szCs w:val="18"/>
              </w:rPr>
              <w:t>1.82 </w:t>
            </w:r>
          </w:p>
        </w:tc>
        <w:tc>
          <w:tcPr>
            <w:tcW w:w="0" w:type="auto"/>
            <w:tcBorders>
              <w:top w:val="double" w:sz="6" w:space="0" w:color="333333"/>
            </w:tcBorders>
            <w:shd w:val="clear" w:color="auto" w:fill="auto"/>
            <w:tcMar>
              <w:top w:w="40" w:type="dxa"/>
              <w:bottom w:w="40" w:type="dxa"/>
              <w:right w:w="20" w:type="dxa"/>
            </w:tcMar>
            <w:vAlign w:val="bottom"/>
          </w:tcPr>
          <w:p w14:paraId="20AE0DDA"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E0DDB" w14:textId="77777777" w:rsidR="00B626E7" w:rsidRDefault="00B626E7">
            <w:pPr>
              <w:rPr>
                <w:rFonts w:ascii="宋体"/>
              </w:rPr>
            </w:pPr>
          </w:p>
        </w:tc>
        <w:tc>
          <w:tcPr>
            <w:tcW w:w="0" w:type="auto"/>
            <w:shd w:val="clear" w:color="auto" w:fill="auto"/>
          </w:tcPr>
          <w:p w14:paraId="20AE0DDC" w14:textId="77777777" w:rsidR="00B626E7" w:rsidRDefault="00B626E7">
            <w:pPr>
              <w:rPr>
                <w:rFonts w:ascii="宋体"/>
              </w:rPr>
            </w:pPr>
          </w:p>
        </w:tc>
        <w:tc>
          <w:tcPr>
            <w:tcW w:w="0" w:type="auto"/>
            <w:shd w:val="clear" w:color="auto" w:fill="auto"/>
          </w:tcPr>
          <w:p w14:paraId="20AE0DDD" w14:textId="77777777" w:rsidR="00B626E7" w:rsidRDefault="00B626E7">
            <w:pPr>
              <w:rPr>
                <w:rFonts w:ascii="宋体"/>
              </w:rPr>
            </w:pPr>
          </w:p>
        </w:tc>
        <w:tc>
          <w:tcPr>
            <w:tcW w:w="0" w:type="auto"/>
            <w:shd w:val="clear" w:color="auto" w:fill="auto"/>
          </w:tcPr>
          <w:p w14:paraId="20AE0DDE" w14:textId="77777777" w:rsidR="00B626E7" w:rsidRDefault="00B626E7">
            <w:pPr>
              <w:rPr>
                <w:rFonts w:ascii="宋体"/>
              </w:rPr>
            </w:pPr>
          </w:p>
        </w:tc>
        <w:tc>
          <w:tcPr>
            <w:tcW w:w="0" w:type="auto"/>
            <w:shd w:val="clear" w:color="auto" w:fill="auto"/>
          </w:tcPr>
          <w:p w14:paraId="20AE0DDF" w14:textId="77777777" w:rsidR="00B626E7" w:rsidRDefault="00B626E7">
            <w:pPr>
              <w:rPr>
                <w:rFonts w:ascii="宋体"/>
              </w:rPr>
            </w:pPr>
          </w:p>
        </w:tc>
        <w:tc>
          <w:tcPr>
            <w:tcW w:w="0" w:type="auto"/>
            <w:shd w:val="clear" w:color="auto" w:fill="auto"/>
          </w:tcPr>
          <w:p w14:paraId="20AE0DE0" w14:textId="77777777" w:rsidR="00B626E7" w:rsidRDefault="00B626E7">
            <w:pPr>
              <w:rPr>
                <w:rFonts w:ascii="宋体"/>
              </w:rPr>
            </w:pPr>
          </w:p>
        </w:tc>
        <w:tc>
          <w:tcPr>
            <w:tcW w:w="0" w:type="auto"/>
            <w:shd w:val="clear" w:color="auto" w:fill="auto"/>
          </w:tcPr>
          <w:p w14:paraId="20AE0DE1" w14:textId="77777777" w:rsidR="00B626E7" w:rsidRDefault="00B626E7">
            <w:pPr>
              <w:rPr>
                <w:rFonts w:ascii="宋体"/>
              </w:rPr>
            </w:pPr>
          </w:p>
        </w:tc>
        <w:tc>
          <w:tcPr>
            <w:tcW w:w="0" w:type="auto"/>
            <w:shd w:val="clear" w:color="auto" w:fill="auto"/>
          </w:tcPr>
          <w:p w14:paraId="20AE0DE2" w14:textId="77777777" w:rsidR="00B626E7" w:rsidRDefault="00B626E7">
            <w:pPr>
              <w:rPr>
                <w:rFonts w:ascii="宋体"/>
              </w:rPr>
            </w:pPr>
          </w:p>
        </w:tc>
        <w:tc>
          <w:tcPr>
            <w:tcW w:w="0" w:type="auto"/>
            <w:shd w:val="clear" w:color="auto" w:fill="auto"/>
          </w:tcPr>
          <w:p w14:paraId="20AE0DE3" w14:textId="77777777" w:rsidR="00B626E7" w:rsidRDefault="00B626E7">
            <w:pPr>
              <w:rPr>
                <w:rFonts w:ascii="宋体"/>
              </w:rPr>
            </w:pPr>
          </w:p>
        </w:tc>
        <w:tc>
          <w:tcPr>
            <w:tcW w:w="0" w:type="auto"/>
            <w:shd w:val="clear" w:color="auto" w:fill="auto"/>
          </w:tcPr>
          <w:p w14:paraId="20AE0DE4" w14:textId="77777777" w:rsidR="00B626E7" w:rsidRDefault="00B626E7">
            <w:pPr>
              <w:rPr>
                <w:rFonts w:ascii="宋体"/>
              </w:rPr>
            </w:pPr>
          </w:p>
        </w:tc>
        <w:tc>
          <w:tcPr>
            <w:tcW w:w="0" w:type="auto"/>
            <w:shd w:val="clear" w:color="auto" w:fill="auto"/>
          </w:tcPr>
          <w:p w14:paraId="20AE0DE5" w14:textId="77777777" w:rsidR="00B626E7" w:rsidRDefault="00B626E7">
            <w:pPr>
              <w:rPr>
                <w:rFonts w:ascii="宋体"/>
              </w:rPr>
            </w:pPr>
          </w:p>
        </w:tc>
        <w:tc>
          <w:tcPr>
            <w:tcW w:w="0" w:type="auto"/>
            <w:shd w:val="clear" w:color="auto" w:fill="auto"/>
          </w:tcPr>
          <w:p w14:paraId="20AE0DE6" w14:textId="77777777" w:rsidR="00B626E7" w:rsidRDefault="00B626E7">
            <w:pPr>
              <w:rPr>
                <w:rFonts w:ascii="宋体"/>
              </w:rPr>
            </w:pPr>
          </w:p>
        </w:tc>
      </w:tr>
      <w:tr w:rsidR="00B626E7" w14:paraId="20AE0E05" w14:textId="77777777">
        <w:tc>
          <w:tcPr>
            <w:tcW w:w="0" w:type="auto"/>
            <w:gridSpan w:val="3"/>
            <w:shd w:val="clear" w:color="auto" w:fill="auto"/>
            <w:tcMar>
              <w:top w:w="40" w:type="dxa"/>
              <w:left w:w="20" w:type="dxa"/>
              <w:bottom w:w="40" w:type="dxa"/>
              <w:right w:w="20" w:type="dxa"/>
            </w:tcMar>
          </w:tcPr>
          <w:p w14:paraId="20AE0DE8" w14:textId="77777777" w:rsidR="00B626E7" w:rsidRDefault="00175C1D">
            <w:pPr>
              <w:textAlignment w:val="top"/>
            </w:pPr>
            <w:r>
              <w:rPr>
                <w:rFonts w:ascii="Arial" w:eastAsia="宋体" w:hAnsi="Arial" w:cs="Arial"/>
                <w:b/>
                <w:bCs/>
                <w:color w:val="333333"/>
                <w:sz w:val="18"/>
                <w:szCs w:val="18"/>
              </w:rPr>
              <w:t>Earnings per share—diluted</w:t>
            </w:r>
          </w:p>
        </w:tc>
        <w:tc>
          <w:tcPr>
            <w:tcW w:w="0" w:type="auto"/>
            <w:gridSpan w:val="3"/>
            <w:shd w:val="clear" w:color="auto" w:fill="auto"/>
            <w:tcMar>
              <w:left w:w="20" w:type="dxa"/>
              <w:right w:w="20" w:type="dxa"/>
            </w:tcMar>
            <w:vAlign w:val="bottom"/>
          </w:tcPr>
          <w:p w14:paraId="20AE0DE9" w14:textId="77777777" w:rsidR="00B626E7" w:rsidRDefault="00B626E7">
            <w:pPr>
              <w:rPr>
                <w:rFonts w:ascii="宋体"/>
              </w:rPr>
            </w:pPr>
          </w:p>
        </w:tc>
        <w:tc>
          <w:tcPr>
            <w:tcW w:w="0" w:type="auto"/>
            <w:tcBorders>
              <w:top w:val="double" w:sz="6" w:space="0" w:color="333333"/>
              <w:bottom w:val="double" w:sz="6" w:space="0" w:color="333333"/>
            </w:tcBorders>
            <w:shd w:val="clear" w:color="auto" w:fill="auto"/>
            <w:tcMar>
              <w:top w:w="40" w:type="dxa"/>
              <w:left w:w="20" w:type="dxa"/>
              <w:bottom w:w="40" w:type="dxa"/>
            </w:tcMar>
            <w:vAlign w:val="bottom"/>
          </w:tcPr>
          <w:p w14:paraId="20AE0DEA" w14:textId="77777777" w:rsidR="00B626E7" w:rsidRDefault="00175C1D">
            <w:pPr>
              <w:textAlignment w:val="bottom"/>
            </w:pPr>
            <w:r>
              <w:rPr>
                <w:rFonts w:ascii="Arial" w:eastAsia="宋体" w:hAnsi="Arial" w:cs="Arial"/>
                <w:b/>
                <w:bCs/>
                <w:color w:val="026DCE"/>
                <w:sz w:val="18"/>
                <w:szCs w:val="18"/>
              </w:rPr>
              <w:t>$</w:t>
            </w:r>
          </w:p>
        </w:tc>
        <w:tc>
          <w:tcPr>
            <w:tcW w:w="0" w:type="auto"/>
            <w:tcBorders>
              <w:top w:val="double" w:sz="6" w:space="0" w:color="333333"/>
              <w:bottom w:val="double" w:sz="6" w:space="0" w:color="333333"/>
            </w:tcBorders>
            <w:shd w:val="clear" w:color="auto" w:fill="auto"/>
            <w:tcMar>
              <w:top w:w="40" w:type="dxa"/>
              <w:bottom w:w="40" w:type="dxa"/>
              <w:right w:w="0" w:type="dxa"/>
            </w:tcMar>
            <w:vAlign w:val="bottom"/>
          </w:tcPr>
          <w:p w14:paraId="20AE0DEB" w14:textId="77777777" w:rsidR="00B626E7" w:rsidRDefault="00175C1D">
            <w:pPr>
              <w:jc w:val="right"/>
              <w:textAlignment w:val="bottom"/>
            </w:pPr>
            <w:r>
              <w:rPr>
                <w:rFonts w:ascii="Arial" w:eastAsia="宋体" w:hAnsi="Arial" w:cs="Arial"/>
                <w:b/>
                <w:bCs/>
                <w:color w:val="026DCE"/>
                <w:sz w:val="18"/>
                <w:szCs w:val="18"/>
              </w:rPr>
              <w:t>1.19 </w:t>
            </w:r>
          </w:p>
        </w:tc>
        <w:tc>
          <w:tcPr>
            <w:tcW w:w="0" w:type="auto"/>
            <w:tcBorders>
              <w:top w:val="double" w:sz="6" w:space="0" w:color="333333"/>
              <w:bottom w:val="double" w:sz="6" w:space="0" w:color="333333"/>
            </w:tcBorders>
            <w:shd w:val="clear" w:color="auto" w:fill="auto"/>
            <w:tcMar>
              <w:top w:w="40" w:type="dxa"/>
              <w:bottom w:w="40" w:type="dxa"/>
              <w:right w:w="20" w:type="dxa"/>
            </w:tcMar>
            <w:vAlign w:val="bottom"/>
          </w:tcPr>
          <w:p w14:paraId="20AE0DEC"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0DED" w14:textId="77777777" w:rsidR="00B626E7" w:rsidRDefault="00B626E7">
            <w:pPr>
              <w:rPr>
                <w:rFonts w:ascii="宋体"/>
              </w:rPr>
            </w:pPr>
          </w:p>
        </w:tc>
        <w:tc>
          <w:tcPr>
            <w:tcW w:w="0" w:type="auto"/>
            <w:tcBorders>
              <w:top w:val="double" w:sz="6" w:space="0" w:color="333333"/>
              <w:bottom w:val="double" w:sz="6" w:space="0" w:color="333333"/>
            </w:tcBorders>
            <w:shd w:val="clear" w:color="auto" w:fill="auto"/>
            <w:tcMar>
              <w:top w:w="40" w:type="dxa"/>
              <w:left w:w="20" w:type="dxa"/>
              <w:bottom w:w="40" w:type="dxa"/>
            </w:tcMar>
            <w:vAlign w:val="bottom"/>
          </w:tcPr>
          <w:p w14:paraId="20AE0DEE" w14:textId="77777777" w:rsidR="00B626E7" w:rsidRDefault="00175C1D">
            <w:pPr>
              <w:textAlignment w:val="bottom"/>
            </w:pPr>
            <w:r>
              <w:rPr>
                <w:rFonts w:ascii="Arial" w:eastAsia="宋体" w:hAnsi="Arial" w:cs="Arial"/>
                <w:b/>
                <w:bCs/>
                <w:color w:val="333333"/>
                <w:sz w:val="18"/>
                <w:szCs w:val="18"/>
              </w:rPr>
              <w:t>$</w:t>
            </w:r>
          </w:p>
        </w:tc>
        <w:tc>
          <w:tcPr>
            <w:tcW w:w="0" w:type="auto"/>
            <w:tcBorders>
              <w:top w:val="double" w:sz="6" w:space="0" w:color="333333"/>
              <w:bottom w:val="double" w:sz="6" w:space="0" w:color="333333"/>
            </w:tcBorders>
            <w:shd w:val="clear" w:color="auto" w:fill="auto"/>
            <w:tcMar>
              <w:top w:w="40" w:type="dxa"/>
              <w:bottom w:w="40" w:type="dxa"/>
              <w:right w:w="0" w:type="dxa"/>
            </w:tcMar>
            <w:vAlign w:val="bottom"/>
          </w:tcPr>
          <w:p w14:paraId="20AE0DEF" w14:textId="77777777" w:rsidR="00B626E7" w:rsidRDefault="00175C1D">
            <w:pPr>
              <w:jc w:val="right"/>
              <w:textAlignment w:val="bottom"/>
            </w:pPr>
            <w:r>
              <w:rPr>
                <w:rFonts w:ascii="Arial" w:eastAsia="宋体" w:hAnsi="Arial" w:cs="Arial"/>
                <w:b/>
                <w:bCs/>
                <w:color w:val="333333"/>
                <w:sz w:val="18"/>
                <w:szCs w:val="18"/>
              </w:rPr>
              <w:t>0.92 </w:t>
            </w:r>
          </w:p>
        </w:tc>
        <w:tc>
          <w:tcPr>
            <w:tcW w:w="0" w:type="auto"/>
            <w:tcBorders>
              <w:top w:val="double" w:sz="6" w:space="0" w:color="333333"/>
              <w:bottom w:val="double" w:sz="6" w:space="0" w:color="333333"/>
            </w:tcBorders>
            <w:shd w:val="clear" w:color="auto" w:fill="auto"/>
            <w:tcMar>
              <w:top w:w="40" w:type="dxa"/>
              <w:bottom w:w="40" w:type="dxa"/>
              <w:right w:w="20" w:type="dxa"/>
            </w:tcMar>
            <w:vAlign w:val="bottom"/>
          </w:tcPr>
          <w:p w14:paraId="20AE0DF0"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0DF1" w14:textId="77777777" w:rsidR="00B626E7" w:rsidRDefault="00B626E7">
            <w:pPr>
              <w:rPr>
                <w:rFonts w:ascii="宋体"/>
              </w:rPr>
            </w:pPr>
          </w:p>
        </w:tc>
        <w:tc>
          <w:tcPr>
            <w:tcW w:w="0" w:type="auto"/>
            <w:tcBorders>
              <w:top w:val="double" w:sz="6" w:space="0" w:color="333333"/>
              <w:bottom w:val="double" w:sz="6" w:space="0" w:color="333333"/>
            </w:tcBorders>
            <w:shd w:val="clear" w:color="auto" w:fill="auto"/>
            <w:tcMar>
              <w:top w:w="40" w:type="dxa"/>
              <w:left w:w="20" w:type="dxa"/>
              <w:bottom w:w="40" w:type="dxa"/>
            </w:tcMar>
            <w:vAlign w:val="bottom"/>
          </w:tcPr>
          <w:p w14:paraId="20AE0DF2" w14:textId="77777777" w:rsidR="00B626E7" w:rsidRDefault="00175C1D">
            <w:pPr>
              <w:textAlignment w:val="bottom"/>
            </w:pPr>
            <w:r>
              <w:rPr>
                <w:rFonts w:ascii="Arial" w:eastAsia="宋体" w:hAnsi="Arial" w:cs="Arial"/>
                <w:b/>
                <w:bCs/>
                <w:color w:val="0071C5"/>
                <w:sz w:val="18"/>
                <w:szCs w:val="18"/>
              </w:rPr>
              <w:t>$</w:t>
            </w:r>
          </w:p>
        </w:tc>
        <w:tc>
          <w:tcPr>
            <w:tcW w:w="0" w:type="auto"/>
            <w:tcBorders>
              <w:top w:val="double" w:sz="6" w:space="0" w:color="333333"/>
              <w:bottom w:val="double" w:sz="6" w:space="0" w:color="333333"/>
            </w:tcBorders>
            <w:shd w:val="clear" w:color="auto" w:fill="auto"/>
            <w:tcMar>
              <w:top w:w="40" w:type="dxa"/>
              <w:bottom w:w="40" w:type="dxa"/>
              <w:right w:w="0" w:type="dxa"/>
            </w:tcMar>
            <w:vAlign w:val="bottom"/>
          </w:tcPr>
          <w:p w14:paraId="20AE0DF3" w14:textId="77777777" w:rsidR="00B626E7" w:rsidRDefault="00175C1D">
            <w:pPr>
              <w:jc w:val="right"/>
              <w:textAlignment w:val="bottom"/>
            </w:pPr>
            <w:r>
              <w:rPr>
                <w:rFonts w:ascii="Arial" w:eastAsia="宋体" w:hAnsi="Arial" w:cs="Arial"/>
                <w:b/>
                <w:bCs/>
                <w:color w:val="0071C5"/>
                <w:sz w:val="18"/>
                <w:szCs w:val="18"/>
              </w:rPr>
              <w:t>2.50 </w:t>
            </w:r>
          </w:p>
        </w:tc>
        <w:tc>
          <w:tcPr>
            <w:tcW w:w="0" w:type="auto"/>
            <w:tcBorders>
              <w:top w:val="double" w:sz="6" w:space="0" w:color="333333"/>
              <w:bottom w:val="double" w:sz="6" w:space="0" w:color="333333"/>
            </w:tcBorders>
            <w:shd w:val="clear" w:color="auto" w:fill="auto"/>
            <w:tcMar>
              <w:top w:w="40" w:type="dxa"/>
              <w:bottom w:w="40" w:type="dxa"/>
              <w:right w:w="20" w:type="dxa"/>
            </w:tcMar>
            <w:vAlign w:val="bottom"/>
          </w:tcPr>
          <w:p w14:paraId="20AE0DF4"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0DF5" w14:textId="77777777" w:rsidR="00B626E7" w:rsidRDefault="00B626E7">
            <w:pPr>
              <w:rPr>
                <w:rFonts w:ascii="宋体"/>
              </w:rPr>
            </w:pPr>
          </w:p>
        </w:tc>
        <w:tc>
          <w:tcPr>
            <w:tcW w:w="0" w:type="auto"/>
            <w:tcBorders>
              <w:top w:val="double" w:sz="6" w:space="0" w:color="333333"/>
              <w:bottom w:val="double" w:sz="6" w:space="0" w:color="333333"/>
            </w:tcBorders>
            <w:shd w:val="clear" w:color="auto" w:fill="auto"/>
            <w:tcMar>
              <w:top w:w="40" w:type="dxa"/>
              <w:left w:w="20" w:type="dxa"/>
              <w:bottom w:w="40" w:type="dxa"/>
            </w:tcMar>
            <w:vAlign w:val="bottom"/>
          </w:tcPr>
          <w:p w14:paraId="20AE0DF6" w14:textId="77777777" w:rsidR="00B626E7" w:rsidRDefault="00175C1D">
            <w:pPr>
              <w:textAlignment w:val="bottom"/>
            </w:pPr>
            <w:r>
              <w:rPr>
                <w:rFonts w:ascii="Arial" w:eastAsia="宋体" w:hAnsi="Arial" w:cs="Arial"/>
                <w:b/>
                <w:bCs/>
                <w:color w:val="333333"/>
                <w:sz w:val="18"/>
                <w:szCs w:val="18"/>
              </w:rPr>
              <w:t>$</w:t>
            </w:r>
          </w:p>
        </w:tc>
        <w:tc>
          <w:tcPr>
            <w:tcW w:w="0" w:type="auto"/>
            <w:tcBorders>
              <w:top w:val="double" w:sz="6" w:space="0" w:color="333333"/>
              <w:bottom w:val="double" w:sz="6" w:space="0" w:color="333333"/>
            </w:tcBorders>
            <w:shd w:val="clear" w:color="auto" w:fill="auto"/>
            <w:tcMar>
              <w:top w:w="40" w:type="dxa"/>
              <w:bottom w:w="40" w:type="dxa"/>
              <w:right w:w="0" w:type="dxa"/>
            </w:tcMar>
            <w:vAlign w:val="bottom"/>
          </w:tcPr>
          <w:p w14:paraId="20AE0DF7" w14:textId="77777777" w:rsidR="00B626E7" w:rsidRDefault="00175C1D">
            <w:pPr>
              <w:jc w:val="right"/>
              <w:textAlignment w:val="bottom"/>
            </w:pPr>
            <w:r>
              <w:rPr>
                <w:rFonts w:ascii="Arial" w:eastAsia="宋体" w:hAnsi="Arial" w:cs="Arial"/>
                <w:b/>
                <w:bCs/>
                <w:color w:val="333333"/>
                <w:sz w:val="18"/>
                <w:szCs w:val="18"/>
              </w:rPr>
              <w:t>1.79 </w:t>
            </w:r>
          </w:p>
        </w:tc>
        <w:tc>
          <w:tcPr>
            <w:tcW w:w="0" w:type="auto"/>
            <w:tcBorders>
              <w:top w:val="double" w:sz="6" w:space="0" w:color="333333"/>
              <w:bottom w:val="double" w:sz="6" w:space="0" w:color="333333"/>
            </w:tcBorders>
            <w:shd w:val="clear" w:color="auto" w:fill="auto"/>
            <w:tcMar>
              <w:top w:w="40" w:type="dxa"/>
              <w:bottom w:w="40" w:type="dxa"/>
              <w:right w:w="20" w:type="dxa"/>
            </w:tcMar>
            <w:vAlign w:val="bottom"/>
          </w:tcPr>
          <w:p w14:paraId="20AE0DF8"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E0DF9" w14:textId="77777777" w:rsidR="00B626E7" w:rsidRDefault="00B626E7">
            <w:pPr>
              <w:rPr>
                <w:rFonts w:ascii="宋体"/>
              </w:rPr>
            </w:pPr>
          </w:p>
        </w:tc>
        <w:tc>
          <w:tcPr>
            <w:tcW w:w="0" w:type="auto"/>
            <w:shd w:val="clear" w:color="auto" w:fill="auto"/>
          </w:tcPr>
          <w:p w14:paraId="20AE0DFA" w14:textId="77777777" w:rsidR="00B626E7" w:rsidRDefault="00B626E7">
            <w:pPr>
              <w:rPr>
                <w:rFonts w:ascii="宋体"/>
              </w:rPr>
            </w:pPr>
          </w:p>
        </w:tc>
        <w:tc>
          <w:tcPr>
            <w:tcW w:w="0" w:type="auto"/>
            <w:shd w:val="clear" w:color="auto" w:fill="auto"/>
          </w:tcPr>
          <w:p w14:paraId="20AE0DFB" w14:textId="77777777" w:rsidR="00B626E7" w:rsidRDefault="00B626E7">
            <w:pPr>
              <w:rPr>
                <w:rFonts w:ascii="宋体"/>
              </w:rPr>
            </w:pPr>
          </w:p>
        </w:tc>
        <w:tc>
          <w:tcPr>
            <w:tcW w:w="0" w:type="auto"/>
            <w:shd w:val="clear" w:color="auto" w:fill="auto"/>
          </w:tcPr>
          <w:p w14:paraId="20AE0DFC" w14:textId="77777777" w:rsidR="00B626E7" w:rsidRDefault="00B626E7">
            <w:pPr>
              <w:rPr>
                <w:rFonts w:ascii="宋体"/>
              </w:rPr>
            </w:pPr>
          </w:p>
        </w:tc>
        <w:tc>
          <w:tcPr>
            <w:tcW w:w="0" w:type="auto"/>
            <w:shd w:val="clear" w:color="auto" w:fill="auto"/>
          </w:tcPr>
          <w:p w14:paraId="20AE0DFD" w14:textId="77777777" w:rsidR="00B626E7" w:rsidRDefault="00B626E7">
            <w:pPr>
              <w:rPr>
                <w:rFonts w:ascii="宋体"/>
              </w:rPr>
            </w:pPr>
          </w:p>
        </w:tc>
        <w:tc>
          <w:tcPr>
            <w:tcW w:w="0" w:type="auto"/>
            <w:shd w:val="clear" w:color="auto" w:fill="auto"/>
          </w:tcPr>
          <w:p w14:paraId="20AE0DFE" w14:textId="77777777" w:rsidR="00B626E7" w:rsidRDefault="00B626E7">
            <w:pPr>
              <w:rPr>
                <w:rFonts w:ascii="宋体"/>
              </w:rPr>
            </w:pPr>
          </w:p>
        </w:tc>
        <w:tc>
          <w:tcPr>
            <w:tcW w:w="0" w:type="auto"/>
            <w:shd w:val="clear" w:color="auto" w:fill="auto"/>
          </w:tcPr>
          <w:p w14:paraId="20AE0DFF" w14:textId="77777777" w:rsidR="00B626E7" w:rsidRDefault="00B626E7">
            <w:pPr>
              <w:rPr>
                <w:rFonts w:ascii="宋体"/>
              </w:rPr>
            </w:pPr>
          </w:p>
        </w:tc>
        <w:tc>
          <w:tcPr>
            <w:tcW w:w="0" w:type="auto"/>
            <w:shd w:val="clear" w:color="auto" w:fill="auto"/>
          </w:tcPr>
          <w:p w14:paraId="20AE0E00" w14:textId="77777777" w:rsidR="00B626E7" w:rsidRDefault="00B626E7">
            <w:pPr>
              <w:rPr>
                <w:rFonts w:ascii="宋体"/>
              </w:rPr>
            </w:pPr>
          </w:p>
        </w:tc>
        <w:tc>
          <w:tcPr>
            <w:tcW w:w="0" w:type="auto"/>
            <w:shd w:val="clear" w:color="auto" w:fill="auto"/>
          </w:tcPr>
          <w:p w14:paraId="20AE0E01" w14:textId="77777777" w:rsidR="00B626E7" w:rsidRDefault="00B626E7">
            <w:pPr>
              <w:rPr>
                <w:rFonts w:ascii="宋体"/>
              </w:rPr>
            </w:pPr>
          </w:p>
        </w:tc>
        <w:tc>
          <w:tcPr>
            <w:tcW w:w="0" w:type="auto"/>
            <w:shd w:val="clear" w:color="auto" w:fill="auto"/>
          </w:tcPr>
          <w:p w14:paraId="20AE0E02" w14:textId="77777777" w:rsidR="00B626E7" w:rsidRDefault="00B626E7">
            <w:pPr>
              <w:rPr>
                <w:rFonts w:ascii="宋体"/>
              </w:rPr>
            </w:pPr>
          </w:p>
        </w:tc>
        <w:tc>
          <w:tcPr>
            <w:tcW w:w="0" w:type="auto"/>
            <w:shd w:val="clear" w:color="auto" w:fill="auto"/>
          </w:tcPr>
          <w:p w14:paraId="20AE0E03" w14:textId="77777777" w:rsidR="00B626E7" w:rsidRDefault="00B626E7">
            <w:pPr>
              <w:rPr>
                <w:rFonts w:ascii="宋体"/>
              </w:rPr>
            </w:pPr>
          </w:p>
        </w:tc>
        <w:tc>
          <w:tcPr>
            <w:tcW w:w="0" w:type="auto"/>
            <w:shd w:val="clear" w:color="auto" w:fill="auto"/>
          </w:tcPr>
          <w:p w14:paraId="20AE0E04" w14:textId="77777777" w:rsidR="00B626E7" w:rsidRDefault="00B626E7">
            <w:pPr>
              <w:rPr>
                <w:rFonts w:ascii="宋体"/>
              </w:rPr>
            </w:pPr>
          </w:p>
        </w:tc>
      </w:tr>
    </w:tbl>
    <w:p w14:paraId="20AE0E06" w14:textId="77777777" w:rsidR="00B626E7" w:rsidRDefault="00175C1D">
      <w:pPr>
        <w:spacing w:before="300" w:after="180"/>
      </w:pPr>
      <w:r>
        <w:rPr>
          <w:rFonts w:ascii="Arial" w:eastAsia="宋体" w:hAnsi="Arial" w:cs="Arial"/>
          <w:color w:val="333333"/>
          <w:sz w:val="18"/>
          <w:szCs w:val="18"/>
        </w:rPr>
        <w:t>Potentially dilutive shares of common stock from employee equity incentive plans are determined by applying the treasury stock method to the assumed exercise of outstanding stock options, the assumed vesting of outstanding RSUs, and the assumed issuance of</w:t>
      </w:r>
      <w:r>
        <w:rPr>
          <w:rFonts w:ascii="Arial" w:eastAsia="宋体" w:hAnsi="Arial" w:cs="Arial"/>
          <w:color w:val="333333"/>
          <w:sz w:val="18"/>
          <w:szCs w:val="18"/>
        </w:rPr>
        <w:t xml:space="preserve"> common stock under the stock purchase plan. </w:t>
      </w:r>
    </w:p>
    <w:p w14:paraId="20AE0E07" w14:textId="77777777" w:rsidR="00B626E7" w:rsidRDefault="00175C1D">
      <w:pPr>
        <w:spacing w:after="180"/>
      </w:pPr>
      <w:r>
        <w:rPr>
          <w:rFonts w:ascii="Arial" w:eastAsia="宋体" w:hAnsi="Arial" w:cs="Arial"/>
          <w:color w:val="333333"/>
          <w:sz w:val="18"/>
          <w:szCs w:val="18"/>
        </w:rPr>
        <w:t>In January 2020, we fully redeemed the remaining principal of our 2009 Debentures. We included our 2009 Debentures in the calculation of diluted earnings per share of common stock in 2019 by applying the treasu</w:t>
      </w:r>
      <w:r>
        <w:rPr>
          <w:rFonts w:ascii="Arial" w:eastAsia="宋体" w:hAnsi="Arial" w:cs="Arial"/>
          <w:color w:val="333333"/>
          <w:sz w:val="18"/>
          <w:szCs w:val="18"/>
        </w:rPr>
        <w:t>ry stock method because the average market price was above the conversion price.</w:t>
      </w:r>
    </w:p>
    <w:p w14:paraId="20AE0E08" w14:textId="77777777" w:rsidR="00B626E7" w:rsidRDefault="00175C1D">
      <w:pPr>
        <w:spacing w:after="180"/>
      </w:pPr>
      <w:r>
        <w:rPr>
          <w:rFonts w:ascii="Arial" w:eastAsia="宋体" w:hAnsi="Arial" w:cs="Arial"/>
          <w:color w:val="333333"/>
          <w:sz w:val="18"/>
          <w:szCs w:val="18"/>
        </w:rPr>
        <w:t>Securities which would have been anti-dilutive are insignificant and are excluded from the computation of diluted earnings per share in all periods presented.</w:t>
      </w:r>
    </w:p>
    <w:p w14:paraId="20AE0E09" w14:textId="77777777" w:rsidR="00B626E7" w:rsidRDefault="00B626E7">
      <w:pPr>
        <w:spacing w:after="180"/>
      </w:pPr>
    </w:p>
    <w:p w14:paraId="20AE0E0A" w14:textId="77777777" w:rsidR="00B626E7" w:rsidRDefault="00B626E7">
      <w:pPr>
        <w:spacing w:after="180"/>
      </w:pPr>
    </w:p>
    <w:p w14:paraId="20AE0E0B" w14:textId="77777777" w:rsidR="00B626E7" w:rsidRDefault="00B626E7">
      <w:pPr>
        <w:spacing w:after="180"/>
      </w:pPr>
    </w:p>
    <w:p w14:paraId="20AE0E0C" w14:textId="77777777" w:rsidR="00B626E7" w:rsidRDefault="00B626E7">
      <w:pPr>
        <w:spacing w:after="180"/>
      </w:pPr>
    </w:p>
    <w:p w14:paraId="20AE0E0D" w14:textId="77777777" w:rsidR="00B626E7" w:rsidRDefault="00B626E7">
      <w:pPr>
        <w:spacing w:after="180"/>
      </w:pPr>
    </w:p>
    <w:p w14:paraId="20AE0E0E" w14:textId="77777777" w:rsidR="00B626E7" w:rsidRDefault="00B626E7">
      <w:pPr>
        <w:spacing w:after="180"/>
      </w:pPr>
    </w:p>
    <w:p w14:paraId="20AE0E0F" w14:textId="77777777" w:rsidR="00B626E7" w:rsidRDefault="00B626E7">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4"/>
        <w:gridCol w:w="2423"/>
        <w:gridCol w:w="84"/>
        <w:gridCol w:w="83"/>
        <w:gridCol w:w="3471"/>
        <w:gridCol w:w="83"/>
        <w:gridCol w:w="83"/>
        <w:gridCol w:w="1942"/>
        <w:gridCol w:w="83"/>
      </w:tblGrid>
      <w:tr w:rsidR="00B626E7" w14:paraId="20AE0E19" w14:textId="77777777">
        <w:tc>
          <w:tcPr>
            <w:tcW w:w="50" w:type="pct"/>
            <w:shd w:val="clear" w:color="auto" w:fill="auto"/>
            <w:vAlign w:val="bottom"/>
          </w:tcPr>
          <w:p w14:paraId="20AE0E10" w14:textId="77777777" w:rsidR="00B626E7" w:rsidRDefault="00B626E7">
            <w:pPr>
              <w:rPr>
                <w:rFonts w:ascii="宋体"/>
              </w:rPr>
            </w:pPr>
          </w:p>
        </w:tc>
        <w:tc>
          <w:tcPr>
            <w:tcW w:w="1452" w:type="pct"/>
            <w:shd w:val="clear" w:color="auto" w:fill="auto"/>
            <w:vAlign w:val="bottom"/>
          </w:tcPr>
          <w:p w14:paraId="20AE0E11" w14:textId="77777777" w:rsidR="00B626E7" w:rsidRDefault="00B626E7">
            <w:pPr>
              <w:rPr>
                <w:rFonts w:ascii="宋体"/>
              </w:rPr>
            </w:pPr>
          </w:p>
        </w:tc>
        <w:tc>
          <w:tcPr>
            <w:tcW w:w="50" w:type="pct"/>
            <w:shd w:val="clear" w:color="auto" w:fill="auto"/>
            <w:vAlign w:val="bottom"/>
          </w:tcPr>
          <w:p w14:paraId="20AE0E12" w14:textId="77777777" w:rsidR="00B626E7" w:rsidRDefault="00B626E7">
            <w:pPr>
              <w:rPr>
                <w:rFonts w:ascii="宋体"/>
              </w:rPr>
            </w:pPr>
          </w:p>
        </w:tc>
        <w:tc>
          <w:tcPr>
            <w:tcW w:w="50" w:type="pct"/>
            <w:shd w:val="clear" w:color="auto" w:fill="auto"/>
            <w:vAlign w:val="bottom"/>
          </w:tcPr>
          <w:p w14:paraId="20AE0E13" w14:textId="77777777" w:rsidR="00B626E7" w:rsidRDefault="00B626E7">
            <w:pPr>
              <w:rPr>
                <w:rFonts w:ascii="宋体"/>
              </w:rPr>
            </w:pPr>
          </w:p>
        </w:tc>
        <w:tc>
          <w:tcPr>
            <w:tcW w:w="2081" w:type="pct"/>
            <w:shd w:val="clear" w:color="auto" w:fill="auto"/>
            <w:vAlign w:val="bottom"/>
          </w:tcPr>
          <w:p w14:paraId="20AE0E14" w14:textId="77777777" w:rsidR="00B626E7" w:rsidRDefault="00B626E7">
            <w:pPr>
              <w:rPr>
                <w:rFonts w:ascii="宋体"/>
              </w:rPr>
            </w:pPr>
          </w:p>
        </w:tc>
        <w:tc>
          <w:tcPr>
            <w:tcW w:w="50" w:type="pct"/>
            <w:shd w:val="clear" w:color="auto" w:fill="auto"/>
            <w:vAlign w:val="bottom"/>
          </w:tcPr>
          <w:p w14:paraId="20AE0E15" w14:textId="77777777" w:rsidR="00B626E7" w:rsidRDefault="00B626E7">
            <w:pPr>
              <w:rPr>
                <w:rFonts w:ascii="宋体"/>
              </w:rPr>
            </w:pPr>
          </w:p>
        </w:tc>
        <w:tc>
          <w:tcPr>
            <w:tcW w:w="50" w:type="pct"/>
            <w:shd w:val="clear" w:color="auto" w:fill="auto"/>
            <w:vAlign w:val="bottom"/>
          </w:tcPr>
          <w:p w14:paraId="20AE0E16" w14:textId="77777777" w:rsidR="00B626E7" w:rsidRDefault="00B626E7">
            <w:pPr>
              <w:rPr>
                <w:rFonts w:ascii="宋体"/>
              </w:rPr>
            </w:pPr>
          </w:p>
        </w:tc>
        <w:tc>
          <w:tcPr>
            <w:tcW w:w="1165" w:type="pct"/>
            <w:shd w:val="clear" w:color="auto" w:fill="auto"/>
            <w:vAlign w:val="bottom"/>
          </w:tcPr>
          <w:p w14:paraId="20AE0E17" w14:textId="77777777" w:rsidR="00B626E7" w:rsidRDefault="00B626E7">
            <w:pPr>
              <w:rPr>
                <w:rFonts w:ascii="宋体"/>
              </w:rPr>
            </w:pPr>
          </w:p>
        </w:tc>
        <w:tc>
          <w:tcPr>
            <w:tcW w:w="50" w:type="pct"/>
            <w:shd w:val="clear" w:color="auto" w:fill="auto"/>
            <w:vAlign w:val="bottom"/>
          </w:tcPr>
          <w:p w14:paraId="20AE0E18" w14:textId="77777777" w:rsidR="00B626E7" w:rsidRDefault="00B626E7">
            <w:pPr>
              <w:rPr>
                <w:rFonts w:ascii="宋体"/>
              </w:rPr>
            </w:pPr>
          </w:p>
        </w:tc>
      </w:tr>
      <w:tr w:rsidR="00B626E7" w14:paraId="20AE0E1D" w14:textId="77777777">
        <w:tc>
          <w:tcPr>
            <w:tcW w:w="0" w:type="auto"/>
            <w:gridSpan w:val="3"/>
            <w:tcBorders>
              <w:top w:val="single" w:sz="8" w:space="0" w:color="0071C5"/>
            </w:tcBorders>
            <w:shd w:val="clear" w:color="auto" w:fill="auto"/>
            <w:tcMar>
              <w:top w:w="40" w:type="dxa"/>
              <w:left w:w="20" w:type="dxa"/>
              <w:bottom w:w="40" w:type="dxa"/>
              <w:right w:w="20" w:type="dxa"/>
            </w:tcMar>
            <w:vAlign w:val="center"/>
          </w:tcPr>
          <w:p w14:paraId="20AE0E1A" w14:textId="77777777" w:rsidR="00B626E7" w:rsidRDefault="00175C1D">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Viewer10_files/intc-20200627_g15.jpg"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3B" wp14:editId="20AE3C3C">
                  <wp:extent cx="304800" cy="304800"/>
                  <wp:effectExtent l="0" t="0" r="0" b="0"/>
                  <wp:docPr id="18" name="图片 63"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3" descr="IMG_28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Arial" w:eastAsia="宋体" w:hAnsi="Arial" w:cs="Arial"/>
                <w:color w:val="333333"/>
                <w:sz w:val="16"/>
                <w:szCs w:val="16"/>
              </w:rPr>
              <w:t>FINANCIAL STATEMENTS</w:t>
            </w:r>
          </w:p>
        </w:tc>
        <w:tc>
          <w:tcPr>
            <w:tcW w:w="0" w:type="auto"/>
            <w:gridSpan w:val="3"/>
            <w:tcBorders>
              <w:top w:val="single" w:sz="8" w:space="0" w:color="0071C5"/>
              <w:left w:val="single" w:sz="24" w:space="0" w:color="0071C5"/>
            </w:tcBorders>
            <w:shd w:val="clear" w:color="auto" w:fill="auto"/>
            <w:tcMar>
              <w:top w:w="40" w:type="dxa"/>
              <w:left w:w="20" w:type="dxa"/>
              <w:bottom w:w="40" w:type="dxa"/>
              <w:right w:w="20" w:type="dxa"/>
            </w:tcMar>
            <w:vAlign w:val="bottom"/>
          </w:tcPr>
          <w:p w14:paraId="20AE0E1B" w14:textId="77777777" w:rsidR="00B626E7" w:rsidRDefault="00175C1D">
            <w:pPr>
              <w:textAlignment w:val="bottom"/>
            </w:pPr>
            <w:r>
              <w:rPr>
                <w:rFonts w:ascii="Arial" w:eastAsia="宋体" w:hAnsi="Arial" w:cs="Arial"/>
                <w:color w:val="333333"/>
                <w:sz w:val="16"/>
                <w:szCs w:val="16"/>
              </w:rPr>
              <w:t>  Notes to Financial Statements</w:t>
            </w: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0E1C" w14:textId="77777777" w:rsidR="00B626E7" w:rsidRDefault="00175C1D">
            <w:pPr>
              <w:jc w:val="right"/>
              <w:textAlignment w:val="bottom"/>
            </w:pPr>
            <w:r>
              <w:rPr>
                <w:rFonts w:ascii="Arial" w:eastAsia="宋体" w:hAnsi="Arial" w:cs="Arial"/>
                <w:color w:val="333333"/>
                <w:sz w:val="16"/>
                <w:szCs w:val="16"/>
              </w:rPr>
              <w:t>12</w:t>
            </w:r>
          </w:p>
        </w:tc>
      </w:tr>
    </w:tbl>
    <w:p w14:paraId="20AE0E1E" w14:textId="77777777" w:rsidR="00B626E7" w:rsidRDefault="00175C1D">
      <w:r>
        <w:pict w14:anchorId="20AE3C3D">
          <v:rect id="_x0000_i1038" style="width:415.3pt;height:1.5pt" o:hralign="center" o:hrstd="t" o:hr="t" fillcolor="#a0a0a0" stroked="f"/>
        </w:pict>
      </w:r>
    </w:p>
    <w:p w14:paraId="20AE0E1F" w14:textId="77777777" w:rsidR="00B626E7" w:rsidRDefault="00175C1D">
      <w:pPr>
        <w:spacing w:after="180"/>
        <w:jc w:val="right"/>
      </w:pPr>
      <w:hyperlink r:id="rId40" w:anchor="ib035cc8759904e51927d703ec8414366_7" w:history="1">
        <w:r>
          <w:rPr>
            <w:rStyle w:val="a5"/>
            <w:rFonts w:ascii="Arial" w:eastAsia="宋体" w:hAnsi="Arial" w:cs="Arial"/>
            <w:b/>
            <w:bCs/>
            <w:sz w:val="16"/>
            <w:szCs w:val="16"/>
          </w:rPr>
          <w:t>Table of Contents</w:t>
        </w:r>
      </w:hyperlink>
    </w:p>
    <w:p w14:paraId="20AE0E20" w14:textId="77777777" w:rsidR="00B626E7" w:rsidRDefault="00B626E7">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84"/>
        <w:gridCol w:w="937"/>
        <w:gridCol w:w="83"/>
        <w:gridCol w:w="83"/>
        <w:gridCol w:w="7066"/>
        <w:gridCol w:w="83"/>
      </w:tblGrid>
      <w:tr w:rsidR="00B626E7" w14:paraId="20AE0E27" w14:textId="77777777">
        <w:tc>
          <w:tcPr>
            <w:tcW w:w="50" w:type="pct"/>
            <w:shd w:val="clear" w:color="auto" w:fill="auto"/>
          </w:tcPr>
          <w:p w14:paraId="20AE0E21" w14:textId="77777777" w:rsidR="00B626E7" w:rsidRDefault="00B626E7">
            <w:pPr>
              <w:rPr>
                <w:rFonts w:ascii="宋体"/>
              </w:rPr>
            </w:pPr>
          </w:p>
        </w:tc>
        <w:tc>
          <w:tcPr>
            <w:tcW w:w="562" w:type="pct"/>
            <w:shd w:val="clear" w:color="auto" w:fill="auto"/>
          </w:tcPr>
          <w:p w14:paraId="20AE0E22" w14:textId="77777777" w:rsidR="00B626E7" w:rsidRDefault="00B626E7">
            <w:pPr>
              <w:rPr>
                <w:rFonts w:ascii="宋体"/>
              </w:rPr>
            </w:pPr>
          </w:p>
        </w:tc>
        <w:tc>
          <w:tcPr>
            <w:tcW w:w="50" w:type="pct"/>
            <w:shd w:val="clear" w:color="auto" w:fill="auto"/>
          </w:tcPr>
          <w:p w14:paraId="20AE0E23" w14:textId="77777777" w:rsidR="00B626E7" w:rsidRDefault="00B626E7">
            <w:pPr>
              <w:rPr>
                <w:rFonts w:ascii="宋体"/>
              </w:rPr>
            </w:pPr>
          </w:p>
        </w:tc>
        <w:tc>
          <w:tcPr>
            <w:tcW w:w="50" w:type="pct"/>
            <w:shd w:val="clear" w:color="auto" w:fill="auto"/>
          </w:tcPr>
          <w:p w14:paraId="20AE0E24" w14:textId="77777777" w:rsidR="00B626E7" w:rsidRDefault="00B626E7">
            <w:pPr>
              <w:rPr>
                <w:rFonts w:ascii="宋体"/>
              </w:rPr>
            </w:pPr>
          </w:p>
        </w:tc>
        <w:tc>
          <w:tcPr>
            <w:tcW w:w="4237" w:type="pct"/>
            <w:shd w:val="clear" w:color="auto" w:fill="auto"/>
          </w:tcPr>
          <w:p w14:paraId="20AE0E25" w14:textId="77777777" w:rsidR="00B626E7" w:rsidRDefault="00B626E7">
            <w:pPr>
              <w:rPr>
                <w:rFonts w:ascii="宋体"/>
              </w:rPr>
            </w:pPr>
          </w:p>
        </w:tc>
        <w:tc>
          <w:tcPr>
            <w:tcW w:w="50" w:type="pct"/>
            <w:shd w:val="clear" w:color="auto" w:fill="auto"/>
          </w:tcPr>
          <w:p w14:paraId="20AE0E26" w14:textId="77777777" w:rsidR="00B626E7" w:rsidRDefault="00B626E7">
            <w:pPr>
              <w:rPr>
                <w:rFonts w:ascii="宋体"/>
              </w:rPr>
            </w:pPr>
          </w:p>
        </w:tc>
      </w:tr>
      <w:tr w:rsidR="00B626E7" w14:paraId="20AE0E2A" w14:textId="77777777">
        <w:tc>
          <w:tcPr>
            <w:tcW w:w="0" w:type="auto"/>
            <w:gridSpan w:val="3"/>
            <w:tcBorders>
              <w:bottom w:val="single" w:sz="8" w:space="0" w:color="0071C5"/>
            </w:tcBorders>
            <w:shd w:val="clear" w:color="auto" w:fill="0071C5"/>
            <w:tcMar>
              <w:top w:w="40" w:type="dxa"/>
              <w:left w:w="20" w:type="dxa"/>
              <w:bottom w:w="40" w:type="dxa"/>
              <w:right w:w="20" w:type="dxa"/>
            </w:tcMar>
            <w:vAlign w:val="bottom"/>
          </w:tcPr>
          <w:p w14:paraId="20AE0E28" w14:textId="77777777" w:rsidR="00B626E7" w:rsidRDefault="00175C1D">
            <w:pPr>
              <w:textAlignment w:val="bottom"/>
            </w:pPr>
            <w:r>
              <w:rPr>
                <w:rFonts w:ascii="Arial" w:eastAsia="宋体" w:hAnsi="Arial" w:cs="Arial"/>
                <w:b/>
                <w:bCs/>
                <w:color w:val="FFFFFF"/>
                <w:sz w:val="28"/>
                <w:szCs w:val="28"/>
              </w:rPr>
              <w:t xml:space="preserve">NOTE 4 : </w:t>
            </w:r>
          </w:p>
        </w:tc>
        <w:tc>
          <w:tcPr>
            <w:tcW w:w="0" w:type="auto"/>
            <w:gridSpan w:val="3"/>
            <w:tcBorders>
              <w:bottom w:val="single" w:sz="8" w:space="0" w:color="0071C5"/>
            </w:tcBorders>
            <w:shd w:val="clear" w:color="auto" w:fill="auto"/>
            <w:tcMar>
              <w:top w:w="40" w:type="dxa"/>
              <w:left w:w="20" w:type="dxa"/>
              <w:bottom w:w="40" w:type="dxa"/>
              <w:right w:w="20" w:type="dxa"/>
            </w:tcMar>
            <w:vAlign w:val="bottom"/>
          </w:tcPr>
          <w:p w14:paraId="20AE0E29" w14:textId="77777777" w:rsidR="00B626E7" w:rsidRDefault="00175C1D">
            <w:pPr>
              <w:textAlignment w:val="bottom"/>
            </w:pPr>
            <w:r>
              <w:rPr>
                <w:rFonts w:ascii="Arial" w:eastAsia="宋体" w:hAnsi="Arial" w:cs="Arial"/>
                <w:b/>
                <w:bCs/>
                <w:color w:val="0071C5"/>
                <w:sz w:val="28"/>
                <w:szCs w:val="28"/>
              </w:rPr>
              <w:t>CONTRACT LIABILITIES</w:t>
            </w:r>
          </w:p>
        </w:tc>
      </w:tr>
    </w:tbl>
    <w:p w14:paraId="20AE0E2B" w14:textId="77777777" w:rsidR="00B626E7" w:rsidRDefault="00B626E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51"/>
        <w:gridCol w:w="6043"/>
        <w:gridCol w:w="51"/>
        <w:gridCol w:w="36"/>
        <w:gridCol w:w="36"/>
        <w:gridCol w:w="36"/>
        <w:gridCol w:w="136"/>
        <w:gridCol w:w="765"/>
        <w:gridCol w:w="86"/>
        <w:gridCol w:w="36"/>
        <w:gridCol w:w="36"/>
        <w:gridCol w:w="36"/>
        <w:gridCol w:w="136"/>
        <w:gridCol w:w="766"/>
        <w:gridCol w:w="86"/>
      </w:tblGrid>
      <w:tr w:rsidR="00B626E7" w14:paraId="20AE0E3B" w14:textId="77777777">
        <w:tc>
          <w:tcPr>
            <w:tcW w:w="50" w:type="pct"/>
            <w:shd w:val="clear" w:color="auto" w:fill="auto"/>
          </w:tcPr>
          <w:p w14:paraId="20AE0E2C" w14:textId="77777777" w:rsidR="00B626E7" w:rsidRDefault="00B626E7">
            <w:pPr>
              <w:rPr>
                <w:rFonts w:ascii="宋体"/>
              </w:rPr>
            </w:pPr>
          </w:p>
        </w:tc>
        <w:tc>
          <w:tcPr>
            <w:tcW w:w="3643" w:type="pct"/>
            <w:shd w:val="clear" w:color="auto" w:fill="auto"/>
          </w:tcPr>
          <w:p w14:paraId="20AE0E2D" w14:textId="77777777" w:rsidR="00B626E7" w:rsidRDefault="00B626E7">
            <w:pPr>
              <w:rPr>
                <w:rFonts w:ascii="宋体"/>
              </w:rPr>
            </w:pPr>
          </w:p>
        </w:tc>
        <w:tc>
          <w:tcPr>
            <w:tcW w:w="50" w:type="pct"/>
            <w:shd w:val="clear" w:color="auto" w:fill="auto"/>
          </w:tcPr>
          <w:p w14:paraId="20AE0E2E" w14:textId="77777777" w:rsidR="00B626E7" w:rsidRDefault="00B626E7">
            <w:pPr>
              <w:rPr>
                <w:rFonts w:ascii="宋体"/>
              </w:rPr>
            </w:pPr>
          </w:p>
        </w:tc>
        <w:tc>
          <w:tcPr>
            <w:tcW w:w="5" w:type="pct"/>
            <w:shd w:val="clear" w:color="auto" w:fill="auto"/>
          </w:tcPr>
          <w:p w14:paraId="20AE0E2F" w14:textId="77777777" w:rsidR="00B626E7" w:rsidRDefault="00B626E7">
            <w:pPr>
              <w:rPr>
                <w:rFonts w:ascii="宋体"/>
              </w:rPr>
            </w:pPr>
          </w:p>
        </w:tc>
        <w:tc>
          <w:tcPr>
            <w:tcW w:w="24" w:type="pct"/>
            <w:shd w:val="clear" w:color="auto" w:fill="auto"/>
          </w:tcPr>
          <w:p w14:paraId="20AE0E30" w14:textId="77777777" w:rsidR="00B626E7" w:rsidRDefault="00B626E7">
            <w:pPr>
              <w:rPr>
                <w:rFonts w:ascii="宋体"/>
              </w:rPr>
            </w:pPr>
          </w:p>
        </w:tc>
        <w:tc>
          <w:tcPr>
            <w:tcW w:w="5" w:type="pct"/>
            <w:shd w:val="clear" w:color="auto" w:fill="auto"/>
          </w:tcPr>
          <w:p w14:paraId="20AE0E31" w14:textId="77777777" w:rsidR="00B626E7" w:rsidRDefault="00B626E7">
            <w:pPr>
              <w:rPr>
                <w:rFonts w:ascii="宋体"/>
              </w:rPr>
            </w:pPr>
          </w:p>
        </w:tc>
        <w:tc>
          <w:tcPr>
            <w:tcW w:w="50" w:type="pct"/>
            <w:shd w:val="clear" w:color="auto" w:fill="auto"/>
          </w:tcPr>
          <w:p w14:paraId="20AE0E32" w14:textId="77777777" w:rsidR="00B626E7" w:rsidRDefault="00B626E7">
            <w:pPr>
              <w:rPr>
                <w:rFonts w:ascii="宋体"/>
              </w:rPr>
            </w:pPr>
          </w:p>
        </w:tc>
        <w:tc>
          <w:tcPr>
            <w:tcW w:w="494" w:type="pct"/>
            <w:shd w:val="clear" w:color="auto" w:fill="auto"/>
          </w:tcPr>
          <w:p w14:paraId="20AE0E33" w14:textId="77777777" w:rsidR="00B626E7" w:rsidRDefault="00B626E7">
            <w:pPr>
              <w:rPr>
                <w:rFonts w:ascii="宋体"/>
              </w:rPr>
            </w:pPr>
          </w:p>
        </w:tc>
        <w:tc>
          <w:tcPr>
            <w:tcW w:w="50" w:type="pct"/>
            <w:shd w:val="clear" w:color="auto" w:fill="auto"/>
          </w:tcPr>
          <w:p w14:paraId="20AE0E34" w14:textId="77777777" w:rsidR="00B626E7" w:rsidRDefault="00B626E7">
            <w:pPr>
              <w:rPr>
                <w:rFonts w:ascii="宋体"/>
              </w:rPr>
            </w:pPr>
          </w:p>
        </w:tc>
        <w:tc>
          <w:tcPr>
            <w:tcW w:w="5" w:type="pct"/>
            <w:shd w:val="clear" w:color="auto" w:fill="auto"/>
          </w:tcPr>
          <w:p w14:paraId="20AE0E35" w14:textId="77777777" w:rsidR="00B626E7" w:rsidRDefault="00B626E7">
            <w:pPr>
              <w:rPr>
                <w:rFonts w:ascii="宋体"/>
              </w:rPr>
            </w:pPr>
          </w:p>
        </w:tc>
        <w:tc>
          <w:tcPr>
            <w:tcW w:w="24" w:type="pct"/>
            <w:shd w:val="clear" w:color="auto" w:fill="auto"/>
          </w:tcPr>
          <w:p w14:paraId="20AE0E36" w14:textId="77777777" w:rsidR="00B626E7" w:rsidRDefault="00B626E7">
            <w:pPr>
              <w:rPr>
                <w:rFonts w:ascii="宋体"/>
              </w:rPr>
            </w:pPr>
          </w:p>
        </w:tc>
        <w:tc>
          <w:tcPr>
            <w:tcW w:w="5" w:type="pct"/>
            <w:shd w:val="clear" w:color="auto" w:fill="auto"/>
          </w:tcPr>
          <w:p w14:paraId="20AE0E37" w14:textId="77777777" w:rsidR="00B626E7" w:rsidRDefault="00B626E7">
            <w:pPr>
              <w:rPr>
                <w:rFonts w:ascii="宋体"/>
              </w:rPr>
            </w:pPr>
          </w:p>
        </w:tc>
        <w:tc>
          <w:tcPr>
            <w:tcW w:w="50" w:type="pct"/>
            <w:shd w:val="clear" w:color="auto" w:fill="auto"/>
          </w:tcPr>
          <w:p w14:paraId="20AE0E38" w14:textId="77777777" w:rsidR="00B626E7" w:rsidRDefault="00B626E7">
            <w:pPr>
              <w:rPr>
                <w:rFonts w:ascii="宋体"/>
              </w:rPr>
            </w:pPr>
          </w:p>
        </w:tc>
        <w:tc>
          <w:tcPr>
            <w:tcW w:w="494" w:type="pct"/>
            <w:shd w:val="clear" w:color="auto" w:fill="auto"/>
          </w:tcPr>
          <w:p w14:paraId="20AE0E39" w14:textId="77777777" w:rsidR="00B626E7" w:rsidRDefault="00B626E7">
            <w:pPr>
              <w:rPr>
                <w:rFonts w:ascii="宋体"/>
              </w:rPr>
            </w:pPr>
          </w:p>
        </w:tc>
        <w:tc>
          <w:tcPr>
            <w:tcW w:w="50" w:type="pct"/>
            <w:shd w:val="clear" w:color="auto" w:fill="auto"/>
          </w:tcPr>
          <w:p w14:paraId="20AE0E3A" w14:textId="77777777" w:rsidR="00B626E7" w:rsidRDefault="00B626E7">
            <w:pPr>
              <w:rPr>
                <w:rFonts w:ascii="宋体"/>
              </w:rPr>
            </w:pPr>
          </w:p>
        </w:tc>
      </w:tr>
      <w:tr w:rsidR="00B626E7" w14:paraId="20AE0E41" w14:textId="77777777">
        <w:tc>
          <w:tcPr>
            <w:tcW w:w="0" w:type="auto"/>
            <w:gridSpan w:val="3"/>
            <w:shd w:val="clear" w:color="auto" w:fill="auto"/>
            <w:tcMar>
              <w:top w:w="40" w:type="dxa"/>
              <w:left w:w="20" w:type="dxa"/>
              <w:bottom w:w="40" w:type="dxa"/>
              <w:right w:w="20" w:type="dxa"/>
            </w:tcMar>
            <w:vAlign w:val="bottom"/>
          </w:tcPr>
          <w:p w14:paraId="20AE0E3C" w14:textId="77777777" w:rsidR="00B626E7" w:rsidRDefault="00175C1D">
            <w:pPr>
              <w:textAlignment w:val="bottom"/>
            </w:pPr>
            <w:r>
              <w:rPr>
                <w:rFonts w:ascii="Arial" w:eastAsia="宋体" w:hAnsi="Arial" w:cs="Arial"/>
                <w:b/>
                <w:bCs/>
                <w:color w:val="333333"/>
                <w:sz w:val="18"/>
                <w:szCs w:val="18"/>
              </w:rPr>
              <w:t>(In Millions)</w:t>
            </w:r>
          </w:p>
        </w:tc>
        <w:tc>
          <w:tcPr>
            <w:tcW w:w="0" w:type="auto"/>
            <w:gridSpan w:val="3"/>
            <w:shd w:val="clear" w:color="auto" w:fill="auto"/>
            <w:tcMar>
              <w:left w:w="20" w:type="dxa"/>
              <w:right w:w="20" w:type="dxa"/>
            </w:tcMar>
            <w:vAlign w:val="bottom"/>
          </w:tcPr>
          <w:p w14:paraId="20AE0E3D"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bottom"/>
          </w:tcPr>
          <w:p w14:paraId="20AE0E3E" w14:textId="77777777" w:rsidR="00B626E7" w:rsidRDefault="00175C1D">
            <w:pPr>
              <w:jc w:val="center"/>
              <w:textAlignment w:val="bottom"/>
            </w:pPr>
            <w:r>
              <w:rPr>
                <w:rFonts w:ascii="Arial" w:eastAsia="宋体" w:hAnsi="Arial" w:cs="Arial"/>
                <w:b/>
                <w:bCs/>
                <w:color w:val="333333"/>
                <w:sz w:val="18"/>
                <w:szCs w:val="18"/>
              </w:rPr>
              <w:t xml:space="preserve">Jun 27, </w:t>
            </w:r>
            <w:r>
              <w:rPr>
                <w:rFonts w:ascii="Arial" w:eastAsia="宋体" w:hAnsi="Arial" w:cs="Arial"/>
                <w:b/>
                <w:bCs/>
                <w:color w:val="333333"/>
                <w:sz w:val="18"/>
                <w:szCs w:val="18"/>
              </w:rPr>
              <w:t>2020</w:t>
            </w:r>
          </w:p>
        </w:tc>
        <w:tc>
          <w:tcPr>
            <w:tcW w:w="0" w:type="auto"/>
            <w:gridSpan w:val="3"/>
            <w:shd w:val="clear" w:color="auto" w:fill="auto"/>
            <w:tcMar>
              <w:left w:w="20" w:type="dxa"/>
              <w:right w:w="20" w:type="dxa"/>
            </w:tcMar>
            <w:vAlign w:val="bottom"/>
          </w:tcPr>
          <w:p w14:paraId="20AE0E3F"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bottom"/>
          </w:tcPr>
          <w:p w14:paraId="20AE0E40" w14:textId="77777777" w:rsidR="00B626E7" w:rsidRDefault="00175C1D">
            <w:pPr>
              <w:jc w:val="center"/>
              <w:textAlignment w:val="bottom"/>
            </w:pPr>
            <w:r>
              <w:rPr>
                <w:rFonts w:ascii="Arial" w:eastAsia="宋体" w:hAnsi="Arial" w:cs="Arial"/>
                <w:b/>
                <w:bCs/>
                <w:color w:val="333333"/>
                <w:sz w:val="18"/>
                <w:szCs w:val="18"/>
              </w:rPr>
              <w:t>Dec 28, 2019</w:t>
            </w:r>
          </w:p>
        </w:tc>
      </w:tr>
      <w:tr w:rsidR="00B626E7" w14:paraId="20AE0E4B" w14:textId="77777777">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0E42" w14:textId="77777777" w:rsidR="00B626E7" w:rsidRDefault="00175C1D">
            <w:pPr>
              <w:textAlignment w:val="bottom"/>
            </w:pPr>
            <w:r>
              <w:rPr>
                <w:rFonts w:ascii="Arial" w:eastAsia="宋体" w:hAnsi="Arial" w:cs="Arial"/>
                <w:color w:val="333333"/>
                <w:sz w:val="18"/>
                <w:szCs w:val="18"/>
              </w:rPr>
              <w:t>Prepaid supply agreements</w:t>
            </w:r>
          </w:p>
        </w:tc>
        <w:tc>
          <w:tcPr>
            <w:tcW w:w="0" w:type="auto"/>
            <w:gridSpan w:val="3"/>
            <w:shd w:val="clear" w:color="auto" w:fill="auto"/>
            <w:tcMar>
              <w:left w:w="20" w:type="dxa"/>
              <w:right w:w="20" w:type="dxa"/>
            </w:tcMar>
            <w:vAlign w:val="bottom"/>
          </w:tcPr>
          <w:p w14:paraId="20AE0E43"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0E44" w14:textId="77777777" w:rsidR="00B626E7" w:rsidRDefault="00175C1D">
            <w:pPr>
              <w:textAlignment w:val="bottom"/>
            </w:pPr>
            <w:r>
              <w:rPr>
                <w:rFonts w:ascii="Arial" w:eastAsia="宋体" w:hAnsi="Arial" w:cs="Arial"/>
                <w:color w:val="026DCE"/>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0E45" w14:textId="77777777" w:rsidR="00B626E7" w:rsidRDefault="00175C1D">
            <w:pPr>
              <w:jc w:val="right"/>
              <w:textAlignment w:val="bottom"/>
            </w:pPr>
            <w:r>
              <w:rPr>
                <w:rFonts w:ascii="Arial" w:eastAsia="宋体" w:hAnsi="Arial" w:cs="Arial"/>
                <w:color w:val="026DCE"/>
                <w:sz w:val="18"/>
                <w:szCs w:val="18"/>
              </w:rPr>
              <w:t>1,644 </w:t>
            </w:r>
          </w:p>
        </w:tc>
        <w:tc>
          <w:tcPr>
            <w:tcW w:w="0" w:type="auto"/>
            <w:tcBorders>
              <w:top w:val="single" w:sz="8" w:space="0" w:color="0071C5"/>
            </w:tcBorders>
            <w:shd w:val="clear" w:color="auto" w:fill="auto"/>
            <w:tcMar>
              <w:top w:w="40" w:type="dxa"/>
              <w:bottom w:w="40" w:type="dxa"/>
              <w:right w:w="20" w:type="dxa"/>
            </w:tcMar>
            <w:vAlign w:val="bottom"/>
          </w:tcPr>
          <w:p w14:paraId="20AE0E46"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0E47"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0E48" w14:textId="77777777" w:rsidR="00B626E7" w:rsidRDefault="00175C1D">
            <w:pPr>
              <w:textAlignment w:val="bottom"/>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0E49" w14:textId="77777777" w:rsidR="00B626E7" w:rsidRDefault="00175C1D">
            <w:pPr>
              <w:jc w:val="right"/>
              <w:textAlignment w:val="bottom"/>
            </w:pPr>
            <w:r>
              <w:rPr>
                <w:rFonts w:ascii="Arial" w:eastAsia="宋体" w:hAnsi="Arial" w:cs="Arial"/>
                <w:color w:val="333333"/>
                <w:sz w:val="18"/>
                <w:szCs w:val="18"/>
              </w:rPr>
              <w:t>1,805 </w:t>
            </w:r>
          </w:p>
        </w:tc>
        <w:tc>
          <w:tcPr>
            <w:tcW w:w="0" w:type="auto"/>
            <w:tcBorders>
              <w:top w:val="single" w:sz="8" w:space="0" w:color="0071C5"/>
            </w:tcBorders>
            <w:shd w:val="clear" w:color="auto" w:fill="auto"/>
            <w:tcMar>
              <w:top w:w="40" w:type="dxa"/>
              <w:bottom w:w="40" w:type="dxa"/>
              <w:right w:w="20" w:type="dxa"/>
            </w:tcMar>
            <w:vAlign w:val="bottom"/>
          </w:tcPr>
          <w:p w14:paraId="20AE0E4A" w14:textId="77777777" w:rsidR="00B626E7" w:rsidRDefault="00175C1D">
            <w:pPr>
              <w:jc w:val="right"/>
              <w:textAlignment w:val="bottom"/>
            </w:pPr>
            <w:r>
              <w:rPr>
                <w:rFonts w:ascii="Arial" w:eastAsia="宋体" w:hAnsi="Arial" w:cs="Arial"/>
                <w:color w:val="333333"/>
                <w:sz w:val="18"/>
                <w:szCs w:val="18"/>
              </w:rPr>
              <w:t> </w:t>
            </w:r>
          </w:p>
        </w:tc>
      </w:tr>
      <w:tr w:rsidR="00B626E7" w14:paraId="20AE0E51" w14:textId="77777777">
        <w:trPr>
          <w:hidden/>
        </w:trPr>
        <w:tc>
          <w:tcPr>
            <w:tcW w:w="0" w:type="auto"/>
            <w:gridSpan w:val="3"/>
            <w:shd w:val="clear" w:color="auto" w:fill="auto"/>
          </w:tcPr>
          <w:p w14:paraId="20AE0E4C" w14:textId="77777777" w:rsidR="00B626E7" w:rsidRDefault="00B626E7">
            <w:pPr>
              <w:rPr>
                <w:rFonts w:ascii="宋体"/>
                <w:vanish/>
              </w:rPr>
            </w:pPr>
          </w:p>
        </w:tc>
        <w:tc>
          <w:tcPr>
            <w:tcW w:w="0" w:type="auto"/>
            <w:gridSpan w:val="3"/>
            <w:shd w:val="clear" w:color="auto" w:fill="auto"/>
          </w:tcPr>
          <w:p w14:paraId="20AE0E4D" w14:textId="77777777" w:rsidR="00B626E7" w:rsidRDefault="00B626E7">
            <w:pPr>
              <w:rPr>
                <w:rFonts w:ascii="宋体"/>
                <w:vanish/>
              </w:rPr>
            </w:pPr>
          </w:p>
        </w:tc>
        <w:tc>
          <w:tcPr>
            <w:tcW w:w="0" w:type="auto"/>
            <w:gridSpan w:val="3"/>
            <w:shd w:val="clear" w:color="auto" w:fill="auto"/>
          </w:tcPr>
          <w:p w14:paraId="20AE0E4E" w14:textId="77777777" w:rsidR="00B626E7" w:rsidRDefault="00B626E7">
            <w:pPr>
              <w:rPr>
                <w:rFonts w:ascii="宋体"/>
                <w:vanish/>
              </w:rPr>
            </w:pPr>
          </w:p>
        </w:tc>
        <w:tc>
          <w:tcPr>
            <w:tcW w:w="0" w:type="auto"/>
            <w:gridSpan w:val="3"/>
            <w:shd w:val="clear" w:color="auto" w:fill="auto"/>
          </w:tcPr>
          <w:p w14:paraId="20AE0E4F" w14:textId="77777777" w:rsidR="00B626E7" w:rsidRDefault="00B626E7">
            <w:pPr>
              <w:rPr>
                <w:rFonts w:ascii="宋体"/>
                <w:vanish/>
              </w:rPr>
            </w:pPr>
          </w:p>
        </w:tc>
        <w:tc>
          <w:tcPr>
            <w:tcW w:w="0" w:type="auto"/>
            <w:gridSpan w:val="3"/>
            <w:shd w:val="clear" w:color="auto" w:fill="auto"/>
          </w:tcPr>
          <w:p w14:paraId="20AE0E50" w14:textId="77777777" w:rsidR="00B626E7" w:rsidRDefault="00B626E7">
            <w:pPr>
              <w:rPr>
                <w:rFonts w:ascii="宋体"/>
                <w:vanish/>
              </w:rPr>
            </w:pPr>
          </w:p>
        </w:tc>
      </w:tr>
      <w:tr w:rsidR="00B626E7" w14:paraId="20AE0E59" w14:textId="77777777">
        <w:tc>
          <w:tcPr>
            <w:tcW w:w="0" w:type="auto"/>
            <w:gridSpan w:val="3"/>
            <w:shd w:val="clear" w:color="auto" w:fill="auto"/>
            <w:tcMar>
              <w:top w:w="40" w:type="dxa"/>
              <w:left w:w="20" w:type="dxa"/>
              <w:bottom w:w="40" w:type="dxa"/>
              <w:right w:w="20" w:type="dxa"/>
            </w:tcMar>
            <w:vAlign w:val="bottom"/>
          </w:tcPr>
          <w:p w14:paraId="20AE0E52" w14:textId="77777777" w:rsidR="00B626E7" w:rsidRDefault="00175C1D">
            <w:pPr>
              <w:textAlignment w:val="bottom"/>
            </w:pPr>
            <w:r>
              <w:rPr>
                <w:rFonts w:ascii="Arial" w:eastAsia="宋体" w:hAnsi="Arial" w:cs="Arial"/>
                <w:color w:val="333333"/>
                <w:sz w:val="18"/>
                <w:szCs w:val="18"/>
              </w:rPr>
              <w:t>Other</w:t>
            </w:r>
          </w:p>
        </w:tc>
        <w:tc>
          <w:tcPr>
            <w:tcW w:w="0" w:type="auto"/>
            <w:gridSpan w:val="3"/>
            <w:shd w:val="clear" w:color="auto" w:fill="auto"/>
            <w:tcMar>
              <w:left w:w="20" w:type="dxa"/>
              <w:right w:w="20" w:type="dxa"/>
            </w:tcMar>
            <w:vAlign w:val="bottom"/>
          </w:tcPr>
          <w:p w14:paraId="20AE0E53"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E54" w14:textId="77777777" w:rsidR="00B626E7" w:rsidRDefault="00175C1D">
            <w:pPr>
              <w:jc w:val="right"/>
              <w:textAlignment w:val="bottom"/>
            </w:pPr>
            <w:r>
              <w:rPr>
                <w:rFonts w:ascii="Arial" w:eastAsia="宋体" w:hAnsi="Arial" w:cs="Arial"/>
                <w:color w:val="026DCE"/>
                <w:sz w:val="18"/>
                <w:szCs w:val="18"/>
              </w:rPr>
              <w:t>279 </w:t>
            </w:r>
          </w:p>
        </w:tc>
        <w:tc>
          <w:tcPr>
            <w:tcW w:w="0" w:type="auto"/>
            <w:shd w:val="clear" w:color="auto" w:fill="auto"/>
            <w:tcMar>
              <w:top w:w="40" w:type="dxa"/>
              <w:bottom w:w="40" w:type="dxa"/>
              <w:right w:w="20" w:type="dxa"/>
            </w:tcMar>
            <w:vAlign w:val="bottom"/>
          </w:tcPr>
          <w:p w14:paraId="20AE0E55"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0E56"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E57" w14:textId="77777777" w:rsidR="00B626E7" w:rsidRDefault="00175C1D">
            <w:pPr>
              <w:jc w:val="right"/>
              <w:textAlignment w:val="bottom"/>
            </w:pPr>
            <w:r>
              <w:rPr>
                <w:rFonts w:ascii="Arial" w:eastAsia="宋体" w:hAnsi="Arial" w:cs="Arial"/>
                <w:color w:val="333333"/>
                <w:sz w:val="18"/>
                <w:szCs w:val="18"/>
              </w:rPr>
              <w:t>236 </w:t>
            </w:r>
          </w:p>
        </w:tc>
        <w:tc>
          <w:tcPr>
            <w:tcW w:w="0" w:type="auto"/>
            <w:shd w:val="clear" w:color="auto" w:fill="auto"/>
            <w:tcMar>
              <w:top w:w="40" w:type="dxa"/>
              <w:bottom w:w="40" w:type="dxa"/>
              <w:right w:w="20" w:type="dxa"/>
            </w:tcMar>
            <w:vAlign w:val="bottom"/>
          </w:tcPr>
          <w:p w14:paraId="20AE0E58" w14:textId="77777777" w:rsidR="00B626E7" w:rsidRDefault="00175C1D">
            <w:pPr>
              <w:jc w:val="right"/>
              <w:textAlignment w:val="bottom"/>
            </w:pPr>
            <w:r>
              <w:rPr>
                <w:rFonts w:ascii="Arial" w:eastAsia="宋体" w:hAnsi="Arial" w:cs="Arial"/>
                <w:color w:val="333333"/>
                <w:sz w:val="18"/>
                <w:szCs w:val="18"/>
              </w:rPr>
              <w:t> </w:t>
            </w:r>
          </w:p>
        </w:tc>
      </w:tr>
      <w:tr w:rsidR="00B626E7" w14:paraId="20AE0E63" w14:textId="77777777">
        <w:tc>
          <w:tcPr>
            <w:tcW w:w="0" w:type="auto"/>
            <w:gridSpan w:val="3"/>
            <w:shd w:val="clear" w:color="auto" w:fill="auto"/>
            <w:tcMar>
              <w:top w:w="40" w:type="dxa"/>
              <w:left w:w="20" w:type="dxa"/>
              <w:bottom w:w="40" w:type="dxa"/>
              <w:right w:w="20" w:type="dxa"/>
            </w:tcMar>
          </w:tcPr>
          <w:p w14:paraId="20AE0E5A" w14:textId="77777777" w:rsidR="00B626E7" w:rsidRDefault="00175C1D">
            <w:pPr>
              <w:textAlignment w:val="top"/>
            </w:pPr>
            <w:r>
              <w:rPr>
                <w:rFonts w:ascii="Arial" w:eastAsia="宋体" w:hAnsi="Arial" w:cs="Arial"/>
                <w:b/>
                <w:bCs/>
                <w:color w:val="333333"/>
                <w:sz w:val="18"/>
                <w:szCs w:val="18"/>
              </w:rPr>
              <w:t>Total contract liabilities</w:t>
            </w:r>
          </w:p>
        </w:tc>
        <w:tc>
          <w:tcPr>
            <w:tcW w:w="0" w:type="auto"/>
            <w:gridSpan w:val="3"/>
            <w:shd w:val="clear" w:color="auto" w:fill="auto"/>
            <w:tcMar>
              <w:left w:w="20" w:type="dxa"/>
              <w:right w:w="20" w:type="dxa"/>
            </w:tcMar>
            <w:vAlign w:val="bottom"/>
          </w:tcPr>
          <w:p w14:paraId="20AE0E5B"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0E5C" w14:textId="77777777" w:rsidR="00B626E7" w:rsidRDefault="00175C1D">
            <w:pPr>
              <w:textAlignment w:val="bottom"/>
            </w:pPr>
            <w:r>
              <w:rPr>
                <w:rFonts w:ascii="Arial" w:eastAsia="宋体" w:hAnsi="Arial" w:cs="Arial"/>
                <w:b/>
                <w:bCs/>
                <w:color w:val="026DCE"/>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0E5D" w14:textId="77777777" w:rsidR="00B626E7" w:rsidRDefault="00175C1D">
            <w:pPr>
              <w:jc w:val="right"/>
              <w:textAlignment w:val="bottom"/>
            </w:pPr>
            <w:r>
              <w:rPr>
                <w:rFonts w:ascii="Arial" w:eastAsia="宋体" w:hAnsi="Arial" w:cs="Arial"/>
                <w:b/>
                <w:bCs/>
                <w:color w:val="026DCE"/>
                <w:sz w:val="18"/>
                <w:szCs w:val="18"/>
              </w:rPr>
              <w:t>1,923 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0E5E"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0E5F"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0E60"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0E61" w14:textId="77777777" w:rsidR="00B626E7" w:rsidRDefault="00175C1D">
            <w:pPr>
              <w:jc w:val="right"/>
              <w:textAlignment w:val="bottom"/>
            </w:pPr>
            <w:r>
              <w:rPr>
                <w:rFonts w:ascii="Arial" w:eastAsia="宋体" w:hAnsi="Arial" w:cs="Arial"/>
                <w:b/>
                <w:bCs/>
                <w:color w:val="333333"/>
                <w:sz w:val="18"/>
                <w:szCs w:val="18"/>
              </w:rPr>
              <w:t>2,041 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0E62" w14:textId="77777777" w:rsidR="00B626E7" w:rsidRDefault="00175C1D">
            <w:pPr>
              <w:jc w:val="right"/>
              <w:textAlignment w:val="bottom"/>
            </w:pPr>
            <w:r>
              <w:rPr>
                <w:rFonts w:ascii="Arial" w:eastAsia="宋体" w:hAnsi="Arial" w:cs="Arial"/>
                <w:b/>
                <w:bCs/>
                <w:color w:val="333333"/>
                <w:sz w:val="18"/>
                <w:szCs w:val="18"/>
              </w:rPr>
              <w:t> </w:t>
            </w:r>
          </w:p>
        </w:tc>
      </w:tr>
      <w:tr w:rsidR="00B626E7" w14:paraId="20AE0E69" w14:textId="77777777">
        <w:trPr>
          <w:hidden/>
        </w:trPr>
        <w:tc>
          <w:tcPr>
            <w:tcW w:w="0" w:type="auto"/>
            <w:gridSpan w:val="3"/>
            <w:shd w:val="clear" w:color="auto" w:fill="auto"/>
          </w:tcPr>
          <w:p w14:paraId="20AE0E64" w14:textId="77777777" w:rsidR="00B626E7" w:rsidRDefault="00B626E7">
            <w:pPr>
              <w:rPr>
                <w:rFonts w:ascii="宋体"/>
                <w:vanish/>
              </w:rPr>
            </w:pPr>
          </w:p>
        </w:tc>
        <w:tc>
          <w:tcPr>
            <w:tcW w:w="0" w:type="auto"/>
            <w:gridSpan w:val="3"/>
            <w:shd w:val="clear" w:color="auto" w:fill="auto"/>
          </w:tcPr>
          <w:p w14:paraId="20AE0E65" w14:textId="77777777" w:rsidR="00B626E7" w:rsidRDefault="00B626E7">
            <w:pPr>
              <w:rPr>
                <w:rFonts w:ascii="宋体"/>
                <w:vanish/>
              </w:rPr>
            </w:pPr>
          </w:p>
        </w:tc>
        <w:tc>
          <w:tcPr>
            <w:tcW w:w="0" w:type="auto"/>
            <w:gridSpan w:val="3"/>
            <w:shd w:val="clear" w:color="auto" w:fill="auto"/>
          </w:tcPr>
          <w:p w14:paraId="20AE0E66" w14:textId="77777777" w:rsidR="00B626E7" w:rsidRDefault="00B626E7">
            <w:pPr>
              <w:rPr>
                <w:rFonts w:ascii="宋体"/>
                <w:vanish/>
              </w:rPr>
            </w:pPr>
          </w:p>
        </w:tc>
        <w:tc>
          <w:tcPr>
            <w:tcW w:w="0" w:type="auto"/>
            <w:gridSpan w:val="3"/>
            <w:shd w:val="clear" w:color="auto" w:fill="auto"/>
          </w:tcPr>
          <w:p w14:paraId="20AE0E67" w14:textId="77777777" w:rsidR="00B626E7" w:rsidRDefault="00B626E7">
            <w:pPr>
              <w:rPr>
                <w:rFonts w:ascii="宋体"/>
                <w:vanish/>
              </w:rPr>
            </w:pPr>
          </w:p>
        </w:tc>
        <w:tc>
          <w:tcPr>
            <w:tcW w:w="0" w:type="auto"/>
            <w:gridSpan w:val="3"/>
            <w:shd w:val="clear" w:color="auto" w:fill="auto"/>
          </w:tcPr>
          <w:p w14:paraId="20AE0E68" w14:textId="77777777" w:rsidR="00B626E7" w:rsidRDefault="00B626E7">
            <w:pPr>
              <w:rPr>
                <w:rFonts w:ascii="宋体"/>
                <w:vanish/>
              </w:rPr>
            </w:pPr>
          </w:p>
        </w:tc>
      </w:tr>
      <w:tr w:rsidR="00B626E7" w14:paraId="20AE0E6F" w14:textId="77777777">
        <w:trPr>
          <w:hidden/>
        </w:trPr>
        <w:tc>
          <w:tcPr>
            <w:tcW w:w="0" w:type="auto"/>
            <w:gridSpan w:val="3"/>
            <w:shd w:val="clear" w:color="auto" w:fill="auto"/>
          </w:tcPr>
          <w:p w14:paraId="20AE0E6A" w14:textId="77777777" w:rsidR="00B626E7" w:rsidRDefault="00B626E7">
            <w:pPr>
              <w:rPr>
                <w:rFonts w:ascii="宋体"/>
                <w:vanish/>
              </w:rPr>
            </w:pPr>
          </w:p>
        </w:tc>
        <w:tc>
          <w:tcPr>
            <w:tcW w:w="0" w:type="auto"/>
            <w:gridSpan w:val="3"/>
            <w:shd w:val="clear" w:color="auto" w:fill="auto"/>
          </w:tcPr>
          <w:p w14:paraId="20AE0E6B" w14:textId="77777777" w:rsidR="00B626E7" w:rsidRDefault="00B626E7">
            <w:pPr>
              <w:rPr>
                <w:rFonts w:ascii="宋体"/>
                <w:vanish/>
              </w:rPr>
            </w:pPr>
          </w:p>
        </w:tc>
        <w:tc>
          <w:tcPr>
            <w:tcW w:w="0" w:type="auto"/>
            <w:gridSpan w:val="3"/>
            <w:shd w:val="clear" w:color="auto" w:fill="auto"/>
          </w:tcPr>
          <w:p w14:paraId="20AE0E6C" w14:textId="77777777" w:rsidR="00B626E7" w:rsidRDefault="00B626E7">
            <w:pPr>
              <w:rPr>
                <w:rFonts w:ascii="宋体"/>
                <w:vanish/>
              </w:rPr>
            </w:pPr>
          </w:p>
        </w:tc>
        <w:tc>
          <w:tcPr>
            <w:tcW w:w="0" w:type="auto"/>
            <w:gridSpan w:val="3"/>
            <w:shd w:val="clear" w:color="auto" w:fill="auto"/>
          </w:tcPr>
          <w:p w14:paraId="20AE0E6D" w14:textId="77777777" w:rsidR="00B626E7" w:rsidRDefault="00B626E7">
            <w:pPr>
              <w:rPr>
                <w:rFonts w:ascii="宋体"/>
                <w:vanish/>
              </w:rPr>
            </w:pPr>
          </w:p>
        </w:tc>
        <w:tc>
          <w:tcPr>
            <w:tcW w:w="0" w:type="auto"/>
            <w:gridSpan w:val="3"/>
            <w:shd w:val="clear" w:color="auto" w:fill="auto"/>
          </w:tcPr>
          <w:p w14:paraId="20AE0E6E" w14:textId="77777777" w:rsidR="00B626E7" w:rsidRDefault="00B626E7">
            <w:pPr>
              <w:rPr>
                <w:rFonts w:ascii="宋体"/>
                <w:vanish/>
              </w:rPr>
            </w:pPr>
          </w:p>
        </w:tc>
      </w:tr>
    </w:tbl>
    <w:p w14:paraId="20AE0E70" w14:textId="77777777" w:rsidR="00B626E7" w:rsidRDefault="00175C1D">
      <w:pPr>
        <w:spacing w:before="300" w:after="180"/>
      </w:pPr>
      <w:r>
        <w:rPr>
          <w:rFonts w:ascii="Arial" w:eastAsia="宋体" w:hAnsi="Arial" w:cs="Arial"/>
          <w:color w:val="333333"/>
          <w:sz w:val="18"/>
          <w:szCs w:val="18"/>
        </w:rPr>
        <w:t xml:space="preserve">Contract liabilities are primarily related to prepayments received from customers on </w:t>
      </w:r>
      <w:r>
        <w:rPr>
          <w:rFonts w:ascii="Arial" w:eastAsia="宋体" w:hAnsi="Arial" w:cs="Arial"/>
          <w:color w:val="333333"/>
          <w:sz w:val="18"/>
          <w:szCs w:val="18"/>
        </w:rPr>
        <w:t>long-term prepaid supply agreements toward future NSG product delivery. The short-term portion of contract liabilities is reported on the Consolidated Condensed Balance Sheets within other accrued liabilities.</w:t>
      </w:r>
    </w:p>
    <w:p w14:paraId="20AE0E71" w14:textId="77777777" w:rsidR="00B626E7" w:rsidRDefault="00175C1D">
      <w:pPr>
        <w:spacing w:after="120"/>
      </w:pPr>
      <w:r>
        <w:rPr>
          <w:rFonts w:ascii="Arial" w:eastAsia="宋体" w:hAnsi="Arial" w:cs="Arial"/>
          <w:color w:val="333333"/>
          <w:sz w:val="18"/>
          <w:szCs w:val="18"/>
        </w:rPr>
        <w:t>The following table shows the changes in contr</w:t>
      </w:r>
      <w:r>
        <w:rPr>
          <w:rFonts w:ascii="Arial" w:eastAsia="宋体" w:hAnsi="Arial" w:cs="Arial"/>
          <w:color w:val="333333"/>
          <w:sz w:val="18"/>
          <w:szCs w:val="18"/>
        </w:rPr>
        <w:t>act liability balances relating to long-term prepaid supply agreements during the first six months of 2020:</w:t>
      </w:r>
    </w:p>
    <w:tbl>
      <w:tblPr>
        <w:tblW w:w="5000" w:type="pct"/>
        <w:tblCellMar>
          <w:top w:w="15" w:type="dxa"/>
          <w:left w:w="15" w:type="dxa"/>
          <w:bottom w:w="15" w:type="dxa"/>
          <w:right w:w="15" w:type="dxa"/>
        </w:tblCellMar>
        <w:tblLook w:val="04A0" w:firstRow="1" w:lastRow="0" w:firstColumn="1" w:lastColumn="0" w:noHBand="0" w:noVBand="1"/>
      </w:tblPr>
      <w:tblGrid>
        <w:gridCol w:w="61"/>
        <w:gridCol w:w="7100"/>
        <w:gridCol w:w="61"/>
        <w:gridCol w:w="36"/>
        <w:gridCol w:w="36"/>
        <w:gridCol w:w="36"/>
        <w:gridCol w:w="136"/>
        <w:gridCol w:w="784"/>
        <w:gridCol w:w="86"/>
      </w:tblGrid>
      <w:tr w:rsidR="00B626E7" w14:paraId="20AE0E7B" w14:textId="77777777">
        <w:tc>
          <w:tcPr>
            <w:tcW w:w="50" w:type="pct"/>
            <w:shd w:val="clear" w:color="auto" w:fill="auto"/>
          </w:tcPr>
          <w:p w14:paraId="20AE0E72" w14:textId="77777777" w:rsidR="00B626E7" w:rsidRDefault="00B626E7">
            <w:pPr>
              <w:rPr>
                <w:rFonts w:ascii="宋体"/>
              </w:rPr>
            </w:pPr>
          </w:p>
        </w:tc>
        <w:tc>
          <w:tcPr>
            <w:tcW w:w="4271" w:type="pct"/>
            <w:shd w:val="clear" w:color="auto" w:fill="auto"/>
          </w:tcPr>
          <w:p w14:paraId="20AE0E73" w14:textId="77777777" w:rsidR="00B626E7" w:rsidRDefault="00B626E7">
            <w:pPr>
              <w:rPr>
                <w:rFonts w:ascii="宋体"/>
              </w:rPr>
            </w:pPr>
          </w:p>
        </w:tc>
        <w:tc>
          <w:tcPr>
            <w:tcW w:w="50" w:type="pct"/>
            <w:shd w:val="clear" w:color="auto" w:fill="auto"/>
          </w:tcPr>
          <w:p w14:paraId="20AE0E74" w14:textId="77777777" w:rsidR="00B626E7" w:rsidRDefault="00B626E7">
            <w:pPr>
              <w:rPr>
                <w:rFonts w:ascii="宋体"/>
              </w:rPr>
            </w:pPr>
          </w:p>
        </w:tc>
        <w:tc>
          <w:tcPr>
            <w:tcW w:w="5" w:type="pct"/>
            <w:shd w:val="clear" w:color="auto" w:fill="auto"/>
          </w:tcPr>
          <w:p w14:paraId="20AE0E75" w14:textId="77777777" w:rsidR="00B626E7" w:rsidRDefault="00B626E7">
            <w:pPr>
              <w:rPr>
                <w:rFonts w:ascii="宋体"/>
              </w:rPr>
            </w:pPr>
          </w:p>
        </w:tc>
        <w:tc>
          <w:tcPr>
            <w:tcW w:w="24" w:type="pct"/>
            <w:shd w:val="clear" w:color="auto" w:fill="auto"/>
          </w:tcPr>
          <w:p w14:paraId="20AE0E76" w14:textId="77777777" w:rsidR="00B626E7" w:rsidRDefault="00B626E7">
            <w:pPr>
              <w:rPr>
                <w:rFonts w:ascii="宋体"/>
              </w:rPr>
            </w:pPr>
          </w:p>
        </w:tc>
        <w:tc>
          <w:tcPr>
            <w:tcW w:w="5" w:type="pct"/>
            <w:shd w:val="clear" w:color="auto" w:fill="auto"/>
          </w:tcPr>
          <w:p w14:paraId="20AE0E77" w14:textId="77777777" w:rsidR="00B626E7" w:rsidRDefault="00B626E7">
            <w:pPr>
              <w:rPr>
                <w:rFonts w:ascii="宋体"/>
              </w:rPr>
            </w:pPr>
          </w:p>
        </w:tc>
        <w:tc>
          <w:tcPr>
            <w:tcW w:w="50" w:type="pct"/>
            <w:shd w:val="clear" w:color="auto" w:fill="auto"/>
          </w:tcPr>
          <w:p w14:paraId="20AE0E78" w14:textId="77777777" w:rsidR="00B626E7" w:rsidRDefault="00B626E7">
            <w:pPr>
              <w:rPr>
                <w:rFonts w:ascii="宋体"/>
              </w:rPr>
            </w:pPr>
          </w:p>
        </w:tc>
        <w:tc>
          <w:tcPr>
            <w:tcW w:w="494" w:type="pct"/>
            <w:shd w:val="clear" w:color="auto" w:fill="auto"/>
          </w:tcPr>
          <w:p w14:paraId="20AE0E79" w14:textId="77777777" w:rsidR="00B626E7" w:rsidRDefault="00B626E7">
            <w:pPr>
              <w:rPr>
                <w:rFonts w:ascii="宋体"/>
              </w:rPr>
            </w:pPr>
          </w:p>
        </w:tc>
        <w:tc>
          <w:tcPr>
            <w:tcW w:w="50" w:type="pct"/>
            <w:shd w:val="clear" w:color="auto" w:fill="auto"/>
          </w:tcPr>
          <w:p w14:paraId="20AE0E7A" w14:textId="77777777" w:rsidR="00B626E7" w:rsidRDefault="00B626E7">
            <w:pPr>
              <w:rPr>
                <w:rFonts w:ascii="宋体"/>
              </w:rPr>
            </w:pPr>
          </w:p>
        </w:tc>
      </w:tr>
      <w:tr w:rsidR="00B626E7" w14:paraId="20AE0E7F" w14:textId="77777777">
        <w:tc>
          <w:tcPr>
            <w:tcW w:w="0" w:type="auto"/>
            <w:gridSpan w:val="3"/>
            <w:shd w:val="clear" w:color="auto" w:fill="auto"/>
            <w:tcMar>
              <w:top w:w="40" w:type="dxa"/>
              <w:left w:w="20" w:type="dxa"/>
              <w:bottom w:w="40" w:type="dxa"/>
              <w:right w:w="20" w:type="dxa"/>
            </w:tcMar>
            <w:vAlign w:val="bottom"/>
          </w:tcPr>
          <w:p w14:paraId="20AE0E7C" w14:textId="77777777" w:rsidR="00B626E7" w:rsidRDefault="00175C1D">
            <w:pPr>
              <w:textAlignment w:val="bottom"/>
            </w:pPr>
            <w:r>
              <w:rPr>
                <w:rFonts w:ascii="Arial" w:eastAsia="宋体" w:hAnsi="Arial" w:cs="Arial"/>
                <w:b/>
                <w:bCs/>
                <w:color w:val="333333"/>
                <w:sz w:val="18"/>
                <w:szCs w:val="18"/>
              </w:rPr>
              <w:t>(In Millions)</w:t>
            </w:r>
          </w:p>
        </w:tc>
        <w:tc>
          <w:tcPr>
            <w:tcW w:w="0" w:type="auto"/>
            <w:gridSpan w:val="3"/>
            <w:shd w:val="clear" w:color="auto" w:fill="auto"/>
            <w:tcMar>
              <w:left w:w="20" w:type="dxa"/>
              <w:right w:w="20" w:type="dxa"/>
            </w:tcMar>
            <w:vAlign w:val="bottom"/>
          </w:tcPr>
          <w:p w14:paraId="20AE0E7D"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E7E" w14:textId="77777777" w:rsidR="00B626E7" w:rsidRDefault="00B626E7">
            <w:pPr>
              <w:rPr>
                <w:rFonts w:ascii="宋体"/>
              </w:rPr>
            </w:pPr>
          </w:p>
        </w:tc>
      </w:tr>
      <w:tr w:rsidR="00B626E7" w14:paraId="20AE0E85" w14:textId="77777777">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0E80" w14:textId="77777777" w:rsidR="00B626E7" w:rsidRDefault="00175C1D">
            <w:pPr>
              <w:textAlignment w:val="bottom"/>
            </w:pPr>
            <w:r>
              <w:rPr>
                <w:rFonts w:ascii="Arial" w:eastAsia="宋体" w:hAnsi="Arial" w:cs="Arial"/>
                <w:b/>
                <w:bCs/>
                <w:color w:val="333333"/>
                <w:sz w:val="18"/>
                <w:szCs w:val="18"/>
              </w:rPr>
              <w:t>Prepaid supply agreements balance as of December 28, 2019</w:t>
            </w:r>
          </w:p>
        </w:tc>
        <w:tc>
          <w:tcPr>
            <w:tcW w:w="0" w:type="auto"/>
            <w:gridSpan w:val="3"/>
            <w:shd w:val="clear" w:color="auto" w:fill="auto"/>
            <w:tcMar>
              <w:left w:w="20" w:type="dxa"/>
              <w:right w:w="20" w:type="dxa"/>
            </w:tcMar>
            <w:vAlign w:val="bottom"/>
          </w:tcPr>
          <w:p w14:paraId="20AE0E81"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0E82"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0E83" w14:textId="77777777" w:rsidR="00B626E7" w:rsidRDefault="00175C1D">
            <w:pPr>
              <w:jc w:val="right"/>
              <w:textAlignment w:val="bottom"/>
            </w:pPr>
            <w:r>
              <w:rPr>
                <w:rFonts w:ascii="Arial" w:eastAsia="宋体" w:hAnsi="Arial" w:cs="Arial"/>
                <w:b/>
                <w:bCs/>
                <w:color w:val="333333"/>
                <w:sz w:val="18"/>
                <w:szCs w:val="18"/>
              </w:rPr>
              <w:t>1,805 </w:t>
            </w:r>
          </w:p>
        </w:tc>
        <w:tc>
          <w:tcPr>
            <w:tcW w:w="0" w:type="auto"/>
            <w:tcBorders>
              <w:top w:val="single" w:sz="8" w:space="0" w:color="0071C5"/>
            </w:tcBorders>
            <w:shd w:val="clear" w:color="auto" w:fill="auto"/>
            <w:tcMar>
              <w:top w:w="40" w:type="dxa"/>
              <w:bottom w:w="40" w:type="dxa"/>
              <w:right w:w="20" w:type="dxa"/>
            </w:tcMar>
            <w:vAlign w:val="bottom"/>
          </w:tcPr>
          <w:p w14:paraId="20AE0E84" w14:textId="77777777" w:rsidR="00B626E7" w:rsidRDefault="00175C1D">
            <w:pPr>
              <w:jc w:val="right"/>
              <w:textAlignment w:val="bottom"/>
            </w:pPr>
            <w:r>
              <w:rPr>
                <w:rFonts w:ascii="Arial" w:eastAsia="宋体" w:hAnsi="Arial" w:cs="Arial"/>
                <w:b/>
                <w:bCs/>
                <w:color w:val="333333"/>
                <w:sz w:val="18"/>
                <w:szCs w:val="18"/>
              </w:rPr>
              <w:t> </w:t>
            </w:r>
          </w:p>
        </w:tc>
      </w:tr>
      <w:tr w:rsidR="00B626E7" w14:paraId="20AE0E89" w14:textId="77777777">
        <w:trPr>
          <w:hidden/>
        </w:trPr>
        <w:tc>
          <w:tcPr>
            <w:tcW w:w="0" w:type="auto"/>
            <w:gridSpan w:val="3"/>
            <w:shd w:val="clear" w:color="auto" w:fill="auto"/>
          </w:tcPr>
          <w:p w14:paraId="20AE0E86" w14:textId="77777777" w:rsidR="00B626E7" w:rsidRDefault="00B626E7">
            <w:pPr>
              <w:rPr>
                <w:rFonts w:ascii="宋体"/>
                <w:vanish/>
              </w:rPr>
            </w:pPr>
          </w:p>
        </w:tc>
        <w:tc>
          <w:tcPr>
            <w:tcW w:w="0" w:type="auto"/>
            <w:gridSpan w:val="3"/>
            <w:shd w:val="clear" w:color="auto" w:fill="auto"/>
          </w:tcPr>
          <w:p w14:paraId="20AE0E87" w14:textId="77777777" w:rsidR="00B626E7" w:rsidRDefault="00B626E7">
            <w:pPr>
              <w:rPr>
                <w:rFonts w:ascii="宋体"/>
                <w:vanish/>
              </w:rPr>
            </w:pPr>
          </w:p>
        </w:tc>
        <w:tc>
          <w:tcPr>
            <w:tcW w:w="0" w:type="auto"/>
            <w:gridSpan w:val="3"/>
            <w:shd w:val="clear" w:color="auto" w:fill="auto"/>
          </w:tcPr>
          <w:p w14:paraId="20AE0E88" w14:textId="77777777" w:rsidR="00B626E7" w:rsidRDefault="00B626E7">
            <w:pPr>
              <w:rPr>
                <w:rFonts w:ascii="宋体"/>
                <w:vanish/>
              </w:rPr>
            </w:pPr>
          </w:p>
        </w:tc>
      </w:tr>
      <w:tr w:rsidR="00B626E7" w14:paraId="20AE0E8E" w14:textId="77777777">
        <w:tc>
          <w:tcPr>
            <w:tcW w:w="0" w:type="auto"/>
            <w:gridSpan w:val="3"/>
            <w:shd w:val="clear" w:color="auto" w:fill="auto"/>
            <w:tcMar>
              <w:top w:w="40" w:type="dxa"/>
              <w:left w:w="20" w:type="dxa"/>
              <w:bottom w:w="40" w:type="dxa"/>
              <w:right w:w="20" w:type="dxa"/>
            </w:tcMar>
            <w:vAlign w:val="bottom"/>
          </w:tcPr>
          <w:p w14:paraId="20AE0E8A" w14:textId="77777777" w:rsidR="00B626E7" w:rsidRDefault="00175C1D">
            <w:pPr>
              <w:textAlignment w:val="bottom"/>
            </w:pPr>
            <w:r>
              <w:rPr>
                <w:rFonts w:ascii="Arial" w:eastAsia="宋体" w:hAnsi="Arial" w:cs="Arial"/>
                <w:color w:val="333333"/>
                <w:sz w:val="18"/>
                <w:szCs w:val="18"/>
              </w:rPr>
              <w:t xml:space="preserve">Prepayments utilized </w:t>
            </w:r>
          </w:p>
        </w:tc>
        <w:tc>
          <w:tcPr>
            <w:tcW w:w="0" w:type="auto"/>
            <w:gridSpan w:val="3"/>
            <w:shd w:val="clear" w:color="auto" w:fill="auto"/>
            <w:tcMar>
              <w:left w:w="20" w:type="dxa"/>
              <w:right w:w="20" w:type="dxa"/>
            </w:tcMar>
            <w:vAlign w:val="bottom"/>
          </w:tcPr>
          <w:p w14:paraId="20AE0E8B"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E8C" w14:textId="77777777" w:rsidR="00B626E7" w:rsidRDefault="00175C1D">
            <w:pPr>
              <w:jc w:val="right"/>
              <w:textAlignment w:val="bottom"/>
            </w:pPr>
            <w:r>
              <w:rPr>
                <w:rFonts w:ascii="Arial" w:eastAsia="宋体" w:hAnsi="Arial" w:cs="Arial"/>
                <w:color w:val="0071C5"/>
                <w:sz w:val="18"/>
                <w:szCs w:val="18"/>
              </w:rPr>
              <w:t>(161)</w:t>
            </w:r>
          </w:p>
        </w:tc>
        <w:tc>
          <w:tcPr>
            <w:tcW w:w="0" w:type="auto"/>
            <w:shd w:val="clear" w:color="auto" w:fill="auto"/>
            <w:tcMar>
              <w:top w:w="40" w:type="dxa"/>
              <w:bottom w:w="40" w:type="dxa"/>
              <w:right w:w="20" w:type="dxa"/>
            </w:tcMar>
            <w:vAlign w:val="bottom"/>
          </w:tcPr>
          <w:p w14:paraId="20AE0E8D" w14:textId="77777777" w:rsidR="00B626E7" w:rsidRDefault="00175C1D">
            <w:pPr>
              <w:jc w:val="right"/>
              <w:textAlignment w:val="bottom"/>
            </w:pPr>
            <w:r>
              <w:rPr>
                <w:rFonts w:ascii="Arial" w:eastAsia="宋体" w:hAnsi="Arial" w:cs="Arial"/>
                <w:color w:val="0071C5"/>
                <w:sz w:val="18"/>
                <w:szCs w:val="18"/>
              </w:rPr>
              <w:t> </w:t>
            </w:r>
          </w:p>
        </w:tc>
      </w:tr>
      <w:tr w:rsidR="00B626E7" w14:paraId="20AE0E94" w14:textId="77777777">
        <w:tc>
          <w:tcPr>
            <w:tcW w:w="0" w:type="auto"/>
            <w:gridSpan w:val="3"/>
            <w:shd w:val="clear" w:color="auto" w:fill="auto"/>
            <w:tcMar>
              <w:top w:w="40" w:type="dxa"/>
              <w:left w:w="20" w:type="dxa"/>
              <w:bottom w:w="40" w:type="dxa"/>
              <w:right w:w="20" w:type="dxa"/>
            </w:tcMar>
          </w:tcPr>
          <w:p w14:paraId="20AE0E8F" w14:textId="77777777" w:rsidR="00B626E7" w:rsidRDefault="00175C1D">
            <w:pPr>
              <w:textAlignment w:val="top"/>
            </w:pPr>
            <w:r>
              <w:rPr>
                <w:rFonts w:ascii="Arial" w:eastAsia="宋体" w:hAnsi="Arial" w:cs="Arial"/>
                <w:b/>
                <w:bCs/>
                <w:color w:val="333333"/>
                <w:sz w:val="18"/>
                <w:szCs w:val="18"/>
              </w:rPr>
              <w:t xml:space="preserve">Prepaid </w:t>
            </w:r>
            <w:r>
              <w:rPr>
                <w:rFonts w:ascii="Arial" w:eastAsia="宋体" w:hAnsi="Arial" w:cs="Arial"/>
                <w:b/>
                <w:bCs/>
                <w:color w:val="333333"/>
                <w:sz w:val="18"/>
                <w:szCs w:val="18"/>
              </w:rPr>
              <w:t>supply agreements balance as of June 27, 2020</w:t>
            </w:r>
          </w:p>
        </w:tc>
        <w:tc>
          <w:tcPr>
            <w:tcW w:w="0" w:type="auto"/>
            <w:gridSpan w:val="3"/>
            <w:shd w:val="clear" w:color="auto" w:fill="auto"/>
            <w:tcMar>
              <w:left w:w="20" w:type="dxa"/>
              <w:right w:w="20" w:type="dxa"/>
            </w:tcMar>
            <w:vAlign w:val="bottom"/>
          </w:tcPr>
          <w:p w14:paraId="20AE0E90"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0E91" w14:textId="77777777" w:rsidR="00B626E7" w:rsidRDefault="00175C1D">
            <w:pPr>
              <w:textAlignment w:val="bottom"/>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0E92" w14:textId="77777777" w:rsidR="00B626E7" w:rsidRDefault="00175C1D">
            <w:pPr>
              <w:jc w:val="right"/>
              <w:textAlignment w:val="bottom"/>
            </w:pPr>
            <w:r>
              <w:rPr>
                <w:rFonts w:ascii="Arial" w:eastAsia="宋体" w:hAnsi="Arial" w:cs="Arial"/>
                <w:b/>
                <w:bCs/>
                <w:color w:val="0071C5"/>
                <w:sz w:val="18"/>
                <w:szCs w:val="18"/>
              </w:rPr>
              <w:t>1,644 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0E93" w14:textId="77777777" w:rsidR="00B626E7" w:rsidRDefault="00175C1D">
            <w:pPr>
              <w:jc w:val="right"/>
              <w:textAlignment w:val="bottom"/>
            </w:pPr>
            <w:r>
              <w:rPr>
                <w:rFonts w:ascii="Arial" w:eastAsia="宋体" w:hAnsi="Arial" w:cs="Arial"/>
                <w:b/>
                <w:bCs/>
                <w:color w:val="0071C5"/>
                <w:sz w:val="18"/>
                <w:szCs w:val="18"/>
              </w:rPr>
              <w:t> </w:t>
            </w:r>
          </w:p>
        </w:tc>
      </w:tr>
    </w:tbl>
    <w:p w14:paraId="20AE0E95" w14:textId="77777777" w:rsidR="00B626E7" w:rsidRDefault="00175C1D">
      <w:pPr>
        <w:spacing w:before="300" w:after="180"/>
      </w:pPr>
      <w:r>
        <w:rPr>
          <w:rFonts w:ascii="Arial" w:eastAsia="宋体" w:hAnsi="Arial" w:cs="Arial"/>
          <w:color w:val="333333"/>
          <w:sz w:val="18"/>
          <w:szCs w:val="18"/>
        </w:rPr>
        <w:t xml:space="preserve">During the second quarter of 2020, we issued a contract termination notification for breach to our largest prepaid supply customer with a $1.6 billion contract liability balance. The timing and </w:t>
      </w:r>
      <w:r>
        <w:rPr>
          <w:rFonts w:ascii="Arial" w:eastAsia="宋体" w:hAnsi="Arial" w:cs="Arial"/>
          <w:color w:val="333333"/>
          <w:sz w:val="18"/>
          <w:szCs w:val="18"/>
        </w:rPr>
        <w:t>amount of future anticipated revenue, or reversal of any contract liability balance, resulting from contract termination may vary due to ongoing customer negotiations.</w:t>
      </w:r>
    </w:p>
    <w:tbl>
      <w:tblPr>
        <w:tblW w:w="5000" w:type="pct"/>
        <w:tblCellMar>
          <w:top w:w="15" w:type="dxa"/>
          <w:left w:w="15" w:type="dxa"/>
          <w:bottom w:w="15" w:type="dxa"/>
          <w:right w:w="15" w:type="dxa"/>
        </w:tblCellMar>
        <w:tblLook w:val="04A0" w:firstRow="1" w:lastRow="0" w:firstColumn="1" w:lastColumn="0" w:noHBand="0" w:noVBand="1"/>
      </w:tblPr>
      <w:tblGrid>
        <w:gridCol w:w="84"/>
        <w:gridCol w:w="937"/>
        <w:gridCol w:w="83"/>
        <w:gridCol w:w="83"/>
        <w:gridCol w:w="7066"/>
        <w:gridCol w:w="83"/>
      </w:tblGrid>
      <w:tr w:rsidR="00B626E7" w14:paraId="20AE0E9C" w14:textId="77777777">
        <w:tc>
          <w:tcPr>
            <w:tcW w:w="50" w:type="pct"/>
            <w:shd w:val="clear" w:color="auto" w:fill="auto"/>
          </w:tcPr>
          <w:p w14:paraId="20AE0E96" w14:textId="77777777" w:rsidR="00B626E7" w:rsidRDefault="00B626E7">
            <w:pPr>
              <w:rPr>
                <w:rFonts w:ascii="宋体"/>
              </w:rPr>
            </w:pPr>
          </w:p>
        </w:tc>
        <w:tc>
          <w:tcPr>
            <w:tcW w:w="562" w:type="pct"/>
            <w:shd w:val="clear" w:color="auto" w:fill="auto"/>
          </w:tcPr>
          <w:p w14:paraId="20AE0E97" w14:textId="77777777" w:rsidR="00B626E7" w:rsidRDefault="00B626E7">
            <w:pPr>
              <w:rPr>
                <w:rFonts w:ascii="宋体"/>
              </w:rPr>
            </w:pPr>
          </w:p>
        </w:tc>
        <w:tc>
          <w:tcPr>
            <w:tcW w:w="50" w:type="pct"/>
            <w:shd w:val="clear" w:color="auto" w:fill="auto"/>
          </w:tcPr>
          <w:p w14:paraId="20AE0E98" w14:textId="77777777" w:rsidR="00B626E7" w:rsidRDefault="00B626E7">
            <w:pPr>
              <w:rPr>
                <w:rFonts w:ascii="宋体"/>
              </w:rPr>
            </w:pPr>
          </w:p>
        </w:tc>
        <w:tc>
          <w:tcPr>
            <w:tcW w:w="50" w:type="pct"/>
            <w:shd w:val="clear" w:color="auto" w:fill="auto"/>
          </w:tcPr>
          <w:p w14:paraId="20AE0E99" w14:textId="77777777" w:rsidR="00B626E7" w:rsidRDefault="00B626E7">
            <w:pPr>
              <w:rPr>
                <w:rFonts w:ascii="宋体"/>
              </w:rPr>
            </w:pPr>
          </w:p>
        </w:tc>
        <w:tc>
          <w:tcPr>
            <w:tcW w:w="4237" w:type="pct"/>
            <w:shd w:val="clear" w:color="auto" w:fill="auto"/>
          </w:tcPr>
          <w:p w14:paraId="20AE0E9A" w14:textId="77777777" w:rsidR="00B626E7" w:rsidRDefault="00B626E7">
            <w:pPr>
              <w:rPr>
                <w:rFonts w:ascii="宋体"/>
              </w:rPr>
            </w:pPr>
          </w:p>
        </w:tc>
        <w:tc>
          <w:tcPr>
            <w:tcW w:w="50" w:type="pct"/>
            <w:shd w:val="clear" w:color="auto" w:fill="auto"/>
          </w:tcPr>
          <w:p w14:paraId="20AE0E9B" w14:textId="77777777" w:rsidR="00B626E7" w:rsidRDefault="00B626E7">
            <w:pPr>
              <w:rPr>
                <w:rFonts w:ascii="宋体"/>
              </w:rPr>
            </w:pPr>
          </w:p>
        </w:tc>
      </w:tr>
      <w:tr w:rsidR="00B626E7" w14:paraId="20AE0E9F" w14:textId="77777777">
        <w:tc>
          <w:tcPr>
            <w:tcW w:w="0" w:type="auto"/>
            <w:gridSpan w:val="3"/>
            <w:tcBorders>
              <w:bottom w:val="single" w:sz="8" w:space="0" w:color="0071C5"/>
            </w:tcBorders>
            <w:shd w:val="clear" w:color="auto" w:fill="0071C5"/>
            <w:tcMar>
              <w:top w:w="40" w:type="dxa"/>
              <w:left w:w="20" w:type="dxa"/>
              <w:bottom w:w="40" w:type="dxa"/>
              <w:right w:w="20" w:type="dxa"/>
            </w:tcMar>
            <w:vAlign w:val="bottom"/>
          </w:tcPr>
          <w:p w14:paraId="20AE0E9D" w14:textId="77777777" w:rsidR="00B626E7" w:rsidRDefault="00175C1D">
            <w:pPr>
              <w:textAlignment w:val="bottom"/>
            </w:pPr>
            <w:r>
              <w:rPr>
                <w:rFonts w:ascii="Arial" w:eastAsia="宋体" w:hAnsi="Arial" w:cs="Arial"/>
                <w:b/>
                <w:bCs/>
                <w:color w:val="FFFFFF"/>
                <w:sz w:val="28"/>
                <w:szCs w:val="28"/>
              </w:rPr>
              <w:t xml:space="preserve">NOTE 5 : </w:t>
            </w:r>
          </w:p>
        </w:tc>
        <w:tc>
          <w:tcPr>
            <w:tcW w:w="0" w:type="auto"/>
            <w:gridSpan w:val="3"/>
            <w:tcBorders>
              <w:bottom w:val="single" w:sz="8" w:space="0" w:color="0071C5"/>
            </w:tcBorders>
            <w:shd w:val="clear" w:color="auto" w:fill="auto"/>
            <w:tcMar>
              <w:top w:w="40" w:type="dxa"/>
              <w:left w:w="20" w:type="dxa"/>
              <w:bottom w:w="40" w:type="dxa"/>
              <w:right w:w="20" w:type="dxa"/>
            </w:tcMar>
            <w:vAlign w:val="bottom"/>
          </w:tcPr>
          <w:p w14:paraId="20AE0E9E" w14:textId="77777777" w:rsidR="00B626E7" w:rsidRDefault="00175C1D">
            <w:pPr>
              <w:textAlignment w:val="bottom"/>
            </w:pPr>
            <w:r>
              <w:rPr>
                <w:rFonts w:ascii="Arial" w:eastAsia="宋体" w:hAnsi="Arial" w:cs="Arial"/>
                <w:b/>
                <w:bCs/>
                <w:color w:val="0071C5"/>
                <w:sz w:val="28"/>
                <w:szCs w:val="28"/>
              </w:rPr>
              <w:t>OTHER FINANCIAL STATEMENT DETAILS</w:t>
            </w:r>
          </w:p>
        </w:tc>
      </w:tr>
    </w:tbl>
    <w:p w14:paraId="20AE0EA0" w14:textId="77777777" w:rsidR="00B626E7" w:rsidRDefault="00175C1D">
      <w:pPr>
        <w:spacing w:before="300" w:after="180"/>
      </w:pPr>
      <w:r>
        <w:rPr>
          <w:rFonts w:ascii="Arial" w:eastAsia="宋体" w:hAnsi="Arial" w:cs="Arial"/>
          <w:b/>
          <w:bCs/>
          <w:color w:val="0071C5"/>
        </w:rPr>
        <w:t>INVENTORIES</w:t>
      </w:r>
    </w:p>
    <w:tbl>
      <w:tblPr>
        <w:tblW w:w="5000" w:type="pct"/>
        <w:tblCellMar>
          <w:top w:w="15" w:type="dxa"/>
          <w:left w:w="15" w:type="dxa"/>
          <w:bottom w:w="15" w:type="dxa"/>
          <w:right w:w="15" w:type="dxa"/>
        </w:tblCellMar>
        <w:tblLook w:val="04A0" w:firstRow="1" w:lastRow="0" w:firstColumn="1" w:lastColumn="0" w:noHBand="0" w:noVBand="1"/>
      </w:tblPr>
      <w:tblGrid>
        <w:gridCol w:w="51"/>
        <w:gridCol w:w="6043"/>
        <w:gridCol w:w="51"/>
        <w:gridCol w:w="36"/>
        <w:gridCol w:w="36"/>
        <w:gridCol w:w="36"/>
        <w:gridCol w:w="136"/>
        <w:gridCol w:w="765"/>
        <w:gridCol w:w="86"/>
        <w:gridCol w:w="36"/>
        <w:gridCol w:w="36"/>
        <w:gridCol w:w="36"/>
        <w:gridCol w:w="136"/>
        <w:gridCol w:w="766"/>
        <w:gridCol w:w="86"/>
      </w:tblGrid>
      <w:tr w:rsidR="00B626E7" w14:paraId="20AE0EB0" w14:textId="77777777">
        <w:tc>
          <w:tcPr>
            <w:tcW w:w="50" w:type="pct"/>
            <w:shd w:val="clear" w:color="auto" w:fill="auto"/>
          </w:tcPr>
          <w:p w14:paraId="20AE0EA1" w14:textId="77777777" w:rsidR="00B626E7" w:rsidRDefault="00B626E7">
            <w:pPr>
              <w:rPr>
                <w:rFonts w:ascii="宋体"/>
              </w:rPr>
            </w:pPr>
          </w:p>
        </w:tc>
        <w:tc>
          <w:tcPr>
            <w:tcW w:w="3643" w:type="pct"/>
            <w:shd w:val="clear" w:color="auto" w:fill="auto"/>
          </w:tcPr>
          <w:p w14:paraId="20AE0EA2" w14:textId="77777777" w:rsidR="00B626E7" w:rsidRDefault="00B626E7">
            <w:pPr>
              <w:rPr>
                <w:rFonts w:ascii="宋体"/>
              </w:rPr>
            </w:pPr>
          </w:p>
        </w:tc>
        <w:tc>
          <w:tcPr>
            <w:tcW w:w="50" w:type="pct"/>
            <w:shd w:val="clear" w:color="auto" w:fill="auto"/>
          </w:tcPr>
          <w:p w14:paraId="20AE0EA3" w14:textId="77777777" w:rsidR="00B626E7" w:rsidRDefault="00B626E7">
            <w:pPr>
              <w:rPr>
                <w:rFonts w:ascii="宋体"/>
              </w:rPr>
            </w:pPr>
          </w:p>
        </w:tc>
        <w:tc>
          <w:tcPr>
            <w:tcW w:w="5" w:type="pct"/>
            <w:shd w:val="clear" w:color="auto" w:fill="auto"/>
          </w:tcPr>
          <w:p w14:paraId="20AE0EA4" w14:textId="77777777" w:rsidR="00B626E7" w:rsidRDefault="00B626E7">
            <w:pPr>
              <w:rPr>
                <w:rFonts w:ascii="宋体"/>
              </w:rPr>
            </w:pPr>
          </w:p>
        </w:tc>
        <w:tc>
          <w:tcPr>
            <w:tcW w:w="24" w:type="pct"/>
            <w:shd w:val="clear" w:color="auto" w:fill="auto"/>
          </w:tcPr>
          <w:p w14:paraId="20AE0EA5" w14:textId="77777777" w:rsidR="00B626E7" w:rsidRDefault="00B626E7">
            <w:pPr>
              <w:rPr>
                <w:rFonts w:ascii="宋体"/>
              </w:rPr>
            </w:pPr>
          </w:p>
        </w:tc>
        <w:tc>
          <w:tcPr>
            <w:tcW w:w="5" w:type="pct"/>
            <w:shd w:val="clear" w:color="auto" w:fill="auto"/>
          </w:tcPr>
          <w:p w14:paraId="20AE0EA6" w14:textId="77777777" w:rsidR="00B626E7" w:rsidRDefault="00B626E7">
            <w:pPr>
              <w:rPr>
                <w:rFonts w:ascii="宋体"/>
              </w:rPr>
            </w:pPr>
          </w:p>
        </w:tc>
        <w:tc>
          <w:tcPr>
            <w:tcW w:w="50" w:type="pct"/>
            <w:shd w:val="clear" w:color="auto" w:fill="auto"/>
          </w:tcPr>
          <w:p w14:paraId="20AE0EA7" w14:textId="77777777" w:rsidR="00B626E7" w:rsidRDefault="00B626E7">
            <w:pPr>
              <w:rPr>
                <w:rFonts w:ascii="宋体"/>
              </w:rPr>
            </w:pPr>
          </w:p>
        </w:tc>
        <w:tc>
          <w:tcPr>
            <w:tcW w:w="494" w:type="pct"/>
            <w:shd w:val="clear" w:color="auto" w:fill="auto"/>
          </w:tcPr>
          <w:p w14:paraId="20AE0EA8" w14:textId="77777777" w:rsidR="00B626E7" w:rsidRDefault="00B626E7">
            <w:pPr>
              <w:rPr>
                <w:rFonts w:ascii="宋体"/>
              </w:rPr>
            </w:pPr>
          </w:p>
        </w:tc>
        <w:tc>
          <w:tcPr>
            <w:tcW w:w="50" w:type="pct"/>
            <w:shd w:val="clear" w:color="auto" w:fill="auto"/>
          </w:tcPr>
          <w:p w14:paraId="20AE0EA9" w14:textId="77777777" w:rsidR="00B626E7" w:rsidRDefault="00B626E7">
            <w:pPr>
              <w:rPr>
                <w:rFonts w:ascii="宋体"/>
              </w:rPr>
            </w:pPr>
          </w:p>
        </w:tc>
        <w:tc>
          <w:tcPr>
            <w:tcW w:w="5" w:type="pct"/>
            <w:shd w:val="clear" w:color="auto" w:fill="auto"/>
          </w:tcPr>
          <w:p w14:paraId="20AE0EAA" w14:textId="77777777" w:rsidR="00B626E7" w:rsidRDefault="00B626E7">
            <w:pPr>
              <w:rPr>
                <w:rFonts w:ascii="宋体"/>
              </w:rPr>
            </w:pPr>
          </w:p>
        </w:tc>
        <w:tc>
          <w:tcPr>
            <w:tcW w:w="24" w:type="pct"/>
            <w:shd w:val="clear" w:color="auto" w:fill="auto"/>
          </w:tcPr>
          <w:p w14:paraId="20AE0EAB" w14:textId="77777777" w:rsidR="00B626E7" w:rsidRDefault="00B626E7">
            <w:pPr>
              <w:rPr>
                <w:rFonts w:ascii="宋体"/>
              </w:rPr>
            </w:pPr>
          </w:p>
        </w:tc>
        <w:tc>
          <w:tcPr>
            <w:tcW w:w="5" w:type="pct"/>
            <w:shd w:val="clear" w:color="auto" w:fill="auto"/>
          </w:tcPr>
          <w:p w14:paraId="20AE0EAC" w14:textId="77777777" w:rsidR="00B626E7" w:rsidRDefault="00B626E7">
            <w:pPr>
              <w:rPr>
                <w:rFonts w:ascii="宋体"/>
              </w:rPr>
            </w:pPr>
          </w:p>
        </w:tc>
        <w:tc>
          <w:tcPr>
            <w:tcW w:w="50" w:type="pct"/>
            <w:shd w:val="clear" w:color="auto" w:fill="auto"/>
          </w:tcPr>
          <w:p w14:paraId="20AE0EAD" w14:textId="77777777" w:rsidR="00B626E7" w:rsidRDefault="00B626E7">
            <w:pPr>
              <w:rPr>
                <w:rFonts w:ascii="宋体"/>
              </w:rPr>
            </w:pPr>
          </w:p>
        </w:tc>
        <w:tc>
          <w:tcPr>
            <w:tcW w:w="494" w:type="pct"/>
            <w:shd w:val="clear" w:color="auto" w:fill="auto"/>
          </w:tcPr>
          <w:p w14:paraId="20AE0EAE" w14:textId="77777777" w:rsidR="00B626E7" w:rsidRDefault="00B626E7">
            <w:pPr>
              <w:rPr>
                <w:rFonts w:ascii="宋体"/>
              </w:rPr>
            </w:pPr>
          </w:p>
        </w:tc>
        <w:tc>
          <w:tcPr>
            <w:tcW w:w="50" w:type="pct"/>
            <w:shd w:val="clear" w:color="auto" w:fill="auto"/>
          </w:tcPr>
          <w:p w14:paraId="20AE0EAF" w14:textId="77777777" w:rsidR="00B626E7" w:rsidRDefault="00B626E7">
            <w:pPr>
              <w:rPr>
                <w:rFonts w:ascii="宋体"/>
              </w:rPr>
            </w:pPr>
          </w:p>
        </w:tc>
      </w:tr>
      <w:tr w:rsidR="00B626E7" w14:paraId="20AE0EB6" w14:textId="77777777">
        <w:tc>
          <w:tcPr>
            <w:tcW w:w="0" w:type="auto"/>
            <w:gridSpan w:val="3"/>
            <w:shd w:val="clear" w:color="auto" w:fill="auto"/>
            <w:tcMar>
              <w:top w:w="40" w:type="dxa"/>
              <w:left w:w="20" w:type="dxa"/>
              <w:bottom w:w="40" w:type="dxa"/>
              <w:right w:w="20" w:type="dxa"/>
            </w:tcMar>
            <w:vAlign w:val="bottom"/>
          </w:tcPr>
          <w:p w14:paraId="20AE0EB1" w14:textId="77777777" w:rsidR="00B626E7" w:rsidRDefault="00175C1D">
            <w:pPr>
              <w:ind w:hanging="180"/>
              <w:textAlignment w:val="bottom"/>
            </w:pPr>
            <w:r>
              <w:rPr>
                <w:rFonts w:ascii="Arial" w:eastAsia="宋体" w:hAnsi="Arial" w:cs="Arial"/>
                <w:b/>
                <w:bCs/>
                <w:color w:val="333333"/>
                <w:sz w:val="18"/>
                <w:szCs w:val="18"/>
              </w:rPr>
              <w:t xml:space="preserve">(In </w:t>
            </w:r>
            <w:r>
              <w:rPr>
                <w:rFonts w:ascii="Arial" w:eastAsia="宋体" w:hAnsi="Arial" w:cs="Arial"/>
                <w:b/>
                <w:bCs/>
                <w:color w:val="333333"/>
                <w:sz w:val="18"/>
                <w:szCs w:val="18"/>
              </w:rPr>
              <w:t>Millions)</w:t>
            </w:r>
          </w:p>
        </w:tc>
        <w:tc>
          <w:tcPr>
            <w:tcW w:w="0" w:type="auto"/>
            <w:gridSpan w:val="3"/>
            <w:shd w:val="clear" w:color="auto" w:fill="auto"/>
            <w:tcMar>
              <w:left w:w="20" w:type="dxa"/>
              <w:right w:w="20" w:type="dxa"/>
            </w:tcMar>
            <w:vAlign w:val="bottom"/>
          </w:tcPr>
          <w:p w14:paraId="20AE0EB2"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bottom"/>
          </w:tcPr>
          <w:p w14:paraId="20AE0EB3" w14:textId="77777777" w:rsidR="00B626E7" w:rsidRDefault="00175C1D">
            <w:pPr>
              <w:jc w:val="center"/>
              <w:textAlignment w:val="bottom"/>
            </w:pPr>
            <w:r>
              <w:rPr>
                <w:rFonts w:ascii="Arial" w:eastAsia="宋体" w:hAnsi="Arial" w:cs="Arial"/>
                <w:b/>
                <w:bCs/>
                <w:color w:val="333333"/>
                <w:sz w:val="18"/>
                <w:szCs w:val="18"/>
              </w:rPr>
              <w:t>Jun 27, 2020</w:t>
            </w:r>
          </w:p>
        </w:tc>
        <w:tc>
          <w:tcPr>
            <w:tcW w:w="0" w:type="auto"/>
            <w:gridSpan w:val="3"/>
            <w:shd w:val="clear" w:color="auto" w:fill="auto"/>
            <w:tcMar>
              <w:left w:w="20" w:type="dxa"/>
              <w:right w:w="20" w:type="dxa"/>
            </w:tcMar>
            <w:vAlign w:val="bottom"/>
          </w:tcPr>
          <w:p w14:paraId="20AE0EB4"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bottom"/>
          </w:tcPr>
          <w:p w14:paraId="20AE0EB5" w14:textId="77777777" w:rsidR="00B626E7" w:rsidRDefault="00175C1D">
            <w:pPr>
              <w:jc w:val="center"/>
              <w:textAlignment w:val="bottom"/>
            </w:pPr>
            <w:r>
              <w:rPr>
                <w:rFonts w:ascii="Arial" w:eastAsia="宋体" w:hAnsi="Arial" w:cs="Arial"/>
                <w:b/>
                <w:bCs/>
                <w:color w:val="333333"/>
                <w:sz w:val="18"/>
                <w:szCs w:val="18"/>
              </w:rPr>
              <w:t>Dec 28, 2019</w:t>
            </w:r>
          </w:p>
        </w:tc>
      </w:tr>
      <w:tr w:rsidR="00B626E7" w14:paraId="20AE0EC0" w14:textId="77777777">
        <w:tc>
          <w:tcPr>
            <w:tcW w:w="0" w:type="auto"/>
            <w:gridSpan w:val="3"/>
            <w:tcBorders>
              <w:top w:val="single" w:sz="8" w:space="0" w:color="0071C5"/>
            </w:tcBorders>
            <w:shd w:val="clear" w:color="auto" w:fill="auto"/>
            <w:tcMar>
              <w:top w:w="40" w:type="dxa"/>
              <w:left w:w="20" w:type="dxa"/>
              <w:bottom w:w="40" w:type="dxa"/>
              <w:right w:w="20" w:type="dxa"/>
            </w:tcMar>
          </w:tcPr>
          <w:p w14:paraId="20AE0EB7" w14:textId="77777777" w:rsidR="00B626E7" w:rsidRDefault="00175C1D">
            <w:pPr>
              <w:ind w:hanging="180"/>
              <w:textAlignment w:val="top"/>
            </w:pPr>
            <w:r>
              <w:rPr>
                <w:rFonts w:ascii="Arial" w:eastAsia="宋体" w:hAnsi="Arial" w:cs="Arial"/>
                <w:color w:val="333333"/>
                <w:sz w:val="18"/>
                <w:szCs w:val="18"/>
              </w:rPr>
              <w:t>Raw materials</w:t>
            </w:r>
          </w:p>
        </w:tc>
        <w:tc>
          <w:tcPr>
            <w:tcW w:w="0" w:type="auto"/>
            <w:gridSpan w:val="3"/>
            <w:shd w:val="clear" w:color="auto" w:fill="auto"/>
            <w:tcMar>
              <w:left w:w="20" w:type="dxa"/>
              <w:right w:w="20" w:type="dxa"/>
            </w:tcMar>
            <w:vAlign w:val="bottom"/>
          </w:tcPr>
          <w:p w14:paraId="20AE0EB8"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0EB9" w14:textId="77777777" w:rsidR="00B626E7" w:rsidRDefault="00175C1D">
            <w:pPr>
              <w:textAlignment w:val="bottom"/>
            </w:pPr>
            <w:r>
              <w:rPr>
                <w:rFonts w:ascii="Arial" w:eastAsia="宋体" w:hAnsi="Arial" w:cs="Arial"/>
                <w:color w:val="026DCE"/>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0EBA" w14:textId="77777777" w:rsidR="00B626E7" w:rsidRDefault="00175C1D">
            <w:pPr>
              <w:jc w:val="right"/>
              <w:textAlignment w:val="bottom"/>
            </w:pPr>
            <w:r>
              <w:rPr>
                <w:rFonts w:ascii="Arial" w:eastAsia="宋体" w:hAnsi="Arial" w:cs="Arial"/>
                <w:color w:val="026DCE"/>
                <w:sz w:val="18"/>
                <w:szCs w:val="18"/>
              </w:rPr>
              <w:t>903 </w:t>
            </w:r>
          </w:p>
        </w:tc>
        <w:tc>
          <w:tcPr>
            <w:tcW w:w="0" w:type="auto"/>
            <w:tcBorders>
              <w:top w:val="single" w:sz="8" w:space="0" w:color="0071C5"/>
            </w:tcBorders>
            <w:shd w:val="clear" w:color="auto" w:fill="auto"/>
            <w:tcMar>
              <w:top w:w="40" w:type="dxa"/>
              <w:bottom w:w="40" w:type="dxa"/>
              <w:right w:w="20" w:type="dxa"/>
            </w:tcMar>
            <w:vAlign w:val="bottom"/>
          </w:tcPr>
          <w:p w14:paraId="20AE0EBB"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0EBC"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0EBD" w14:textId="77777777" w:rsidR="00B626E7" w:rsidRDefault="00175C1D">
            <w:pPr>
              <w:textAlignment w:val="bottom"/>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0EBE" w14:textId="77777777" w:rsidR="00B626E7" w:rsidRDefault="00175C1D">
            <w:pPr>
              <w:jc w:val="right"/>
              <w:textAlignment w:val="bottom"/>
            </w:pPr>
            <w:r>
              <w:rPr>
                <w:rFonts w:ascii="Arial" w:eastAsia="宋体" w:hAnsi="Arial" w:cs="Arial"/>
                <w:color w:val="333333"/>
                <w:sz w:val="18"/>
                <w:szCs w:val="18"/>
              </w:rPr>
              <w:t>840 </w:t>
            </w:r>
          </w:p>
        </w:tc>
        <w:tc>
          <w:tcPr>
            <w:tcW w:w="0" w:type="auto"/>
            <w:tcBorders>
              <w:top w:val="single" w:sz="8" w:space="0" w:color="0071C5"/>
            </w:tcBorders>
            <w:shd w:val="clear" w:color="auto" w:fill="auto"/>
            <w:tcMar>
              <w:top w:w="40" w:type="dxa"/>
              <w:bottom w:w="40" w:type="dxa"/>
              <w:right w:w="20" w:type="dxa"/>
            </w:tcMar>
            <w:vAlign w:val="bottom"/>
          </w:tcPr>
          <w:p w14:paraId="20AE0EBF" w14:textId="77777777" w:rsidR="00B626E7" w:rsidRDefault="00175C1D">
            <w:pPr>
              <w:jc w:val="right"/>
              <w:textAlignment w:val="bottom"/>
            </w:pPr>
            <w:r>
              <w:rPr>
                <w:rFonts w:ascii="Arial" w:eastAsia="宋体" w:hAnsi="Arial" w:cs="Arial"/>
                <w:color w:val="333333"/>
                <w:sz w:val="18"/>
                <w:szCs w:val="18"/>
              </w:rPr>
              <w:t> </w:t>
            </w:r>
          </w:p>
        </w:tc>
      </w:tr>
      <w:tr w:rsidR="00B626E7" w14:paraId="20AE0EC8" w14:textId="77777777">
        <w:tc>
          <w:tcPr>
            <w:tcW w:w="0" w:type="auto"/>
            <w:gridSpan w:val="3"/>
            <w:shd w:val="clear" w:color="auto" w:fill="auto"/>
            <w:tcMar>
              <w:top w:w="40" w:type="dxa"/>
              <w:left w:w="20" w:type="dxa"/>
              <w:bottom w:w="40" w:type="dxa"/>
              <w:right w:w="20" w:type="dxa"/>
            </w:tcMar>
          </w:tcPr>
          <w:p w14:paraId="20AE0EC1" w14:textId="77777777" w:rsidR="00B626E7" w:rsidRDefault="00175C1D">
            <w:pPr>
              <w:ind w:hanging="180"/>
              <w:textAlignment w:val="top"/>
            </w:pPr>
            <w:r>
              <w:rPr>
                <w:rFonts w:ascii="Arial" w:eastAsia="宋体" w:hAnsi="Arial" w:cs="Arial"/>
                <w:color w:val="333333"/>
                <w:sz w:val="18"/>
                <w:szCs w:val="18"/>
              </w:rPr>
              <w:t>Work in process</w:t>
            </w:r>
          </w:p>
        </w:tc>
        <w:tc>
          <w:tcPr>
            <w:tcW w:w="0" w:type="auto"/>
            <w:gridSpan w:val="3"/>
            <w:shd w:val="clear" w:color="auto" w:fill="auto"/>
            <w:tcMar>
              <w:left w:w="20" w:type="dxa"/>
              <w:right w:w="20" w:type="dxa"/>
            </w:tcMar>
            <w:vAlign w:val="bottom"/>
          </w:tcPr>
          <w:p w14:paraId="20AE0EC2"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EC3" w14:textId="77777777" w:rsidR="00B626E7" w:rsidRDefault="00175C1D">
            <w:pPr>
              <w:jc w:val="right"/>
              <w:textAlignment w:val="bottom"/>
            </w:pPr>
            <w:r>
              <w:rPr>
                <w:rFonts w:ascii="Arial" w:eastAsia="宋体" w:hAnsi="Arial" w:cs="Arial"/>
                <w:color w:val="026DCE"/>
                <w:sz w:val="18"/>
                <w:szCs w:val="18"/>
              </w:rPr>
              <w:t>6,093 </w:t>
            </w:r>
          </w:p>
        </w:tc>
        <w:tc>
          <w:tcPr>
            <w:tcW w:w="0" w:type="auto"/>
            <w:shd w:val="clear" w:color="auto" w:fill="auto"/>
            <w:tcMar>
              <w:top w:w="40" w:type="dxa"/>
              <w:bottom w:w="40" w:type="dxa"/>
              <w:right w:w="20" w:type="dxa"/>
            </w:tcMar>
            <w:vAlign w:val="bottom"/>
          </w:tcPr>
          <w:p w14:paraId="20AE0EC4"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0EC5"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EC6" w14:textId="77777777" w:rsidR="00B626E7" w:rsidRDefault="00175C1D">
            <w:pPr>
              <w:jc w:val="right"/>
              <w:textAlignment w:val="bottom"/>
            </w:pPr>
            <w:r>
              <w:rPr>
                <w:rFonts w:ascii="Arial" w:eastAsia="宋体" w:hAnsi="Arial" w:cs="Arial"/>
                <w:color w:val="333333"/>
                <w:sz w:val="18"/>
                <w:szCs w:val="18"/>
              </w:rPr>
              <w:t>6,225 </w:t>
            </w:r>
          </w:p>
        </w:tc>
        <w:tc>
          <w:tcPr>
            <w:tcW w:w="0" w:type="auto"/>
            <w:shd w:val="clear" w:color="auto" w:fill="auto"/>
            <w:tcMar>
              <w:top w:w="40" w:type="dxa"/>
              <w:bottom w:w="40" w:type="dxa"/>
              <w:right w:w="20" w:type="dxa"/>
            </w:tcMar>
            <w:vAlign w:val="bottom"/>
          </w:tcPr>
          <w:p w14:paraId="20AE0EC7" w14:textId="77777777" w:rsidR="00B626E7" w:rsidRDefault="00175C1D">
            <w:pPr>
              <w:jc w:val="right"/>
              <w:textAlignment w:val="bottom"/>
            </w:pPr>
            <w:r>
              <w:rPr>
                <w:rFonts w:ascii="Arial" w:eastAsia="宋体" w:hAnsi="Arial" w:cs="Arial"/>
                <w:color w:val="333333"/>
                <w:sz w:val="18"/>
                <w:szCs w:val="18"/>
              </w:rPr>
              <w:t> </w:t>
            </w:r>
          </w:p>
        </w:tc>
      </w:tr>
      <w:tr w:rsidR="00B626E7" w14:paraId="20AE0ED0" w14:textId="77777777">
        <w:tc>
          <w:tcPr>
            <w:tcW w:w="0" w:type="auto"/>
            <w:gridSpan w:val="3"/>
            <w:shd w:val="clear" w:color="auto" w:fill="auto"/>
            <w:tcMar>
              <w:top w:w="40" w:type="dxa"/>
              <w:left w:w="20" w:type="dxa"/>
              <w:bottom w:w="40" w:type="dxa"/>
              <w:right w:w="20" w:type="dxa"/>
            </w:tcMar>
          </w:tcPr>
          <w:p w14:paraId="20AE0EC9" w14:textId="77777777" w:rsidR="00B626E7" w:rsidRDefault="00175C1D">
            <w:pPr>
              <w:ind w:hanging="180"/>
              <w:textAlignment w:val="top"/>
            </w:pPr>
            <w:r>
              <w:rPr>
                <w:rFonts w:ascii="Arial" w:eastAsia="宋体" w:hAnsi="Arial" w:cs="Arial"/>
                <w:color w:val="333333"/>
                <w:sz w:val="18"/>
                <w:szCs w:val="18"/>
              </w:rPr>
              <w:t>Finished goods</w:t>
            </w:r>
          </w:p>
        </w:tc>
        <w:tc>
          <w:tcPr>
            <w:tcW w:w="0" w:type="auto"/>
            <w:gridSpan w:val="3"/>
            <w:shd w:val="clear" w:color="auto" w:fill="auto"/>
            <w:tcMar>
              <w:left w:w="20" w:type="dxa"/>
              <w:right w:w="20" w:type="dxa"/>
            </w:tcMar>
            <w:vAlign w:val="bottom"/>
          </w:tcPr>
          <w:p w14:paraId="20AE0ECA"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ECB" w14:textId="77777777" w:rsidR="00B626E7" w:rsidRDefault="00175C1D">
            <w:pPr>
              <w:jc w:val="right"/>
              <w:textAlignment w:val="bottom"/>
            </w:pPr>
            <w:r>
              <w:rPr>
                <w:rFonts w:ascii="Arial" w:eastAsia="宋体" w:hAnsi="Arial" w:cs="Arial"/>
                <w:color w:val="026DCE"/>
                <w:sz w:val="18"/>
                <w:szCs w:val="18"/>
              </w:rPr>
              <w:t>1,973 </w:t>
            </w:r>
          </w:p>
        </w:tc>
        <w:tc>
          <w:tcPr>
            <w:tcW w:w="0" w:type="auto"/>
            <w:shd w:val="clear" w:color="auto" w:fill="auto"/>
            <w:tcMar>
              <w:top w:w="40" w:type="dxa"/>
              <w:bottom w:w="40" w:type="dxa"/>
              <w:right w:w="20" w:type="dxa"/>
            </w:tcMar>
            <w:vAlign w:val="bottom"/>
          </w:tcPr>
          <w:p w14:paraId="20AE0ECC"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0ECD"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ECE" w14:textId="77777777" w:rsidR="00B626E7" w:rsidRDefault="00175C1D">
            <w:pPr>
              <w:jc w:val="right"/>
              <w:textAlignment w:val="bottom"/>
            </w:pPr>
            <w:r>
              <w:rPr>
                <w:rFonts w:ascii="Arial" w:eastAsia="宋体" w:hAnsi="Arial" w:cs="Arial"/>
                <w:color w:val="333333"/>
                <w:sz w:val="18"/>
                <w:szCs w:val="18"/>
              </w:rPr>
              <w:t>1,679 </w:t>
            </w:r>
          </w:p>
        </w:tc>
        <w:tc>
          <w:tcPr>
            <w:tcW w:w="0" w:type="auto"/>
            <w:shd w:val="clear" w:color="auto" w:fill="auto"/>
            <w:tcMar>
              <w:top w:w="40" w:type="dxa"/>
              <w:bottom w:w="40" w:type="dxa"/>
              <w:right w:w="20" w:type="dxa"/>
            </w:tcMar>
            <w:vAlign w:val="bottom"/>
          </w:tcPr>
          <w:p w14:paraId="20AE0ECF" w14:textId="77777777" w:rsidR="00B626E7" w:rsidRDefault="00175C1D">
            <w:pPr>
              <w:jc w:val="right"/>
              <w:textAlignment w:val="bottom"/>
            </w:pPr>
            <w:r>
              <w:rPr>
                <w:rFonts w:ascii="Arial" w:eastAsia="宋体" w:hAnsi="Arial" w:cs="Arial"/>
                <w:color w:val="333333"/>
                <w:sz w:val="18"/>
                <w:szCs w:val="18"/>
              </w:rPr>
              <w:t> </w:t>
            </w:r>
          </w:p>
        </w:tc>
      </w:tr>
      <w:tr w:rsidR="00B626E7" w14:paraId="20AE0EDA" w14:textId="77777777">
        <w:tc>
          <w:tcPr>
            <w:tcW w:w="0" w:type="auto"/>
            <w:gridSpan w:val="3"/>
            <w:shd w:val="clear" w:color="auto" w:fill="auto"/>
            <w:tcMar>
              <w:top w:w="40" w:type="dxa"/>
              <w:left w:w="20" w:type="dxa"/>
              <w:bottom w:w="40" w:type="dxa"/>
              <w:right w:w="20" w:type="dxa"/>
            </w:tcMar>
          </w:tcPr>
          <w:p w14:paraId="20AE0ED1" w14:textId="77777777" w:rsidR="00B626E7" w:rsidRDefault="00175C1D">
            <w:pPr>
              <w:ind w:hanging="180"/>
              <w:textAlignment w:val="top"/>
            </w:pPr>
            <w:r>
              <w:rPr>
                <w:rFonts w:ascii="Arial" w:eastAsia="宋体" w:hAnsi="Arial" w:cs="Arial"/>
                <w:b/>
                <w:bCs/>
                <w:color w:val="333333"/>
                <w:sz w:val="18"/>
                <w:szCs w:val="18"/>
              </w:rPr>
              <w:t>Total inventories</w:t>
            </w:r>
          </w:p>
        </w:tc>
        <w:tc>
          <w:tcPr>
            <w:tcW w:w="0" w:type="auto"/>
            <w:gridSpan w:val="3"/>
            <w:shd w:val="clear" w:color="auto" w:fill="auto"/>
            <w:tcMar>
              <w:left w:w="20" w:type="dxa"/>
              <w:right w:w="20" w:type="dxa"/>
            </w:tcMar>
            <w:vAlign w:val="bottom"/>
          </w:tcPr>
          <w:p w14:paraId="20AE0ED2"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0ED3" w14:textId="77777777" w:rsidR="00B626E7" w:rsidRDefault="00175C1D">
            <w:pPr>
              <w:textAlignment w:val="bottom"/>
            </w:pPr>
            <w:r>
              <w:rPr>
                <w:rFonts w:ascii="Arial" w:eastAsia="宋体" w:hAnsi="Arial" w:cs="Arial"/>
                <w:b/>
                <w:bCs/>
                <w:color w:val="026DCE"/>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0ED4" w14:textId="77777777" w:rsidR="00B626E7" w:rsidRDefault="00175C1D">
            <w:pPr>
              <w:jc w:val="right"/>
              <w:textAlignment w:val="bottom"/>
            </w:pPr>
            <w:r>
              <w:rPr>
                <w:rFonts w:ascii="Arial" w:eastAsia="宋体" w:hAnsi="Arial" w:cs="Arial"/>
                <w:b/>
                <w:bCs/>
                <w:color w:val="026DCE"/>
                <w:sz w:val="18"/>
                <w:szCs w:val="18"/>
              </w:rPr>
              <w:t>8,969 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0ED5"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0ED6"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0ED7"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0ED8" w14:textId="77777777" w:rsidR="00B626E7" w:rsidRDefault="00175C1D">
            <w:pPr>
              <w:jc w:val="right"/>
              <w:textAlignment w:val="bottom"/>
            </w:pPr>
            <w:r>
              <w:rPr>
                <w:rFonts w:ascii="Arial" w:eastAsia="宋体" w:hAnsi="Arial" w:cs="Arial"/>
                <w:b/>
                <w:bCs/>
                <w:color w:val="333333"/>
                <w:sz w:val="18"/>
                <w:szCs w:val="18"/>
              </w:rPr>
              <w:t>8,744 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0ED9" w14:textId="77777777" w:rsidR="00B626E7" w:rsidRDefault="00175C1D">
            <w:pPr>
              <w:jc w:val="right"/>
              <w:textAlignment w:val="bottom"/>
            </w:pPr>
            <w:r>
              <w:rPr>
                <w:rFonts w:ascii="Arial" w:eastAsia="宋体" w:hAnsi="Arial" w:cs="Arial"/>
                <w:b/>
                <w:bCs/>
                <w:color w:val="333333"/>
                <w:sz w:val="18"/>
                <w:szCs w:val="18"/>
              </w:rPr>
              <w:t> </w:t>
            </w:r>
          </w:p>
        </w:tc>
      </w:tr>
    </w:tbl>
    <w:p w14:paraId="20AE0EDB" w14:textId="77777777" w:rsidR="00B626E7" w:rsidRDefault="00175C1D">
      <w:pPr>
        <w:spacing w:before="300" w:after="180"/>
      </w:pPr>
      <w:r>
        <w:rPr>
          <w:rFonts w:ascii="Arial" w:eastAsia="宋体" w:hAnsi="Arial" w:cs="Arial"/>
          <w:b/>
          <w:bCs/>
          <w:color w:val="0071C5"/>
        </w:rPr>
        <w:t>INTEREST AND OTHER, NET</w:t>
      </w:r>
    </w:p>
    <w:p w14:paraId="20AE0EDC" w14:textId="77777777" w:rsidR="00B626E7" w:rsidRDefault="00175C1D">
      <w:pPr>
        <w:spacing w:after="120"/>
      </w:pPr>
      <w:r>
        <w:rPr>
          <w:rFonts w:ascii="Arial" w:eastAsia="宋体" w:hAnsi="Arial" w:cs="Arial"/>
          <w:color w:val="333333"/>
          <w:sz w:val="18"/>
          <w:szCs w:val="18"/>
        </w:rPr>
        <w:t xml:space="preserve">The components of interest and </w:t>
      </w:r>
      <w:r>
        <w:rPr>
          <w:rFonts w:ascii="Arial" w:eastAsia="宋体" w:hAnsi="Arial" w:cs="Arial"/>
          <w:color w:val="333333"/>
          <w:sz w:val="18"/>
          <w:szCs w:val="18"/>
        </w:rPr>
        <w:t>other, net for each period were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3726"/>
        <w:gridCol w:w="36"/>
        <w:gridCol w:w="36"/>
        <w:gridCol w:w="36"/>
        <w:gridCol w:w="36"/>
        <w:gridCol w:w="136"/>
        <w:gridCol w:w="694"/>
        <w:gridCol w:w="86"/>
        <w:gridCol w:w="36"/>
        <w:gridCol w:w="36"/>
        <w:gridCol w:w="36"/>
        <w:gridCol w:w="136"/>
        <w:gridCol w:w="696"/>
        <w:gridCol w:w="86"/>
        <w:gridCol w:w="36"/>
        <w:gridCol w:w="36"/>
        <w:gridCol w:w="36"/>
        <w:gridCol w:w="136"/>
        <w:gridCol w:w="697"/>
        <w:gridCol w:w="86"/>
        <w:gridCol w:w="36"/>
        <w:gridCol w:w="36"/>
        <w:gridCol w:w="36"/>
        <w:gridCol w:w="136"/>
        <w:gridCol w:w="698"/>
        <w:gridCol w:w="86"/>
        <w:gridCol w:w="36"/>
        <w:gridCol w:w="36"/>
        <w:gridCol w:w="36"/>
        <w:gridCol w:w="36"/>
        <w:gridCol w:w="36"/>
        <w:gridCol w:w="36"/>
        <w:gridCol w:w="36"/>
        <w:gridCol w:w="36"/>
        <w:gridCol w:w="36"/>
        <w:gridCol w:w="36"/>
        <w:gridCol w:w="36"/>
        <w:gridCol w:w="36"/>
      </w:tblGrid>
      <w:tr w:rsidR="00B626E7" w14:paraId="20AE0EF8" w14:textId="77777777">
        <w:trPr>
          <w:gridAfter w:val="12"/>
        </w:trPr>
        <w:tc>
          <w:tcPr>
            <w:tcW w:w="50" w:type="pct"/>
            <w:shd w:val="clear" w:color="auto" w:fill="auto"/>
          </w:tcPr>
          <w:p w14:paraId="20AE0EDD" w14:textId="77777777" w:rsidR="00B626E7" w:rsidRDefault="00B626E7">
            <w:pPr>
              <w:rPr>
                <w:rFonts w:ascii="宋体"/>
              </w:rPr>
            </w:pPr>
          </w:p>
        </w:tc>
        <w:tc>
          <w:tcPr>
            <w:tcW w:w="2386" w:type="pct"/>
            <w:shd w:val="clear" w:color="auto" w:fill="auto"/>
          </w:tcPr>
          <w:p w14:paraId="20AE0EDE" w14:textId="77777777" w:rsidR="00B626E7" w:rsidRDefault="00B626E7">
            <w:pPr>
              <w:rPr>
                <w:rFonts w:ascii="宋体"/>
              </w:rPr>
            </w:pPr>
          </w:p>
        </w:tc>
        <w:tc>
          <w:tcPr>
            <w:tcW w:w="50" w:type="pct"/>
            <w:shd w:val="clear" w:color="auto" w:fill="auto"/>
          </w:tcPr>
          <w:p w14:paraId="20AE0EDF" w14:textId="77777777" w:rsidR="00B626E7" w:rsidRDefault="00B626E7">
            <w:pPr>
              <w:rPr>
                <w:rFonts w:ascii="宋体"/>
              </w:rPr>
            </w:pPr>
          </w:p>
        </w:tc>
        <w:tc>
          <w:tcPr>
            <w:tcW w:w="5" w:type="pct"/>
            <w:shd w:val="clear" w:color="auto" w:fill="auto"/>
          </w:tcPr>
          <w:p w14:paraId="20AE0EE0" w14:textId="77777777" w:rsidR="00B626E7" w:rsidRDefault="00B626E7">
            <w:pPr>
              <w:rPr>
                <w:rFonts w:ascii="宋体"/>
              </w:rPr>
            </w:pPr>
          </w:p>
        </w:tc>
        <w:tc>
          <w:tcPr>
            <w:tcW w:w="24" w:type="pct"/>
            <w:shd w:val="clear" w:color="auto" w:fill="auto"/>
          </w:tcPr>
          <w:p w14:paraId="20AE0EE1" w14:textId="77777777" w:rsidR="00B626E7" w:rsidRDefault="00B626E7">
            <w:pPr>
              <w:rPr>
                <w:rFonts w:ascii="宋体"/>
              </w:rPr>
            </w:pPr>
          </w:p>
        </w:tc>
        <w:tc>
          <w:tcPr>
            <w:tcW w:w="5" w:type="pct"/>
            <w:shd w:val="clear" w:color="auto" w:fill="auto"/>
          </w:tcPr>
          <w:p w14:paraId="20AE0EE2" w14:textId="77777777" w:rsidR="00B626E7" w:rsidRDefault="00B626E7">
            <w:pPr>
              <w:rPr>
                <w:rFonts w:ascii="宋体"/>
              </w:rPr>
            </w:pPr>
          </w:p>
        </w:tc>
        <w:tc>
          <w:tcPr>
            <w:tcW w:w="50" w:type="pct"/>
            <w:shd w:val="clear" w:color="auto" w:fill="auto"/>
          </w:tcPr>
          <w:p w14:paraId="20AE0EE3" w14:textId="77777777" w:rsidR="00B626E7" w:rsidRDefault="00B626E7">
            <w:pPr>
              <w:rPr>
                <w:rFonts w:ascii="宋体"/>
              </w:rPr>
            </w:pPr>
          </w:p>
        </w:tc>
        <w:tc>
          <w:tcPr>
            <w:tcW w:w="494" w:type="pct"/>
            <w:shd w:val="clear" w:color="auto" w:fill="auto"/>
          </w:tcPr>
          <w:p w14:paraId="20AE0EE4" w14:textId="77777777" w:rsidR="00B626E7" w:rsidRDefault="00B626E7">
            <w:pPr>
              <w:rPr>
                <w:rFonts w:ascii="宋体"/>
              </w:rPr>
            </w:pPr>
          </w:p>
        </w:tc>
        <w:tc>
          <w:tcPr>
            <w:tcW w:w="50" w:type="pct"/>
            <w:shd w:val="clear" w:color="auto" w:fill="auto"/>
          </w:tcPr>
          <w:p w14:paraId="20AE0EE5" w14:textId="77777777" w:rsidR="00B626E7" w:rsidRDefault="00B626E7">
            <w:pPr>
              <w:rPr>
                <w:rFonts w:ascii="宋体"/>
              </w:rPr>
            </w:pPr>
          </w:p>
        </w:tc>
        <w:tc>
          <w:tcPr>
            <w:tcW w:w="5" w:type="pct"/>
            <w:shd w:val="clear" w:color="auto" w:fill="auto"/>
          </w:tcPr>
          <w:p w14:paraId="20AE0EE6" w14:textId="77777777" w:rsidR="00B626E7" w:rsidRDefault="00B626E7">
            <w:pPr>
              <w:rPr>
                <w:rFonts w:ascii="宋体"/>
              </w:rPr>
            </w:pPr>
          </w:p>
        </w:tc>
        <w:tc>
          <w:tcPr>
            <w:tcW w:w="24" w:type="pct"/>
            <w:shd w:val="clear" w:color="auto" w:fill="auto"/>
          </w:tcPr>
          <w:p w14:paraId="20AE0EE7" w14:textId="77777777" w:rsidR="00B626E7" w:rsidRDefault="00B626E7">
            <w:pPr>
              <w:rPr>
                <w:rFonts w:ascii="宋体"/>
              </w:rPr>
            </w:pPr>
          </w:p>
        </w:tc>
        <w:tc>
          <w:tcPr>
            <w:tcW w:w="5" w:type="pct"/>
            <w:shd w:val="clear" w:color="auto" w:fill="auto"/>
          </w:tcPr>
          <w:p w14:paraId="20AE0EE8" w14:textId="77777777" w:rsidR="00B626E7" w:rsidRDefault="00B626E7">
            <w:pPr>
              <w:rPr>
                <w:rFonts w:ascii="宋体"/>
              </w:rPr>
            </w:pPr>
          </w:p>
        </w:tc>
        <w:tc>
          <w:tcPr>
            <w:tcW w:w="50" w:type="pct"/>
            <w:shd w:val="clear" w:color="auto" w:fill="auto"/>
          </w:tcPr>
          <w:p w14:paraId="20AE0EE9" w14:textId="77777777" w:rsidR="00B626E7" w:rsidRDefault="00B626E7">
            <w:pPr>
              <w:rPr>
                <w:rFonts w:ascii="宋体"/>
              </w:rPr>
            </w:pPr>
          </w:p>
        </w:tc>
        <w:tc>
          <w:tcPr>
            <w:tcW w:w="494" w:type="pct"/>
            <w:shd w:val="clear" w:color="auto" w:fill="auto"/>
          </w:tcPr>
          <w:p w14:paraId="20AE0EEA" w14:textId="77777777" w:rsidR="00B626E7" w:rsidRDefault="00B626E7">
            <w:pPr>
              <w:rPr>
                <w:rFonts w:ascii="宋体"/>
              </w:rPr>
            </w:pPr>
          </w:p>
        </w:tc>
        <w:tc>
          <w:tcPr>
            <w:tcW w:w="50" w:type="pct"/>
            <w:shd w:val="clear" w:color="auto" w:fill="auto"/>
          </w:tcPr>
          <w:p w14:paraId="20AE0EEB" w14:textId="77777777" w:rsidR="00B626E7" w:rsidRDefault="00B626E7">
            <w:pPr>
              <w:rPr>
                <w:rFonts w:ascii="宋体"/>
              </w:rPr>
            </w:pPr>
          </w:p>
        </w:tc>
        <w:tc>
          <w:tcPr>
            <w:tcW w:w="5" w:type="pct"/>
            <w:shd w:val="clear" w:color="auto" w:fill="auto"/>
          </w:tcPr>
          <w:p w14:paraId="20AE0EEC" w14:textId="77777777" w:rsidR="00B626E7" w:rsidRDefault="00B626E7">
            <w:pPr>
              <w:rPr>
                <w:rFonts w:ascii="宋体"/>
              </w:rPr>
            </w:pPr>
          </w:p>
        </w:tc>
        <w:tc>
          <w:tcPr>
            <w:tcW w:w="24" w:type="pct"/>
            <w:shd w:val="clear" w:color="auto" w:fill="auto"/>
          </w:tcPr>
          <w:p w14:paraId="20AE0EED" w14:textId="77777777" w:rsidR="00B626E7" w:rsidRDefault="00B626E7">
            <w:pPr>
              <w:rPr>
                <w:rFonts w:ascii="宋体"/>
              </w:rPr>
            </w:pPr>
          </w:p>
        </w:tc>
        <w:tc>
          <w:tcPr>
            <w:tcW w:w="5" w:type="pct"/>
            <w:shd w:val="clear" w:color="auto" w:fill="auto"/>
          </w:tcPr>
          <w:p w14:paraId="20AE0EEE" w14:textId="77777777" w:rsidR="00B626E7" w:rsidRDefault="00B626E7">
            <w:pPr>
              <w:rPr>
                <w:rFonts w:ascii="宋体"/>
              </w:rPr>
            </w:pPr>
          </w:p>
        </w:tc>
        <w:tc>
          <w:tcPr>
            <w:tcW w:w="50" w:type="pct"/>
            <w:shd w:val="clear" w:color="auto" w:fill="auto"/>
          </w:tcPr>
          <w:p w14:paraId="20AE0EEF" w14:textId="77777777" w:rsidR="00B626E7" w:rsidRDefault="00B626E7">
            <w:pPr>
              <w:rPr>
                <w:rFonts w:ascii="宋体"/>
              </w:rPr>
            </w:pPr>
          </w:p>
        </w:tc>
        <w:tc>
          <w:tcPr>
            <w:tcW w:w="494" w:type="pct"/>
            <w:shd w:val="clear" w:color="auto" w:fill="auto"/>
          </w:tcPr>
          <w:p w14:paraId="20AE0EF0" w14:textId="77777777" w:rsidR="00B626E7" w:rsidRDefault="00B626E7">
            <w:pPr>
              <w:rPr>
                <w:rFonts w:ascii="宋体"/>
              </w:rPr>
            </w:pPr>
          </w:p>
        </w:tc>
        <w:tc>
          <w:tcPr>
            <w:tcW w:w="50" w:type="pct"/>
            <w:shd w:val="clear" w:color="auto" w:fill="auto"/>
          </w:tcPr>
          <w:p w14:paraId="20AE0EF1" w14:textId="77777777" w:rsidR="00B626E7" w:rsidRDefault="00B626E7">
            <w:pPr>
              <w:rPr>
                <w:rFonts w:ascii="宋体"/>
              </w:rPr>
            </w:pPr>
          </w:p>
        </w:tc>
        <w:tc>
          <w:tcPr>
            <w:tcW w:w="5" w:type="pct"/>
            <w:shd w:val="clear" w:color="auto" w:fill="auto"/>
          </w:tcPr>
          <w:p w14:paraId="20AE0EF2" w14:textId="77777777" w:rsidR="00B626E7" w:rsidRDefault="00B626E7">
            <w:pPr>
              <w:rPr>
                <w:rFonts w:ascii="宋体"/>
              </w:rPr>
            </w:pPr>
          </w:p>
        </w:tc>
        <w:tc>
          <w:tcPr>
            <w:tcW w:w="24" w:type="pct"/>
            <w:shd w:val="clear" w:color="auto" w:fill="auto"/>
          </w:tcPr>
          <w:p w14:paraId="20AE0EF3" w14:textId="77777777" w:rsidR="00B626E7" w:rsidRDefault="00B626E7">
            <w:pPr>
              <w:rPr>
                <w:rFonts w:ascii="宋体"/>
              </w:rPr>
            </w:pPr>
          </w:p>
        </w:tc>
        <w:tc>
          <w:tcPr>
            <w:tcW w:w="5" w:type="pct"/>
            <w:shd w:val="clear" w:color="auto" w:fill="auto"/>
          </w:tcPr>
          <w:p w14:paraId="20AE0EF4" w14:textId="77777777" w:rsidR="00B626E7" w:rsidRDefault="00B626E7">
            <w:pPr>
              <w:rPr>
                <w:rFonts w:ascii="宋体"/>
              </w:rPr>
            </w:pPr>
          </w:p>
        </w:tc>
        <w:tc>
          <w:tcPr>
            <w:tcW w:w="50" w:type="pct"/>
            <w:shd w:val="clear" w:color="auto" w:fill="auto"/>
          </w:tcPr>
          <w:p w14:paraId="20AE0EF5" w14:textId="77777777" w:rsidR="00B626E7" w:rsidRDefault="00B626E7">
            <w:pPr>
              <w:rPr>
                <w:rFonts w:ascii="宋体"/>
              </w:rPr>
            </w:pPr>
          </w:p>
        </w:tc>
        <w:tc>
          <w:tcPr>
            <w:tcW w:w="494" w:type="pct"/>
            <w:shd w:val="clear" w:color="auto" w:fill="auto"/>
          </w:tcPr>
          <w:p w14:paraId="20AE0EF6" w14:textId="77777777" w:rsidR="00B626E7" w:rsidRDefault="00B626E7">
            <w:pPr>
              <w:rPr>
                <w:rFonts w:ascii="宋体"/>
              </w:rPr>
            </w:pPr>
          </w:p>
        </w:tc>
        <w:tc>
          <w:tcPr>
            <w:tcW w:w="50" w:type="pct"/>
            <w:shd w:val="clear" w:color="auto" w:fill="auto"/>
          </w:tcPr>
          <w:p w14:paraId="20AE0EF7" w14:textId="77777777" w:rsidR="00B626E7" w:rsidRDefault="00B626E7">
            <w:pPr>
              <w:rPr>
                <w:rFonts w:ascii="宋体"/>
              </w:rPr>
            </w:pPr>
          </w:p>
        </w:tc>
      </w:tr>
      <w:tr w:rsidR="00B626E7" w14:paraId="20AE0F02" w14:textId="77777777">
        <w:tc>
          <w:tcPr>
            <w:tcW w:w="0" w:type="auto"/>
            <w:gridSpan w:val="3"/>
            <w:shd w:val="clear" w:color="auto" w:fill="auto"/>
            <w:tcMar>
              <w:top w:w="40" w:type="dxa"/>
              <w:left w:w="20" w:type="dxa"/>
              <w:bottom w:w="40" w:type="dxa"/>
              <w:right w:w="20" w:type="dxa"/>
            </w:tcMar>
            <w:vAlign w:val="bottom"/>
          </w:tcPr>
          <w:p w14:paraId="20AE0EF9" w14:textId="77777777" w:rsidR="00B626E7" w:rsidRDefault="00175C1D">
            <w:pPr>
              <w:ind w:hanging="180"/>
              <w:textAlignment w:val="bottom"/>
            </w:pPr>
            <w:r>
              <w:rPr>
                <w:rFonts w:ascii="Arial" w:eastAsia="宋体" w:hAnsi="Arial" w:cs="Arial"/>
                <w:color w:val="333333"/>
                <w:sz w:val="16"/>
                <w:szCs w:val="16"/>
              </w:rPr>
              <w:t> </w:t>
            </w:r>
          </w:p>
        </w:tc>
        <w:tc>
          <w:tcPr>
            <w:tcW w:w="0" w:type="auto"/>
            <w:gridSpan w:val="3"/>
            <w:shd w:val="clear" w:color="auto" w:fill="auto"/>
            <w:tcMar>
              <w:left w:w="20" w:type="dxa"/>
              <w:right w:w="20" w:type="dxa"/>
            </w:tcMar>
            <w:vAlign w:val="bottom"/>
          </w:tcPr>
          <w:p w14:paraId="20AE0EFA" w14:textId="77777777" w:rsidR="00B626E7" w:rsidRDefault="00B626E7">
            <w:pPr>
              <w:rPr>
                <w:rFonts w:ascii="宋体"/>
              </w:rPr>
            </w:pPr>
          </w:p>
        </w:tc>
        <w:tc>
          <w:tcPr>
            <w:tcW w:w="0" w:type="auto"/>
            <w:gridSpan w:val="9"/>
            <w:shd w:val="clear" w:color="auto" w:fill="auto"/>
            <w:tcMar>
              <w:top w:w="40" w:type="dxa"/>
              <w:left w:w="20" w:type="dxa"/>
              <w:bottom w:w="40" w:type="dxa"/>
              <w:right w:w="20" w:type="dxa"/>
            </w:tcMar>
            <w:vAlign w:val="bottom"/>
          </w:tcPr>
          <w:p w14:paraId="20AE0EFB" w14:textId="77777777" w:rsidR="00B626E7" w:rsidRDefault="00175C1D">
            <w:pPr>
              <w:jc w:val="center"/>
              <w:textAlignment w:val="bottom"/>
            </w:pPr>
            <w:r>
              <w:rPr>
                <w:rFonts w:ascii="Arial" w:eastAsia="宋体" w:hAnsi="Arial" w:cs="Arial"/>
                <w:b/>
                <w:bCs/>
                <w:color w:val="333333"/>
                <w:sz w:val="18"/>
                <w:szCs w:val="18"/>
              </w:rPr>
              <w:t>Three Months Ended</w:t>
            </w:r>
          </w:p>
        </w:tc>
        <w:tc>
          <w:tcPr>
            <w:tcW w:w="0" w:type="auto"/>
            <w:gridSpan w:val="3"/>
            <w:shd w:val="clear" w:color="auto" w:fill="auto"/>
          </w:tcPr>
          <w:p w14:paraId="20AE0EFC" w14:textId="77777777" w:rsidR="00B626E7" w:rsidRDefault="00B626E7">
            <w:pPr>
              <w:rPr>
                <w:rFonts w:ascii="宋体"/>
                <w:vanish/>
              </w:rPr>
            </w:pPr>
          </w:p>
        </w:tc>
        <w:tc>
          <w:tcPr>
            <w:tcW w:w="0" w:type="auto"/>
            <w:gridSpan w:val="3"/>
            <w:shd w:val="clear" w:color="auto" w:fill="auto"/>
          </w:tcPr>
          <w:p w14:paraId="20AE0EFD" w14:textId="77777777" w:rsidR="00B626E7" w:rsidRDefault="00B626E7">
            <w:pPr>
              <w:rPr>
                <w:rFonts w:ascii="宋体"/>
                <w:vanish/>
              </w:rPr>
            </w:pPr>
          </w:p>
        </w:tc>
        <w:tc>
          <w:tcPr>
            <w:tcW w:w="0" w:type="auto"/>
            <w:gridSpan w:val="3"/>
            <w:shd w:val="clear" w:color="auto" w:fill="auto"/>
            <w:tcMar>
              <w:left w:w="20" w:type="dxa"/>
              <w:right w:w="20" w:type="dxa"/>
            </w:tcMar>
            <w:vAlign w:val="bottom"/>
          </w:tcPr>
          <w:p w14:paraId="20AE0EFE" w14:textId="77777777" w:rsidR="00B626E7" w:rsidRDefault="00B626E7">
            <w:pPr>
              <w:rPr>
                <w:rFonts w:ascii="宋体"/>
              </w:rPr>
            </w:pPr>
          </w:p>
        </w:tc>
        <w:tc>
          <w:tcPr>
            <w:tcW w:w="0" w:type="auto"/>
            <w:gridSpan w:val="9"/>
            <w:shd w:val="clear" w:color="auto" w:fill="auto"/>
            <w:tcMar>
              <w:top w:w="40" w:type="dxa"/>
              <w:left w:w="20" w:type="dxa"/>
              <w:bottom w:w="40" w:type="dxa"/>
              <w:right w:w="20" w:type="dxa"/>
            </w:tcMar>
            <w:vAlign w:val="bottom"/>
          </w:tcPr>
          <w:p w14:paraId="20AE0EFF" w14:textId="77777777" w:rsidR="00B626E7" w:rsidRDefault="00175C1D">
            <w:pPr>
              <w:jc w:val="center"/>
              <w:textAlignment w:val="bottom"/>
            </w:pPr>
            <w:r>
              <w:rPr>
                <w:rFonts w:ascii="Arial" w:eastAsia="宋体" w:hAnsi="Arial" w:cs="Arial"/>
                <w:b/>
                <w:bCs/>
                <w:color w:val="333333"/>
                <w:sz w:val="18"/>
                <w:szCs w:val="18"/>
              </w:rPr>
              <w:t>Six Months Ended</w:t>
            </w:r>
          </w:p>
        </w:tc>
        <w:tc>
          <w:tcPr>
            <w:tcW w:w="0" w:type="auto"/>
            <w:gridSpan w:val="3"/>
            <w:shd w:val="clear" w:color="auto" w:fill="auto"/>
          </w:tcPr>
          <w:p w14:paraId="20AE0F00" w14:textId="77777777" w:rsidR="00B626E7" w:rsidRDefault="00B626E7">
            <w:pPr>
              <w:rPr>
                <w:rFonts w:ascii="宋体"/>
                <w:vanish/>
              </w:rPr>
            </w:pPr>
          </w:p>
        </w:tc>
        <w:tc>
          <w:tcPr>
            <w:tcW w:w="0" w:type="auto"/>
            <w:gridSpan w:val="3"/>
            <w:shd w:val="clear" w:color="auto" w:fill="auto"/>
          </w:tcPr>
          <w:p w14:paraId="20AE0F01" w14:textId="77777777" w:rsidR="00B626E7" w:rsidRDefault="00B626E7">
            <w:pPr>
              <w:rPr>
                <w:rFonts w:ascii="宋体"/>
                <w:vanish/>
              </w:rPr>
            </w:pPr>
          </w:p>
        </w:tc>
      </w:tr>
      <w:tr w:rsidR="00B626E7" w14:paraId="20AE0F18" w14:textId="77777777">
        <w:tc>
          <w:tcPr>
            <w:tcW w:w="0" w:type="auto"/>
            <w:gridSpan w:val="3"/>
            <w:shd w:val="clear" w:color="auto" w:fill="auto"/>
            <w:tcMar>
              <w:top w:w="40" w:type="dxa"/>
              <w:left w:w="20" w:type="dxa"/>
              <w:bottom w:w="40" w:type="dxa"/>
              <w:right w:w="20" w:type="dxa"/>
            </w:tcMar>
            <w:vAlign w:val="bottom"/>
          </w:tcPr>
          <w:p w14:paraId="20AE0F03" w14:textId="77777777" w:rsidR="00B626E7" w:rsidRDefault="00175C1D">
            <w:pPr>
              <w:ind w:hanging="180"/>
              <w:textAlignment w:val="bottom"/>
            </w:pPr>
            <w:r>
              <w:rPr>
                <w:rFonts w:ascii="Arial" w:eastAsia="宋体" w:hAnsi="Arial" w:cs="Arial"/>
                <w:b/>
                <w:bCs/>
                <w:color w:val="333333"/>
                <w:sz w:val="18"/>
                <w:szCs w:val="18"/>
              </w:rPr>
              <w:t>(In Millions)</w:t>
            </w:r>
          </w:p>
        </w:tc>
        <w:tc>
          <w:tcPr>
            <w:tcW w:w="0" w:type="auto"/>
            <w:gridSpan w:val="3"/>
            <w:shd w:val="clear" w:color="auto" w:fill="auto"/>
            <w:tcMar>
              <w:left w:w="20" w:type="dxa"/>
              <w:right w:w="20" w:type="dxa"/>
            </w:tcMar>
            <w:vAlign w:val="bottom"/>
          </w:tcPr>
          <w:p w14:paraId="20AE0F04"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0F05" w14:textId="77777777" w:rsidR="00B626E7" w:rsidRDefault="00175C1D">
            <w:pPr>
              <w:jc w:val="center"/>
              <w:textAlignment w:val="bottom"/>
            </w:pPr>
            <w:r>
              <w:rPr>
                <w:rFonts w:ascii="Arial" w:eastAsia="宋体" w:hAnsi="Arial" w:cs="Arial"/>
                <w:b/>
                <w:bCs/>
                <w:color w:val="333333"/>
                <w:sz w:val="18"/>
                <w:szCs w:val="18"/>
              </w:rPr>
              <w:t>Jun 27, 2020</w:t>
            </w:r>
          </w:p>
        </w:tc>
        <w:tc>
          <w:tcPr>
            <w:tcW w:w="0" w:type="auto"/>
            <w:gridSpan w:val="3"/>
            <w:tcBorders>
              <w:top w:val="single" w:sz="8" w:space="0" w:color="0071C5"/>
            </w:tcBorders>
            <w:shd w:val="clear" w:color="auto" w:fill="auto"/>
            <w:tcMar>
              <w:left w:w="20" w:type="dxa"/>
              <w:right w:w="20" w:type="dxa"/>
            </w:tcMar>
            <w:vAlign w:val="bottom"/>
          </w:tcPr>
          <w:p w14:paraId="20AE0F06"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0F07" w14:textId="77777777" w:rsidR="00B626E7" w:rsidRDefault="00175C1D">
            <w:pPr>
              <w:jc w:val="center"/>
              <w:textAlignment w:val="bottom"/>
            </w:pPr>
            <w:r>
              <w:rPr>
                <w:rFonts w:ascii="Arial" w:eastAsia="宋体" w:hAnsi="Arial" w:cs="Arial"/>
                <w:b/>
                <w:bCs/>
                <w:color w:val="333333"/>
                <w:sz w:val="18"/>
                <w:szCs w:val="18"/>
              </w:rPr>
              <w:t>Jun 29, 2019</w:t>
            </w:r>
          </w:p>
        </w:tc>
        <w:tc>
          <w:tcPr>
            <w:tcW w:w="0" w:type="auto"/>
            <w:gridSpan w:val="3"/>
            <w:shd w:val="clear" w:color="auto" w:fill="auto"/>
            <w:tcMar>
              <w:left w:w="20" w:type="dxa"/>
              <w:right w:w="20" w:type="dxa"/>
            </w:tcMar>
            <w:vAlign w:val="bottom"/>
          </w:tcPr>
          <w:p w14:paraId="20AE0F08"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0F09" w14:textId="77777777" w:rsidR="00B626E7" w:rsidRDefault="00175C1D">
            <w:pPr>
              <w:jc w:val="center"/>
              <w:textAlignment w:val="bottom"/>
            </w:pPr>
            <w:r>
              <w:rPr>
                <w:rFonts w:ascii="Arial" w:eastAsia="宋体" w:hAnsi="Arial" w:cs="Arial"/>
                <w:b/>
                <w:bCs/>
                <w:color w:val="333333"/>
                <w:sz w:val="18"/>
                <w:szCs w:val="18"/>
              </w:rPr>
              <w:t>Jun 27, 2020</w:t>
            </w:r>
          </w:p>
        </w:tc>
        <w:tc>
          <w:tcPr>
            <w:tcW w:w="0" w:type="auto"/>
            <w:gridSpan w:val="3"/>
            <w:tcBorders>
              <w:top w:val="single" w:sz="8" w:space="0" w:color="0071C5"/>
            </w:tcBorders>
            <w:shd w:val="clear" w:color="auto" w:fill="auto"/>
            <w:tcMar>
              <w:left w:w="20" w:type="dxa"/>
              <w:right w:w="20" w:type="dxa"/>
            </w:tcMar>
            <w:vAlign w:val="bottom"/>
          </w:tcPr>
          <w:p w14:paraId="20AE0F0A"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0F0B" w14:textId="77777777" w:rsidR="00B626E7" w:rsidRDefault="00175C1D">
            <w:pPr>
              <w:jc w:val="center"/>
              <w:textAlignment w:val="bottom"/>
            </w:pPr>
            <w:r>
              <w:rPr>
                <w:rFonts w:ascii="Arial" w:eastAsia="宋体" w:hAnsi="Arial" w:cs="Arial"/>
                <w:b/>
                <w:bCs/>
                <w:color w:val="333333"/>
                <w:sz w:val="18"/>
                <w:szCs w:val="18"/>
              </w:rPr>
              <w:t>Jun 29, 2019</w:t>
            </w:r>
          </w:p>
        </w:tc>
        <w:tc>
          <w:tcPr>
            <w:tcW w:w="0" w:type="auto"/>
            <w:shd w:val="clear" w:color="auto" w:fill="auto"/>
          </w:tcPr>
          <w:p w14:paraId="20AE0F0C" w14:textId="77777777" w:rsidR="00B626E7" w:rsidRDefault="00B626E7">
            <w:pPr>
              <w:rPr>
                <w:rFonts w:ascii="宋体"/>
              </w:rPr>
            </w:pPr>
          </w:p>
        </w:tc>
        <w:tc>
          <w:tcPr>
            <w:tcW w:w="0" w:type="auto"/>
            <w:shd w:val="clear" w:color="auto" w:fill="auto"/>
          </w:tcPr>
          <w:p w14:paraId="20AE0F0D" w14:textId="77777777" w:rsidR="00B626E7" w:rsidRDefault="00B626E7">
            <w:pPr>
              <w:rPr>
                <w:rFonts w:ascii="宋体"/>
              </w:rPr>
            </w:pPr>
          </w:p>
        </w:tc>
        <w:tc>
          <w:tcPr>
            <w:tcW w:w="0" w:type="auto"/>
            <w:shd w:val="clear" w:color="auto" w:fill="auto"/>
          </w:tcPr>
          <w:p w14:paraId="20AE0F0E" w14:textId="77777777" w:rsidR="00B626E7" w:rsidRDefault="00B626E7">
            <w:pPr>
              <w:rPr>
                <w:rFonts w:ascii="宋体"/>
              </w:rPr>
            </w:pPr>
          </w:p>
        </w:tc>
        <w:tc>
          <w:tcPr>
            <w:tcW w:w="0" w:type="auto"/>
            <w:shd w:val="clear" w:color="auto" w:fill="auto"/>
          </w:tcPr>
          <w:p w14:paraId="20AE0F0F" w14:textId="77777777" w:rsidR="00B626E7" w:rsidRDefault="00B626E7">
            <w:pPr>
              <w:rPr>
                <w:rFonts w:ascii="宋体"/>
              </w:rPr>
            </w:pPr>
          </w:p>
        </w:tc>
        <w:tc>
          <w:tcPr>
            <w:tcW w:w="0" w:type="auto"/>
            <w:shd w:val="clear" w:color="auto" w:fill="auto"/>
          </w:tcPr>
          <w:p w14:paraId="20AE0F10" w14:textId="77777777" w:rsidR="00B626E7" w:rsidRDefault="00B626E7">
            <w:pPr>
              <w:rPr>
                <w:rFonts w:ascii="宋体"/>
              </w:rPr>
            </w:pPr>
          </w:p>
        </w:tc>
        <w:tc>
          <w:tcPr>
            <w:tcW w:w="0" w:type="auto"/>
            <w:shd w:val="clear" w:color="auto" w:fill="auto"/>
          </w:tcPr>
          <w:p w14:paraId="20AE0F11" w14:textId="77777777" w:rsidR="00B626E7" w:rsidRDefault="00B626E7">
            <w:pPr>
              <w:rPr>
                <w:rFonts w:ascii="宋体"/>
              </w:rPr>
            </w:pPr>
          </w:p>
        </w:tc>
        <w:tc>
          <w:tcPr>
            <w:tcW w:w="0" w:type="auto"/>
            <w:shd w:val="clear" w:color="auto" w:fill="auto"/>
          </w:tcPr>
          <w:p w14:paraId="20AE0F12" w14:textId="77777777" w:rsidR="00B626E7" w:rsidRDefault="00B626E7">
            <w:pPr>
              <w:rPr>
                <w:rFonts w:ascii="宋体"/>
              </w:rPr>
            </w:pPr>
          </w:p>
        </w:tc>
        <w:tc>
          <w:tcPr>
            <w:tcW w:w="0" w:type="auto"/>
            <w:shd w:val="clear" w:color="auto" w:fill="auto"/>
          </w:tcPr>
          <w:p w14:paraId="20AE0F13" w14:textId="77777777" w:rsidR="00B626E7" w:rsidRDefault="00B626E7">
            <w:pPr>
              <w:rPr>
                <w:rFonts w:ascii="宋体"/>
              </w:rPr>
            </w:pPr>
          </w:p>
        </w:tc>
        <w:tc>
          <w:tcPr>
            <w:tcW w:w="0" w:type="auto"/>
            <w:shd w:val="clear" w:color="auto" w:fill="auto"/>
          </w:tcPr>
          <w:p w14:paraId="20AE0F14" w14:textId="77777777" w:rsidR="00B626E7" w:rsidRDefault="00B626E7">
            <w:pPr>
              <w:rPr>
                <w:rFonts w:ascii="宋体"/>
              </w:rPr>
            </w:pPr>
          </w:p>
        </w:tc>
        <w:tc>
          <w:tcPr>
            <w:tcW w:w="0" w:type="auto"/>
            <w:shd w:val="clear" w:color="auto" w:fill="auto"/>
          </w:tcPr>
          <w:p w14:paraId="20AE0F15" w14:textId="77777777" w:rsidR="00B626E7" w:rsidRDefault="00B626E7">
            <w:pPr>
              <w:rPr>
                <w:rFonts w:ascii="宋体"/>
              </w:rPr>
            </w:pPr>
          </w:p>
        </w:tc>
        <w:tc>
          <w:tcPr>
            <w:tcW w:w="0" w:type="auto"/>
            <w:shd w:val="clear" w:color="auto" w:fill="auto"/>
          </w:tcPr>
          <w:p w14:paraId="20AE0F16" w14:textId="77777777" w:rsidR="00B626E7" w:rsidRDefault="00B626E7">
            <w:pPr>
              <w:rPr>
                <w:rFonts w:ascii="宋体"/>
              </w:rPr>
            </w:pPr>
          </w:p>
        </w:tc>
        <w:tc>
          <w:tcPr>
            <w:tcW w:w="0" w:type="auto"/>
            <w:shd w:val="clear" w:color="auto" w:fill="auto"/>
          </w:tcPr>
          <w:p w14:paraId="20AE0F17" w14:textId="77777777" w:rsidR="00B626E7" w:rsidRDefault="00B626E7">
            <w:pPr>
              <w:rPr>
                <w:rFonts w:ascii="宋体"/>
              </w:rPr>
            </w:pPr>
          </w:p>
        </w:tc>
      </w:tr>
      <w:tr w:rsidR="00B626E7" w14:paraId="20AE0F36" w14:textId="77777777">
        <w:tc>
          <w:tcPr>
            <w:tcW w:w="0" w:type="auto"/>
            <w:gridSpan w:val="3"/>
            <w:tcBorders>
              <w:top w:val="single" w:sz="8" w:space="0" w:color="0071C5"/>
            </w:tcBorders>
            <w:shd w:val="clear" w:color="auto" w:fill="auto"/>
            <w:tcMar>
              <w:top w:w="40" w:type="dxa"/>
              <w:left w:w="20" w:type="dxa"/>
              <w:bottom w:w="40" w:type="dxa"/>
              <w:right w:w="20" w:type="dxa"/>
            </w:tcMar>
          </w:tcPr>
          <w:p w14:paraId="20AE0F19" w14:textId="77777777" w:rsidR="00B626E7" w:rsidRDefault="00175C1D">
            <w:pPr>
              <w:ind w:hanging="180"/>
              <w:textAlignment w:val="top"/>
            </w:pPr>
            <w:r>
              <w:rPr>
                <w:rFonts w:ascii="Arial" w:eastAsia="宋体" w:hAnsi="Arial" w:cs="Arial"/>
                <w:color w:val="333333"/>
                <w:sz w:val="18"/>
                <w:szCs w:val="18"/>
              </w:rPr>
              <w:t>Inte</w:t>
            </w:r>
            <w:r>
              <w:rPr>
                <w:rFonts w:ascii="Arial" w:eastAsia="宋体" w:hAnsi="Arial" w:cs="Arial"/>
                <w:color w:val="333333"/>
                <w:sz w:val="18"/>
                <w:szCs w:val="18"/>
              </w:rPr>
              <w:t>rest income</w:t>
            </w:r>
          </w:p>
        </w:tc>
        <w:tc>
          <w:tcPr>
            <w:tcW w:w="0" w:type="auto"/>
            <w:gridSpan w:val="3"/>
            <w:shd w:val="clear" w:color="auto" w:fill="auto"/>
            <w:tcMar>
              <w:left w:w="20" w:type="dxa"/>
              <w:right w:w="20" w:type="dxa"/>
            </w:tcMar>
            <w:vAlign w:val="bottom"/>
          </w:tcPr>
          <w:p w14:paraId="20AE0F1A"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0F1B" w14:textId="77777777" w:rsidR="00B626E7" w:rsidRDefault="00175C1D">
            <w:pPr>
              <w:textAlignment w:val="bottom"/>
            </w:pPr>
            <w:r>
              <w:rPr>
                <w:rFonts w:ascii="Arial" w:eastAsia="宋体" w:hAnsi="Arial" w:cs="Arial"/>
                <w:color w:val="026DCE"/>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0F1C" w14:textId="77777777" w:rsidR="00B626E7" w:rsidRDefault="00175C1D">
            <w:pPr>
              <w:jc w:val="right"/>
              <w:textAlignment w:val="bottom"/>
            </w:pPr>
            <w:r>
              <w:rPr>
                <w:rFonts w:ascii="Arial" w:eastAsia="宋体" w:hAnsi="Arial" w:cs="Arial"/>
                <w:color w:val="026DCE"/>
                <w:sz w:val="18"/>
                <w:szCs w:val="18"/>
              </w:rPr>
              <w:t>83 </w:t>
            </w:r>
          </w:p>
        </w:tc>
        <w:tc>
          <w:tcPr>
            <w:tcW w:w="0" w:type="auto"/>
            <w:tcBorders>
              <w:top w:val="single" w:sz="8" w:space="0" w:color="0071C5"/>
            </w:tcBorders>
            <w:shd w:val="clear" w:color="auto" w:fill="auto"/>
            <w:tcMar>
              <w:top w:w="40" w:type="dxa"/>
              <w:bottom w:w="40" w:type="dxa"/>
              <w:right w:w="20" w:type="dxa"/>
            </w:tcMar>
            <w:vAlign w:val="bottom"/>
          </w:tcPr>
          <w:p w14:paraId="20AE0F1D"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0F1E"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0F1F" w14:textId="77777777" w:rsidR="00B626E7" w:rsidRDefault="00175C1D">
            <w:pPr>
              <w:textAlignment w:val="bottom"/>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0F20" w14:textId="77777777" w:rsidR="00B626E7" w:rsidRDefault="00175C1D">
            <w:pPr>
              <w:jc w:val="right"/>
              <w:textAlignment w:val="bottom"/>
            </w:pPr>
            <w:r>
              <w:rPr>
                <w:rFonts w:ascii="Arial" w:eastAsia="宋体" w:hAnsi="Arial" w:cs="Arial"/>
                <w:color w:val="333333"/>
                <w:sz w:val="18"/>
                <w:szCs w:val="18"/>
              </w:rPr>
              <w:t>125 </w:t>
            </w:r>
          </w:p>
        </w:tc>
        <w:tc>
          <w:tcPr>
            <w:tcW w:w="0" w:type="auto"/>
            <w:tcBorders>
              <w:top w:val="single" w:sz="8" w:space="0" w:color="0071C5"/>
            </w:tcBorders>
            <w:shd w:val="clear" w:color="auto" w:fill="auto"/>
            <w:tcMar>
              <w:top w:w="40" w:type="dxa"/>
              <w:bottom w:w="40" w:type="dxa"/>
              <w:right w:w="20" w:type="dxa"/>
            </w:tcMar>
            <w:vAlign w:val="bottom"/>
          </w:tcPr>
          <w:p w14:paraId="20AE0F21"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F22"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0F23" w14:textId="77777777" w:rsidR="00B626E7" w:rsidRDefault="00175C1D">
            <w:pPr>
              <w:textAlignment w:val="bottom"/>
            </w:pPr>
            <w:r>
              <w:rPr>
                <w:rFonts w:ascii="Arial" w:eastAsia="宋体" w:hAnsi="Arial" w:cs="Arial"/>
                <w:color w:val="0071C5"/>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0F24" w14:textId="77777777" w:rsidR="00B626E7" w:rsidRDefault="00175C1D">
            <w:pPr>
              <w:jc w:val="right"/>
              <w:textAlignment w:val="bottom"/>
            </w:pPr>
            <w:r>
              <w:rPr>
                <w:rFonts w:ascii="Arial" w:eastAsia="宋体" w:hAnsi="Arial" w:cs="Arial"/>
                <w:color w:val="0071C5"/>
                <w:sz w:val="18"/>
                <w:szCs w:val="18"/>
              </w:rPr>
              <w:t>176 </w:t>
            </w:r>
          </w:p>
        </w:tc>
        <w:tc>
          <w:tcPr>
            <w:tcW w:w="0" w:type="auto"/>
            <w:tcBorders>
              <w:top w:val="single" w:sz="8" w:space="0" w:color="0071C5"/>
            </w:tcBorders>
            <w:shd w:val="clear" w:color="auto" w:fill="auto"/>
            <w:tcMar>
              <w:top w:w="40" w:type="dxa"/>
              <w:bottom w:w="40" w:type="dxa"/>
              <w:right w:w="20" w:type="dxa"/>
            </w:tcMar>
            <w:vAlign w:val="bottom"/>
          </w:tcPr>
          <w:p w14:paraId="20AE0F25"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F26"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0F27" w14:textId="77777777" w:rsidR="00B626E7" w:rsidRDefault="00175C1D">
            <w:pPr>
              <w:textAlignment w:val="bottom"/>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0F28" w14:textId="77777777" w:rsidR="00B626E7" w:rsidRDefault="00175C1D">
            <w:pPr>
              <w:jc w:val="right"/>
              <w:textAlignment w:val="bottom"/>
            </w:pPr>
            <w:r>
              <w:rPr>
                <w:rFonts w:ascii="Arial" w:eastAsia="宋体" w:hAnsi="Arial" w:cs="Arial"/>
                <w:color w:val="333333"/>
                <w:sz w:val="18"/>
                <w:szCs w:val="18"/>
              </w:rPr>
              <w:t>260 </w:t>
            </w:r>
          </w:p>
        </w:tc>
        <w:tc>
          <w:tcPr>
            <w:tcW w:w="0" w:type="auto"/>
            <w:tcBorders>
              <w:top w:val="single" w:sz="8" w:space="0" w:color="0071C5"/>
            </w:tcBorders>
            <w:shd w:val="clear" w:color="auto" w:fill="auto"/>
            <w:tcMar>
              <w:top w:w="40" w:type="dxa"/>
              <w:bottom w:w="40" w:type="dxa"/>
              <w:right w:w="20" w:type="dxa"/>
            </w:tcMar>
            <w:vAlign w:val="bottom"/>
          </w:tcPr>
          <w:p w14:paraId="20AE0F29"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0F2A" w14:textId="77777777" w:rsidR="00B626E7" w:rsidRDefault="00B626E7">
            <w:pPr>
              <w:rPr>
                <w:rFonts w:ascii="宋体"/>
              </w:rPr>
            </w:pPr>
          </w:p>
        </w:tc>
        <w:tc>
          <w:tcPr>
            <w:tcW w:w="0" w:type="auto"/>
            <w:shd w:val="clear" w:color="auto" w:fill="auto"/>
          </w:tcPr>
          <w:p w14:paraId="20AE0F2B" w14:textId="77777777" w:rsidR="00B626E7" w:rsidRDefault="00B626E7">
            <w:pPr>
              <w:rPr>
                <w:rFonts w:ascii="宋体"/>
              </w:rPr>
            </w:pPr>
          </w:p>
        </w:tc>
        <w:tc>
          <w:tcPr>
            <w:tcW w:w="0" w:type="auto"/>
            <w:shd w:val="clear" w:color="auto" w:fill="auto"/>
          </w:tcPr>
          <w:p w14:paraId="20AE0F2C" w14:textId="77777777" w:rsidR="00B626E7" w:rsidRDefault="00B626E7">
            <w:pPr>
              <w:rPr>
                <w:rFonts w:ascii="宋体"/>
              </w:rPr>
            </w:pPr>
          </w:p>
        </w:tc>
        <w:tc>
          <w:tcPr>
            <w:tcW w:w="0" w:type="auto"/>
            <w:shd w:val="clear" w:color="auto" w:fill="auto"/>
          </w:tcPr>
          <w:p w14:paraId="20AE0F2D" w14:textId="77777777" w:rsidR="00B626E7" w:rsidRDefault="00B626E7">
            <w:pPr>
              <w:rPr>
                <w:rFonts w:ascii="宋体"/>
              </w:rPr>
            </w:pPr>
          </w:p>
        </w:tc>
        <w:tc>
          <w:tcPr>
            <w:tcW w:w="0" w:type="auto"/>
            <w:shd w:val="clear" w:color="auto" w:fill="auto"/>
          </w:tcPr>
          <w:p w14:paraId="20AE0F2E" w14:textId="77777777" w:rsidR="00B626E7" w:rsidRDefault="00B626E7">
            <w:pPr>
              <w:rPr>
                <w:rFonts w:ascii="宋体"/>
              </w:rPr>
            </w:pPr>
          </w:p>
        </w:tc>
        <w:tc>
          <w:tcPr>
            <w:tcW w:w="0" w:type="auto"/>
            <w:shd w:val="clear" w:color="auto" w:fill="auto"/>
          </w:tcPr>
          <w:p w14:paraId="20AE0F2F" w14:textId="77777777" w:rsidR="00B626E7" w:rsidRDefault="00B626E7">
            <w:pPr>
              <w:rPr>
                <w:rFonts w:ascii="宋体"/>
              </w:rPr>
            </w:pPr>
          </w:p>
        </w:tc>
        <w:tc>
          <w:tcPr>
            <w:tcW w:w="0" w:type="auto"/>
            <w:shd w:val="clear" w:color="auto" w:fill="auto"/>
          </w:tcPr>
          <w:p w14:paraId="20AE0F30" w14:textId="77777777" w:rsidR="00B626E7" w:rsidRDefault="00B626E7">
            <w:pPr>
              <w:rPr>
                <w:rFonts w:ascii="宋体"/>
              </w:rPr>
            </w:pPr>
          </w:p>
        </w:tc>
        <w:tc>
          <w:tcPr>
            <w:tcW w:w="0" w:type="auto"/>
            <w:shd w:val="clear" w:color="auto" w:fill="auto"/>
          </w:tcPr>
          <w:p w14:paraId="20AE0F31" w14:textId="77777777" w:rsidR="00B626E7" w:rsidRDefault="00B626E7">
            <w:pPr>
              <w:rPr>
                <w:rFonts w:ascii="宋体"/>
              </w:rPr>
            </w:pPr>
          </w:p>
        </w:tc>
        <w:tc>
          <w:tcPr>
            <w:tcW w:w="0" w:type="auto"/>
            <w:shd w:val="clear" w:color="auto" w:fill="auto"/>
          </w:tcPr>
          <w:p w14:paraId="20AE0F32" w14:textId="77777777" w:rsidR="00B626E7" w:rsidRDefault="00B626E7">
            <w:pPr>
              <w:rPr>
                <w:rFonts w:ascii="宋体"/>
              </w:rPr>
            </w:pPr>
          </w:p>
        </w:tc>
        <w:tc>
          <w:tcPr>
            <w:tcW w:w="0" w:type="auto"/>
            <w:shd w:val="clear" w:color="auto" w:fill="auto"/>
          </w:tcPr>
          <w:p w14:paraId="20AE0F33" w14:textId="77777777" w:rsidR="00B626E7" w:rsidRDefault="00B626E7">
            <w:pPr>
              <w:rPr>
                <w:rFonts w:ascii="宋体"/>
              </w:rPr>
            </w:pPr>
          </w:p>
        </w:tc>
        <w:tc>
          <w:tcPr>
            <w:tcW w:w="0" w:type="auto"/>
            <w:shd w:val="clear" w:color="auto" w:fill="auto"/>
          </w:tcPr>
          <w:p w14:paraId="20AE0F34" w14:textId="77777777" w:rsidR="00B626E7" w:rsidRDefault="00B626E7">
            <w:pPr>
              <w:rPr>
                <w:rFonts w:ascii="宋体"/>
              </w:rPr>
            </w:pPr>
          </w:p>
        </w:tc>
        <w:tc>
          <w:tcPr>
            <w:tcW w:w="0" w:type="auto"/>
            <w:shd w:val="clear" w:color="auto" w:fill="auto"/>
          </w:tcPr>
          <w:p w14:paraId="20AE0F35" w14:textId="77777777" w:rsidR="00B626E7" w:rsidRDefault="00B626E7">
            <w:pPr>
              <w:rPr>
                <w:rFonts w:ascii="宋体"/>
              </w:rPr>
            </w:pPr>
          </w:p>
        </w:tc>
      </w:tr>
      <w:tr w:rsidR="00B626E7" w14:paraId="20AE0F50" w14:textId="77777777">
        <w:tc>
          <w:tcPr>
            <w:tcW w:w="0" w:type="auto"/>
            <w:gridSpan w:val="3"/>
            <w:shd w:val="clear" w:color="auto" w:fill="auto"/>
            <w:tcMar>
              <w:top w:w="40" w:type="dxa"/>
              <w:left w:w="20" w:type="dxa"/>
              <w:bottom w:w="40" w:type="dxa"/>
              <w:right w:w="20" w:type="dxa"/>
            </w:tcMar>
          </w:tcPr>
          <w:p w14:paraId="20AE0F37" w14:textId="77777777" w:rsidR="00B626E7" w:rsidRDefault="00175C1D">
            <w:pPr>
              <w:ind w:hanging="180"/>
              <w:textAlignment w:val="top"/>
            </w:pPr>
            <w:r>
              <w:rPr>
                <w:rFonts w:ascii="Arial" w:eastAsia="宋体" w:hAnsi="Arial" w:cs="Arial"/>
                <w:color w:val="333333"/>
                <w:sz w:val="18"/>
                <w:szCs w:val="18"/>
              </w:rPr>
              <w:t>Interest expense</w:t>
            </w:r>
          </w:p>
        </w:tc>
        <w:tc>
          <w:tcPr>
            <w:tcW w:w="0" w:type="auto"/>
            <w:gridSpan w:val="3"/>
            <w:shd w:val="clear" w:color="auto" w:fill="auto"/>
            <w:tcMar>
              <w:left w:w="20" w:type="dxa"/>
              <w:right w:w="20" w:type="dxa"/>
            </w:tcMar>
            <w:vAlign w:val="bottom"/>
          </w:tcPr>
          <w:p w14:paraId="20AE0F38"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F39" w14:textId="77777777" w:rsidR="00B626E7" w:rsidRDefault="00175C1D">
            <w:pPr>
              <w:jc w:val="right"/>
              <w:textAlignment w:val="bottom"/>
            </w:pPr>
            <w:r>
              <w:rPr>
                <w:rFonts w:ascii="Arial" w:eastAsia="宋体" w:hAnsi="Arial" w:cs="Arial"/>
                <w:color w:val="026DCE"/>
                <w:sz w:val="18"/>
                <w:szCs w:val="18"/>
              </w:rPr>
              <w:t>(186)</w:t>
            </w:r>
          </w:p>
        </w:tc>
        <w:tc>
          <w:tcPr>
            <w:tcW w:w="0" w:type="auto"/>
            <w:shd w:val="clear" w:color="auto" w:fill="auto"/>
            <w:tcMar>
              <w:top w:w="40" w:type="dxa"/>
              <w:bottom w:w="40" w:type="dxa"/>
              <w:right w:w="20" w:type="dxa"/>
            </w:tcMar>
            <w:vAlign w:val="bottom"/>
          </w:tcPr>
          <w:p w14:paraId="20AE0F3A"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0F3B"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F3C" w14:textId="77777777" w:rsidR="00B626E7" w:rsidRDefault="00175C1D">
            <w:pPr>
              <w:jc w:val="right"/>
              <w:textAlignment w:val="bottom"/>
            </w:pPr>
            <w:r>
              <w:rPr>
                <w:rFonts w:ascii="Arial" w:eastAsia="宋体" w:hAnsi="Arial" w:cs="Arial"/>
                <w:color w:val="333333"/>
                <w:sz w:val="18"/>
                <w:szCs w:val="18"/>
              </w:rPr>
              <w:t>(135)</w:t>
            </w:r>
          </w:p>
        </w:tc>
        <w:tc>
          <w:tcPr>
            <w:tcW w:w="0" w:type="auto"/>
            <w:shd w:val="clear" w:color="auto" w:fill="auto"/>
            <w:tcMar>
              <w:top w:w="40" w:type="dxa"/>
              <w:bottom w:w="40" w:type="dxa"/>
              <w:right w:w="20" w:type="dxa"/>
            </w:tcMar>
            <w:vAlign w:val="bottom"/>
          </w:tcPr>
          <w:p w14:paraId="20AE0F3D"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F3E"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F3F" w14:textId="77777777" w:rsidR="00B626E7" w:rsidRDefault="00175C1D">
            <w:pPr>
              <w:jc w:val="right"/>
              <w:textAlignment w:val="bottom"/>
            </w:pPr>
            <w:r>
              <w:rPr>
                <w:rFonts w:ascii="Arial" w:eastAsia="宋体" w:hAnsi="Arial" w:cs="Arial"/>
                <w:color w:val="0071C5"/>
                <w:sz w:val="18"/>
                <w:szCs w:val="18"/>
              </w:rPr>
              <w:t>(321)</w:t>
            </w:r>
          </w:p>
        </w:tc>
        <w:tc>
          <w:tcPr>
            <w:tcW w:w="0" w:type="auto"/>
            <w:shd w:val="clear" w:color="auto" w:fill="auto"/>
            <w:tcMar>
              <w:top w:w="40" w:type="dxa"/>
              <w:bottom w:w="40" w:type="dxa"/>
              <w:right w:w="20" w:type="dxa"/>
            </w:tcMar>
            <w:vAlign w:val="bottom"/>
          </w:tcPr>
          <w:p w14:paraId="20AE0F40"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F41"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F42" w14:textId="77777777" w:rsidR="00B626E7" w:rsidRDefault="00175C1D">
            <w:pPr>
              <w:jc w:val="right"/>
              <w:textAlignment w:val="bottom"/>
            </w:pPr>
            <w:r>
              <w:rPr>
                <w:rFonts w:ascii="Arial" w:eastAsia="宋体" w:hAnsi="Arial" w:cs="Arial"/>
                <w:color w:val="333333"/>
                <w:sz w:val="18"/>
                <w:szCs w:val="18"/>
              </w:rPr>
              <w:t>(273)</w:t>
            </w:r>
          </w:p>
        </w:tc>
        <w:tc>
          <w:tcPr>
            <w:tcW w:w="0" w:type="auto"/>
            <w:shd w:val="clear" w:color="auto" w:fill="auto"/>
            <w:tcMar>
              <w:top w:w="40" w:type="dxa"/>
              <w:bottom w:w="40" w:type="dxa"/>
              <w:right w:w="20" w:type="dxa"/>
            </w:tcMar>
            <w:vAlign w:val="bottom"/>
          </w:tcPr>
          <w:p w14:paraId="20AE0F43"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0F44" w14:textId="77777777" w:rsidR="00B626E7" w:rsidRDefault="00B626E7">
            <w:pPr>
              <w:rPr>
                <w:rFonts w:ascii="宋体"/>
              </w:rPr>
            </w:pPr>
          </w:p>
        </w:tc>
        <w:tc>
          <w:tcPr>
            <w:tcW w:w="0" w:type="auto"/>
            <w:shd w:val="clear" w:color="auto" w:fill="auto"/>
          </w:tcPr>
          <w:p w14:paraId="20AE0F45" w14:textId="77777777" w:rsidR="00B626E7" w:rsidRDefault="00B626E7">
            <w:pPr>
              <w:rPr>
                <w:rFonts w:ascii="宋体"/>
              </w:rPr>
            </w:pPr>
          </w:p>
        </w:tc>
        <w:tc>
          <w:tcPr>
            <w:tcW w:w="0" w:type="auto"/>
            <w:shd w:val="clear" w:color="auto" w:fill="auto"/>
          </w:tcPr>
          <w:p w14:paraId="20AE0F46" w14:textId="77777777" w:rsidR="00B626E7" w:rsidRDefault="00B626E7">
            <w:pPr>
              <w:rPr>
                <w:rFonts w:ascii="宋体"/>
              </w:rPr>
            </w:pPr>
          </w:p>
        </w:tc>
        <w:tc>
          <w:tcPr>
            <w:tcW w:w="0" w:type="auto"/>
            <w:shd w:val="clear" w:color="auto" w:fill="auto"/>
          </w:tcPr>
          <w:p w14:paraId="20AE0F47" w14:textId="77777777" w:rsidR="00B626E7" w:rsidRDefault="00B626E7">
            <w:pPr>
              <w:rPr>
                <w:rFonts w:ascii="宋体"/>
              </w:rPr>
            </w:pPr>
          </w:p>
        </w:tc>
        <w:tc>
          <w:tcPr>
            <w:tcW w:w="0" w:type="auto"/>
            <w:shd w:val="clear" w:color="auto" w:fill="auto"/>
          </w:tcPr>
          <w:p w14:paraId="20AE0F48" w14:textId="77777777" w:rsidR="00B626E7" w:rsidRDefault="00B626E7">
            <w:pPr>
              <w:rPr>
                <w:rFonts w:ascii="宋体"/>
              </w:rPr>
            </w:pPr>
          </w:p>
        </w:tc>
        <w:tc>
          <w:tcPr>
            <w:tcW w:w="0" w:type="auto"/>
            <w:shd w:val="clear" w:color="auto" w:fill="auto"/>
          </w:tcPr>
          <w:p w14:paraId="20AE0F49" w14:textId="77777777" w:rsidR="00B626E7" w:rsidRDefault="00B626E7">
            <w:pPr>
              <w:rPr>
                <w:rFonts w:ascii="宋体"/>
              </w:rPr>
            </w:pPr>
          </w:p>
        </w:tc>
        <w:tc>
          <w:tcPr>
            <w:tcW w:w="0" w:type="auto"/>
            <w:shd w:val="clear" w:color="auto" w:fill="auto"/>
          </w:tcPr>
          <w:p w14:paraId="20AE0F4A" w14:textId="77777777" w:rsidR="00B626E7" w:rsidRDefault="00B626E7">
            <w:pPr>
              <w:rPr>
                <w:rFonts w:ascii="宋体"/>
              </w:rPr>
            </w:pPr>
          </w:p>
        </w:tc>
        <w:tc>
          <w:tcPr>
            <w:tcW w:w="0" w:type="auto"/>
            <w:shd w:val="clear" w:color="auto" w:fill="auto"/>
          </w:tcPr>
          <w:p w14:paraId="20AE0F4B" w14:textId="77777777" w:rsidR="00B626E7" w:rsidRDefault="00B626E7">
            <w:pPr>
              <w:rPr>
                <w:rFonts w:ascii="宋体"/>
              </w:rPr>
            </w:pPr>
          </w:p>
        </w:tc>
        <w:tc>
          <w:tcPr>
            <w:tcW w:w="0" w:type="auto"/>
            <w:shd w:val="clear" w:color="auto" w:fill="auto"/>
          </w:tcPr>
          <w:p w14:paraId="20AE0F4C" w14:textId="77777777" w:rsidR="00B626E7" w:rsidRDefault="00B626E7">
            <w:pPr>
              <w:rPr>
                <w:rFonts w:ascii="宋体"/>
              </w:rPr>
            </w:pPr>
          </w:p>
        </w:tc>
        <w:tc>
          <w:tcPr>
            <w:tcW w:w="0" w:type="auto"/>
            <w:shd w:val="clear" w:color="auto" w:fill="auto"/>
          </w:tcPr>
          <w:p w14:paraId="20AE0F4D" w14:textId="77777777" w:rsidR="00B626E7" w:rsidRDefault="00B626E7">
            <w:pPr>
              <w:rPr>
                <w:rFonts w:ascii="宋体"/>
              </w:rPr>
            </w:pPr>
          </w:p>
        </w:tc>
        <w:tc>
          <w:tcPr>
            <w:tcW w:w="0" w:type="auto"/>
            <w:shd w:val="clear" w:color="auto" w:fill="auto"/>
          </w:tcPr>
          <w:p w14:paraId="20AE0F4E" w14:textId="77777777" w:rsidR="00B626E7" w:rsidRDefault="00B626E7">
            <w:pPr>
              <w:rPr>
                <w:rFonts w:ascii="宋体"/>
              </w:rPr>
            </w:pPr>
          </w:p>
        </w:tc>
        <w:tc>
          <w:tcPr>
            <w:tcW w:w="0" w:type="auto"/>
            <w:shd w:val="clear" w:color="auto" w:fill="auto"/>
          </w:tcPr>
          <w:p w14:paraId="20AE0F4F" w14:textId="77777777" w:rsidR="00B626E7" w:rsidRDefault="00B626E7">
            <w:pPr>
              <w:rPr>
                <w:rFonts w:ascii="宋体"/>
              </w:rPr>
            </w:pPr>
          </w:p>
        </w:tc>
      </w:tr>
      <w:tr w:rsidR="00B626E7" w14:paraId="20AE0F6A" w14:textId="77777777">
        <w:tc>
          <w:tcPr>
            <w:tcW w:w="0" w:type="auto"/>
            <w:gridSpan w:val="3"/>
            <w:shd w:val="clear" w:color="auto" w:fill="auto"/>
            <w:tcMar>
              <w:top w:w="40" w:type="dxa"/>
              <w:left w:w="20" w:type="dxa"/>
              <w:bottom w:w="40" w:type="dxa"/>
              <w:right w:w="20" w:type="dxa"/>
            </w:tcMar>
          </w:tcPr>
          <w:p w14:paraId="20AE0F51" w14:textId="77777777" w:rsidR="00B626E7" w:rsidRDefault="00175C1D">
            <w:pPr>
              <w:ind w:hanging="180"/>
              <w:textAlignment w:val="top"/>
            </w:pPr>
            <w:r>
              <w:rPr>
                <w:rFonts w:ascii="Arial" w:eastAsia="宋体" w:hAnsi="Arial" w:cs="Arial"/>
                <w:color w:val="333333"/>
                <w:sz w:val="18"/>
                <w:szCs w:val="18"/>
              </w:rPr>
              <w:t>Other, net</w:t>
            </w:r>
          </w:p>
        </w:tc>
        <w:tc>
          <w:tcPr>
            <w:tcW w:w="0" w:type="auto"/>
            <w:gridSpan w:val="3"/>
            <w:shd w:val="clear" w:color="auto" w:fill="auto"/>
            <w:tcMar>
              <w:left w:w="20" w:type="dxa"/>
              <w:right w:w="20" w:type="dxa"/>
            </w:tcMar>
            <w:vAlign w:val="bottom"/>
          </w:tcPr>
          <w:p w14:paraId="20AE0F52"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F53" w14:textId="77777777" w:rsidR="00B626E7" w:rsidRDefault="00175C1D">
            <w:pPr>
              <w:jc w:val="right"/>
              <w:textAlignment w:val="bottom"/>
            </w:pPr>
            <w:r>
              <w:rPr>
                <w:rFonts w:ascii="Arial" w:eastAsia="宋体" w:hAnsi="Arial" w:cs="Arial"/>
                <w:color w:val="026DCE"/>
                <w:sz w:val="18"/>
                <w:szCs w:val="18"/>
              </w:rPr>
              <w:t>74 </w:t>
            </w:r>
          </w:p>
        </w:tc>
        <w:tc>
          <w:tcPr>
            <w:tcW w:w="0" w:type="auto"/>
            <w:shd w:val="clear" w:color="auto" w:fill="auto"/>
            <w:tcMar>
              <w:top w:w="40" w:type="dxa"/>
              <w:bottom w:w="40" w:type="dxa"/>
              <w:right w:w="20" w:type="dxa"/>
            </w:tcMar>
            <w:vAlign w:val="bottom"/>
          </w:tcPr>
          <w:p w14:paraId="20AE0F54"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0F55"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F56" w14:textId="77777777" w:rsidR="00B626E7" w:rsidRDefault="00175C1D">
            <w:pPr>
              <w:jc w:val="right"/>
              <w:textAlignment w:val="bottom"/>
            </w:pPr>
            <w:r>
              <w:rPr>
                <w:rFonts w:ascii="Arial" w:eastAsia="宋体" w:hAnsi="Arial" w:cs="Arial"/>
                <w:color w:val="333333"/>
                <w:sz w:val="18"/>
                <w:szCs w:val="18"/>
              </w:rPr>
              <w:t>(53)</w:t>
            </w:r>
          </w:p>
        </w:tc>
        <w:tc>
          <w:tcPr>
            <w:tcW w:w="0" w:type="auto"/>
            <w:shd w:val="clear" w:color="auto" w:fill="auto"/>
            <w:tcMar>
              <w:top w:w="40" w:type="dxa"/>
              <w:bottom w:w="40" w:type="dxa"/>
              <w:right w:w="20" w:type="dxa"/>
            </w:tcMar>
            <w:vAlign w:val="bottom"/>
          </w:tcPr>
          <w:p w14:paraId="20AE0F57"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F58"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F59" w14:textId="77777777" w:rsidR="00B626E7" w:rsidRDefault="00175C1D">
            <w:pPr>
              <w:jc w:val="right"/>
              <w:textAlignment w:val="bottom"/>
            </w:pPr>
            <w:r>
              <w:rPr>
                <w:rFonts w:ascii="Arial" w:eastAsia="宋体" w:hAnsi="Arial" w:cs="Arial"/>
                <w:color w:val="0071C5"/>
                <w:sz w:val="18"/>
                <w:szCs w:val="18"/>
              </w:rPr>
              <w:t>(197)</w:t>
            </w:r>
          </w:p>
        </w:tc>
        <w:tc>
          <w:tcPr>
            <w:tcW w:w="0" w:type="auto"/>
            <w:shd w:val="clear" w:color="auto" w:fill="auto"/>
            <w:tcMar>
              <w:top w:w="40" w:type="dxa"/>
              <w:bottom w:w="40" w:type="dxa"/>
              <w:right w:w="20" w:type="dxa"/>
            </w:tcMar>
            <w:vAlign w:val="bottom"/>
          </w:tcPr>
          <w:p w14:paraId="20AE0F5A"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F5B"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0F5C" w14:textId="77777777" w:rsidR="00B626E7" w:rsidRDefault="00175C1D">
            <w:pPr>
              <w:jc w:val="right"/>
              <w:textAlignment w:val="bottom"/>
            </w:pPr>
            <w:r>
              <w:rPr>
                <w:rFonts w:ascii="Arial" w:eastAsia="宋体" w:hAnsi="Arial" w:cs="Arial"/>
                <w:color w:val="333333"/>
                <w:sz w:val="18"/>
                <w:szCs w:val="18"/>
              </w:rPr>
              <w:t>(111)</w:t>
            </w:r>
          </w:p>
        </w:tc>
        <w:tc>
          <w:tcPr>
            <w:tcW w:w="0" w:type="auto"/>
            <w:shd w:val="clear" w:color="auto" w:fill="auto"/>
            <w:tcMar>
              <w:top w:w="40" w:type="dxa"/>
              <w:bottom w:w="40" w:type="dxa"/>
              <w:right w:w="20" w:type="dxa"/>
            </w:tcMar>
            <w:vAlign w:val="bottom"/>
          </w:tcPr>
          <w:p w14:paraId="20AE0F5D"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0F5E" w14:textId="77777777" w:rsidR="00B626E7" w:rsidRDefault="00B626E7">
            <w:pPr>
              <w:rPr>
                <w:rFonts w:ascii="宋体"/>
              </w:rPr>
            </w:pPr>
          </w:p>
        </w:tc>
        <w:tc>
          <w:tcPr>
            <w:tcW w:w="0" w:type="auto"/>
            <w:shd w:val="clear" w:color="auto" w:fill="auto"/>
          </w:tcPr>
          <w:p w14:paraId="20AE0F5F" w14:textId="77777777" w:rsidR="00B626E7" w:rsidRDefault="00B626E7">
            <w:pPr>
              <w:rPr>
                <w:rFonts w:ascii="宋体"/>
              </w:rPr>
            </w:pPr>
          </w:p>
        </w:tc>
        <w:tc>
          <w:tcPr>
            <w:tcW w:w="0" w:type="auto"/>
            <w:shd w:val="clear" w:color="auto" w:fill="auto"/>
          </w:tcPr>
          <w:p w14:paraId="20AE0F60" w14:textId="77777777" w:rsidR="00B626E7" w:rsidRDefault="00B626E7">
            <w:pPr>
              <w:rPr>
                <w:rFonts w:ascii="宋体"/>
              </w:rPr>
            </w:pPr>
          </w:p>
        </w:tc>
        <w:tc>
          <w:tcPr>
            <w:tcW w:w="0" w:type="auto"/>
            <w:shd w:val="clear" w:color="auto" w:fill="auto"/>
          </w:tcPr>
          <w:p w14:paraId="20AE0F61" w14:textId="77777777" w:rsidR="00B626E7" w:rsidRDefault="00B626E7">
            <w:pPr>
              <w:rPr>
                <w:rFonts w:ascii="宋体"/>
              </w:rPr>
            </w:pPr>
          </w:p>
        </w:tc>
        <w:tc>
          <w:tcPr>
            <w:tcW w:w="0" w:type="auto"/>
            <w:shd w:val="clear" w:color="auto" w:fill="auto"/>
          </w:tcPr>
          <w:p w14:paraId="20AE0F62" w14:textId="77777777" w:rsidR="00B626E7" w:rsidRDefault="00B626E7">
            <w:pPr>
              <w:rPr>
                <w:rFonts w:ascii="宋体"/>
              </w:rPr>
            </w:pPr>
          </w:p>
        </w:tc>
        <w:tc>
          <w:tcPr>
            <w:tcW w:w="0" w:type="auto"/>
            <w:shd w:val="clear" w:color="auto" w:fill="auto"/>
          </w:tcPr>
          <w:p w14:paraId="20AE0F63" w14:textId="77777777" w:rsidR="00B626E7" w:rsidRDefault="00B626E7">
            <w:pPr>
              <w:rPr>
                <w:rFonts w:ascii="宋体"/>
              </w:rPr>
            </w:pPr>
          </w:p>
        </w:tc>
        <w:tc>
          <w:tcPr>
            <w:tcW w:w="0" w:type="auto"/>
            <w:shd w:val="clear" w:color="auto" w:fill="auto"/>
          </w:tcPr>
          <w:p w14:paraId="20AE0F64" w14:textId="77777777" w:rsidR="00B626E7" w:rsidRDefault="00B626E7">
            <w:pPr>
              <w:rPr>
                <w:rFonts w:ascii="宋体"/>
              </w:rPr>
            </w:pPr>
          </w:p>
        </w:tc>
        <w:tc>
          <w:tcPr>
            <w:tcW w:w="0" w:type="auto"/>
            <w:shd w:val="clear" w:color="auto" w:fill="auto"/>
          </w:tcPr>
          <w:p w14:paraId="20AE0F65" w14:textId="77777777" w:rsidR="00B626E7" w:rsidRDefault="00B626E7">
            <w:pPr>
              <w:rPr>
                <w:rFonts w:ascii="宋体"/>
              </w:rPr>
            </w:pPr>
          </w:p>
        </w:tc>
        <w:tc>
          <w:tcPr>
            <w:tcW w:w="0" w:type="auto"/>
            <w:shd w:val="clear" w:color="auto" w:fill="auto"/>
          </w:tcPr>
          <w:p w14:paraId="20AE0F66" w14:textId="77777777" w:rsidR="00B626E7" w:rsidRDefault="00B626E7">
            <w:pPr>
              <w:rPr>
                <w:rFonts w:ascii="宋体"/>
              </w:rPr>
            </w:pPr>
          </w:p>
        </w:tc>
        <w:tc>
          <w:tcPr>
            <w:tcW w:w="0" w:type="auto"/>
            <w:shd w:val="clear" w:color="auto" w:fill="auto"/>
          </w:tcPr>
          <w:p w14:paraId="20AE0F67" w14:textId="77777777" w:rsidR="00B626E7" w:rsidRDefault="00B626E7">
            <w:pPr>
              <w:rPr>
                <w:rFonts w:ascii="宋体"/>
              </w:rPr>
            </w:pPr>
          </w:p>
        </w:tc>
        <w:tc>
          <w:tcPr>
            <w:tcW w:w="0" w:type="auto"/>
            <w:shd w:val="clear" w:color="auto" w:fill="auto"/>
          </w:tcPr>
          <w:p w14:paraId="20AE0F68" w14:textId="77777777" w:rsidR="00B626E7" w:rsidRDefault="00B626E7">
            <w:pPr>
              <w:rPr>
                <w:rFonts w:ascii="宋体"/>
              </w:rPr>
            </w:pPr>
          </w:p>
        </w:tc>
        <w:tc>
          <w:tcPr>
            <w:tcW w:w="0" w:type="auto"/>
            <w:shd w:val="clear" w:color="auto" w:fill="auto"/>
          </w:tcPr>
          <w:p w14:paraId="20AE0F69" w14:textId="77777777" w:rsidR="00B626E7" w:rsidRDefault="00B626E7">
            <w:pPr>
              <w:rPr>
                <w:rFonts w:ascii="宋体"/>
              </w:rPr>
            </w:pPr>
          </w:p>
        </w:tc>
      </w:tr>
      <w:tr w:rsidR="00B626E7" w14:paraId="20AE0F88" w14:textId="77777777">
        <w:tc>
          <w:tcPr>
            <w:tcW w:w="0" w:type="auto"/>
            <w:gridSpan w:val="3"/>
            <w:shd w:val="clear" w:color="auto" w:fill="auto"/>
            <w:tcMar>
              <w:top w:w="40" w:type="dxa"/>
              <w:left w:w="20" w:type="dxa"/>
              <w:bottom w:w="40" w:type="dxa"/>
              <w:right w:w="20" w:type="dxa"/>
            </w:tcMar>
          </w:tcPr>
          <w:p w14:paraId="20AE0F6B" w14:textId="77777777" w:rsidR="00B626E7" w:rsidRDefault="00175C1D">
            <w:pPr>
              <w:ind w:hanging="180"/>
              <w:textAlignment w:val="top"/>
            </w:pPr>
            <w:r>
              <w:rPr>
                <w:rFonts w:ascii="Arial" w:eastAsia="宋体" w:hAnsi="Arial" w:cs="Arial"/>
                <w:b/>
                <w:bCs/>
                <w:color w:val="333333"/>
                <w:sz w:val="18"/>
                <w:szCs w:val="18"/>
              </w:rPr>
              <w:t>Total interest and other, net</w:t>
            </w:r>
          </w:p>
        </w:tc>
        <w:tc>
          <w:tcPr>
            <w:tcW w:w="0" w:type="auto"/>
            <w:gridSpan w:val="3"/>
            <w:shd w:val="clear" w:color="auto" w:fill="auto"/>
            <w:tcMar>
              <w:left w:w="20" w:type="dxa"/>
              <w:right w:w="20" w:type="dxa"/>
            </w:tcMar>
            <w:vAlign w:val="bottom"/>
          </w:tcPr>
          <w:p w14:paraId="20AE0F6C"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0F6D" w14:textId="77777777" w:rsidR="00B626E7" w:rsidRDefault="00175C1D">
            <w:pPr>
              <w:textAlignment w:val="bottom"/>
            </w:pPr>
            <w:r>
              <w:rPr>
                <w:rFonts w:ascii="Arial" w:eastAsia="宋体" w:hAnsi="Arial" w:cs="Arial"/>
                <w:b/>
                <w:bCs/>
                <w:color w:val="026DCE"/>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0F6E" w14:textId="77777777" w:rsidR="00B626E7" w:rsidRDefault="00175C1D">
            <w:pPr>
              <w:jc w:val="right"/>
              <w:textAlignment w:val="bottom"/>
            </w:pPr>
            <w:r>
              <w:rPr>
                <w:rFonts w:ascii="Arial" w:eastAsia="宋体" w:hAnsi="Arial" w:cs="Arial"/>
                <w:b/>
                <w:bCs/>
                <w:color w:val="026DCE"/>
                <w:sz w:val="18"/>
                <w:szCs w:val="18"/>
              </w:rPr>
              <w:t>(29)</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0F6F"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0F70"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0F71"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0F72" w14:textId="77777777" w:rsidR="00B626E7" w:rsidRDefault="00175C1D">
            <w:pPr>
              <w:jc w:val="right"/>
              <w:textAlignment w:val="bottom"/>
            </w:pPr>
            <w:r>
              <w:rPr>
                <w:rFonts w:ascii="Arial" w:eastAsia="宋体" w:hAnsi="Arial" w:cs="Arial"/>
                <w:b/>
                <w:bCs/>
                <w:color w:val="333333"/>
                <w:sz w:val="18"/>
                <w:szCs w:val="18"/>
              </w:rPr>
              <w:t>(63)</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0F73"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0F74"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0F75" w14:textId="77777777" w:rsidR="00B626E7" w:rsidRDefault="00175C1D">
            <w:pPr>
              <w:textAlignment w:val="bottom"/>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0F76" w14:textId="77777777" w:rsidR="00B626E7" w:rsidRDefault="00175C1D">
            <w:pPr>
              <w:jc w:val="right"/>
              <w:textAlignment w:val="bottom"/>
            </w:pPr>
            <w:r>
              <w:rPr>
                <w:rFonts w:ascii="Arial" w:eastAsia="宋体" w:hAnsi="Arial" w:cs="Arial"/>
                <w:b/>
                <w:bCs/>
                <w:color w:val="0071C5"/>
                <w:sz w:val="18"/>
                <w:szCs w:val="18"/>
              </w:rPr>
              <w:t>(342)</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0F77"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0F78"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0F79"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0F7A" w14:textId="77777777" w:rsidR="00B626E7" w:rsidRDefault="00175C1D">
            <w:pPr>
              <w:jc w:val="right"/>
              <w:textAlignment w:val="bottom"/>
            </w:pPr>
            <w:r>
              <w:rPr>
                <w:rFonts w:ascii="Arial" w:eastAsia="宋体" w:hAnsi="Arial" w:cs="Arial"/>
                <w:b/>
                <w:bCs/>
                <w:color w:val="333333"/>
                <w:sz w:val="18"/>
                <w:szCs w:val="18"/>
              </w:rPr>
              <w:t>(124)</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0F7B"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E0F7C" w14:textId="77777777" w:rsidR="00B626E7" w:rsidRDefault="00B626E7">
            <w:pPr>
              <w:rPr>
                <w:rFonts w:ascii="宋体"/>
              </w:rPr>
            </w:pPr>
          </w:p>
        </w:tc>
        <w:tc>
          <w:tcPr>
            <w:tcW w:w="0" w:type="auto"/>
            <w:shd w:val="clear" w:color="auto" w:fill="auto"/>
          </w:tcPr>
          <w:p w14:paraId="20AE0F7D" w14:textId="77777777" w:rsidR="00B626E7" w:rsidRDefault="00B626E7">
            <w:pPr>
              <w:rPr>
                <w:rFonts w:ascii="宋体"/>
              </w:rPr>
            </w:pPr>
          </w:p>
        </w:tc>
        <w:tc>
          <w:tcPr>
            <w:tcW w:w="0" w:type="auto"/>
            <w:shd w:val="clear" w:color="auto" w:fill="auto"/>
          </w:tcPr>
          <w:p w14:paraId="20AE0F7E" w14:textId="77777777" w:rsidR="00B626E7" w:rsidRDefault="00B626E7">
            <w:pPr>
              <w:rPr>
                <w:rFonts w:ascii="宋体"/>
              </w:rPr>
            </w:pPr>
          </w:p>
        </w:tc>
        <w:tc>
          <w:tcPr>
            <w:tcW w:w="0" w:type="auto"/>
            <w:shd w:val="clear" w:color="auto" w:fill="auto"/>
          </w:tcPr>
          <w:p w14:paraId="20AE0F7F" w14:textId="77777777" w:rsidR="00B626E7" w:rsidRDefault="00B626E7">
            <w:pPr>
              <w:rPr>
                <w:rFonts w:ascii="宋体"/>
              </w:rPr>
            </w:pPr>
          </w:p>
        </w:tc>
        <w:tc>
          <w:tcPr>
            <w:tcW w:w="0" w:type="auto"/>
            <w:shd w:val="clear" w:color="auto" w:fill="auto"/>
          </w:tcPr>
          <w:p w14:paraId="20AE0F80" w14:textId="77777777" w:rsidR="00B626E7" w:rsidRDefault="00B626E7">
            <w:pPr>
              <w:rPr>
                <w:rFonts w:ascii="宋体"/>
              </w:rPr>
            </w:pPr>
          </w:p>
        </w:tc>
        <w:tc>
          <w:tcPr>
            <w:tcW w:w="0" w:type="auto"/>
            <w:shd w:val="clear" w:color="auto" w:fill="auto"/>
          </w:tcPr>
          <w:p w14:paraId="20AE0F81" w14:textId="77777777" w:rsidR="00B626E7" w:rsidRDefault="00B626E7">
            <w:pPr>
              <w:rPr>
                <w:rFonts w:ascii="宋体"/>
              </w:rPr>
            </w:pPr>
          </w:p>
        </w:tc>
        <w:tc>
          <w:tcPr>
            <w:tcW w:w="0" w:type="auto"/>
            <w:shd w:val="clear" w:color="auto" w:fill="auto"/>
          </w:tcPr>
          <w:p w14:paraId="20AE0F82" w14:textId="77777777" w:rsidR="00B626E7" w:rsidRDefault="00B626E7">
            <w:pPr>
              <w:rPr>
                <w:rFonts w:ascii="宋体"/>
              </w:rPr>
            </w:pPr>
          </w:p>
        </w:tc>
        <w:tc>
          <w:tcPr>
            <w:tcW w:w="0" w:type="auto"/>
            <w:shd w:val="clear" w:color="auto" w:fill="auto"/>
          </w:tcPr>
          <w:p w14:paraId="20AE0F83" w14:textId="77777777" w:rsidR="00B626E7" w:rsidRDefault="00B626E7">
            <w:pPr>
              <w:rPr>
                <w:rFonts w:ascii="宋体"/>
              </w:rPr>
            </w:pPr>
          </w:p>
        </w:tc>
        <w:tc>
          <w:tcPr>
            <w:tcW w:w="0" w:type="auto"/>
            <w:shd w:val="clear" w:color="auto" w:fill="auto"/>
          </w:tcPr>
          <w:p w14:paraId="20AE0F84" w14:textId="77777777" w:rsidR="00B626E7" w:rsidRDefault="00B626E7">
            <w:pPr>
              <w:rPr>
                <w:rFonts w:ascii="宋体"/>
              </w:rPr>
            </w:pPr>
          </w:p>
        </w:tc>
        <w:tc>
          <w:tcPr>
            <w:tcW w:w="0" w:type="auto"/>
            <w:shd w:val="clear" w:color="auto" w:fill="auto"/>
          </w:tcPr>
          <w:p w14:paraId="20AE0F85" w14:textId="77777777" w:rsidR="00B626E7" w:rsidRDefault="00B626E7">
            <w:pPr>
              <w:rPr>
                <w:rFonts w:ascii="宋体"/>
              </w:rPr>
            </w:pPr>
          </w:p>
        </w:tc>
        <w:tc>
          <w:tcPr>
            <w:tcW w:w="0" w:type="auto"/>
            <w:shd w:val="clear" w:color="auto" w:fill="auto"/>
          </w:tcPr>
          <w:p w14:paraId="20AE0F86" w14:textId="77777777" w:rsidR="00B626E7" w:rsidRDefault="00B626E7">
            <w:pPr>
              <w:rPr>
                <w:rFonts w:ascii="宋体"/>
              </w:rPr>
            </w:pPr>
          </w:p>
        </w:tc>
        <w:tc>
          <w:tcPr>
            <w:tcW w:w="0" w:type="auto"/>
            <w:shd w:val="clear" w:color="auto" w:fill="auto"/>
          </w:tcPr>
          <w:p w14:paraId="20AE0F87" w14:textId="77777777" w:rsidR="00B626E7" w:rsidRDefault="00B626E7">
            <w:pPr>
              <w:rPr>
                <w:rFonts w:ascii="宋体"/>
              </w:rPr>
            </w:pPr>
          </w:p>
        </w:tc>
      </w:tr>
    </w:tbl>
    <w:p w14:paraId="20AE0F89" w14:textId="77777777" w:rsidR="00B626E7" w:rsidRDefault="00175C1D">
      <w:pPr>
        <w:spacing w:before="300" w:after="180"/>
      </w:pPr>
      <w:r>
        <w:rPr>
          <w:rFonts w:ascii="Arial" w:eastAsia="宋体" w:hAnsi="Arial" w:cs="Arial"/>
          <w:color w:val="333333"/>
          <w:sz w:val="18"/>
          <w:szCs w:val="18"/>
        </w:rPr>
        <w:t>Interest expense in the preceding table is net of $87 million of interest capita</w:t>
      </w:r>
      <w:r>
        <w:rPr>
          <w:rFonts w:ascii="Arial" w:eastAsia="宋体" w:hAnsi="Arial" w:cs="Arial"/>
          <w:color w:val="333333"/>
          <w:sz w:val="18"/>
          <w:szCs w:val="18"/>
        </w:rPr>
        <w:t>lized in the second quarter of 2020 and $170 million in the first six months of 2020 ($120 million in the second quarter of 2019 and $245 million in the first six months of 2019).</w:t>
      </w:r>
    </w:p>
    <w:p w14:paraId="20AE0F8A" w14:textId="77777777" w:rsidR="00B626E7" w:rsidRDefault="00B626E7">
      <w:pPr>
        <w:spacing w:after="180"/>
      </w:pPr>
    </w:p>
    <w:p w14:paraId="20AE0F8B" w14:textId="77777777" w:rsidR="00B626E7" w:rsidRDefault="00B626E7">
      <w:pPr>
        <w:spacing w:after="180"/>
      </w:pPr>
    </w:p>
    <w:p w14:paraId="20AE0F8C" w14:textId="77777777" w:rsidR="00B626E7" w:rsidRDefault="00B626E7">
      <w:pPr>
        <w:spacing w:after="180"/>
      </w:pPr>
    </w:p>
    <w:p w14:paraId="20AE0F8D" w14:textId="77777777" w:rsidR="00B626E7" w:rsidRDefault="00B626E7">
      <w:pPr>
        <w:spacing w:after="180"/>
      </w:pPr>
    </w:p>
    <w:p w14:paraId="20AE0F8E" w14:textId="77777777" w:rsidR="00B626E7" w:rsidRDefault="00B626E7">
      <w:pPr>
        <w:spacing w:after="180"/>
      </w:pPr>
    </w:p>
    <w:p w14:paraId="20AE0F8F" w14:textId="77777777" w:rsidR="00B626E7" w:rsidRDefault="00B626E7">
      <w:pPr>
        <w:spacing w:after="180"/>
      </w:pPr>
    </w:p>
    <w:p w14:paraId="20AE0F90" w14:textId="77777777" w:rsidR="00B626E7" w:rsidRDefault="00B626E7">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4"/>
        <w:gridCol w:w="2423"/>
        <w:gridCol w:w="84"/>
        <w:gridCol w:w="83"/>
        <w:gridCol w:w="3471"/>
        <w:gridCol w:w="83"/>
        <w:gridCol w:w="83"/>
        <w:gridCol w:w="1942"/>
        <w:gridCol w:w="83"/>
      </w:tblGrid>
      <w:tr w:rsidR="00B626E7" w14:paraId="20AE0F9A" w14:textId="77777777">
        <w:tc>
          <w:tcPr>
            <w:tcW w:w="50" w:type="pct"/>
            <w:shd w:val="clear" w:color="auto" w:fill="auto"/>
            <w:vAlign w:val="bottom"/>
          </w:tcPr>
          <w:p w14:paraId="20AE0F91" w14:textId="77777777" w:rsidR="00B626E7" w:rsidRDefault="00B626E7">
            <w:pPr>
              <w:rPr>
                <w:rFonts w:ascii="宋体"/>
              </w:rPr>
            </w:pPr>
          </w:p>
        </w:tc>
        <w:tc>
          <w:tcPr>
            <w:tcW w:w="1452" w:type="pct"/>
            <w:shd w:val="clear" w:color="auto" w:fill="auto"/>
            <w:vAlign w:val="bottom"/>
          </w:tcPr>
          <w:p w14:paraId="20AE0F92" w14:textId="77777777" w:rsidR="00B626E7" w:rsidRDefault="00B626E7">
            <w:pPr>
              <w:rPr>
                <w:rFonts w:ascii="宋体"/>
              </w:rPr>
            </w:pPr>
          </w:p>
        </w:tc>
        <w:tc>
          <w:tcPr>
            <w:tcW w:w="50" w:type="pct"/>
            <w:shd w:val="clear" w:color="auto" w:fill="auto"/>
            <w:vAlign w:val="bottom"/>
          </w:tcPr>
          <w:p w14:paraId="20AE0F93" w14:textId="77777777" w:rsidR="00B626E7" w:rsidRDefault="00B626E7">
            <w:pPr>
              <w:rPr>
                <w:rFonts w:ascii="宋体"/>
              </w:rPr>
            </w:pPr>
          </w:p>
        </w:tc>
        <w:tc>
          <w:tcPr>
            <w:tcW w:w="50" w:type="pct"/>
            <w:shd w:val="clear" w:color="auto" w:fill="auto"/>
            <w:vAlign w:val="bottom"/>
          </w:tcPr>
          <w:p w14:paraId="20AE0F94" w14:textId="77777777" w:rsidR="00B626E7" w:rsidRDefault="00B626E7">
            <w:pPr>
              <w:rPr>
                <w:rFonts w:ascii="宋体"/>
              </w:rPr>
            </w:pPr>
          </w:p>
        </w:tc>
        <w:tc>
          <w:tcPr>
            <w:tcW w:w="2081" w:type="pct"/>
            <w:shd w:val="clear" w:color="auto" w:fill="auto"/>
            <w:vAlign w:val="bottom"/>
          </w:tcPr>
          <w:p w14:paraId="20AE0F95" w14:textId="77777777" w:rsidR="00B626E7" w:rsidRDefault="00B626E7">
            <w:pPr>
              <w:rPr>
                <w:rFonts w:ascii="宋体"/>
              </w:rPr>
            </w:pPr>
          </w:p>
        </w:tc>
        <w:tc>
          <w:tcPr>
            <w:tcW w:w="50" w:type="pct"/>
            <w:shd w:val="clear" w:color="auto" w:fill="auto"/>
            <w:vAlign w:val="bottom"/>
          </w:tcPr>
          <w:p w14:paraId="20AE0F96" w14:textId="77777777" w:rsidR="00B626E7" w:rsidRDefault="00B626E7">
            <w:pPr>
              <w:rPr>
                <w:rFonts w:ascii="宋体"/>
              </w:rPr>
            </w:pPr>
          </w:p>
        </w:tc>
        <w:tc>
          <w:tcPr>
            <w:tcW w:w="50" w:type="pct"/>
            <w:shd w:val="clear" w:color="auto" w:fill="auto"/>
            <w:vAlign w:val="bottom"/>
          </w:tcPr>
          <w:p w14:paraId="20AE0F97" w14:textId="77777777" w:rsidR="00B626E7" w:rsidRDefault="00B626E7">
            <w:pPr>
              <w:rPr>
                <w:rFonts w:ascii="宋体"/>
              </w:rPr>
            </w:pPr>
          </w:p>
        </w:tc>
        <w:tc>
          <w:tcPr>
            <w:tcW w:w="1165" w:type="pct"/>
            <w:shd w:val="clear" w:color="auto" w:fill="auto"/>
            <w:vAlign w:val="bottom"/>
          </w:tcPr>
          <w:p w14:paraId="20AE0F98" w14:textId="77777777" w:rsidR="00B626E7" w:rsidRDefault="00B626E7">
            <w:pPr>
              <w:rPr>
                <w:rFonts w:ascii="宋体"/>
              </w:rPr>
            </w:pPr>
          </w:p>
        </w:tc>
        <w:tc>
          <w:tcPr>
            <w:tcW w:w="50" w:type="pct"/>
            <w:shd w:val="clear" w:color="auto" w:fill="auto"/>
            <w:vAlign w:val="bottom"/>
          </w:tcPr>
          <w:p w14:paraId="20AE0F99" w14:textId="77777777" w:rsidR="00B626E7" w:rsidRDefault="00B626E7">
            <w:pPr>
              <w:rPr>
                <w:rFonts w:ascii="宋体"/>
              </w:rPr>
            </w:pPr>
          </w:p>
        </w:tc>
      </w:tr>
      <w:tr w:rsidR="00B626E7" w14:paraId="20AE0F9E" w14:textId="77777777">
        <w:tc>
          <w:tcPr>
            <w:tcW w:w="0" w:type="auto"/>
            <w:gridSpan w:val="3"/>
            <w:tcBorders>
              <w:top w:val="single" w:sz="8" w:space="0" w:color="0071C5"/>
            </w:tcBorders>
            <w:shd w:val="clear" w:color="auto" w:fill="auto"/>
            <w:tcMar>
              <w:top w:w="40" w:type="dxa"/>
              <w:left w:w="20" w:type="dxa"/>
              <w:bottom w:w="40" w:type="dxa"/>
              <w:right w:w="20" w:type="dxa"/>
            </w:tcMar>
            <w:vAlign w:val="center"/>
          </w:tcPr>
          <w:p w14:paraId="20AE0F9B" w14:textId="77777777" w:rsidR="00B626E7" w:rsidRDefault="00175C1D">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Viewer10_files/intc-20200627_g15.jpg"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3E" wp14:editId="20AE3C3F">
                  <wp:extent cx="304800" cy="304800"/>
                  <wp:effectExtent l="0" t="0" r="0" b="0"/>
                  <wp:docPr id="14" name="图片 65"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5" descr="IMG_28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Arial" w:eastAsia="宋体" w:hAnsi="Arial" w:cs="Arial"/>
                <w:color w:val="333333"/>
                <w:sz w:val="16"/>
                <w:szCs w:val="16"/>
              </w:rPr>
              <w:t>FINANCIAL STATEMENTS</w:t>
            </w:r>
          </w:p>
        </w:tc>
        <w:tc>
          <w:tcPr>
            <w:tcW w:w="0" w:type="auto"/>
            <w:gridSpan w:val="3"/>
            <w:tcBorders>
              <w:top w:val="single" w:sz="8" w:space="0" w:color="0071C5"/>
              <w:left w:val="single" w:sz="24" w:space="0" w:color="0071C5"/>
            </w:tcBorders>
            <w:shd w:val="clear" w:color="auto" w:fill="auto"/>
            <w:tcMar>
              <w:top w:w="40" w:type="dxa"/>
              <w:left w:w="20" w:type="dxa"/>
              <w:bottom w:w="40" w:type="dxa"/>
              <w:right w:w="20" w:type="dxa"/>
            </w:tcMar>
            <w:vAlign w:val="bottom"/>
          </w:tcPr>
          <w:p w14:paraId="20AE0F9C" w14:textId="77777777" w:rsidR="00B626E7" w:rsidRDefault="00175C1D">
            <w:pPr>
              <w:textAlignment w:val="bottom"/>
            </w:pPr>
            <w:r>
              <w:rPr>
                <w:rFonts w:ascii="Arial" w:eastAsia="宋体" w:hAnsi="Arial" w:cs="Arial"/>
                <w:color w:val="333333"/>
                <w:sz w:val="16"/>
                <w:szCs w:val="16"/>
              </w:rPr>
              <w:t>  Notes to Financial Statements</w:t>
            </w: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0F9D" w14:textId="77777777" w:rsidR="00B626E7" w:rsidRDefault="00175C1D">
            <w:pPr>
              <w:jc w:val="right"/>
              <w:textAlignment w:val="bottom"/>
            </w:pPr>
            <w:r>
              <w:rPr>
                <w:rFonts w:ascii="Arial" w:eastAsia="宋体" w:hAnsi="Arial" w:cs="Arial"/>
                <w:color w:val="333333"/>
                <w:sz w:val="16"/>
                <w:szCs w:val="16"/>
              </w:rPr>
              <w:t>13</w:t>
            </w:r>
          </w:p>
        </w:tc>
      </w:tr>
    </w:tbl>
    <w:p w14:paraId="20AE0F9F" w14:textId="77777777" w:rsidR="00B626E7" w:rsidRDefault="00175C1D">
      <w:r>
        <w:pict w14:anchorId="20AE3C40">
          <v:rect id="_x0000_i1039" style="width:415.3pt;height:1.5pt" o:hralign="center" o:hrstd="t" o:hr="t" fillcolor="#a0a0a0" stroked="f"/>
        </w:pict>
      </w:r>
    </w:p>
    <w:p w14:paraId="20AE0FA0" w14:textId="77777777" w:rsidR="00B626E7" w:rsidRDefault="00175C1D">
      <w:pPr>
        <w:spacing w:after="180"/>
        <w:jc w:val="right"/>
      </w:pPr>
      <w:hyperlink r:id="rId41" w:anchor="ib035cc8759904e51927d703ec8414366_7" w:history="1">
        <w:r>
          <w:rPr>
            <w:rStyle w:val="a5"/>
            <w:rFonts w:ascii="Arial" w:eastAsia="宋体" w:hAnsi="Arial" w:cs="Arial"/>
            <w:b/>
            <w:bCs/>
            <w:sz w:val="16"/>
            <w:szCs w:val="16"/>
          </w:rPr>
          <w:t>Table of Contents</w:t>
        </w:r>
      </w:hyperlink>
    </w:p>
    <w:p w14:paraId="20AE0FA1" w14:textId="77777777" w:rsidR="00B626E7" w:rsidRDefault="00B626E7">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84"/>
        <w:gridCol w:w="937"/>
        <w:gridCol w:w="83"/>
        <w:gridCol w:w="83"/>
        <w:gridCol w:w="7066"/>
        <w:gridCol w:w="83"/>
      </w:tblGrid>
      <w:tr w:rsidR="00B626E7" w14:paraId="20AE0FA8" w14:textId="77777777">
        <w:tc>
          <w:tcPr>
            <w:tcW w:w="50" w:type="pct"/>
            <w:shd w:val="clear" w:color="auto" w:fill="auto"/>
          </w:tcPr>
          <w:p w14:paraId="20AE0FA2" w14:textId="77777777" w:rsidR="00B626E7" w:rsidRDefault="00B626E7">
            <w:pPr>
              <w:rPr>
                <w:rFonts w:ascii="宋体"/>
              </w:rPr>
            </w:pPr>
          </w:p>
        </w:tc>
        <w:tc>
          <w:tcPr>
            <w:tcW w:w="562" w:type="pct"/>
            <w:shd w:val="clear" w:color="auto" w:fill="auto"/>
          </w:tcPr>
          <w:p w14:paraId="20AE0FA3" w14:textId="77777777" w:rsidR="00B626E7" w:rsidRDefault="00B626E7">
            <w:pPr>
              <w:rPr>
                <w:rFonts w:ascii="宋体"/>
              </w:rPr>
            </w:pPr>
          </w:p>
        </w:tc>
        <w:tc>
          <w:tcPr>
            <w:tcW w:w="50" w:type="pct"/>
            <w:shd w:val="clear" w:color="auto" w:fill="auto"/>
          </w:tcPr>
          <w:p w14:paraId="20AE0FA4" w14:textId="77777777" w:rsidR="00B626E7" w:rsidRDefault="00B626E7">
            <w:pPr>
              <w:rPr>
                <w:rFonts w:ascii="宋体"/>
              </w:rPr>
            </w:pPr>
          </w:p>
        </w:tc>
        <w:tc>
          <w:tcPr>
            <w:tcW w:w="50" w:type="pct"/>
            <w:shd w:val="clear" w:color="auto" w:fill="auto"/>
          </w:tcPr>
          <w:p w14:paraId="20AE0FA5" w14:textId="77777777" w:rsidR="00B626E7" w:rsidRDefault="00B626E7">
            <w:pPr>
              <w:rPr>
                <w:rFonts w:ascii="宋体"/>
              </w:rPr>
            </w:pPr>
          </w:p>
        </w:tc>
        <w:tc>
          <w:tcPr>
            <w:tcW w:w="4237" w:type="pct"/>
            <w:shd w:val="clear" w:color="auto" w:fill="auto"/>
          </w:tcPr>
          <w:p w14:paraId="20AE0FA6" w14:textId="77777777" w:rsidR="00B626E7" w:rsidRDefault="00B626E7">
            <w:pPr>
              <w:rPr>
                <w:rFonts w:ascii="宋体"/>
              </w:rPr>
            </w:pPr>
          </w:p>
        </w:tc>
        <w:tc>
          <w:tcPr>
            <w:tcW w:w="50" w:type="pct"/>
            <w:shd w:val="clear" w:color="auto" w:fill="auto"/>
          </w:tcPr>
          <w:p w14:paraId="20AE0FA7" w14:textId="77777777" w:rsidR="00B626E7" w:rsidRDefault="00B626E7">
            <w:pPr>
              <w:rPr>
                <w:rFonts w:ascii="宋体"/>
              </w:rPr>
            </w:pPr>
          </w:p>
        </w:tc>
      </w:tr>
      <w:tr w:rsidR="00B626E7" w14:paraId="20AE0FAB" w14:textId="77777777">
        <w:tc>
          <w:tcPr>
            <w:tcW w:w="0" w:type="auto"/>
            <w:gridSpan w:val="3"/>
            <w:tcBorders>
              <w:bottom w:val="single" w:sz="8" w:space="0" w:color="0071C5"/>
            </w:tcBorders>
            <w:shd w:val="clear" w:color="auto" w:fill="0071C5"/>
            <w:tcMar>
              <w:top w:w="40" w:type="dxa"/>
              <w:left w:w="20" w:type="dxa"/>
              <w:bottom w:w="40" w:type="dxa"/>
              <w:right w:w="20" w:type="dxa"/>
            </w:tcMar>
            <w:vAlign w:val="bottom"/>
          </w:tcPr>
          <w:p w14:paraId="20AE0FA9" w14:textId="77777777" w:rsidR="00B626E7" w:rsidRDefault="00175C1D">
            <w:pPr>
              <w:textAlignment w:val="bottom"/>
            </w:pPr>
            <w:r>
              <w:rPr>
                <w:rFonts w:ascii="Arial" w:eastAsia="宋体" w:hAnsi="Arial" w:cs="Arial"/>
                <w:b/>
                <w:bCs/>
                <w:color w:val="FFFFFF"/>
                <w:sz w:val="28"/>
                <w:szCs w:val="28"/>
              </w:rPr>
              <w:t xml:space="preserve">NOTE 6 : </w:t>
            </w:r>
          </w:p>
        </w:tc>
        <w:tc>
          <w:tcPr>
            <w:tcW w:w="0" w:type="auto"/>
            <w:gridSpan w:val="3"/>
            <w:tcBorders>
              <w:bottom w:val="single" w:sz="8" w:space="0" w:color="0071C5"/>
            </w:tcBorders>
            <w:shd w:val="clear" w:color="auto" w:fill="auto"/>
            <w:tcMar>
              <w:top w:w="40" w:type="dxa"/>
              <w:left w:w="20" w:type="dxa"/>
              <w:bottom w:w="40" w:type="dxa"/>
              <w:right w:w="20" w:type="dxa"/>
            </w:tcMar>
            <w:vAlign w:val="bottom"/>
          </w:tcPr>
          <w:p w14:paraId="20AE0FAA" w14:textId="77777777" w:rsidR="00B626E7" w:rsidRDefault="00175C1D">
            <w:pPr>
              <w:textAlignment w:val="bottom"/>
            </w:pPr>
            <w:r>
              <w:rPr>
                <w:rFonts w:ascii="Arial" w:eastAsia="宋体" w:hAnsi="Arial" w:cs="Arial"/>
                <w:b/>
                <w:bCs/>
                <w:color w:val="0071C5"/>
                <w:sz w:val="28"/>
                <w:szCs w:val="28"/>
              </w:rPr>
              <w:t>RESTRUCTURING AND OTHER CHARGES</w:t>
            </w:r>
          </w:p>
        </w:tc>
      </w:tr>
    </w:tbl>
    <w:p w14:paraId="20AE0FAC" w14:textId="77777777" w:rsidR="00B626E7" w:rsidRDefault="00175C1D">
      <w:pPr>
        <w:spacing w:before="180" w:after="180"/>
      </w:pPr>
      <w:r>
        <w:rPr>
          <w:rFonts w:ascii="Arial" w:eastAsia="宋体" w:hAnsi="Arial" w:cs="Arial"/>
          <w:color w:val="333333"/>
          <w:sz w:val="18"/>
          <w:szCs w:val="18"/>
        </w:rPr>
        <w:t xml:space="preserve">A restructuring program was approved in the first quarter of 2020 to further align our workforce with our continuing investments in the business and to execute the planned divestiture of Home Gateway Platform, a division of CCG. We expect these actions to </w:t>
      </w:r>
      <w:r>
        <w:rPr>
          <w:rFonts w:ascii="Arial" w:eastAsia="宋体" w:hAnsi="Arial" w:cs="Arial"/>
          <w:color w:val="333333"/>
          <w:sz w:val="18"/>
          <w:szCs w:val="18"/>
        </w:rPr>
        <w:t xml:space="preserve">be substantially complete in the third quarter of 2020. </w:t>
      </w:r>
    </w:p>
    <w:p w14:paraId="20AE0FAD" w14:textId="77777777" w:rsidR="00B626E7" w:rsidRDefault="00175C1D">
      <w:pPr>
        <w:spacing w:after="180"/>
      </w:pPr>
      <w:r>
        <w:rPr>
          <w:rFonts w:ascii="Arial" w:eastAsia="宋体" w:hAnsi="Arial" w:cs="Arial"/>
          <w:color w:val="333333"/>
          <w:sz w:val="18"/>
          <w:szCs w:val="18"/>
        </w:rPr>
        <w:t>A restructuring program was approved in the second quarter of 2019 to align our workforce with our exit of the smartphone modem business. We expect these actions to be substantially complete in the t</w:t>
      </w:r>
      <w:r>
        <w:rPr>
          <w:rFonts w:ascii="Arial" w:eastAsia="宋体" w:hAnsi="Arial" w:cs="Arial"/>
          <w:color w:val="333333"/>
          <w:sz w:val="18"/>
          <w:szCs w:val="18"/>
        </w:rPr>
        <w:t>hird quarter of 2020.</w:t>
      </w:r>
    </w:p>
    <w:p w14:paraId="20AE0FAE" w14:textId="77777777" w:rsidR="00B626E7" w:rsidRDefault="00175C1D">
      <w:pPr>
        <w:spacing w:after="120"/>
      </w:pPr>
      <w:r>
        <w:rPr>
          <w:rFonts w:ascii="Arial" w:eastAsia="宋体" w:hAnsi="Arial" w:cs="Arial"/>
          <w:color w:val="333333"/>
          <w:sz w:val="18"/>
          <w:szCs w:val="18"/>
        </w:rPr>
        <w:t>Restructuring and other charges by type for each period were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3698"/>
        <w:gridCol w:w="36"/>
        <w:gridCol w:w="36"/>
        <w:gridCol w:w="36"/>
        <w:gridCol w:w="36"/>
        <w:gridCol w:w="137"/>
        <w:gridCol w:w="629"/>
        <w:gridCol w:w="87"/>
        <w:gridCol w:w="36"/>
        <w:gridCol w:w="36"/>
        <w:gridCol w:w="36"/>
        <w:gridCol w:w="136"/>
        <w:gridCol w:w="715"/>
        <w:gridCol w:w="86"/>
        <w:gridCol w:w="36"/>
        <w:gridCol w:w="36"/>
        <w:gridCol w:w="36"/>
        <w:gridCol w:w="136"/>
        <w:gridCol w:w="715"/>
        <w:gridCol w:w="86"/>
        <w:gridCol w:w="36"/>
        <w:gridCol w:w="36"/>
        <w:gridCol w:w="36"/>
        <w:gridCol w:w="136"/>
        <w:gridCol w:w="715"/>
        <w:gridCol w:w="86"/>
        <w:gridCol w:w="36"/>
        <w:gridCol w:w="36"/>
        <w:gridCol w:w="36"/>
        <w:gridCol w:w="36"/>
        <w:gridCol w:w="36"/>
        <w:gridCol w:w="36"/>
        <w:gridCol w:w="36"/>
        <w:gridCol w:w="36"/>
        <w:gridCol w:w="36"/>
        <w:gridCol w:w="36"/>
        <w:gridCol w:w="36"/>
        <w:gridCol w:w="36"/>
        <w:gridCol w:w="36"/>
      </w:tblGrid>
      <w:tr w:rsidR="00B626E7" w14:paraId="20AE0FCB" w14:textId="77777777">
        <w:trPr>
          <w:gridAfter w:val="12"/>
        </w:trPr>
        <w:tc>
          <w:tcPr>
            <w:tcW w:w="50" w:type="pct"/>
            <w:shd w:val="clear" w:color="auto" w:fill="auto"/>
          </w:tcPr>
          <w:p w14:paraId="20AE0FAF" w14:textId="77777777" w:rsidR="00B626E7" w:rsidRDefault="00B626E7">
            <w:pPr>
              <w:rPr>
                <w:rFonts w:ascii="宋体"/>
              </w:rPr>
            </w:pPr>
          </w:p>
        </w:tc>
        <w:tc>
          <w:tcPr>
            <w:tcW w:w="2406" w:type="pct"/>
            <w:shd w:val="clear" w:color="auto" w:fill="auto"/>
          </w:tcPr>
          <w:p w14:paraId="20AE0FB0" w14:textId="77777777" w:rsidR="00B626E7" w:rsidRDefault="00B626E7">
            <w:pPr>
              <w:rPr>
                <w:rFonts w:ascii="宋体"/>
              </w:rPr>
            </w:pPr>
          </w:p>
        </w:tc>
        <w:tc>
          <w:tcPr>
            <w:tcW w:w="50" w:type="pct"/>
            <w:shd w:val="clear" w:color="auto" w:fill="auto"/>
          </w:tcPr>
          <w:p w14:paraId="20AE0FB1" w14:textId="77777777" w:rsidR="00B626E7" w:rsidRDefault="00B626E7">
            <w:pPr>
              <w:rPr>
                <w:rFonts w:ascii="宋体"/>
              </w:rPr>
            </w:pPr>
          </w:p>
        </w:tc>
        <w:tc>
          <w:tcPr>
            <w:tcW w:w="5" w:type="pct"/>
            <w:shd w:val="clear" w:color="auto" w:fill="auto"/>
          </w:tcPr>
          <w:p w14:paraId="20AE0FB2" w14:textId="77777777" w:rsidR="00B626E7" w:rsidRDefault="00B626E7">
            <w:pPr>
              <w:rPr>
                <w:rFonts w:ascii="宋体"/>
              </w:rPr>
            </w:pPr>
          </w:p>
        </w:tc>
        <w:tc>
          <w:tcPr>
            <w:tcW w:w="24" w:type="pct"/>
            <w:shd w:val="clear" w:color="auto" w:fill="auto"/>
          </w:tcPr>
          <w:p w14:paraId="20AE0FB3" w14:textId="77777777" w:rsidR="00B626E7" w:rsidRDefault="00B626E7">
            <w:pPr>
              <w:rPr>
                <w:rFonts w:ascii="宋体"/>
              </w:rPr>
            </w:pPr>
          </w:p>
        </w:tc>
        <w:tc>
          <w:tcPr>
            <w:tcW w:w="5" w:type="pct"/>
            <w:shd w:val="clear" w:color="auto" w:fill="auto"/>
          </w:tcPr>
          <w:p w14:paraId="20AE0FB4" w14:textId="77777777" w:rsidR="00B626E7" w:rsidRDefault="00B626E7">
            <w:pPr>
              <w:rPr>
                <w:rFonts w:ascii="宋体"/>
              </w:rPr>
            </w:pPr>
          </w:p>
        </w:tc>
        <w:tc>
          <w:tcPr>
            <w:tcW w:w="50" w:type="pct"/>
            <w:shd w:val="clear" w:color="auto" w:fill="auto"/>
          </w:tcPr>
          <w:p w14:paraId="20AE0FB5" w14:textId="77777777" w:rsidR="00B626E7" w:rsidRDefault="00B626E7">
            <w:pPr>
              <w:rPr>
                <w:rFonts w:ascii="宋体"/>
              </w:rPr>
            </w:pPr>
          </w:p>
        </w:tc>
        <w:tc>
          <w:tcPr>
            <w:tcW w:w="494" w:type="pct"/>
            <w:shd w:val="clear" w:color="auto" w:fill="auto"/>
          </w:tcPr>
          <w:p w14:paraId="20AE0FB6" w14:textId="77777777" w:rsidR="00B626E7" w:rsidRDefault="00B626E7">
            <w:pPr>
              <w:rPr>
                <w:rFonts w:ascii="宋体"/>
              </w:rPr>
            </w:pPr>
          </w:p>
        </w:tc>
        <w:tc>
          <w:tcPr>
            <w:tcW w:w="50" w:type="pct"/>
            <w:shd w:val="clear" w:color="auto" w:fill="auto"/>
          </w:tcPr>
          <w:p w14:paraId="20AE0FB7" w14:textId="77777777" w:rsidR="00B626E7" w:rsidRDefault="00B626E7">
            <w:pPr>
              <w:rPr>
                <w:rFonts w:ascii="宋体"/>
              </w:rPr>
            </w:pPr>
          </w:p>
        </w:tc>
        <w:tc>
          <w:tcPr>
            <w:tcW w:w="5" w:type="pct"/>
            <w:shd w:val="clear" w:color="auto" w:fill="auto"/>
          </w:tcPr>
          <w:p w14:paraId="20AE0FB8" w14:textId="77777777" w:rsidR="00B626E7" w:rsidRDefault="00B626E7">
            <w:pPr>
              <w:rPr>
                <w:rFonts w:ascii="宋体"/>
              </w:rPr>
            </w:pPr>
          </w:p>
        </w:tc>
        <w:tc>
          <w:tcPr>
            <w:tcW w:w="17" w:type="pct"/>
            <w:shd w:val="clear" w:color="auto" w:fill="auto"/>
          </w:tcPr>
          <w:p w14:paraId="20AE0FB9" w14:textId="77777777" w:rsidR="00B626E7" w:rsidRDefault="00B626E7">
            <w:pPr>
              <w:rPr>
                <w:rFonts w:ascii="宋体"/>
              </w:rPr>
            </w:pPr>
          </w:p>
        </w:tc>
        <w:tc>
          <w:tcPr>
            <w:tcW w:w="5" w:type="pct"/>
            <w:shd w:val="clear" w:color="auto" w:fill="auto"/>
          </w:tcPr>
          <w:p w14:paraId="20AE0FBA" w14:textId="77777777" w:rsidR="00B626E7" w:rsidRDefault="00B626E7">
            <w:pPr>
              <w:rPr>
                <w:rFonts w:ascii="宋体"/>
              </w:rPr>
            </w:pPr>
          </w:p>
        </w:tc>
        <w:tc>
          <w:tcPr>
            <w:tcW w:w="50" w:type="pct"/>
            <w:shd w:val="clear" w:color="auto" w:fill="auto"/>
          </w:tcPr>
          <w:p w14:paraId="20AE0FBB" w14:textId="77777777" w:rsidR="00B626E7" w:rsidRDefault="00B626E7">
            <w:pPr>
              <w:rPr>
                <w:rFonts w:ascii="宋体"/>
              </w:rPr>
            </w:pPr>
          </w:p>
        </w:tc>
        <w:tc>
          <w:tcPr>
            <w:tcW w:w="494" w:type="pct"/>
            <w:shd w:val="clear" w:color="auto" w:fill="auto"/>
          </w:tcPr>
          <w:p w14:paraId="20AE0FBC" w14:textId="77777777" w:rsidR="00B626E7" w:rsidRDefault="00B626E7">
            <w:pPr>
              <w:rPr>
                <w:rFonts w:ascii="宋体"/>
              </w:rPr>
            </w:pPr>
          </w:p>
        </w:tc>
        <w:tc>
          <w:tcPr>
            <w:tcW w:w="50" w:type="pct"/>
            <w:shd w:val="clear" w:color="auto" w:fill="auto"/>
          </w:tcPr>
          <w:p w14:paraId="20AE0FBD" w14:textId="77777777" w:rsidR="00B626E7" w:rsidRDefault="00B626E7">
            <w:pPr>
              <w:rPr>
                <w:rFonts w:ascii="宋体"/>
              </w:rPr>
            </w:pPr>
          </w:p>
        </w:tc>
        <w:tc>
          <w:tcPr>
            <w:tcW w:w="5" w:type="pct"/>
            <w:shd w:val="clear" w:color="auto" w:fill="auto"/>
          </w:tcPr>
          <w:p w14:paraId="20AE0FBE" w14:textId="77777777" w:rsidR="00B626E7" w:rsidRDefault="00B626E7">
            <w:pPr>
              <w:rPr>
                <w:rFonts w:ascii="宋体"/>
              </w:rPr>
            </w:pPr>
          </w:p>
        </w:tc>
        <w:tc>
          <w:tcPr>
            <w:tcW w:w="17" w:type="pct"/>
            <w:shd w:val="clear" w:color="auto" w:fill="auto"/>
          </w:tcPr>
          <w:p w14:paraId="20AE0FBF" w14:textId="77777777" w:rsidR="00B626E7" w:rsidRDefault="00B626E7">
            <w:pPr>
              <w:rPr>
                <w:rFonts w:ascii="宋体"/>
              </w:rPr>
            </w:pPr>
          </w:p>
        </w:tc>
        <w:tc>
          <w:tcPr>
            <w:tcW w:w="5" w:type="pct"/>
            <w:shd w:val="clear" w:color="auto" w:fill="auto"/>
          </w:tcPr>
          <w:p w14:paraId="20AE0FC0" w14:textId="77777777" w:rsidR="00B626E7" w:rsidRDefault="00B626E7">
            <w:pPr>
              <w:rPr>
                <w:rFonts w:ascii="宋体"/>
              </w:rPr>
            </w:pPr>
          </w:p>
        </w:tc>
        <w:tc>
          <w:tcPr>
            <w:tcW w:w="50" w:type="pct"/>
            <w:shd w:val="clear" w:color="auto" w:fill="auto"/>
          </w:tcPr>
          <w:p w14:paraId="20AE0FC1" w14:textId="77777777" w:rsidR="00B626E7" w:rsidRDefault="00B626E7">
            <w:pPr>
              <w:rPr>
                <w:rFonts w:ascii="宋体"/>
              </w:rPr>
            </w:pPr>
          </w:p>
        </w:tc>
        <w:tc>
          <w:tcPr>
            <w:tcW w:w="494" w:type="pct"/>
            <w:shd w:val="clear" w:color="auto" w:fill="auto"/>
          </w:tcPr>
          <w:p w14:paraId="20AE0FC2" w14:textId="77777777" w:rsidR="00B626E7" w:rsidRDefault="00B626E7">
            <w:pPr>
              <w:rPr>
                <w:rFonts w:ascii="宋体"/>
              </w:rPr>
            </w:pPr>
          </w:p>
        </w:tc>
        <w:tc>
          <w:tcPr>
            <w:tcW w:w="50" w:type="pct"/>
            <w:shd w:val="clear" w:color="auto" w:fill="auto"/>
          </w:tcPr>
          <w:p w14:paraId="20AE0FC3" w14:textId="77777777" w:rsidR="00B626E7" w:rsidRDefault="00B626E7">
            <w:pPr>
              <w:rPr>
                <w:rFonts w:ascii="宋体"/>
              </w:rPr>
            </w:pPr>
          </w:p>
        </w:tc>
        <w:tc>
          <w:tcPr>
            <w:tcW w:w="5" w:type="pct"/>
            <w:shd w:val="clear" w:color="auto" w:fill="auto"/>
          </w:tcPr>
          <w:p w14:paraId="20AE0FC4" w14:textId="77777777" w:rsidR="00B626E7" w:rsidRDefault="00B626E7">
            <w:pPr>
              <w:rPr>
                <w:rFonts w:ascii="宋体"/>
              </w:rPr>
            </w:pPr>
          </w:p>
        </w:tc>
        <w:tc>
          <w:tcPr>
            <w:tcW w:w="17" w:type="pct"/>
            <w:shd w:val="clear" w:color="auto" w:fill="auto"/>
          </w:tcPr>
          <w:p w14:paraId="20AE0FC5" w14:textId="77777777" w:rsidR="00B626E7" w:rsidRDefault="00B626E7">
            <w:pPr>
              <w:rPr>
                <w:rFonts w:ascii="宋体"/>
              </w:rPr>
            </w:pPr>
          </w:p>
        </w:tc>
        <w:tc>
          <w:tcPr>
            <w:tcW w:w="5" w:type="pct"/>
            <w:shd w:val="clear" w:color="auto" w:fill="auto"/>
          </w:tcPr>
          <w:p w14:paraId="20AE0FC6" w14:textId="77777777" w:rsidR="00B626E7" w:rsidRDefault="00B626E7">
            <w:pPr>
              <w:rPr>
                <w:rFonts w:ascii="宋体"/>
              </w:rPr>
            </w:pPr>
          </w:p>
        </w:tc>
        <w:tc>
          <w:tcPr>
            <w:tcW w:w="50" w:type="pct"/>
            <w:shd w:val="clear" w:color="auto" w:fill="auto"/>
          </w:tcPr>
          <w:p w14:paraId="20AE0FC7" w14:textId="77777777" w:rsidR="00B626E7" w:rsidRDefault="00B626E7">
            <w:pPr>
              <w:rPr>
                <w:rFonts w:ascii="宋体"/>
              </w:rPr>
            </w:pPr>
          </w:p>
        </w:tc>
        <w:tc>
          <w:tcPr>
            <w:tcW w:w="494" w:type="pct"/>
            <w:shd w:val="clear" w:color="auto" w:fill="auto"/>
          </w:tcPr>
          <w:p w14:paraId="20AE0FC8" w14:textId="77777777" w:rsidR="00B626E7" w:rsidRDefault="00B626E7">
            <w:pPr>
              <w:rPr>
                <w:rFonts w:ascii="宋体"/>
              </w:rPr>
            </w:pPr>
          </w:p>
        </w:tc>
        <w:tc>
          <w:tcPr>
            <w:tcW w:w="50" w:type="pct"/>
            <w:shd w:val="clear" w:color="auto" w:fill="auto"/>
          </w:tcPr>
          <w:p w14:paraId="20AE0FC9" w14:textId="77777777" w:rsidR="00B626E7" w:rsidRDefault="00B626E7">
            <w:pPr>
              <w:rPr>
                <w:rFonts w:ascii="宋体"/>
              </w:rPr>
            </w:pPr>
          </w:p>
        </w:tc>
        <w:tc>
          <w:tcPr>
            <w:tcW w:w="0" w:type="auto"/>
            <w:shd w:val="clear" w:color="auto" w:fill="auto"/>
          </w:tcPr>
          <w:p w14:paraId="20AE0FCA" w14:textId="77777777" w:rsidR="00B626E7" w:rsidRDefault="00B626E7">
            <w:pPr>
              <w:rPr>
                <w:rFonts w:ascii="宋体"/>
                <w:vanish/>
              </w:rPr>
            </w:pPr>
          </w:p>
        </w:tc>
      </w:tr>
      <w:tr w:rsidR="00B626E7" w14:paraId="20AE0FD6" w14:textId="77777777">
        <w:tc>
          <w:tcPr>
            <w:tcW w:w="0" w:type="auto"/>
            <w:gridSpan w:val="3"/>
            <w:shd w:val="clear" w:color="auto" w:fill="auto"/>
            <w:tcMar>
              <w:left w:w="20" w:type="dxa"/>
              <w:right w:w="20" w:type="dxa"/>
            </w:tcMar>
            <w:vAlign w:val="bottom"/>
          </w:tcPr>
          <w:p w14:paraId="20AE0FCC"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0FCD" w14:textId="77777777" w:rsidR="00B626E7" w:rsidRDefault="00B626E7">
            <w:pPr>
              <w:rPr>
                <w:rFonts w:ascii="宋体"/>
              </w:rPr>
            </w:pPr>
          </w:p>
        </w:tc>
        <w:tc>
          <w:tcPr>
            <w:tcW w:w="0" w:type="auto"/>
            <w:gridSpan w:val="9"/>
            <w:shd w:val="clear" w:color="auto" w:fill="auto"/>
            <w:tcMar>
              <w:top w:w="40" w:type="dxa"/>
              <w:left w:w="20" w:type="dxa"/>
              <w:bottom w:w="40" w:type="dxa"/>
              <w:right w:w="20" w:type="dxa"/>
            </w:tcMar>
            <w:vAlign w:val="bottom"/>
          </w:tcPr>
          <w:p w14:paraId="20AE0FCE" w14:textId="77777777" w:rsidR="00B626E7" w:rsidRDefault="00175C1D">
            <w:pPr>
              <w:jc w:val="center"/>
              <w:textAlignment w:val="bottom"/>
            </w:pPr>
            <w:r>
              <w:rPr>
                <w:rFonts w:ascii="Arial" w:eastAsia="宋体" w:hAnsi="Arial" w:cs="Arial"/>
                <w:b/>
                <w:bCs/>
                <w:color w:val="333333"/>
                <w:sz w:val="18"/>
                <w:szCs w:val="18"/>
              </w:rPr>
              <w:t>Three Months Ended</w:t>
            </w:r>
          </w:p>
        </w:tc>
        <w:tc>
          <w:tcPr>
            <w:tcW w:w="0" w:type="auto"/>
            <w:gridSpan w:val="3"/>
            <w:shd w:val="clear" w:color="auto" w:fill="auto"/>
          </w:tcPr>
          <w:p w14:paraId="20AE0FCF" w14:textId="77777777" w:rsidR="00B626E7" w:rsidRDefault="00B626E7">
            <w:pPr>
              <w:rPr>
                <w:rFonts w:ascii="宋体"/>
                <w:vanish/>
              </w:rPr>
            </w:pPr>
          </w:p>
        </w:tc>
        <w:tc>
          <w:tcPr>
            <w:tcW w:w="0" w:type="auto"/>
            <w:gridSpan w:val="3"/>
            <w:shd w:val="clear" w:color="auto" w:fill="auto"/>
          </w:tcPr>
          <w:p w14:paraId="20AE0FD0" w14:textId="77777777" w:rsidR="00B626E7" w:rsidRDefault="00B626E7">
            <w:pPr>
              <w:rPr>
                <w:rFonts w:ascii="宋体"/>
                <w:vanish/>
              </w:rPr>
            </w:pPr>
          </w:p>
        </w:tc>
        <w:tc>
          <w:tcPr>
            <w:tcW w:w="0" w:type="auto"/>
            <w:gridSpan w:val="3"/>
            <w:shd w:val="clear" w:color="auto" w:fill="auto"/>
            <w:tcMar>
              <w:left w:w="20" w:type="dxa"/>
              <w:right w:w="20" w:type="dxa"/>
            </w:tcMar>
            <w:vAlign w:val="bottom"/>
          </w:tcPr>
          <w:p w14:paraId="20AE0FD1" w14:textId="77777777" w:rsidR="00B626E7" w:rsidRDefault="00B626E7">
            <w:pPr>
              <w:rPr>
                <w:rFonts w:ascii="宋体"/>
              </w:rPr>
            </w:pPr>
          </w:p>
        </w:tc>
        <w:tc>
          <w:tcPr>
            <w:tcW w:w="0" w:type="auto"/>
            <w:gridSpan w:val="7"/>
            <w:shd w:val="clear" w:color="auto" w:fill="auto"/>
            <w:tcMar>
              <w:top w:w="40" w:type="dxa"/>
              <w:left w:w="20" w:type="dxa"/>
              <w:bottom w:w="40" w:type="dxa"/>
              <w:right w:w="20" w:type="dxa"/>
            </w:tcMar>
            <w:vAlign w:val="bottom"/>
          </w:tcPr>
          <w:p w14:paraId="20AE0FD2" w14:textId="77777777" w:rsidR="00B626E7" w:rsidRDefault="00175C1D">
            <w:pPr>
              <w:jc w:val="center"/>
              <w:textAlignment w:val="bottom"/>
            </w:pPr>
            <w:r>
              <w:rPr>
                <w:rFonts w:ascii="Arial" w:eastAsia="宋体" w:hAnsi="Arial" w:cs="Arial"/>
                <w:b/>
                <w:bCs/>
                <w:color w:val="333333"/>
                <w:sz w:val="18"/>
                <w:szCs w:val="18"/>
              </w:rPr>
              <w:t>Six Months Ended</w:t>
            </w:r>
          </w:p>
        </w:tc>
        <w:tc>
          <w:tcPr>
            <w:tcW w:w="0" w:type="auto"/>
            <w:gridSpan w:val="3"/>
            <w:shd w:val="clear" w:color="auto" w:fill="auto"/>
          </w:tcPr>
          <w:p w14:paraId="20AE0FD3" w14:textId="77777777" w:rsidR="00B626E7" w:rsidRDefault="00B626E7">
            <w:pPr>
              <w:rPr>
                <w:rFonts w:ascii="宋体"/>
                <w:vanish/>
              </w:rPr>
            </w:pPr>
          </w:p>
        </w:tc>
        <w:tc>
          <w:tcPr>
            <w:tcW w:w="0" w:type="auto"/>
            <w:gridSpan w:val="3"/>
            <w:shd w:val="clear" w:color="auto" w:fill="auto"/>
          </w:tcPr>
          <w:p w14:paraId="20AE0FD4" w14:textId="77777777" w:rsidR="00B626E7" w:rsidRDefault="00B626E7">
            <w:pPr>
              <w:rPr>
                <w:rFonts w:ascii="宋体"/>
                <w:vanish/>
              </w:rPr>
            </w:pPr>
          </w:p>
        </w:tc>
        <w:tc>
          <w:tcPr>
            <w:tcW w:w="0" w:type="auto"/>
            <w:gridSpan w:val="3"/>
            <w:shd w:val="clear" w:color="auto" w:fill="auto"/>
          </w:tcPr>
          <w:p w14:paraId="20AE0FD5" w14:textId="77777777" w:rsidR="00B626E7" w:rsidRDefault="00B626E7">
            <w:pPr>
              <w:rPr>
                <w:rFonts w:ascii="宋体"/>
                <w:vanish/>
              </w:rPr>
            </w:pPr>
          </w:p>
        </w:tc>
      </w:tr>
      <w:tr w:rsidR="00B626E7" w14:paraId="20AE0FED" w14:textId="77777777">
        <w:tc>
          <w:tcPr>
            <w:tcW w:w="0" w:type="auto"/>
            <w:gridSpan w:val="3"/>
            <w:shd w:val="clear" w:color="auto" w:fill="auto"/>
            <w:tcMar>
              <w:top w:w="40" w:type="dxa"/>
              <w:left w:w="20" w:type="dxa"/>
              <w:bottom w:w="40" w:type="dxa"/>
              <w:right w:w="20" w:type="dxa"/>
            </w:tcMar>
            <w:vAlign w:val="bottom"/>
          </w:tcPr>
          <w:p w14:paraId="20AE0FD7" w14:textId="77777777" w:rsidR="00B626E7" w:rsidRDefault="00175C1D">
            <w:pPr>
              <w:textAlignment w:val="bottom"/>
            </w:pPr>
            <w:r>
              <w:rPr>
                <w:rFonts w:ascii="Arial" w:eastAsia="宋体" w:hAnsi="Arial" w:cs="Arial"/>
                <w:b/>
                <w:bCs/>
                <w:color w:val="333333"/>
                <w:sz w:val="18"/>
                <w:szCs w:val="18"/>
              </w:rPr>
              <w:t>(In Millions)</w:t>
            </w:r>
          </w:p>
        </w:tc>
        <w:tc>
          <w:tcPr>
            <w:tcW w:w="0" w:type="auto"/>
            <w:gridSpan w:val="3"/>
            <w:shd w:val="clear" w:color="auto" w:fill="auto"/>
            <w:tcMar>
              <w:left w:w="20" w:type="dxa"/>
              <w:right w:w="20" w:type="dxa"/>
            </w:tcMar>
            <w:vAlign w:val="bottom"/>
          </w:tcPr>
          <w:p w14:paraId="20AE0FD8"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0FD9" w14:textId="77777777" w:rsidR="00B626E7" w:rsidRDefault="00175C1D">
            <w:pPr>
              <w:jc w:val="center"/>
              <w:textAlignment w:val="bottom"/>
            </w:pPr>
            <w:r>
              <w:rPr>
                <w:rFonts w:ascii="Arial" w:eastAsia="宋体" w:hAnsi="Arial" w:cs="Arial"/>
                <w:b/>
                <w:bCs/>
                <w:color w:val="333333"/>
                <w:sz w:val="18"/>
                <w:szCs w:val="18"/>
              </w:rPr>
              <w:t>Jun 27, 2020</w:t>
            </w:r>
          </w:p>
        </w:tc>
        <w:tc>
          <w:tcPr>
            <w:tcW w:w="0" w:type="auto"/>
            <w:gridSpan w:val="3"/>
            <w:tcBorders>
              <w:top w:val="single" w:sz="8" w:space="0" w:color="0071C5"/>
            </w:tcBorders>
            <w:shd w:val="clear" w:color="auto" w:fill="auto"/>
            <w:tcMar>
              <w:left w:w="20" w:type="dxa"/>
              <w:right w:w="20" w:type="dxa"/>
            </w:tcMar>
            <w:vAlign w:val="bottom"/>
          </w:tcPr>
          <w:p w14:paraId="20AE0FDA"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0FDB" w14:textId="77777777" w:rsidR="00B626E7" w:rsidRDefault="00175C1D">
            <w:pPr>
              <w:jc w:val="center"/>
              <w:textAlignment w:val="bottom"/>
            </w:pPr>
            <w:r>
              <w:rPr>
                <w:rFonts w:ascii="Arial" w:eastAsia="宋体" w:hAnsi="Arial" w:cs="Arial"/>
                <w:b/>
                <w:bCs/>
                <w:color w:val="333333"/>
                <w:sz w:val="18"/>
                <w:szCs w:val="18"/>
              </w:rPr>
              <w:t>Jun 29, 2019</w:t>
            </w:r>
          </w:p>
        </w:tc>
        <w:tc>
          <w:tcPr>
            <w:tcW w:w="0" w:type="auto"/>
            <w:gridSpan w:val="3"/>
            <w:shd w:val="clear" w:color="auto" w:fill="auto"/>
            <w:tcMar>
              <w:left w:w="20" w:type="dxa"/>
              <w:right w:w="20" w:type="dxa"/>
            </w:tcMar>
            <w:vAlign w:val="bottom"/>
          </w:tcPr>
          <w:p w14:paraId="20AE0FDC"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0FDD" w14:textId="77777777" w:rsidR="00B626E7" w:rsidRDefault="00175C1D">
            <w:pPr>
              <w:jc w:val="center"/>
              <w:textAlignment w:val="bottom"/>
            </w:pPr>
            <w:r>
              <w:rPr>
                <w:rFonts w:ascii="Arial" w:eastAsia="宋体" w:hAnsi="Arial" w:cs="Arial"/>
                <w:b/>
                <w:bCs/>
                <w:color w:val="333333"/>
                <w:sz w:val="18"/>
                <w:szCs w:val="18"/>
              </w:rPr>
              <w:t>Jun 27, 2020</w:t>
            </w:r>
          </w:p>
        </w:tc>
        <w:tc>
          <w:tcPr>
            <w:tcW w:w="0" w:type="auto"/>
            <w:gridSpan w:val="3"/>
            <w:tcBorders>
              <w:top w:val="single" w:sz="8" w:space="0" w:color="0071C5"/>
            </w:tcBorders>
            <w:shd w:val="clear" w:color="auto" w:fill="auto"/>
            <w:tcMar>
              <w:left w:w="20" w:type="dxa"/>
              <w:right w:w="20" w:type="dxa"/>
            </w:tcMar>
            <w:vAlign w:val="bottom"/>
          </w:tcPr>
          <w:p w14:paraId="20AE0FDE"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0FDF" w14:textId="77777777" w:rsidR="00B626E7" w:rsidRDefault="00175C1D">
            <w:pPr>
              <w:jc w:val="center"/>
              <w:textAlignment w:val="bottom"/>
            </w:pPr>
            <w:r>
              <w:rPr>
                <w:rFonts w:ascii="Arial" w:eastAsia="宋体" w:hAnsi="Arial" w:cs="Arial"/>
                <w:b/>
                <w:bCs/>
                <w:color w:val="333333"/>
                <w:sz w:val="18"/>
                <w:szCs w:val="18"/>
              </w:rPr>
              <w:t>Jun 29, 2019</w:t>
            </w:r>
          </w:p>
        </w:tc>
        <w:tc>
          <w:tcPr>
            <w:tcW w:w="0" w:type="auto"/>
            <w:shd w:val="clear" w:color="auto" w:fill="auto"/>
          </w:tcPr>
          <w:p w14:paraId="20AE0FE0" w14:textId="77777777" w:rsidR="00B626E7" w:rsidRDefault="00B626E7">
            <w:pPr>
              <w:rPr>
                <w:rFonts w:ascii="宋体"/>
                <w:vanish/>
              </w:rPr>
            </w:pPr>
          </w:p>
        </w:tc>
        <w:tc>
          <w:tcPr>
            <w:tcW w:w="0" w:type="auto"/>
            <w:shd w:val="clear" w:color="auto" w:fill="auto"/>
          </w:tcPr>
          <w:p w14:paraId="20AE0FE1" w14:textId="77777777" w:rsidR="00B626E7" w:rsidRDefault="00B626E7">
            <w:pPr>
              <w:rPr>
                <w:rFonts w:ascii="宋体"/>
              </w:rPr>
            </w:pPr>
          </w:p>
        </w:tc>
        <w:tc>
          <w:tcPr>
            <w:tcW w:w="0" w:type="auto"/>
            <w:shd w:val="clear" w:color="auto" w:fill="auto"/>
          </w:tcPr>
          <w:p w14:paraId="20AE0FE2" w14:textId="77777777" w:rsidR="00B626E7" w:rsidRDefault="00B626E7">
            <w:pPr>
              <w:rPr>
                <w:rFonts w:ascii="宋体"/>
              </w:rPr>
            </w:pPr>
          </w:p>
        </w:tc>
        <w:tc>
          <w:tcPr>
            <w:tcW w:w="0" w:type="auto"/>
            <w:shd w:val="clear" w:color="auto" w:fill="auto"/>
          </w:tcPr>
          <w:p w14:paraId="20AE0FE3" w14:textId="77777777" w:rsidR="00B626E7" w:rsidRDefault="00B626E7">
            <w:pPr>
              <w:rPr>
                <w:rFonts w:ascii="宋体"/>
              </w:rPr>
            </w:pPr>
          </w:p>
        </w:tc>
        <w:tc>
          <w:tcPr>
            <w:tcW w:w="0" w:type="auto"/>
            <w:shd w:val="clear" w:color="auto" w:fill="auto"/>
          </w:tcPr>
          <w:p w14:paraId="20AE0FE4" w14:textId="77777777" w:rsidR="00B626E7" w:rsidRDefault="00B626E7">
            <w:pPr>
              <w:rPr>
                <w:rFonts w:ascii="宋体"/>
              </w:rPr>
            </w:pPr>
          </w:p>
        </w:tc>
        <w:tc>
          <w:tcPr>
            <w:tcW w:w="0" w:type="auto"/>
            <w:shd w:val="clear" w:color="auto" w:fill="auto"/>
          </w:tcPr>
          <w:p w14:paraId="20AE0FE5" w14:textId="77777777" w:rsidR="00B626E7" w:rsidRDefault="00B626E7">
            <w:pPr>
              <w:rPr>
                <w:rFonts w:ascii="宋体"/>
              </w:rPr>
            </w:pPr>
          </w:p>
        </w:tc>
        <w:tc>
          <w:tcPr>
            <w:tcW w:w="0" w:type="auto"/>
            <w:shd w:val="clear" w:color="auto" w:fill="auto"/>
          </w:tcPr>
          <w:p w14:paraId="20AE0FE6" w14:textId="77777777" w:rsidR="00B626E7" w:rsidRDefault="00B626E7">
            <w:pPr>
              <w:rPr>
                <w:rFonts w:ascii="宋体"/>
              </w:rPr>
            </w:pPr>
          </w:p>
        </w:tc>
        <w:tc>
          <w:tcPr>
            <w:tcW w:w="0" w:type="auto"/>
            <w:shd w:val="clear" w:color="auto" w:fill="auto"/>
          </w:tcPr>
          <w:p w14:paraId="20AE0FE7" w14:textId="77777777" w:rsidR="00B626E7" w:rsidRDefault="00B626E7">
            <w:pPr>
              <w:rPr>
                <w:rFonts w:ascii="宋体"/>
              </w:rPr>
            </w:pPr>
          </w:p>
        </w:tc>
        <w:tc>
          <w:tcPr>
            <w:tcW w:w="0" w:type="auto"/>
            <w:shd w:val="clear" w:color="auto" w:fill="auto"/>
          </w:tcPr>
          <w:p w14:paraId="20AE0FE8" w14:textId="77777777" w:rsidR="00B626E7" w:rsidRDefault="00B626E7">
            <w:pPr>
              <w:rPr>
                <w:rFonts w:ascii="宋体"/>
              </w:rPr>
            </w:pPr>
          </w:p>
        </w:tc>
        <w:tc>
          <w:tcPr>
            <w:tcW w:w="0" w:type="auto"/>
            <w:shd w:val="clear" w:color="auto" w:fill="auto"/>
          </w:tcPr>
          <w:p w14:paraId="20AE0FE9" w14:textId="77777777" w:rsidR="00B626E7" w:rsidRDefault="00B626E7">
            <w:pPr>
              <w:rPr>
                <w:rFonts w:ascii="宋体"/>
              </w:rPr>
            </w:pPr>
          </w:p>
        </w:tc>
        <w:tc>
          <w:tcPr>
            <w:tcW w:w="0" w:type="auto"/>
            <w:shd w:val="clear" w:color="auto" w:fill="auto"/>
          </w:tcPr>
          <w:p w14:paraId="20AE0FEA" w14:textId="77777777" w:rsidR="00B626E7" w:rsidRDefault="00B626E7">
            <w:pPr>
              <w:rPr>
                <w:rFonts w:ascii="宋体"/>
              </w:rPr>
            </w:pPr>
          </w:p>
        </w:tc>
        <w:tc>
          <w:tcPr>
            <w:tcW w:w="0" w:type="auto"/>
            <w:shd w:val="clear" w:color="auto" w:fill="auto"/>
          </w:tcPr>
          <w:p w14:paraId="20AE0FEB" w14:textId="77777777" w:rsidR="00B626E7" w:rsidRDefault="00B626E7">
            <w:pPr>
              <w:rPr>
                <w:rFonts w:ascii="宋体"/>
              </w:rPr>
            </w:pPr>
          </w:p>
        </w:tc>
        <w:tc>
          <w:tcPr>
            <w:tcW w:w="0" w:type="auto"/>
            <w:shd w:val="clear" w:color="auto" w:fill="auto"/>
          </w:tcPr>
          <w:p w14:paraId="20AE0FEC" w14:textId="77777777" w:rsidR="00B626E7" w:rsidRDefault="00B626E7">
            <w:pPr>
              <w:rPr>
                <w:rFonts w:ascii="宋体"/>
              </w:rPr>
            </w:pPr>
          </w:p>
        </w:tc>
      </w:tr>
      <w:tr w:rsidR="00B626E7" w14:paraId="20AE100C" w14:textId="77777777">
        <w:tc>
          <w:tcPr>
            <w:tcW w:w="0" w:type="auto"/>
            <w:gridSpan w:val="3"/>
            <w:tcBorders>
              <w:top w:val="single" w:sz="8" w:space="0" w:color="0071C5"/>
            </w:tcBorders>
            <w:shd w:val="clear" w:color="auto" w:fill="auto"/>
            <w:tcMar>
              <w:top w:w="40" w:type="dxa"/>
              <w:left w:w="20" w:type="dxa"/>
              <w:bottom w:w="40" w:type="dxa"/>
              <w:right w:w="20" w:type="dxa"/>
            </w:tcMar>
          </w:tcPr>
          <w:p w14:paraId="20AE0FEE" w14:textId="77777777" w:rsidR="00B626E7" w:rsidRDefault="00175C1D">
            <w:pPr>
              <w:textAlignment w:val="top"/>
            </w:pPr>
            <w:r>
              <w:rPr>
                <w:rFonts w:ascii="Arial" w:eastAsia="宋体" w:hAnsi="Arial" w:cs="Arial"/>
                <w:color w:val="333333"/>
                <w:sz w:val="18"/>
                <w:szCs w:val="18"/>
              </w:rPr>
              <w:t>Em</w:t>
            </w:r>
            <w:r>
              <w:rPr>
                <w:rFonts w:ascii="Arial" w:eastAsia="宋体" w:hAnsi="Arial" w:cs="Arial"/>
                <w:color w:val="333333"/>
                <w:sz w:val="18"/>
                <w:szCs w:val="18"/>
              </w:rPr>
              <w:t>ployee severance and benefit arrangements</w:t>
            </w:r>
          </w:p>
        </w:tc>
        <w:tc>
          <w:tcPr>
            <w:tcW w:w="0" w:type="auto"/>
            <w:gridSpan w:val="3"/>
            <w:shd w:val="clear" w:color="auto" w:fill="auto"/>
            <w:tcMar>
              <w:left w:w="20" w:type="dxa"/>
              <w:right w:w="20" w:type="dxa"/>
            </w:tcMar>
            <w:vAlign w:val="bottom"/>
          </w:tcPr>
          <w:p w14:paraId="20AE0FEF"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0FF0" w14:textId="77777777" w:rsidR="00B626E7" w:rsidRDefault="00175C1D">
            <w:pPr>
              <w:textAlignment w:val="bottom"/>
            </w:pPr>
            <w:r>
              <w:rPr>
                <w:rFonts w:ascii="Arial" w:eastAsia="宋体" w:hAnsi="Arial" w:cs="Arial"/>
                <w:color w:val="026DCE"/>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0FF1" w14:textId="77777777" w:rsidR="00B626E7" w:rsidRDefault="00175C1D">
            <w:pPr>
              <w:jc w:val="right"/>
              <w:textAlignment w:val="bottom"/>
            </w:pPr>
            <w:r>
              <w:rPr>
                <w:rFonts w:ascii="Arial" w:eastAsia="宋体" w:hAnsi="Arial" w:cs="Arial"/>
                <w:color w:val="026DCE"/>
                <w:sz w:val="18"/>
                <w:szCs w:val="18"/>
              </w:rPr>
              <w:t>1 </w:t>
            </w:r>
          </w:p>
        </w:tc>
        <w:tc>
          <w:tcPr>
            <w:tcW w:w="0" w:type="auto"/>
            <w:tcBorders>
              <w:top w:val="single" w:sz="8" w:space="0" w:color="0071C5"/>
            </w:tcBorders>
            <w:shd w:val="clear" w:color="auto" w:fill="auto"/>
            <w:tcMar>
              <w:top w:w="40" w:type="dxa"/>
              <w:bottom w:w="40" w:type="dxa"/>
              <w:right w:w="20" w:type="dxa"/>
            </w:tcMar>
            <w:vAlign w:val="bottom"/>
          </w:tcPr>
          <w:p w14:paraId="20AE0FF2"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0FF3"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0FF4" w14:textId="77777777" w:rsidR="00B626E7" w:rsidRDefault="00175C1D">
            <w:pPr>
              <w:textAlignment w:val="bottom"/>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0FF5" w14:textId="77777777" w:rsidR="00B626E7" w:rsidRDefault="00175C1D">
            <w:pPr>
              <w:jc w:val="right"/>
              <w:textAlignment w:val="bottom"/>
            </w:pPr>
            <w:r>
              <w:rPr>
                <w:rFonts w:ascii="Arial" w:eastAsia="宋体" w:hAnsi="Arial" w:cs="Arial"/>
                <w:color w:val="333333"/>
                <w:sz w:val="18"/>
                <w:szCs w:val="18"/>
              </w:rPr>
              <w:t>168 </w:t>
            </w:r>
          </w:p>
        </w:tc>
        <w:tc>
          <w:tcPr>
            <w:tcW w:w="0" w:type="auto"/>
            <w:tcBorders>
              <w:top w:val="single" w:sz="8" w:space="0" w:color="0071C5"/>
            </w:tcBorders>
            <w:shd w:val="clear" w:color="auto" w:fill="auto"/>
            <w:tcMar>
              <w:top w:w="40" w:type="dxa"/>
              <w:bottom w:w="40" w:type="dxa"/>
              <w:right w:w="20" w:type="dxa"/>
            </w:tcMar>
            <w:vAlign w:val="bottom"/>
          </w:tcPr>
          <w:p w14:paraId="20AE0FF6"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0FF7"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0FF8" w14:textId="77777777" w:rsidR="00B626E7" w:rsidRDefault="00175C1D">
            <w:pPr>
              <w:textAlignment w:val="bottom"/>
            </w:pPr>
            <w:r>
              <w:rPr>
                <w:rFonts w:ascii="Arial" w:eastAsia="宋体" w:hAnsi="Arial" w:cs="Arial"/>
                <w:color w:val="0071C5"/>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0FF9" w14:textId="77777777" w:rsidR="00B626E7" w:rsidRDefault="00175C1D">
            <w:pPr>
              <w:jc w:val="right"/>
              <w:textAlignment w:val="bottom"/>
            </w:pPr>
            <w:r>
              <w:rPr>
                <w:rFonts w:ascii="Arial" w:eastAsia="宋体" w:hAnsi="Arial" w:cs="Arial"/>
                <w:color w:val="0071C5"/>
                <w:sz w:val="18"/>
                <w:szCs w:val="18"/>
              </w:rPr>
              <w:t>106 </w:t>
            </w:r>
          </w:p>
        </w:tc>
        <w:tc>
          <w:tcPr>
            <w:tcW w:w="0" w:type="auto"/>
            <w:tcBorders>
              <w:top w:val="single" w:sz="8" w:space="0" w:color="0071C5"/>
            </w:tcBorders>
            <w:shd w:val="clear" w:color="auto" w:fill="auto"/>
            <w:tcMar>
              <w:top w:w="40" w:type="dxa"/>
              <w:bottom w:w="40" w:type="dxa"/>
              <w:right w:w="20" w:type="dxa"/>
            </w:tcMar>
            <w:vAlign w:val="bottom"/>
          </w:tcPr>
          <w:p w14:paraId="20AE0FFA"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0FFB"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0FFC" w14:textId="77777777" w:rsidR="00B626E7" w:rsidRDefault="00175C1D">
            <w:pPr>
              <w:textAlignment w:val="bottom"/>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0FFD" w14:textId="77777777" w:rsidR="00B626E7" w:rsidRDefault="00175C1D">
            <w:pPr>
              <w:jc w:val="right"/>
              <w:textAlignment w:val="bottom"/>
            </w:pPr>
            <w:r>
              <w:rPr>
                <w:rFonts w:ascii="Arial" w:eastAsia="宋体" w:hAnsi="Arial" w:cs="Arial"/>
                <w:color w:val="333333"/>
                <w:sz w:val="18"/>
                <w:szCs w:val="18"/>
              </w:rPr>
              <w:t>168 </w:t>
            </w:r>
          </w:p>
        </w:tc>
        <w:tc>
          <w:tcPr>
            <w:tcW w:w="0" w:type="auto"/>
            <w:tcBorders>
              <w:top w:val="single" w:sz="8" w:space="0" w:color="0071C5"/>
            </w:tcBorders>
            <w:shd w:val="clear" w:color="auto" w:fill="auto"/>
            <w:tcMar>
              <w:top w:w="40" w:type="dxa"/>
              <w:bottom w:w="40" w:type="dxa"/>
              <w:right w:w="20" w:type="dxa"/>
            </w:tcMar>
            <w:vAlign w:val="bottom"/>
          </w:tcPr>
          <w:p w14:paraId="20AE0FFE"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0FFF" w14:textId="77777777" w:rsidR="00B626E7" w:rsidRDefault="00B626E7">
            <w:pPr>
              <w:rPr>
                <w:rFonts w:ascii="宋体"/>
                <w:vanish/>
              </w:rPr>
            </w:pPr>
          </w:p>
        </w:tc>
        <w:tc>
          <w:tcPr>
            <w:tcW w:w="0" w:type="auto"/>
            <w:shd w:val="clear" w:color="auto" w:fill="auto"/>
          </w:tcPr>
          <w:p w14:paraId="20AE1000" w14:textId="77777777" w:rsidR="00B626E7" w:rsidRDefault="00B626E7">
            <w:pPr>
              <w:rPr>
                <w:rFonts w:ascii="宋体"/>
              </w:rPr>
            </w:pPr>
          </w:p>
        </w:tc>
        <w:tc>
          <w:tcPr>
            <w:tcW w:w="0" w:type="auto"/>
            <w:shd w:val="clear" w:color="auto" w:fill="auto"/>
          </w:tcPr>
          <w:p w14:paraId="20AE1001" w14:textId="77777777" w:rsidR="00B626E7" w:rsidRDefault="00B626E7">
            <w:pPr>
              <w:rPr>
                <w:rFonts w:ascii="宋体"/>
              </w:rPr>
            </w:pPr>
          </w:p>
        </w:tc>
        <w:tc>
          <w:tcPr>
            <w:tcW w:w="0" w:type="auto"/>
            <w:shd w:val="clear" w:color="auto" w:fill="auto"/>
          </w:tcPr>
          <w:p w14:paraId="20AE1002" w14:textId="77777777" w:rsidR="00B626E7" w:rsidRDefault="00B626E7">
            <w:pPr>
              <w:rPr>
                <w:rFonts w:ascii="宋体"/>
              </w:rPr>
            </w:pPr>
          </w:p>
        </w:tc>
        <w:tc>
          <w:tcPr>
            <w:tcW w:w="0" w:type="auto"/>
            <w:shd w:val="clear" w:color="auto" w:fill="auto"/>
          </w:tcPr>
          <w:p w14:paraId="20AE1003" w14:textId="77777777" w:rsidR="00B626E7" w:rsidRDefault="00B626E7">
            <w:pPr>
              <w:rPr>
                <w:rFonts w:ascii="宋体"/>
              </w:rPr>
            </w:pPr>
          </w:p>
        </w:tc>
        <w:tc>
          <w:tcPr>
            <w:tcW w:w="0" w:type="auto"/>
            <w:shd w:val="clear" w:color="auto" w:fill="auto"/>
          </w:tcPr>
          <w:p w14:paraId="20AE1004" w14:textId="77777777" w:rsidR="00B626E7" w:rsidRDefault="00B626E7">
            <w:pPr>
              <w:rPr>
                <w:rFonts w:ascii="宋体"/>
              </w:rPr>
            </w:pPr>
          </w:p>
        </w:tc>
        <w:tc>
          <w:tcPr>
            <w:tcW w:w="0" w:type="auto"/>
            <w:shd w:val="clear" w:color="auto" w:fill="auto"/>
          </w:tcPr>
          <w:p w14:paraId="20AE1005" w14:textId="77777777" w:rsidR="00B626E7" w:rsidRDefault="00B626E7">
            <w:pPr>
              <w:rPr>
                <w:rFonts w:ascii="宋体"/>
              </w:rPr>
            </w:pPr>
          </w:p>
        </w:tc>
        <w:tc>
          <w:tcPr>
            <w:tcW w:w="0" w:type="auto"/>
            <w:shd w:val="clear" w:color="auto" w:fill="auto"/>
          </w:tcPr>
          <w:p w14:paraId="20AE1006" w14:textId="77777777" w:rsidR="00B626E7" w:rsidRDefault="00B626E7">
            <w:pPr>
              <w:rPr>
                <w:rFonts w:ascii="宋体"/>
              </w:rPr>
            </w:pPr>
          </w:p>
        </w:tc>
        <w:tc>
          <w:tcPr>
            <w:tcW w:w="0" w:type="auto"/>
            <w:shd w:val="clear" w:color="auto" w:fill="auto"/>
          </w:tcPr>
          <w:p w14:paraId="20AE1007" w14:textId="77777777" w:rsidR="00B626E7" w:rsidRDefault="00B626E7">
            <w:pPr>
              <w:rPr>
                <w:rFonts w:ascii="宋体"/>
              </w:rPr>
            </w:pPr>
          </w:p>
        </w:tc>
        <w:tc>
          <w:tcPr>
            <w:tcW w:w="0" w:type="auto"/>
            <w:shd w:val="clear" w:color="auto" w:fill="auto"/>
          </w:tcPr>
          <w:p w14:paraId="20AE1008" w14:textId="77777777" w:rsidR="00B626E7" w:rsidRDefault="00B626E7">
            <w:pPr>
              <w:rPr>
                <w:rFonts w:ascii="宋体"/>
              </w:rPr>
            </w:pPr>
          </w:p>
        </w:tc>
        <w:tc>
          <w:tcPr>
            <w:tcW w:w="0" w:type="auto"/>
            <w:shd w:val="clear" w:color="auto" w:fill="auto"/>
          </w:tcPr>
          <w:p w14:paraId="20AE1009" w14:textId="77777777" w:rsidR="00B626E7" w:rsidRDefault="00B626E7">
            <w:pPr>
              <w:rPr>
                <w:rFonts w:ascii="宋体"/>
              </w:rPr>
            </w:pPr>
          </w:p>
        </w:tc>
        <w:tc>
          <w:tcPr>
            <w:tcW w:w="0" w:type="auto"/>
            <w:shd w:val="clear" w:color="auto" w:fill="auto"/>
          </w:tcPr>
          <w:p w14:paraId="20AE100A" w14:textId="77777777" w:rsidR="00B626E7" w:rsidRDefault="00B626E7">
            <w:pPr>
              <w:rPr>
                <w:rFonts w:ascii="宋体"/>
              </w:rPr>
            </w:pPr>
          </w:p>
        </w:tc>
        <w:tc>
          <w:tcPr>
            <w:tcW w:w="0" w:type="auto"/>
            <w:shd w:val="clear" w:color="auto" w:fill="auto"/>
          </w:tcPr>
          <w:p w14:paraId="20AE100B" w14:textId="77777777" w:rsidR="00B626E7" w:rsidRDefault="00B626E7">
            <w:pPr>
              <w:rPr>
                <w:rFonts w:ascii="宋体"/>
              </w:rPr>
            </w:pPr>
          </w:p>
        </w:tc>
      </w:tr>
      <w:tr w:rsidR="00B626E7" w14:paraId="20AE1023" w14:textId="77777777">
        <w:trPr>
          <w:hidden/>
        </w:trPr>
        <w:tc>
          <w:tcPr>
            <w:tcW w:w="0" w:type="auto"/>
            <w:gridSpan w:val="3"/>
            <w:shd w:val="clear" w:color="auto" w:fill="auto"/>
          </w:tcPr>
          <w:p w14:paraId="20AE100D" w14:textId="77777777" w:rsidR="00B626E7" w:rsidRDefault="00B626E7">
            <w:pPr>
              <w:rPr>
                <w:rFonts w:ascii="宋体"/>
                <w:vanish/>
              </w:rPr>
            </w:pPr>
          </w:p>
        </w:tc>
        <w:tc>
          <w:tcPr>
            <w:tcW w:w="0" w:type="auto"/>
            <w:gridSpan w:val="3"/>
            <w:shd w:val="clear" w:color="auto" w:fill="auto"/>
          </w:tcPr>
          <w:p w14:paraId="20AE100E" w14:textId="77777777" w:rsidR="00B626E7" w:rsidRDefault="00B626E7">
            <w:pPr>
              <w:rPr>
                <w:rFonts w:ascii="宋体"/>
                <w:vanish/>
              </w:rPr>
            </w:pPr>
          </w:p>
        </w:tc>
        <w:tc>
          <w:tcPr>
            <w:tcW w:w="0" w:type="auto"/>
            <w:gridSpan w:val="3"/>
            <w:shd w:val="clear" w:color="auto" w:fill="auto"/>
          </w:tcPr>
          <w:p w14:paraId="20AE100F" w14:textId="77777777" w:rsidR="00B626E7" w:rsidRDefault="00B626E7">
            <w:pPr>
              <w:rPr>
                <w:rFonts w:ascii="宋体"/>
                <w:vanish/>
              </w:rPr>
            </w:pPr>
          </w:p>
        </w:tc>
        <w:tc>
          <w:tcPr>
            <w:tcW w:w="0" w:type="auto"/>
            <w:gridSpan w:val="3"/>
            <w:shd w:val="clear" w:color="auto" w:fill="auto"/>
          </w:tcPr>
          <w:p w14:paraId="20AE1010" w14:textId="77777777" w:rsidR="00B626E7" w:rsidRDefault="00B626E7">
            <w:pPr>
              <w:rPr>
                <w:rFonts w:ascii="宋体"/>
                <w:vanish/>
              </w:rPr>
            </w:pPr>
          </w:p>
        </w:tc>
        <w:tc>
          <w:tcPr>
            <w:tcW w:w="0" w:type="auto"/>
            <w:gridSpan w:val="3"/>
            <w:shd w:val="clear" w:color="auto" w:fill="auto"/>
          </w:tcPr>
          <w:p w14:paraId="20AE1011" w14:textId="77777777" w:rsidR="00B626E7" w:rsidRDefault="00B626E7">
            <w:pPr>
              <w:rPr>
                <w:rFonts w:ascii="宋体"/>
                <w:vanish/>
              </w:rPr>
            </w:pPr>
          </w:p>
        </w:tc>
        <w:tc>
          <w:tcPr>
            <w:tcW w:w="0" w:type="auto"/>
            <w:gridSpan w:val="3"/>
            <w:shd w:val="clear" w:color="auto" w:fill="auto"/>
          </w:tcPr>
          <w:p w14:paraId="20AE1012" w14:textId="77777777" w:rsidR="00B626E7" w:rsidRDefault="00B626E7">
            <w:pPr>
              <w:rPr>
                <w:rFonts w:ascii="宋体"/>
                <w:vanish/>
              </w:rPr>
            </w:pPr>
          </w:p>
        </w:tc>
        <w:tc>
          <w:tcPr>
            <w:tcW w:w="0" w:type="auto"/>
            <w:gridSpan w:val="3"/>
            <w:shd w:val="clear" w:color="auto" w:fill="auto"/>
          </w:tcPr>
          <w:p w14:paraId="20AE1013" w14:textId="77777777" w:rsidR="00B626E7" w:rsidRDefault="00B626E7">
            <w:pPr>
              <w:rPr>
                <w:rFonts w:ascii="宋体"/>
                <w:vanish/>
              </w:rPr>
            </w:pPr>
          </w:p>
        </w:tc>
        <w:tc>
          <w:tcPr>
            <w:tcW w:w="0" w:type="auto"/>
            <w:gridSpan w:val="3"/>
            <w:shd w:val="clear" w:color="auto" w:fill="auto"/>
          </w:tcPr>
          <w:p w14:paraId="20AE1014" w14:textId="77777777" w:rsidR="00B626E7" w:rsidRDefault="00B626E7">
            <w:pPr>
              <w:rPr>
                <w:rFonts w:ascii="宋体"/>
                <w:vanish/>
              </w:rPr>
            </w:pPr>
          </w:p>
        </w:tc>
        <w:tc>
          <w:tcPr>
            <w:tcW w:w="0" w:type="auto"/>
            <w:gridSpan w:val="3"/>
            <w:shd w:val="clear" w:color="auto" w:fill="auto"/>
          </w:tcPr>
          <w:p w14:paraId="20AE1015" w14:textId="77777777" w:rsidR="00B626E7" w:rsidRDefault="00B626E7">
            <w:pPr>
              <w:rPr>
                <w:rFonts w:ascii="宋体"/>
                <w:vanish/>
              </w:rPr>
            </w:pPr>
          </w:p>
        </w:tc>
        <w:tc>
          <w:tcPr>
            <w:tcW w:w="0" w:type="auto"/>
            <w:shd w:val="clear" w:color="auto" w:fill="auto"/>
          </w:tcPr>
          <w:p w14:paraId="20AE1016" w14:textId="77777777" w:rsidR="00B626E7" w:rsidRDefault="00B626E7">
            <w:pPr>
              <w:rPr>
                <w:rFonts w:ascii="宋体"/>
                <w:vanish/>
              </w:rPr>
            </w:pPr>
          </w:p>
        </w:tc>
        <w:tc>
          <w:tcPr>
            <w:tcW w:w="0" w:type="auto"/>
            <w:shd w:val="clear" w:color="auto" w:fill="auto"/>
          </w:tcPr>
          <w:p w14:paraId="20AE1017" w14:textId="77777777" w:rsidR="00B626E7" w:rsidRDefault="00B626E7">
            <w:pPr>
              <w:rPr>
                <w:rFonts w:ascii="宋体"/>
              </w:rPr>
            </w:pPr>
          </w:p>
        </w:tc>
        <w:tc>
          <w:tcPr>
            <w:tcW w:w="0" w:type="auto"/>
            <w:shd w:val="clear" w:color="auto" w:fill="auto"/>
          </w:tcPr>
          <w:p w14:paraId="20AE1018" w14:textId="77777777" w:rsidR="00B626E7" w:rsidRDefault="00B626E7">
            <w:pPr>
              <w:rPr>
                <w:rFonts w:ascii="宋体"/>
              </w:rPr>
            </w:pPr>
          </w:p>
        </w:tc>
        <w:tc>
          <w:tcPr>
            <w:tcW w:w="0" w:type="auto"/>
            <w:shd w:val="clear" w:color="auto" w:fill="auto"/>
          </w:tcPr>
          <w:p w14:paraId="20AE1019" w14:textId="77777777" w:rsidR="00B626E7" w:rsidRDefault="00B626E7">
            <w:pPr>
              <w:rPr>
                <w:rFonts w:ascii="宋体"/>
              </w:rPr>
            </w:pPr>
          </w:p>
        </w:tc>
        <w:tc>
          <w:tcPr>
            <w:tcW w:w="0" w:type="auto"/>
            <w:shd w:val="clear" w:color="auto" w:fill="auto"/>
          </w:tcPr>
          <w:p w14:paraId="20AE101A" w14:textId="77777777" w:rsidR="00B626E7" w:rsidRDefault="00B626E7">
            <w:pPr>
              <w:rPr>
                <w:rFonts w:ascii="宋体"/>
              </w:rPr>
            </w:pPr>
          </w:p>
        </w:tc>
        <w:tc>
          <w:tcPr>
            <w:tcW w:w="0" w:type="auto"/>
            <w:shd w:val="clear" w:color="auto" w:fill="auto"/>
          </w:tcPr>
          <w:p w14:paraId="20AE101B" w14:textId="77777777" w:rsidR="00B626E7" w:rsidRDefault="00B626E7">
            <w:pPr>
              <w:rPr>
                <w:rFonts w:ascii="宋体"/>
              </w:rPr>
            </w:pPr>
          </w:p>
        </w:tc>
        <w:tc>
          <w:tcPr>
            <w:tcW w:w="0" w:type="auto"/>
            <w:shd w:val="clear" w:color="auto" w:fill="auto"/>
          </w:tcPr>
          <w:p w14:paraId="20AE101C" w14:textId="77777777" w:rsidR="00B626E7" w:rsidRDefault="00B626E7">
            <w:pPr>
              <w:rPr>
                <w:rFonts w:ascii="宋体"/>
              </w:rPr>
            </w:pPr>
          </w:p>
        </w:tc>
        <w:tc>
          <w:tcPr>
            <w:tcW w:w="0" w:type="auto"/>
            <w:shd w:val="clear" w:color="auto" w:fill="auto"/>
          </w:tcPr>
          <w:p w14:paraId="20AE101D" w14:textId="77777777" w:rsidR="00B626E7" w:rsidRDefault="00B626E7">
            <w:pPr>
              <w:rPr>
                <w:rFonts w:ascii="宋体"/>
              </w:rPr>
            </w:pPr>
          </w:p>
        </w:tc>
        <w:tc>
          <w:tcPr>
            <w:tcW w:w="0" w:type="auto"/>
            <w:shd w:val="clear" w:color="auto" w:fill="auto"/>
          </w:tcPr>
          <w:p w14:paraId="20AE101E" w14:textId="77777777" w:rsidR="00B626E7" w:rsidRDefault="00B626E7">
            <w:pPr>
              <w:rPr>
                <w:rFonts w:ascii="宋体"/>
              </w:rPr>
            </w:pPr>
          </w:p>
        </w:tc>
        <w:tc>
          <w:tcPr>
            <w:tcW w:w="0" w:type="auto"/>
            <w:shd w:val="clear" w:color="auto" w:fill="auto"/>
          </w:tcPr>
          <w:p w14:paraId="20AE101F" w14:textId="77777777" w:rsidR="00B626E7" w:rsidRDefault="00B626E7">
            <w:pPr>
              <w:rPr>
                <w:rFonts w:ascii="宋体"/>
              </w:rPr>
            </w:pPr>
          </w:p>
        </w:tc>
        <w:tc>
          <w:tcPr>
            <w:tcW w:w="0" w:type="auto"/>
            <w:shd w:val="clear" w:color="auto" w:fill="auto"/>
          </w:tcPr>
          <w:p w14:paraId="20AE1020" w14:textId="77777777" w:rsidR="00B626E7" w:rsidRDefault="00B626E7">
            <w:pPr>
              <w:rPr>
                <w:rFonts w:ascii="宋体"/>
              </w:rPr>
            </w:pPr>
          </w:p>
        </w:tc>
        <w:tc>
          <w:tcPr>
            <w:tcW w:w="0" w:type="auto"/>
            <w:shd w:val="clear" w:color="auto" w:fill="auto"/>
          </w:tcPr>
          <w:p w14:paraId="20AE1021" w14:textId="77777777" w:rsidR="00B626E7" w:rsidRDefault="00B626E7">
            <w:pPr>
              <w:rPr>
                <w:rFonts w:ascii="宋体"/>
              </w:rPr>
            </w:pPr>
          </w:p>
        </w:tc>
        <w:tc>
          <w:tcPr>
            <w:tcW w:w="0" w:type="auto"/>
            <w:shd w:val="clear" w:color="auto" w:fill="auto"/>
          </w:tcPr>
          <w:p w14:paraId="20AE1022" w14:textId="77777777" w:rsidR="00B626E7" w:rsidRDefault="00B626E7">
            <w:pPr>
              <w:rPr>
                <w:rFonts w:ascii="宋体"/>
              </w:rPr>
            </w:pPr>
          </w:p>
        </w:tc>
      </w:tr>
      <w:tr w:rsidR="00B626E7" w14:paraId="20AE103E" w14:textId="77777777">
        <w:tc>
          <w:tcPr>
            <w:tcW w:w="0" w:type="auto"/>
            <w:gridSpan w:val="3"/>
            <w:shd w:val="clear" w:color="auto" w:fill="auto"/>
            <w:tcMar>
              <w:top w:w="40" w:type="dxa"/>
              <w:left w:w="20" w:type="dxa"/>
              <w:bottom w:w="40" w:type="dxa"/>
              <w:right w:w="20" w:type="dxa"/>
            </w:tcMar>
          </w:tcPr>
          <w:p w14:paraId="20AE1024" w14:textId="77777777" w:rsidR="00B626E7" w:rsidRDefault="00175C1D">
            <w:pPr>
              <w:textAlignment w:val="top"/>
            </w:pPr>
            <w:r>
              <w:rPr>
                <w:rFonts w:ascii="Arial" w:eastAsia="宋体" w:hAnsi="Arial" w:cs="Arial"/>
                <w:color w:val="333333"/>
                <w:sz w:val="18"/>
                <w:szCs w:val="18"/>
              </w:rPr>
              <w:t>Asset impairment and other charges</w:t>
            </w:r>
          </w:p>
        </w:tc>
        <w:tc>
          <w:tcPr>
            <w:tcW w:w="0" w:type="auto"/>
            <w:gridSpan w:val="3"/>
            <w:shd w:val="clear" w:color="auto" w:fill="auto"/>
            <w:tcMar>
              <w:left w:w="20" w:type="dxa"/>
              <w:right w:w="20" w:type="dxa"/>
            </w:tcMar>
            <w:vAlign w:val="bottom"/>
          </w:tcPr>
          <w:p w14:paraId="20AE1025"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026" w14:textId="77777777" w:rsidR="00B626E7" w:rsidRDefault="00175C1D">
            <w:pPr>
              <w:jc w:val="right"/>
              <w:textAlignment w:val="bottom"/>
            </w:pPr>
            <w:r>
              <w:rPr>
                <w:rFonts w:ascii="Arial" w:eastAsia="宋体" w:hAnsi="Arial" w:cs="Arial"/>
                <w:color w:val="026DCE"/>
                <w:sz w:val="18"/>
                <w:szCs w:val="18"/>
              </w:rPr>
              <w:t>8 </w:t>
            </w:r>
          </w:p>
        </w:tc>
        <w:tc>
          <w:tcPr>
            <w:tcW w:w="0" w:type="auto"/>
            <w:shd w:val="clear" w:color="auto" w:fill="auto"/>
            <w:tcMar>
              <w:top w:w="40" w:type="dxa"/>
              <w:bottom w:w="40" w:type="dxa"/>
              <w:right w:w="20" w:type="dxa"/>
            </w:tcMar>
            <w:vAlign w:val="bottom"/>
          </w:tcPr>
          <w:p w14:paraId="20AE1027"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028"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029" w14:textId="77777777" w:rsidR="00B626E7" w:rsidRDefault="00175C1D">
            <w:pPr>
              <w:jc w:val="right"/>
              <w:textAlignment w:val="bottom"/>
            </w:pPr>
            <w:r>
              <w:rPr>
                <w:rFonts w:ascii="Arial" w:eastAsia="宋体" w:hAnsi="Arial" w:cs="Arial"/>
                <w:color w:val="333333"/>
                <w:sz w:val="18"/>
                <w:szCs w:val="18"/>
              </w:rPr>
              <w:t>16 </w:t>
            </w:r>
          </w:p>
        </w:tc>
        <w:tc>
          <w:tcPr>
            <w:tcW w:w="0" w:type="auto"/>
            <w:shd w:val="clear" w:color="auto" w:fill="auto"/>
            <w:tcMar>
              <w:top w:w="40" w:type="dxa"/>
              <w:bottom w:w="40" w:type="dxa"/>
              <w:right w:w="20" w:type="dxa"/>
            </w:tcMar>
            <w:vAlign w:val="bottom"/>
          </w:tcPr>
          <w:p w14:paraId="20AE102A"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02B"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02C" w14:textId="77777777" w:rsidR="00B626E7" w:rsidRDefault="00175C1D">
            <w:pPr>
              <w:jc w:val="right"/>
              <w:textAlignment w:val="bottom"/>
            </w:pPr>
            <w:r>
              <w:rPr>
                <w:rFonts w:ascii="Arial" w:eastAsia="宋体" w:hAnsi="Arial" w:cs="Arial"/>
                <w:color w:val="0071C5"/>
                <w:sz w:val="18"/>
                <w:szCs w:val="18"/>
              </w:rPr>
              <w:t>65 </w:t>
            </w:r>
          </w:p>
        </w:tc>
        <w:tc>
          <w:tcPr>
            <w:tcW w:w="0" w:type="auto"/>
            <w:shd w:val="clear" w:color="auto" w:fill="auto"/>
            <w:tcMar>
              <w:top w:w="40" w:type="dxa"/>
              <w:bottom w:w="40" w:type="dxa"/>
              <w:right w:w="20" w:type="dxa"/>
            </w:tcMar>
            <w:vAlign w:val="bottom"/>
          </w:tcPr>
          <w:p w14:paraId="20AE102D"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102E"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02F" w14:textId="77777777" w:rsidR="00B626E7" w:rsidRDefault="00175C1D">
            <w:pPr>
              <w:jc w:val="right"/>
              <w:textAlignment w:val="bottom"/>
            </w:pPr>
            <w:r>
              <w:rPr>
                <w:rFonts w:ascii="Arial" w:eastAsia="宋体" w:hAnsi="Arial" w:cs="Arial"/>
                <w:color w:val="333333"/>
                <w:sz w:val="18"/>
                <w:szCs w:val="18"/>
              </w:rPr>
              <w:t>16 </w:t>
            </w:r>
          </w:p>
        </w:tc>
        <w:tc>
          <w:tcPr>
            <w:tcW w:w="0" w:type="auto"/>
            <w:shd w:val="clear" w:color="auto" w:fill="auto"/>
            <w:tcMar>
              <w:top w:w="40" w:type="dxa"/>
              <w:bottom w:w="40" w:type="dxa"/>
              <w:right w:w="20" w:type="dxa"/>
            </w:tcMar>
            <w:vAlign w:val="bottom"/>
          </w:tcPr>
          <w:p w14:paraId="20AE1030"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031" w14:textId="77777777" w:rsidR="00B626E7" w:rsidRDefault="00B626E7">
            <w:pPr>
              <w:rPr>
                <w:rFonts w:ascii="宋体"/>
                <w:vanish/>
              </w:rPr>
            </w:pPr>
          </w:p>
        </w:tc>
        <w:tc>
          <w:tcPr>
            <w:tcW w:w="0" w:type="auto"/>
            <w:shd w:val="clear" w:color="auto" w:fill="auto"/>
          </w:tcPr>
          <w:p w14:paraId="20AE1032" w14:textId="77777777" w:rsidR="00B626E7" w:rsidRDefault="00B626E7">
            <w:pPr>
              <w:rPr>
                <w:rFonts w:ascii="宋体"/>
              </w:rPr>
            </w:pPr>
          </w:p>
        </w:tc>
        <w:tc>
          <w:tcPr>
            <w:tcW w:w="0" w:type="auto"/>
            <w:shd w:val="clear" w:color="auto" w:fill="auto"/>
          </w:tcPr>
          <w:p w14:paraId="20AE1033" w14:textId="77777777" w:rsidR="00B626E7" w:rsidRDefault="00B626E7">
            <w:pPr>
              <w:rPr>
                <w:rFonts w:ascii="宋体"/>
              </w:rPr>
            </w:pPr>
          </w:p>
        </w:tc>
        <w:tc>
          <w:tcPr>
            <w:tcW w:w="0" w:type="auto"/>
            <w:shd w:val="clear" w:color="auto" w:fill="auto"/>
          </w:tcPr>
          <w:p w14:paraId="20AE1034" w14:textId="77777777" w:rsidR="00B626E7" w:rsidRDefault="00B626E7">
            <w:pPr>
              <w:rPr>
                <w:rFonts w:ascii="宋体"/>
              </w:rPr>
            </w:pPr>
          </w:p>
        </w:tc>
        <w:tc>
          <w:tcPr>
            <w:tcW w:w="0" w:type="auto"/>
            <w:shd w:val="clear" w:color="auto" w:fill="auto"/>
          </w:tcPr>
          <w:p w14:paraId="20AE1035" w14:textId="77777777" w:rsidR="00B626E7" w:rsidRDefault="00B626E7">
            <w:pPr>
              <w:rPr>
                <w:rFonts w:ascii="宋体"/>
              </w:rPr>
            </w:pPr>
          </w:p>
        </w:tc>
        <w:tc>
          <w:tcPr>
            <w:tcW w:w="0" w:type="auto"/>
            <w:shd w:val="clear" w:color="auto" w:fill="auto"/>
          </w:tcPr>
          <w:p w14:paraId="20AE1036" w14:textId="77777777" w:rsidR="00B626E7" w:rsidRDefault="00B626E7">
            <w:pPr>
              <w:rPr>
                <w:rFonts w:ascii="宋体"/>
              </w:rPr>
            </w:pPr>
          </w:p>
        </w:tc>
        <w:tc>
          <w:tcPr>
            <w:tcW w:w="0" w:type="auto"/>
            <w:shd w:val="clear" w:color="auto" w:fill="auto"/>
          </w:tcPr>
          <w:p w14:paraId="20AE1037" w14:textId="77777777" w:rsidR="00B626E7" w:rsidRDefault="00B626E7">
            <w:pPr>
              <w:rPr>
                <w:rFonts w:ascii="宋体"/>
              </w:rPr>
            </w:pPr>
          </w:p>
        </w:tc>
        <w:tc>
          <w:tcPr>
            <w:tcW w:w="0" w:type="auto"/>
            <w:shd w:val="clear" w:color="auto" w:fill="auto"/>
          </w:tcPr>
          <w:p w14:paraId="20AE1038" w14:textId="77777777" w:rsidR="00B626E7" w:rsidRDefault="00B626E7">
            <w:pPr>
              <w:rPr>
                <w:rFonts w:ascii="宋体"/>
              </w:rPr>
            </w:pPr>
          </w:p>
        </w:tc>
        <w:tc>
          <w:tcPr>
            <w:tcW w:w="0" w:type="auto"/>
            <w:shd w:val="clear" w:color="auto" w:fill="auto"/>
          </w:tcPr>
          <w:p w14:paraId="20AE1039" w14:textId="77777777" w:rsidR="00B626E7" w:rsidRDefault="00B626E7">
            <w:pPr>
              <w:rPr>
                <w:rFonts w:ascii="宋体"/>
              </w:rPr>
            </w:pPr>
          </w:p>
        </w:tc>
        <w:tc>
          <w:tcPr>
            <w:tcW w:w="0" w:type="auto"/>
            <w:shd w:val="clear" w:color="auto" w:fill="auto"/>
          </w:tcPr>
          <w:p w14:paraId="20AE103A" w14:textId="77777777" w:rsidR="00B626E7" w:rsidRDefault="00B626E7">
            <w:pPr>
              <w:rPr>
                <w:rFonts w:ascii="宋体"/>
              </w:rPr>
            </w:pPr>
          </w:p>
        </w:tc>
        <w:tc>
          <w:tcPr>
            <w:tcW w:w="0" w:type="auto"/>
            <w:shd w:val="clear" w:color="auto" w:fill="auto"/>
          </w:tcPr>
          <w:p w14:paraId="20AE103B" w14:textId="77777777" w:rsidR="00B626E7" w:rsidRDefault="00B626E7">
            <w:pPr>
              <w:rPr>
                <w:rFonts w:ascii="宋体"/>
              </w:rPr>
            </w:pPr>
          </w:p>
        </w:tc>
        <w:tc>
          <w:tcPr>
            <w:tcW w:w="0" w:type="auto"/>
            <w:shd w:val="clear" w:color="auto" w:fill="auto"/>
          </w:tcPr>
          <w:p w14:paraId="20AE103C" w14:textId="77777777" w:rsidR="00B626E7" w:rsidRDefault="00B626E7">
            <w:pPr>
              <w:rPr>
                <w:rFonts w:ascii="宋体"/>
              </w:rPr>
            </w:pPr>
          </w:p>
        </w:tc>
        <w:tc>
          <w:tcPr>
            <w:tcW w:w="0" w:type="auto"/>
            <w:shd w:val="clear" w:color="auto" w:fill="auto"/>
          </w:tcPr>
          <w:p w14:paraId="20AE103D" w14:textId="77777777" w:rsidR="00B626E7" w:rsidRDefault="00B626E7">
            <w:pPr>
              <w:rPr>
                <w:rFonts w:ascii="宋体"/>
              </w:rPr>
            </w:pPr>
          </w:p>
        </w:tc>
      </w:tr>
      <w:tr w:rsidR="00B626E7" w14:paraId="20AE105D" w14:textId="77777777">
        <w:tc>
          <w:tcPr>
            <w:tcW w:w="0" w:type="auto"/>
            <w:gridSpan w:val="3"/>
            <w:shd w:val="clear" w:color="auto" w:fill="auto"/>
            <w:tcMar>
              <w:top w:w="40" w:type="dxa"/>
              <w:left w:w="20" w:type="dxa"/>
              <w:bottom w:w="40" w:type="dxa"/>
              <w:right w:w="20" w:type="dxa"/>
            </w:tcMar>
          </w:tcPr>
          <w:p w14:paraId="20AE103F" w14:textId="77777777" w:rsidR="00B626E7" w:rsidRDefault="00175C1D">
            <w:pPr>
              <w:textAlignment w:val="top"/>
            </w:pPr>
            <w:r>
              <w:rPr>
                <w:rFonts w:ascii="Arial" w:eastAsia="宋体" w:hAnsi="Arial" w:cs="Arial"/>
                <w:b/>
                <w:bCs/>
                <w:color w:val="333333"/>
                <w:sz w:val="18"/>
                <w:szCs w:val="18"/>
              </w:rPr>
              <w:t>Total restructuring and other charges</w:t>
            </w:r>
          </w:p>
        </w:tc>
        <w:tc>
          <w:tcPr>
            <w:tcW w:w="0" w:type="auto"/>
            <w:gridSpan w:val="3"/>
            <w:shd w:val="clear" w:color="auto" w:fill="auto"/>
            <w:tcMar>
              <w:left w:w="20" w:type="dxa"/>
              <w:right w:w="20" w:type="dxa"/>
            </w:tcMar>
            <w:vAlign w:val="bottom"/>
          </w:tcPr>
          <w:p w14:paraId="20AE1040"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1041" w14:textId="77777777" w:rsidR="00B626E7" w:rsidRDefault="00175C1D">
            <w:pPr>
              <w:textAlignment w:val="bottom"/>
            </w:pPr>
            <w:r>
              <w:rPr>
                <w:rFonts w:ascii="Arial" w:eastAsia="宋体" w:hAnsi="Arial" w:cs="Arial"/>
                <w:b/>
                <w:bCs/>
                <w:color w:val="026DCE"/>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1042" w14:textId="77777777" w:rsidR="00B626E7" w:rsidRDefault="00175C1D">
            <w:pPr>
              <w:jc w:val="right"/>
              <w:textAlignment w:val="bottom"/>
            </w:pPr>
            <w:r>
              <w:rPr>
                <w:rFonts w:ascii="Arial" w:eastAsia="宋体" w:hAnsi="Arial" w:cs="Arial"/>
                <w:b/>
                <w:bCs/>
                <w:color w:val="026DCE"/>
                <w:sz w:val="18"/>
                <w:szCs w:val="18"/>
              </w:rPr>
              <w:t>9 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1043"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1044"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1045"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1046" w14:textId="77777777" w:rsidR="00B626E7" w:rsidRDefault="00175C1D">
            <w:pPr>
              <w:jc w:val="right"/>
              <w:textAlignment w:val="bottom"/>
            </w:pPr>
            <w:r>
              <w:rPr>
                <w:rFonts w:ascii="Arial" w:eastAsia="宋体" w:hAnsi="Arial" w:cs="Arial"/>
                <w:b/>
                <w:bCs/>
                <w:color w:val="333333"/>
                <w:sz w:val="18"/>
                <w:szCs w:val="18"/>
              </w:rPr>
              <w:t>184 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1047"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1048"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1049" w14:textId="77777777" w:rsidR="00B626E7" w:rsidRDefault="00175C1D">
            <w:pPr>
              <w:textAlignment w:val="bottom"/>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104A" w14:textId="77777777" w:rsidR="00B626E7" w:rsidRDefault="00175C1D">
            <w:pPr>
              <w:jc w:val="right"/>
              <w:textAlignment w:val="bottom"/>
            </w:pPr>
            <w:r>
              <w:rPr>
                <w:rFonts w:ascii="Arial" w:eastAsia="宋体" w:hAnsi="Arial" w:cs="Arial"/>
                <w:b/>
                <w:bCs/>
                <w:color w:val="0071C5"/>
                <w:sz w:val="18"/>
                <w:szCs w:val="18"/>
              </w:rPr>
              <w:t>171 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104B"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104C"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104D"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104E" w14:textId="77777777" w:rsidR="00B626E7" w:rsidRDefault="00175C1D">
            <w:pPr>
              <w:jc w:val="right"/>
              <w:textAlignment w:val="bottom"/>
            </w:pPr>
            <w:r>
              <w:rPr>
                <w:rFonts w:ascii="Arial" w:eastAsia="宋体" w:hAnsi="Arial" w:cs="Arial"/>
                <w:b/>
                <w:bCs/>
                <w:color w:val="333333"/>
                <w:sz w:val="18"/>
                <w:szCs w:val="18"/>
              </w:rPr>
              <w:t>184 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104F"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E1050" w14:textId="77777777" w:rsidR="00B626E7" w:rsidRDefault="00B626E7">
            <w:pPr>
              <w:rPr>
                <w:rFonts w:ascii="宋体"/>
                <w:vanish/>
              </w:rPr>
            </w:pPr>
          </w:p>
        </w:tc>
        <w:tc>
          <w:tcPr>
            <w:tcW w:w="0" w:type="auto"/>
            <w:shd w:val="clear" w:color="auto" w:fill="auto"/>
          </w:tcPr>
          <w:p w14:paraId="20AE1051" w14:textId="77777777" w:rsidR="00B626E7" w:rsidRDefault="00B626E7">
            <w:pPr>
              <w:rPr>
                <w:rFonts w:ascii="宋体"/>
              </w:rPr>
            </w:pPr>
          </w:p>
        </w:tc>
        <w:tc>
          <w:tcPr>
            <w:tcW w:w="0" w:type="auto"/>
            <w:shd w:val="clear" w:color="auto" w:fill="auto"/>
          </w:tcPr>
          <w:p w14:paraId="20AE1052" w14:textId="77777777" w:rsidR="00B626E7" w:rsidRDefault="00B626E7">
            <w:pPr>
              <w:rPr>
                <w:rFonts w:ascii="宋体"/>
              </w:rPr>
            </w:pPr>
          </w:p>
        </w:tc>
        <w:tc>
          <w:tcPr>
            <w:tcW w:w="0" w:type="auto"/>
            <w:shd w:val="clear" w:color="auto" w:fill="auto"/>
          </w:tcPr>
          <w:p w14:paraId="20AE1053" w14:textId="77777777" w:rsidR="00B626E7" w:rsidRDefault="00B626E7">
            <w:pPr>
              <w:rPr>
                <w:rFonts w:ascii="宋体"/>
              </w:rPr>
            </w:pPr>
          </w:p>
        </w:tc>
        <w:tc>
          <w:tcPr>
            <w:tcW w:w="0" w:type="auto"/>
            <w:shd w:val="clear" w:color="auto" w:fill="auto"/>
          </w:tcPr>
          <w:p w14:paraId="20AE1054" w14:textId="77777777" w:rsidR="00B626E7" w:rsidRDefault="00B626E7">
            <w:pPr>
              <w:rPr>
                <w:rFonts w:ascii="宋体"/>
              </w:rPr>
            </w:pPr>
          </w:p>
        </w:tc>
        <w:tc>
          <w:tcPr>
            <w:tcW w:w="0" w:type="auto"/>
            <w:shd w:val="clear" w:color="auto" w:fill="auto"/>
          </w:tcPr>
          <w:p w14:paraId="20AE1055" w14:textId="77777777" w:rsidR="00B626E7" w:rsidRDefault="00B626E7">
            <w:pPr>
              <w:rPr>
                <w:rFonts w:ascii="宋体"/>
              </w:rPr>
            </w:pPr>
          </w:p>
        </w:tc>
        <w:tc>
          <w:tcPr>
            <w:tcW w:w="0" w:type="auto"/>
            <w:shd w:val="clear" w:color="auto" w:fill="auto"/>
          </w:tcPr>
          <w:p w14:paraId="20AE1056" w14:textId="77777777" w:rsidR="00B626E7" w:rsidRDefault="00B626E7">
            <w:pPr>
              <w:rPr>
                <w:rFonts w:ascii="宋体"/>
              </w:rPr>
            </w:pPr>
          </w:p>
        </w:tc>
        <w:tc>
          <w:tcPr>
            <w:tcW w:w="0" w:type="auto"/>
            <w:shd w:val="clear" w:color="auto" w:fill="auto"/>
          </w:tcPr>
          <w:p w14:paraId="20AE1057" w14:textId="77777777" w:rsidR="00B626E7" w:rsidRDefault="00B626E7">
            <w:pPr>
              <w:rPr>
                <w:rFonts w:ascii="宋体"/>
              </w:rPr>
            </w:pPr>
          </w:p>
        </w:tc>
        <w:tc>
          <w:tcPr>
            <w:tcW w:w="0" w:type="auto"/>
            <w:shd w:val="clear" w:color="auto" w:fill="auto"/>
          </w:tcPr>
          <w:p w14:paraId="20AE1058" w14:textId="77777777" w:rsidR="00B626E7" w:rsidRDefault="00B626E7">
            <w:pPr>
              <w:rPr>
                <w:rFonts w:ascii="宋体"/>
              </w:rPr>
            </w:pPr>
          </w:p>
        </w:tc>
        <w:tc>
          <w:tcPr>
            <w:tcW w:w="0" w:type="auto"/>
            <w:shd w:val="clear" w:color="auto" w:fill="auto"/>
          </w:tcPr>
          <w:p w14:paraId="20AE1059" w14:textId="77777777" w:rsidR="00B626E7" w:rsidRDefault="00B626E7">
            <w:pPr>
              <w:rPr>
                <w:rFonts w:ascii="宋体"/>
              </w:rPr>
            </w:pPr>
          </w:p>
        </w:tc>
        <w:tc>
          <w:tcPr>
            <w:tcW w:w="0" w:type="auto"/>
            <w:shd w:val="clear" w:color="auto" w:fill="auto"/>
          </w:tcPr>
          <w:p w14:paraId="20AE105A" w14:textId="77777777" w:rsidR="00B626E7" w:rsidRDefault="00B626E7">
            <w:pPr>
              <w:rPr>
                <w:rFonts w:ascii="宋体"/>
              </w:rPr>
            </w:pPr>
          </w:p>
        </w:tc>
        <w:tc>
          <w:tcPr>
            <w:tcW w:w="0" w:type="auto"/>
            <w:shd w:val="clear" w:color="auto" w:fill="auto"/>
          </w:tcPr>
          <w:p w14:paraId="20AE105B" w14:textId="77777777" w:rsidR="00B626E7" w:rsidRDefault="00B626E7">
            <w:pPr>
              <w:rPr>
                <w:rFonts w:ascii="宋体"/>
              </w:rPr>
            </w:pPr>
          </w:p>
        </w:tc>
        <w:tc>
          <w:tcPr>
            <w:tcW w:w="0" w:type="auto"/>
            <w:shd w:val="clear" w:color="auto" w:fill="auto"/>
          </w:tcPr>
          <w:p w14:paraId="20AE105C" w14:textId="77777777" w:rsidR="00B626E7" w:rsidRDefault="00B626E7">
            <w:pPr>
              <w:rPr>
                <w:rFonts w:ascii="宋体"/>
              </w:rPr>
            </w:pPr>
          </w:p>
        </w:tc>
      </w:tr>
    </w:tbl>
    <w:p w14:paraId="20AE105E" w14:textId="77777777" w:rsidR="00B626E7" w:rsidRDefault="00B626E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84"/>
        <w:gridCol w:w="937"/>
        <w:gridCol w:w="83"/>
        <w:gridCol w:w="83"/>
        <w:gridCol w:w="7066"/>
        <w:gridCol w:w="83"/>
      </w:tblGrid>
      <w:tr w:rsidR="00B626E7" w14:paraId="20AE1065" w14:textId="77777777">
        <w:tc>
          <w:tcPr>
            <w:tcW w:w="50" w:type="pct"/>
            <w:shd w:val="clear" w:color="auto" w:fill="auto"/>
          </w:tcPr>
          <w:p w14:paraId="20AE105F" w14:textId="77777777" w:rsidR="00B626E7" w:rsidRDefault="00B626E7">
            <w:pPr>
              <w:rPr>
                <w:rFonts w:ascii="宋体"/>
              </w:rPr>
            </w:pPr>
          </w:p>
        </w:tc>
        <w:tc>
          <w:tcPr>
            <w:tcW w:w="562" w:type="pct"/>
            <w:shd w:val="clear" w:color="auto" w:fill="auto"/>
          </w:tcPr>
          <w:p w14:paraId="20AE1060" w14:textId="77777777" w:rsidR="00B626E7" w:rsidRDefault="00B626E7">
            <w:pPr>
              <w:rPr>
                <w:rFonts w:ascii="宋体"/>
              </w:rPr>
            </w:pPr>
          </w:p>
        </w:tc>
        <w:tc>
          <w:tcPr>
            <w:tcW w:w="50" w:type="pct"/>
            <w:shd w:val="clear" w:color="auto" w:fill="auto"/>
          </w:tcPr>
          <w:p w14:paraId="20AE1061" w14:textId="77777777" w:rsidR="00B626E7" w:rsidRDefault="00B626E7">
            <w:pPr>
              <w:rPr>
                <w:rFonts w:ascii="宋体"/>
              </w:rPr>
            </w:pPr>
          </w:p>
        </w:tc>
        <w:tc>
          <w:tcPr>
            <w:tcW w:w="50" w:type="pct"/>
            <w:shd w:val="clear" w:color="auto" w:fill="auto"/>
          </w:tcPr>
          <w:p w14:paraId="20AE1062" w14:textId="77777777" w:rsidR="00B626E7" w:rsidRDefault="00B626E7">
            <w:pPr>
              <w:rPr>
                <w:rFonts w:ascii="宋体"/>
              </w:rPr>
            </w:pPr>
          </w:p>
        </w:tc>
        <w:tc>
          <w:tcPr>
            <w:tcW w:w="4237" w:type="pct"/>
            <w:shd w:val="clear" w:color="auto" w:fill="auto"/>
          </w:tcPr>
          <w:p w14:paraId="20AE1063" w14:textId="77777777" w:rsidR="00B626E7" w:rsidRDefault="00B626E7">
            <w:pPr>
              <w:rPr>
                <w:rFonts w:ascii="宋体"/>
              </w:rPr>
            </w:pPr>
          </w:p>
        </w:tc>
        <w:tc>
          <w:tcPr>
            <w:tcW w:w="50" w:type="pct"/>
            <w:shd w:val="clear" w:color="auto" w:fill="auto"/>
          </w:tcPr>
          <w:p w14:paraId="20AE1064" w14:textId="77777777" w:rsidR="00B626E7" w:rsidRDefault="00B626E7">
            <w:pPr>
              <w:rPr>
                <w:rFonts w:ascii="宋体"/>
              </w:rPr>
            </w:pPr>
          </w:p>
        </w:tc>
      </w:tr>
      <w:tr w:rsidR="00B626E7" w14:paraId="20AE1068" w14:textId="77777777">
        <w:tc>
          <w:tcPr>
            <w:tcW w:w="0" w:type="auto"/>
            <w:gridSpan w:val="3"/>
            <w:tcBorders>
              <w:bottom w:val="single" w:sz="8" w:space="0" w:color="0071C5"/>
            </w:tcBorders>
            <w:shd w:val="clear" w:color="auto" w:fill="0071C5"/>
            <w:tcMar>
              <w:top w:w="40" w:type="dxa"/>
              <w:left w:w="20" w:type="dxa"/>
              <w:bottom w:w="40" w:type="dxa"/>
              <w:right w:w="20" w:type="dxa"/>
            </w:tcMar>
            <w:vAlign w:val="bottom"/>
          </w:tcPr>
          <w:p w14:paraId="20AE1066" w14:textId="77777777" w:rsidR="00B626E7" w:rsidRDefault="00175C1D">
            <w:pPr>
              <w:textAlignment w:val="bottom"/>
            </w:pPr>
            <w:r>
              <w:rPr>
                <w:rFonts w:ascii="Arial" w:eastAsia="宋体" w:hAnsi="Arial" w:cs="Arial"/>
                <w:b/>
                <w:bCs/>
                <w:color w:val="FFFFFF"/>
                <w:sz w:val="28"/>
                <w:szCs w:val="28"/>
              </w:rPr>
              <w:t xml:space="preserve">NOTE 7 : </w:t>
            </w:r>
          </w:p>
        </w:tc>
        <w:tc>
          <w:tcPr>
            <w:tcW w:w="0" w:type="auto"/>
            <w:gridSpan w:val="3"/>
            <w:tcBorders>
              <w:bottom w:val="single" w:sz="8" w:space="0" w:color="0071C5"/>
            </w:tcBorders>
            <w:shd w:val="clear" w:color="auto" w:fill="auto"/>
            <w:tcMar>
              <w:top w:w="40" w:type="dxa"/>
              <w:left w:w="20" w:type="dxa"/>
              <w:bottom w:w="40" w:type="dxa"/>
              <w:right w:w="20" w:type="dxa"/>
            </w:tcMar>
            <w:vAlign w:val="bottom"/>
          </w:tcPr>
          <w:p w14:paraId="20AE1067" w14:textId="77777777" w:rsidR="00B626E7" w:rsidRDefault="00175C1D">
            <w:pPr>
              <w:textAlignment w:val="bottom"/>
            </w:pPr>
            <w:r>
              <w:rPr>
                <w:rFonts w:ascii="Arial" w:eastAsia="宋体" w:hAnsi="Arial" w:cs="Arial"/>
                <w:b/>
                <w:bCs/>
                <w:color w:val="0071C5"/>
                <w:sz w:val="28"/>
                <w:szCs w:val="28"/>
              </w:rPr>
              <w:t>INVESTMENTS</w:t>
            </w:r>
          </w:p>
        </w:tc>
      </w:tr>
    </w:tbl>
    <w:p w14:paraId="20AE1069" w14:textId="77777777" w:rsidR="00B626E7" w:rsidRDefault="00175C1D">
      <w:pPr>
        <w:spacing w:before="180" w:after="180"/>
      </w:pPr>
      <w:r>
        <w:rPr>
          <w:rFonts w:ascii="Arial" w:eastAsia="宋体" w:hAnsi="Arial" w:cs="Arial"/>
          <w:b/>
          <w:bCs/>
          <w:color w:val="0071C5"/>
        </w:rPr>
        <w:t>DEBT INVESTMENTS</w:t>
      </w:r>
    </w:p>
    <w:p w14:paraId="20AE106A" w14:textId="77777777" w:rsidR="00B626E7" w:rsidRDefault="00175C1D">
      <w:pPr>
        <w:spacing w:after="120"/>
      </w:pPr>
      <w:r>
        <w:rPr>
          <w:rFonts w:ascii="Arial" w:eastAsia="宋体" w:hAnsi="Arial" w:cs="Arial"/>
          <w:b/>
          <w:bCs/>
          <w:color w:val="333333"/>
          <w:sz w:val="20"/>
          <w:szCs w:val="20"/>
        </w:rPr>
        <w:t>Trading Assets</w:t>
      </w:r>
    </w:p>
    <w:p w14:paraId="20AE106B" w14:textId="77777777" w:rsidR="00B626E7" w:rsidRDefault="00175C1D">
      <w:pPr>
        <w:spacing w:after="180"/>
      </w:pPr>
      <w:r>
        <w:rPr>
          <w:rFonts w:ascii="Arial" w:eastAsia="宋体" w:hAnsi="Arial" w:cs="Arial"/>
          <w:color w:val="333333"/>
          <w:sz w:val="18"/>
          <w:szCs w:val="18"/>
        </w:rPr>
        <w:t>For trading assets still held at the reporting date we recorded net gains of $347 million in the second quarter of 2020 and net gains of $183 million in the first six months of 2020 ($99 million of net gains in the second quarter of 2019 and $117 million o</w:t>
      </w:r>
      <w:r>
        <w:rPr>
          <w:rFonts w:ascii="Arial" w:eastAsia="宋体" w:hAnsi="Arial" w:cs="Arial"/>
          <w:color w:val="333333"/>
          <w:sz w:val="18"/>
          <w:szCs w:val="18"/>
        </w:rPr>
        <w:t>f net gains in the first six months of 2019). Net losses on the related derivatives were $251 million in the second quarter of 2020 and net losses of $204 million in the first six months of 2020 ($102 million of net losses in the second quarter of 2019 and</w:t>
      </w:r>
      <w:r>
        <w:rPr>
          <w:rFonts w:ascii="Arial" w:eastAsia="宋体" w:hAnsi="Arial" w:cs="Arial"/>
          <w:color w:val="333333"/>
          <w:sz w:val="18"/>
          <w:szCs w:val="18"/>
        </w:rPr>
        <w:t xml:space="preserve"> $104 million of net losses in the first six months of 2019). </w:t>
      </w:r>
    </w:p>
    <w:p w14:paraId="20AE106C" w14:textId="77777777" w:rsidR="00B626E7" w:rsidRDefault="00175C1D">
      <w:pPr>
        <w:spacing w:after="120"/>
      </w:pPr>
      <w:r>
        <w:rPr>
          <w:rFonts w:ascii="Arial" w:eastAsia="宋体" w:hAnsi="Arial" w:cs="Arial"/>
          <w:b/>
          <w:bCs/>
          <w:color w:val="333333"/>
          <w:sz w:val="20"/>
          <w:szCs w:val="20"/>
        </w:rPr>
        <w:t>Available-for-Sale Debt Investments</w:t>
      </w:r>
    </w:p>
    <w:tbl>
      <w:tblPr>
        <w:tblW w:w="4980" w:type="pct"/>
        <w:tblCellMar>
          <w:top w:w="15" w:type="dxa"/>
          <w:left w:w="15" w:type="dxa"/>
          <w:bottom w:w="15" w:type="dxa"/>
          <w:right w:w="15" w:type="dxa"/>
        </w:tblCellMar>
        <w:tblLook w:val="04A0" w:firstRow="1" w:lastRow="0" w:firstColumn="1" w:lastColumn="0" w:noHBand="0" w:noVBand="1"/>
      </w:tblPr>
      <w:tblGrid>
        <w:gridCol w:w="68"/>
        <w:gridCol w:w="1074"/>
        <w:gridCol w:w="66"/>
        <w:gridCol w:w="37"/>
        <w:gridCol w:w="34"/>
        <w:gridCol w:w="34"/>
        <w:gridCol w:w="115"/>
        <w:gridCol w:w="491"/>
        <w:gridCol w:w="75"/>
        <w:gridCol w:w="37"/>
        <w:gridCol w:w="35"/>
        <w:gridCol w:w="35"/>
        <w:gridCol w:w="116"/>
        <w:gridCol w:w="596"/>
        <w:gridCol w:w="86"/>
        <w:gridCol w:w="37"/>
        <w:gridCol w:w="35"/>
        <w:gridCol w:w="35"/>
        <w:gridCol w:w="116"/>
        <w:gridCol w:w="596"/>
        <w:gridCol w:w="86"/>
        <w:gridCol w:w="37"/>
        <w:gridCol w:w="35"/>
        <w:gridCol w:w="35"/>
        <w:gridCol w:w="115"/>
        <w:gridCol w:w="491"/>
        <w:gridCol w:w="75"/>
        <w:gridCol w:w="37"/>
        <w:gridCol w:w="35"/>
        <w:gridCol w:w="35"/>
        <w:gridCol w:w="116"/>
        <w:gridCol w:w="505"/>
        <w:gridCol w:w="77"/>
        <w:gridCol w:w="37"/>
        <w:gridCol w:w="35"/>
        <w:gridCol w:w="35"/>
        <w:gridCol w:w="116"/>
        <w:gridCol w:w="596"/>
        <w:gridCol w:w="86"/>
        <w:gridCol w:w="37"/>
        <w:gridCol w:w="35"/>
        <w:gridCol w:w="35"/>
        <w:gridCol w:w="116"/>
        <w:gridCol w:w="596"/>
        <w:gridCol w:w="86"/>
        <w:gridCol w:w="37"/>
        <w:gridCol w:w="35"/>
        <w:gridCol w:w="35"/>
        <w:gridCol w:w="115"/>
        <w:gridCol w:w="412"/>
        <w:gridCol w:w="75"/>
        <w:gridCol w:w="35"/>
        <w:gridCol w:w="35"/>
        <w:gridCol w:w="35"/>
        <w:gridCol w:w="35"/>
        <w:gridCol w:w="35"/>
        <w:gridCol w:w="35"/>
        <w:gridCol w:w="35"/>
        <w:gridCol w:w="35"/>
        <w:gridCol w:w="35"/>
        <w:gridCol w:w="35"/>
        <w:gridCol w:w="35"/>
        <w:gridCol w:w="35"/>
      </w:tblGrid>
      <w:tr w:rsidR="00B626E7" w14:paraId="20AE10A0" w14:textId="77777777">
        <w:trPr>
          <w:gridAfter w:val="12"/>
        </w:trPr>
        <w:tc>
          <w:tcPr>
            <w:tcW w:w="50" w:type="pct"/>
            <w:shd w:val="clear" w:color="auto" w:fill="auto"/>
          </w:tcPr>
          <w:p w14:paraId="20AE106D" w14:textId="77777777" w:rsidR="00B626E7" w:rsidRDefault="00B626E7">
            <w:pPr>
              <w:rPr>
                <w:rFonts w:ascii="宋体"/>
              </w:rPr>
            </w:pPr>
          </w:p>
        </w:tc>
        <w:tc>
          <w:tcPr>
            <w:tcW w:w="894" w:type="pct"/>
            <w:shd w:val="clear" w:color="auto" w:fill="auto"/>
          </w:tcPr>
          <w:p w14:paraId="20AE106E" w14:textId="77777777" w:rsidR="00B626E7" w:rsidRDefault="00B626E7">
            <w:pPr>
              <w:rPr>
                <w:rFonts w:ascii="宋体"/>
              </w:rPr>
            </w:pPr>
          </w:p>
        </w:tc>
        <w:tc>
          <w:tcPr>
            <w:tcW w:w="50" w:type="pct"/>
            <w:shd w:val="clear" w:color="auto" w:fill="auto"/>
          </w:tcPr>
          <w:p w14:paraId="20AE106F" w14:textId="77777777" w:rsidR="00B626E7" w:rsidRDefault="00B626E7">
            <w:pPr>
              <w:rPr>
                <w:rFonts w:ascii="宋体"/>
              </w:rPr>
            </w:pPr>
          </w:p>
        </w:tc>
        <w:tc>
          <w:tcPr>
            <w:tcW w:w="5" w:type="pct"/>
            <w:shd w:val="clear" w:color="auto" w:fill="auto"/>
          </w:tcPr>
          <w:p w14:paraId="20AE1070" w14:textId="77777777" w:rsidR="00B626E7" w:rsidRDefault="00B626E7">
            <w:pPr>
              <w:rPr>
                <w:rFonts w:ascii="宋体"/>
              </w:rPr>
            </w:pPr>
          </w:p>
        </w:tc>
        <w:tc>
          <w:tcPr>
            <w:tcW w:w="24" w:type="pct"/>
            <w:shd w:val="clear" w:color="auto" w:fill="auto"/>
          </w:tcPr>
          <w:p w14:paraId="20AE1071" w14:textId="77777777" w:rsidR="00B626E7" w:rsidRDefault="00B626E7">
            <w:pPr>
              <w:rPr>
                <w:rFonts w:ascii="宋体"/>
              </w:rPr>
            </w:pPr>
          </w:p>
        </w:tc>
        <w:tc>
          <w:tcPr>
            <w:tcW w:w="5" w:type="pct"/>
            <w:shd w:val="clear" w:color="auto" w:fill="auto"/>
          </w:tcPr>
          <w:p w14:paraId="20AE1072" w14:textId="77777777" w:rsidR="00B626E7" w:rsidRDefault="00B626E7">
            <w:pPr>
              <w:rPr>
                <w:rFonts w:ascii="宋体"/>
              </w:rPr>
            </w:pPr>
          </w:p>
        </w:tc>
        <w:tc>
          <w:tcPr>
            <w:tcW w:w="50" w:type="pct"/>
            <w:shd w:val="clear" w:color="auto" w:fill="auto"/>
          </w:tcPr>
          <w:p w14:paraId="20AE1073" w14:textId="77777777" w:rsidR="00B626E7" w:rsidRDefault="00B626E7">
            <w:pPr>
              <w:rPr>
                <w:rFonts w:ascii="宋体"/>
              </w:rPr>
            </w:pPr>
          </w:p>
        </w:tc>
        <w:tc>
          <w:tcPr>
            <w:tcW w:w="359" w:type="pct"/>
            <w:shd w:val="clear" w:color="auto" w:fill="auto"/>
          </w:tcPr>
          <w:p w14:paraId="20AE1074" w14:textId="77777777" w:rsidR="00B626E7" w:rsidRDefault="00B626E7">
            <w:pPr>
              <w:rPr>
                <w:rFonts w:ascii="宋体"/>
              </w:rPr>
            </w:pPr>
          </w:p>
        </w:tc>
        <w:tc>
          <w:tcPr>
            <w:tcW w:w="50" w:type="pct"/>
            <w:shd w:val="clear" w:color="auto" w:fill="auto"/>
          </w:tcPr>
          <w:p w14:paraId="20AE1075" w14:textId="77777777" w:rsidR="00B626E7" w:rsidRDefault="00B626E7">
            <w:pPr>
              <w:rPr>
                <w:rFonts w:ascii="宋体"/>
              </w:rPr>
            </w:pPr>
          </w:p>
        </w:tc>
        <w:tc>
          <w:tcPr>
            <w:tcW w:w="5" w:type="pct"/>
            <w:shd w:val="clear" w:color="auto" w:fill="auto"/>
          </w:tcPr>
          <w:p w14:paraId="20AE1076" w14:textId="77777777" w:rsidR="00B626E7" w:rsidRDefault="00B626E7">
            <w:pPr>
              <w:rPr>
                <w:rFonts w:ascii="宋体"/>
              </w:rPr>
            </w:pPr>
          </w:p>
        </w:tc>
        <w:tc>
          <w:tcPr>
            <w:tcW w:w="24" w:type="pct"/>
            <w:shd w:val="clear" w:color="auto" w:fill="auto"/>
          </w:tcPr>
          <w:p w14:paraId="20AE1077" w14:textId="77777777" w:rsidR="00B626E7" w:rsidRDefault="00B626E7">
            <w:pPr>
              <w:rPr>
                <w:rFonts w:ascii="宋体"/>
              </w:rPr>
            </w:pPr>
          </w:p>
        </w:tc>
        <w:tc>
          <w:tcPr>
            <w:tcW w:w="5" w:type="pct"/>
            <w:shd w:val="clear" w:color="auto" w:fill="auto"/>
          </w:tcPr>
          <w:p w14:paraId="20AE1078" w14:textId="77777777" w:rsidR="00B626E7" w:rsidRDefault="00B626E7">
            <w:pPr>
              <w:rPr>
                <w:rFonts w:ascii="宋体"/>
              </w:rPr>
            </w:pPr>
          </w:p>
        </w:tc>
        <w:tc>
          <w:tcPr>
            <w:tcW w:w="50" w:type="pct"/>
            <w:shd w:val="clear" w:color="auto" w:fill="auto"/>
          </w:tcPr>
          <w:p w14:paraId="20AE1079" w14:textId="77777777" w:rsidR="00B626E7" w:rsidRDefault="00B626E7">
            <w:pPr>
              <w:rPr>
                <w:rFonts w:ascii="宋体"/>
              </w:rPr>
            </w:pPr>
          </w:p>
        </w:tc>
        <w:tc>
          <w:tcPr>
            <w:tcW w:w="373" w:type="pct"/>
            <w:shd w:val="clear" w:color="auto" w:fill="auto"/>
          </w:tcPr>
          <w:p w14:paraId="20AE107A" w14:textId="77777777" w:rsidR="00B626E7" w:rsidRDefault="00B626E7">
            <w:pPr>
              <w:rPr>
                <w:rFonts w:ascii="宋体"/>
              </w:rPr>
            </w:pPr>
          </w:p>
        </w:tc>
        <w:tc>
          <w:tcPr>
            <w:tcW w:w="50" w:type="pct"/>
            <w:shd w:val="clear" w:color="auto" w:fill="auto"/>
          </w:tcPr>
          <w:p w14:paraId="20AE107B" w14:textId="77777777" w:rsidR="00B626E7" w:rsidRDefault="00B626E7">
            <w:pPr>
              <w:rPr>
                <w:rFonts w:ascii="宋体"/>
              </w:rPr>
            </w:pPr>
          </w:p>
        </w:tc>
        <w:tc>
          <w:tcPr>
            <w:tcW w:w="5" w:type="pct"/>
            <w:shd w:val="clear" w:color="auto" w:fill="auto"/>
          </w:tcPr>
          <w:p w14:paraId="20AE107C" w14:textId="77777777" w:rsidR="00B626E7" w:rsidRDefault="00B626E7">
            <w:pPr>
              <w:rPr>
                <w:rFonts w:ascii="宋体"/>
              </w:rPr>
            </w:pPr>
          </w:p>
        </w:tc>
        <w:tc>
          <w:tcPr>
            <w:tcW w:w="24" w:type="pct"/>
            <w:shd w:val="clear" w:color="auto" w:fill="auto"/>
          </w:tcPr>
          <w:p w14:paraId="20AE107D" w14:textId="77777777" w:rsidR="00B626E7" w:rsidRDefault="00B626E7">
            <w:pPr>
              <w:rPr>
                <w:rFonts w:ascii="宋体"/>
              </w:rPr>
            </w:pPr>
          </w:p>
        </w:tc>
        <w:tc>
          <w:tcPr>
            <w:tcW w:w="5" w:type="pct"/>
            <w:shd w:val="clear" w:color="auto" w:fill="auto"/>
          </w:tcPr>
          <w:p w14:paraId="20AE107E" w14:textId="77777777" w:rsidR="00B626E7" w:rsidRDefault="00B626E7">
            <w:pPr>
              <w:rPr>
                <w:rFonts w:ascii="宋体"/>
              </w:rPr>
            </w:pPr>
          </w:p>
        </w:tc>
        <w:tc>
          <w:tcPr>
            <w:tcW w:w="50" w:type="pct"/>
            <w:shd w:val="clear" w:color="auto" w:fill="auto"/>
          </w:tcPr>
          <w:p w14:paraId="20AE107F" w14:textId="77777777" w:rsidR="00B626E7" w:rsidRDefault="00B626E7">
            <w:pPr>
              <w:rPr>
                <w:rFonts w:ascii="宋体"/>
              </w:rPr>
            </w:pPr>
          </w:p>
        </w:tc>
        <w:tc>
          <w:tcPr>
            <w:tcW w:w="373" w:type="pct"/>
            <w:shd w:val="clear" w:color="auto" w:fill="auto"/>
          </w:tcPr>
          <w:p w14:paraId="20AE1080" w14:textId="77777777" w:rsidR="00B626E7" w:rsidRDefault="00B626E7">
            <w:pPr>
              <w:rPr>
                <w:rFonts w:ascii="宋体"/>
              </w:rPr>
            </w:pPr>
          </w:p>
        </w:tc>
        <w:tc>
          <w:tcPr>
            <w:tcW w:w="50" w:type="pct"/>
            <w:shd w:val="clear" w:color="auto" w:fill="auto"/>
          </w:tcPr>
          <w:p w14:paraId="20AE1081" w14:textId="77777777" w:rsidR="00B626E7" w:rsidRDefault="00B626E7">
            <w:pPr>
              <w:rPr>
                <w:rFonts w:ascii="宋体"/>
              </w:rPr>
            </w:pPr>
          </w:p>
        </w:tc>
        <w:tc>
          <w:tcPr>
            <w:tcW w:w="5" w:type="pct"/>
            <w:shd w:val="clear" w:color="auto" w:fill="auto"/>
          </w:tcPr>
          <w:p w14:paraId="20AE1082" w14:textId="77777777" w:rsidR="00B626E7" w:rsidRDefault="00B626E7">
            <w:pPr>
              <w:rPr>
                <w:rFonts w:ascii="宋体"/>
              </w:rPr>
            </w:pPr>
          </w:p>
        </w:tc>
        <w:tc>
          <w:tcPr>
            <w:tcW w:w="24" w:type="pct"/>
            <w:shd w:val="clear" w:color="auto" w:fill="auto"/>
          </w:tcPr>
          <w:p w14:paraId="20AE1083" w14:textId="77777777" w:rsidR="00B626E7" w:rsidRDefault="00B626E7">
            <w:pPr>
              <w:rPr>
                <w:rFonts w:ascii="宋体"/>
              </w:rPr>
            </w:pPr>
          </w:p>
        </w:tc>
        <w:tc>
          <w:tcPr>
            <w:tcW w:w="5" w:type="pct"/>
            <w:shd w:val="clear" w:color="auto" w:fill="auto"/>
          </w:tcPr>
          <w:p w14:paraId="20AE1084" w14:textId="77777777" w:rsidR="00B626E7" w:rsidRDefault="00B626E7">
            <w:pPr>
              <w:rPr>
                <w:rFonts w:ascii="宋体"/>
              </w:rPr>
            </w:pPr>
          </w:p>
        </w:tc>
        <w:tc>
          <w:tcPr>
            <w:tcW w:w="50" w:type="pct"/>
            <w:shd w:val="clear" w:color="auto" w:fill="auto"/>
          </w:tcPr>
          <w:p w14:paraId="20AE1085" w14:textId="77777777" w:rsidR="00B626E7" w:rsidRDefault="00B626E7">
            <w:pPr>
              <w:rPr>
                <w:rFonts w:ascii="宋体"/>
              </w:rPr>
            </w:pPr>
          </w:p>
        </w:tc>
        <w:tc>
          <w:tcPr>
            <w:tcW w:w="359" w:type="pct"/>
            <w:shd w:val="clear" w:color="auto" w:fill="auto"/>
          </w:tcPr>
          <w:p w14:paraId="20AE1086" w14:textId="77777777" w:rsidR="00B626E7" w:rsidRDefault="00B626E7">
            <w:pPr>
              <w:rPr>
                <w:rFonts w:ascii="宋体"/>
              </w:rPr>
            </w:pPr>
          </w:p>
        </w:tc>
        <w:tc>
          <w:tcPr>
            <w:tcW w:w="50" w:type="pct"/>
            <w:shd w:val="clear" w:color="auto" w:fill="auto"/>
          </w:tcPr>
          <w:p w14:paraId="20AE1087" w14:textId="77777777" w:rsidR="00B626E7" w:rsidRDefault="00B626E7">
            <w:pPr>
              <w:rPr>
                <w:rFonts w:ascii="宋体"/>
              </w:rPr>
            </w:pPr>
          </w:p>
        </w:tc>
        <w:tc>
          <w:tcPr>
            <w:tcW w:w="5" w:type="pct"/>
            <w:shd w:val="clear" w:color="auto" w:fill="auto"/>
          </w:tcPr>
          <w:p w14:paraId="20AE1088" w14:textId="77777777" w:rsidR="00B626E7" w:rsidRDefault="00B626E7">
            <w:pPr>
              <w:rPr>
                <w:rFonts w:ascii="宋体"/>
              </w:rPr>
            </w:pPr>
          </w:p>
        </w:tc>
        <w:tc>
          <w:tcPr>
            <w:tcW w:w="24" w:type="pct"/>
            <w:shd w:val="clear" w:color="auto" w:fill="auto"/>
          </w:tcPr>
          <w:p w14:paraId="20AE1089" w14:textId="77777777" w:rsidR="00B626E7" w:rsidRDefault="00B626E7">
            <w:pPr>
              <w:rPr>
                <w:rFonts w:ascii="宋体"/>
              </w:rPr>
            </w:pPr>
          </w:p>
        </w:tc>
        <w:tc>
          <w:tcPr>
            <w:tcW w:w="5" w:type="pct"/>
            <w:shd w:val="clear" w:color="auto" w:fill="auto"/>
          </w:tcPr>
          <w:p w14:paraId="20AE108A" w14:textId="77777777" w:rsidR="00B626E7" w:rsidRDefault="00B626E7">
            <w:pPr>
              <w:rPr>
                <w:rFonts w:ascii="宋体"/>
              </w:rPr>
            </w:pPr>
          </w:p>
        </w:tc>
        <w:tc>
          <w:tcPr>
            <w:tcW w:w="50" w:type="pct"/>
            <w:shd w:val="clear" w:color="auto" w:fill="auto"/>
          </w:tcPr>
          <w:p w14:paraId="20AE108B" w14:textId="77777777" w:rsidR="00B626E7" w:rsidRDefault="00B626E7">
            <w:pPr>
              <w:rPr>
                <w:rFonts w:ascii="宋体"/>
              </w:rPr>
            </w:pPr>
          </w:p>
        </w:tc>
        <w:tc>
          <w:tcPr>
            <w:tcW w:w="359" w:type="pct"/>
            <w:shd w:val="clear" w:color="auto" w:fill="auto"/>
          </w:tcPr>
          <w:p w14:paraId="20AE108C" w14:textId="77777777" w:rsidR="00B626E7" w:rsidRDefault="00B626E7">
            <w:pPr>
              <w:rPr>
                <w:rFonts w:ascii="宋体"/>
              </w:rPr>
            </w:pPr>
          </w:p>
        </w:tc>
        <w:tc>
          <w:tcPr>
            <w:tcW w:w="50" w:type="pct"/>
            <w:shd w:val="clear" w:color="auto" w:fill="auto"/>
          </w:tcPr>
          <w:p w14:paraId="20AE108D" w14:textId="77777777" w:rsidR="00B626E7" w:rsidRDefault="00B626E7">
            <w:pPr>
              <w:rPr>
                <w:rFonts w:ascii="宋体"/>
              </w:rPr>
            </w:pPr>
          </w:p>
        </w:tc>
        <w:tc>
          <w:tcPr>
            <w:tcW w:w="5" w:type="pct"/>
            <w:shd w:val="clear" w:color="auto" w:fill="auto"/>
          </w:tcPr>
          <w:p w14:paraId="20AE108E" w14:textId="77777777" w:rsidR="00B626E7" w:rsidRDefault="00B626E7">
            <w:pPr>
              <w:rPr>
                <w:rFonts w:ascii="宋体"/>
              </w:rPr>
            </w:pPr>
          </w:p>
        </w:tc>
        <w:tc>
          <w:tcPr>
            <w:tcW w:w="24" w:type="pct"/>
            <w:shd w:val="clear" w:color="auto" w:fill="auto"/>
          </w:tcPr>
          <w:p w14:paraId="20AE108F" w14:textId="77777777" w:rsidR="00B626E7" w:rsidRDefault="00B626E7">
            <w:pPr>
              <w:rPr>
                <w:rFonts w:ascii="宋体"/>
              </w:rPr>
            </w:pPr>
          </w:p>
        </w:tc>
        <w:tc>
          <w:tcPr>
            <w:tcW w:w="5" w:type="pct"/>
            <w:shd w:val="clear" w:color="auto" w:fill="auto"/>
          </w:tcPr>
          <w:p w14:paraId="20AE1090" w14:textId="77777777" w:rsidR="00B626E7" w:rsidRDefault="00B626E7">
            <w:pPr>
              <w:rPr>
                <w:rFonts w:ascii="宋体"/>
              </w:rPr>
            </w:pPr>
          </w:p>
        </w:tc>
        <w:tc>
          <w:tcPr>
            <w:tcW w:w="50" w:type="pct"/>
            <w:shd w:val="clear" w:color="auto" w:fill="auto"/>
          </w:tcPr>
          <w:p w14:paraId="20AE1091" w14:textId="77777777" w:rsidR="00B626E7" w:rsidRDefault="00B626E7">
            <w:pPr>
              <w:rPr>
                <w:rFonts w:ascii="宋体"/>
              </w:rPr>
            </w:pPr>
          </w:p>
        </w:tc>
        <w:tc>
          <w:tcPr>
            <w:tcW w:w="373" w:type="pct"/>
            <w:shd w:val="clear" w:color="auto" w:fill="auto"/>
          </w:tcPr>
          <w:p w14:paraId="20AE1092" w14:textId="77777777" w:rsidR="00B626E7" w:rsidRDefault="00B626E7">
            <w:pPr>
              <w:rPr>
                <w:rFonts w:ascii="宋体"/>
              </w:rPr>
            </w:pPr>
          </w:p>
        </w:tc>
        <w:tc>
          <w:tcPr>
            <w:tcW w:w="50" w:type="pct"/>
            <w:shd w:val="clear" w:color="auto" w:fill="auto"/>
          </w:tcPr>
          <w:p w14:paraId="20AE1093" w14:textId="77777777" w:rsidR="00B626E7" w:rsidRDefault="00B626E7">
            <w:pPr>
              <w:rPr>
                <w:rFonts w:ascii="宋体"/>
              </w:rPr>
            </w:pPr>
          </w:p>
        </w:tc>
        <w:tc>
          <w:tcPr>
            <w:tcW w:w="5" w:type="pct"/>
            <w:shd w:val="clear" w:color="auto" w:fill="auto"/>
          </w:tcPr>
          <w:p w14:paraId="20AE1094" w14:textId="77777777" w:rsidR="00B626E7" w:rsidRDefault="00B626E7">
            <w:pPr>
              <w:rPr>
                <w:rFonts w:ascii="宋体"/>
              </w:rPr>
            </w:pPr>
          </w:p>
        </w:tc>
        <w:tc>
          <w:tcPr>
            <w:tcW w:w="24" w:type="pct"/>
            <w:shd w:val="clear" w:color="auto" w:fill="auto"/>
          </w:tcPr>
          <w:p w14:paraId="20AE1095" w14:textId="77777777" w:rsidR="00B626E7" w:rsidRDefault="00B626E7">
            <w:pPr>
              <w:rPr>
                <w:rFonts w:ascii="宋体"/>
              </w:rPr>
            </w:pPr>
          </w:p>
        </w:tc>
        <w:tc>
          <w:tcPr>
            <w:tcW w:w="5" w:type="pct"/>
            <w:shd w:val="clear" w:color="auto" w:fill="auto"/>
          </w:tcPr>
          <w:p w14:paraId="20AE1096" w14:textId="77777777" w:rsidR="00B626E7" w:rsidRDefault="00B626E7">
            <w:pPr>
              <w:rPr>
                <w:rFonts w:ascii="宋体"/>
              </w:rPr>
            </w:pPr>
          </w:p>
        </w:tc>
        <w:tc>
          <w:tcPr>
            <w:tcW w:w="50" w:type="pct"/>
            <w:shd w:val="clear" w:color="auto" w:fill="auto"/>
          </w:tcPr>
          <w:p w14:paraId="20AE1097" w14:textId="77777777" w:rsidR="00B626E7" w:rsidRDefault="00B626E7">
            <w:pPr>
              <w:rPr>
                <w:rFonts w:ascii="宋体"/>
              </w:rPr>
            </w:pPr>
          </w:p>
        </w:tc>
        <w:tc>
          <w:tcPr>
            <w:tcW w:w="373" w:type="pct"/>
            <w:shd w:val="clear" w:color="auto" w:fill="auto"/>
          </w:tcPr>
          <w:p w14:paraId="20AE1098" w14:textId="77777777" w:rsidR="00B626E7" w:rsidRDefault="00B626E7">
            <w:pPr>
              <w:rPr>
                <w:rFonts w:ascii="宋体"/>
              </w:rPr>
            </w:pPr>
          </w:p>
        </w:tc>
        <w:tc>
          <w:tcPr>
            <w:tcW w:w="50" w:type="pct"/>
            <w:shd w:val="clear" w:color="auto" w:fill="auto"/>
          </w:tcPr>
          <w:p w14:paraId="20AE1099" w14:textId="77777777" w:rsidR="00B626E7" w:rsidRDefault="00B626E7">
            <w:pPr>
              <w:rPr>
                <w:rFonts w:ascii="宋体"/>
              </w:rPr>
            </w:pPr>
          </w:p>
        </w:tc>
        <w:tc>
          <w:tcPr>
            <w:tcW w:w="5" w:type="pct"/>
            <w:shd w:val="clear" w:color="auto" w:fill="auto"/>
          </w:tcPr>
          <w:p w14:paraId="20AE109A" w14:textId="77777777" w:rsidR="00B626E7" w:rsidRDefault="00B626E7">
            <w:pPr>
              <w:rPr>
                <w:rFonts w:ascii="宋体"/>
              </w:rPr>
            </w:pPr>
          </w:p>
        </w:tc>
        <w:tc>
          <w:tcPr>
            <w:tcW w:w="24" w:type="pct"/>
            <w:shd w:val="clear" w:color="auto" w:fill="auto"/>
          </w:tcPr>
          <w:p w14:paraId="20AE109B" w14:textId="77777777" w:rsidR="00B626E7" w:rsidRDefault="00B626E7">
            <w:pPr>
              <w:rPr>
                <w:rFonts w:ascii="宋体"/>
              </w:rPr>
            </w:pPr>
          </w:p>
        </w:tc>
        <w:tc>
          <w:tcPr>
            <w:tcW w:w="5" w:type="pct"/>
            <w:shd w:val="clear" w:color="auto" w:fill="auto"/>
          </w:tcPr>
          <w:p w14:paraId="20AE109C" w14:textId="77777777" w:rsidR="00B626E7" w:rsidRDefault="00B626E7">
            <w:pPr>
              <w:rPr>
                <w:rFonts w:ascii="宋体"/>
              </w:rPr>
            </w:pPr>
          </w:p>
        </w:tc>
        <w:tc>
          <w:tcPr>
            <w:tcW w:w="50" w:type="pct"/>
            <w:shd w:val="clear" w:color="auto" w:fill="auto"/>
          </w:tcPr>
          <w:p w14:paraId="20AE109D" w14:textId="77777777" w:rsidR="00B626E7" w:rsidRDefault="00B626E7">
            <w:pPr>
              <w:rPr>
                <w:rFonts w:ascii="宋体"/>
              </w:rPr>
            </w:pPr>
          </w:p>
        </w:tc>
        <w:tc>
          <w:tcPr>
            <w:tcW w:w="360" w:type="pct"/>
            <w:shd w:val="clear" w:color="auto" w:fill="auto"/>
          </w:tcPr>
          <w:p w14:paraId="20AE109E" w14:textId="77777777" w:rsidR="00B626E7" w:rsidRDefault="00B626E7">
            <w:pPr>
              <w:rPr>
                <w:rFonts w:ascii="宋体"/>
              </w:rPr>
            </w:pPr>
          </w:p>
        </w:tc>
        <w:tc>
          <w:tcPr>
            <w:tcW w:w="50" w:type="pct"/>
            <w:shd w:val="clear" w:color="auto" w:fill="auto"/>
          </w:tcPr>
          <w:p w14:paraId="20AE109F" w14:textId="77777777" w:rsidR="00B626E7" w:rsidRDefault="00B626E7">
            <w:pPr>
              <w:rPr>
                <w:rFonts w:ascii="宋体"/>
              </w:rPr>
            </w:pPr>
          </w:p>
        </w:tc>
      </w:tr>
      <w:tr w:rsidR="00B626E7" w14:paraId="20AE10AD" w14:textId="77777777">
        <w:tc>
          <w:tcPr>
            <w:tcW w:w="0" w:type="auto"/>
            <w:gridSpan w:val="3"/>
            <w:shd w:val="clear" w:color="auto" w:fill="auto"/>
            <w:tcMar>
              <w:left w:w="20" w:type="dxa"/>
              <w:right w:w="20" w:type="dxa"/>
            </w:tcMar>
            <w:vAlign w:val="bottom"/>
          </w:tcPr>
          <w:p w14:paraId="20AE10A1"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0A2" w14:textId="77777777" w:rsidR="00B626E7" w:rsidRDefault="00B626E7">
            <w:pPr>
              <w:rPr>
                <w:rFonts w:ascii="宋体"/>
              </w:rPr>
            </w:pPr>
          </w:p>
        </w:tc>
        <w:tc>
          <w:tcPr>
            <w:tcW w:w="0" w:type="auto"/>
            <w:gridSpan w:val="21"/>
            <w:shd w:val="clear" w:color="auto" w:fill="auto"/>
            <w:tcMar>
              <w:top w:w="40" w:type="dxa"/>
              <w:left w:w="20" w:type="dxa"/>
              <w:bottom w:w="40" w:type="dxa"/>
              <w:right w:w="20" w:type="dxa"/>
            </w:tcMar>
            <w:vAlign w:val="bottom"/>
          </w:tcPr>
          <w:p w14:paraId="20AE10A3" w14:textId="77777777" w:rsidR="00B626E7" w:rsidRDefault="00175C1D">
            <w:pPr>
              <w:jc w:val="center"/>
              <w:textAlignment w:val="bottom"/>
            </w:pPr>
            <w:r>
              <w:rPr>
                <w:rFonts w:ascii="Arial" w:eastAsia="宋体" w:hAnsi="Arial" w:cs="Arial"/>
                <w:b/>
                <w:bCs/>
                <w:color w:val="333333"/>
                <w:sz w:val="18"/>
                <w:szCs w:val="18"/>
              </w:rPr>
              <w:t>Jun 27, 2020</w:t>
            </w:r>
          </w:p>
        </w:tc>
        <w:tc>
          <w:tcPr>
            <w:tcW w:w="0" w:type="auto"/>
            <w:gridSpan w:val="3"/>
            <w:shd w:val="clear" w:color="auto" w:fill="auto"/>
          </w:tcPr>
          <w:p w14:paraId="20AE10A4" w14:textId="77777777" w:rsidR="00B626E7" w:rsidRDefault="00B626E7">
            <w:pPr>
              <w:rPr>
                <w:rFonts w:ascii="宋体"/>
                <w:vanish/>
              </w:rPr>
            </w:pPr>
          </w:p>
        </w:tc>
        <w:tc>
          <w:tcPr>
            <w:tcW w:w="0" w:type="auto"/>
            <w:gridSpan w:val="3"/>
            <w:shd w:val="clear" w:color="auto" w:fill="auto"/>
          </w:tcPr>
          <w:p w14:paraId="20AE10A5" w14:textId="77777777" w:rsidR="00B626E7" w:rsidRDefault="00B626E7">
            <w:pPr>
              <w:rPr>
                <w:rFonts w:ascii="宋体"/>
                <w:vanish/>
              </w:rPr>
            </w:pPr>
          </w:p>
        </w:tc>
        <w:tc>
          <w:tcPr>
            <w:tcW w:w="0" w:type="auto"/>
            <w:gridSpan w:val="3"/>
            <w:shd w:val="clear" w:color="auto" w:fill="auto"/>
          </w:tcPr>
          <w:p w14:paraId="20AE10A6" w14:textId="77777777" w:rsidR="00B626E7" w:rsidRDefault="00B626E7">
            <w:pPr>
              <w:rPr>
                <w:rFonts w:ascii="宋体"/>
                <w:vanish/>
              </w:rPr>
            </w:pPr>
          </w:p>
        </w:tc>
        <w:tc>
          <w:tcPr>
            <w:tcW w:w="0" w:type="auto"/>
            <w:gridSpan w:val="3"/>
            <w:shd w:val="clear" w:color="auto" w:fill="auto"/>
          </w:tcPr>
          <w:p w14:paraId="20AE10A7" w14:textId="77777777" w:rsidR="00B626E7" w:rsidRDefault="00B626E7">
            <w:pPr>
              <w:rPr>
                <w:rFonts w:ascii="宋体"/>
                <w:vanish/>
              </w:rPr>
            </w:pPr>
          </w:p>
        </w:tc>
        <w:tc>
          <w:tcPr>
            <w:tcW w:w="0" w:type="auto"/>
            <w:gridSpan w:val="3"/>
            <w:shd w:val="clear" w:color="auto" w:fill="auto"/>
          </w:tcPr>
          <w:p w14:paraId="20AE10A8" w14:textId="77777777" w:rsidR="00B626E7" w:rsidRDefault="00B626E7">
            <w:pPr>
              <w:rPr>
                <w:rFonts w:ascii="宋体"/>
                <w:vanish/>
              </w:rPr>
            </w:pPr>
          </w:p>
        </w:tc>
        <w:tc>
          <w:tcPr>
            <w:tcW w:w="0" w:type="auto"/>
            <w:gridSpan w:val="3"/>
            <w:shd w:val="clear" w:color="auto" w:fill="auto"/>
          </w:tcPr>
          <w:p w14:paraId="20AE10A9" w14:textId="77777777" w:rsidR="00B626E7" w:rsidRDefault="00B626E7">
            <w:pPr>
              <w:rPr>
                <w:rFonts w:ascii="宋体"/>
                <w:vanish/>
              </w:rPr>
            </w:pPr>
          </w:p>
        </w:tc>
        <w:tc>
          <w:tcPr>
            <w:tcW w:w="0" w:type="auto"/>
            <w:gridSpan w:val="3"/>
            <w:shd w:val="clear" w:color="auto" w:fill="auto"/>
            <w:tcMar>
              <w:left w:w="20" w:type="dxa"/>
              <w:right w:w="20" w:type="dxa"/>
            </w:tcMar>
            <w:vAlign w:val="bottom"/>
          </w:tcPr>
          <w:p w14:paraId="20AE10AA" w14:textId="77777777" w:rsidR="00B626E7" w:rsidRDefault="00B626E7">
            <w:pPr>
              <w:rPr>
                <w:rFonts w:ascii="宋体"/>
              </w:rPr>
            </w:pPr>
          </w:p>
        </w:tc>
        <w:tc>
          <w:tcPr>
            <w:tcW w:w="0" w:type="auto"/>
            <w:gridSpan w:val="14"/>
            <w:shd w:val="clear" w:color="auto" w:fill="auto"/>
            <w:tcMar>
              <w:top w:w="40" w:type="dxa"/>
              <w:left w:w="20" w:type="dxa"/>
              <w:bottom w:w="40" w:type="dxa"/>
              <w:right w:w="20" w:type="dxa"/>
            </w:tcMar>
            <w:vAlign w:val="bottom"/>
          </w:tcPr>
          <w:p w14:paraId="20AE10AB" w14:textId="77777777" w:rsidR="00B626E7" w:rsidRDefault="00175C1D">
            <w:pPr>
              <w:jc w:val="center"/>
              <w:textAlignment w:val="bottom"/>
            </w:pPr>
            <w:r>
              <w:rPr>
                <w:rFonts w:ascii="Arial" w:eastAsia="宋体" w:hAnsi="Arial" w:cs="Arial"/>
                <w:b/>
                <w:bCs/>
                <w:color w:val="333333"/>
                <w:sz w:val="18"/>
                <w:szCs w:val="18"/>
              </w:rPr>
              <w:t>Dec 28, 2019</w:t>
            </w:r>
          </w:p>
        </w:tc>
        <w:tc>
          <w:tcPr>
            <w:tcW w:w="0" w:type="auto"/>
            <w:shd w:val="clear" w:color="auto" w:fill="auto"/>
          </w:tcPr>
          <w:p w14:paraId="20AE10AC" w14:textId="77777777" w:rsidR="00B626E7" w:rsidRDefault="00B626E7">
            <w:pPr>
              <w:rPr>
                <w:rFonts w:ascii="宋体"/>
                <w:vanish/>
              </w:rPr>
            </w:pPr>
          </w:p>
        </w:tc>
      </w:tr>
      <w:tr w:rsidR="00B626E7" w14:paraId="20AE10CB" w14:textId="77777777">
        <w:tc>
          <w:tcPr>
            <w:tcW w:w="0" w:type="auto"/>
            <w:gridSpan w:val="3"/>
            <w:shd w:val="clear" w:color="auto" w:fill="auto"/>
            <w:tcMar>
              <w:top w:w="40" w:type="dxa"/>
              <w:left w:w="20" w:type="dxa"/>
              <w:bottom w:w="40" w:type="dxa"/>
              <w:right w:w="20" w:type="dxa"/>
            </w:tcMar>
            <w:vAlign w:val="bottom"/>
          </w:tcPr>
          <w:p w14:paraId="20AE10AE" w14:textId="77777777" w:rsidR="00B626E7" w:rsidRDefault="00175C1D">
            <w:pPr>
              <w:ind w:hanging="180"/>
              <w:textAlignment w:val="bottom"/>
            </w:pPr>
            <w:r>
              <w:rPr>
                <w:rFonts w:ascii="Arial" w:eastAsia="宋体" w:hAnsi="Arial" w:cs="Arial"/>
                <w:b/>
                <w:bCs/>
                <w:color w:val="333333"/>
                <w:sz w:val="18"/>
                <w:szCs w:val="18"/>
              </w:rPr>
              <w:t>(In Millions)</w:t>
            </w:r>
          </w:p>
        </w:tc>
        <w:tc>
          <w:tcPr>
            <w:tcW w:w="0" w:type="auto"/>
            <w:gridSpan w:val="3"/>
            <w:shd w:val="clear" w:color="auto" w:fill="auto"/>
            <w:tcMar>
              <w:left w:w="20" w:type="dxa"/>
              <w:right w:w="20" w:type="dxa"/>
            </w:tcMar>
            <w:vAlign w:val="bottom"/>
          </w:tcPr>
          <w:p w14:paraId="20AE10AF"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10B0" w14:textId="77777777" w:rsidR="00B626E7" w:rsidRDefault="00175C1D">
            <w:pPr>
              <w:jc w:val="center"/>
              <w:textAlignment w:val="bottom"/>
            </w:pPr>
            <w:r>
              <w:rPr>
                <w:rFonts w:ascii="Arial" w:eastAsia="宋体" w:hAnsi="Arial" w:cs="Arial"/>
                <w:b/>
                <w:bCs/>
                <w:color w:val="333333"/>
                <w:sz w:val="18"/>
                <w:szCs w:val="18"/>
              </w:rPr>
              <w:t>Adjusted Cost</w:t>
            </w:r>
          </w:p>
        </w:tc>
        <w:tc>
          <w:tcPr>
            <w:tcW w:w="0" w:type="auto"/>
            <w:gridSpan w:val="3"/>
            <w:tcBorders>
              <w:top w:val="single" w:sz="8" w:space="0" w:color="0071C5"/>
            </w:tcBorders>
            <w:shd w:val="clear" w:color="auto" w:fill="auto"/>
            <w:tcMar>
              <w:left w:w="20" w:type="dxa"/>
              <w:right w:w="20" w:type="dxa"/>
            </w:tcMar>
            <w:vAlign w:val="bottom"/>
          </w:tcPr>
          <w:p w14:paraId="20AE10B1"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10B2" w14:textId="77777777" w:rsidR="00B626E7" w:rsidRDefault="00175C1D">
            <w:pPr>
              <w:jc w:val="center"/>
              <w:textAlignment w:val="bottom"/>
            </w:pPr>
            <w:r>
              <w:rPr>
                <w:rFonts w:ascii="Arial" w:eastAsia="宋体" w:hAnsi="Arial" w:cs="Arial"/>
                <w:b/>
                <w:bCs/>
                <w:color w:val="333333"/>
                <w:sz w:val="18"/>
                <w:szCs w:val="18"/>
              </w:rPr>
              <w:t>Gross Unrealized Gains</w:t>
            </w:r>
          </w:p>
        </w:tc>
        <w:tc>
          <w:tcPr>
            <w:tcW w:w="0" w:type="auto"/>
            <w:gridSpan w:val="3"/>
            <w:tcBorders>
              <w:top w:val="single" w:sz="8" w:space="0" w:color="0071C5"/>
            </w:tcBorders>
            <w:shd w:val="clear" w:color="auto" w:fill="auto"/>
            <w:tcMar>
              <w:left w:w="20" w:type="dxa"/>
              <w:right w:w="20" w:type="dxa"/>
            </w:tcMar>
            <w:vAlign w:val="bottom"/>
          </w:tcPr>
          <w:p w14:paraId="20AE10B3"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10B4" w14:textId="77777777" w:rsidR="00B626E7" w:rsidRDefault="00175C1D">
            <w:pPr>
              <w:jc w:val="center"/>
              <w:textAlignment w:val="bottom"/>
            </w:pPr>
            <w:r>
              <w:rPr>
                <w:rFonts w:ascii="Arial" w:eastAsia="宋体" w:hAnsi="Arial" w:cs="Arial"/>
                <w:b/>
                <w:bCs/>
                <w:color w:val="333333"/>
                <w:sz w:val="18"/>
                <w:szCs w:val="18"/>
              </w:rPr>
              <w:t>Gross Unrealized Losses</w:t>
            </w:r>
          </w:p>
        </w:tc>
        <w:tc>
          <w:tcPr>
            <w:tcW w:w="0" w:type="auto"/>
            <w:gridSpan w:val="3"/>
            <w:tcBorders>
              <w:top w:val="single" w:sz="8" w:space="0" w:color="0071C5"/>
            </w:tcBorders>
            <w:shd w:val="clear" w:color="auto" w:fill="auto"/>
            <w:tcMar>
              <w:left w:w="20" w:type="dxa"/>
              <w:right w:w="20" w:type="dxa"/>
            </w:tcMar>
            <w:vAlign w:val="bottom"/>
          </w:tcPr>
          <w:p w14:paraId="20AE10B5"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10B6" w14:textId="77777777" w:rsidR="00B626E7" w:rsidRDefault="00175C1D">
            <w:pPr>
              <w:jc w:val="center"/>
              <w:textAlignment w:val="bottom"/>
            </w:pPr>
            <w:r>
              <w:rPr>
                <w:rFonts w:ascii="Arial" w:eastAsia="宋体" w:hAnsi="Arial" w:cs="Arial"/>
                <w:b/>
                <w:bCs/>
                <w:color w:val="333333"/>
                <w:sz w:val="18"/>
                <w:szCs w:val="18"/>
              </w:rPr>
              <w:t>Fair Value</w:t>
            </w:r>
          </w:p>
        </w:tc>
        <w:tc>
          <w:tcPr>
            <w:tcW w:w="0" w:type="auto"/>
            <w:gridSpan w:val="3"/>
            <w:shd w:val="clear" w:color="auto" w:fill="auto"/>
            <w:tcMar>
              <w:left w:w="20" w:type="dxa"/>
              <w:right w:w="20" w:type="dxa"/>
            </w:tcMar>
            <w:vAlign w:val="bottom"/>
          </w:tcPr>
          <w:p w14:paraId="20AE10B7"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10B8" w14:textId="77777777" w:rsidR="00B626E7" w:rsidRDefault="00175C1D">
            <w:pPr>
              <w:jc w:val="center"/>
              <w:textAlignment w:val="bottom"/>
            </w:pPr>
            <w:r>
              <w:rPr>
                <w:rFonts w:ascii="Arial" w:eastAsia="宋体" w:hAnsi="Arial" w:cs="Arial"/>
                <w:b/>
                <w:bCs/>
                <w:color w:val="333333"/>
                <w:sz w:val="18"/>
                <w:szCs w:val="18"/>
              </w:rPr>
              <w:t>Adjusted Cost</w:t>
            </w:r>
          </w:p>
        </w:tc>
        <w:tc>
          <w:tcPr>
            <w:tcW w:w="0" w:type="auto"/>
            <w:gridSpan w:val="3"/>
            <w:tcBorders>
              <w:top w:val="single" w:sz="8" w:space="0" w:color="0071C5"/>
            </w:tcBorders>
            <w:shd w:val="clear" w:color="auto" w:fill="auto"/>
            <w:tcMar>
              <w:left w:w="20" w:type="dxa"/>
              <w:right w:w="20" w:type="dxa"/>
            </w:tcMar>
            <w:vAlign w:val="bottom"/>
          </w:tcPr>
          <w:p w14:paraId="20AE10B9"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10BA" w14:textId="77777777" w:rsidR="00B626E7" w:rsidRDefault="00175C1D">
            <w:pPr>
              <w:jc w:val="center"/>
              <w:textAlignment w:val="bottom"/>
            </w:pPr>
            <w:r>
              <w:rPr>
                <w:rFonts w:ascii="Arial" w:eastAsia="宋体" w:hAnsi="Arial" w:cs="Arial"/>
                <w:b/>
                <w:bCs/>
                <w:color w:val="333333"/>
                <w:sz w:val="18"/>
                <w:szCs w:val="18"/>
              </w:rPr>
              <w:t xml:space="preserve">Gross </w:t>
            </w:r>
            <w:r>
              <w:rPr>
                <w:rFonts w:ascii="Arial" w:eastAsia="宋体" w:hAnsi="Arial" w:cs="Arial"/>
                <w:b/>
                <w:bCs/>
                <w:color w:val="333333"/>
                <w:sz w:val="18"/>
                <w:szCs w:val="18"/>
              </w:rPr>
              <w:t>Unrealized Gains</w:t>
            </w:r>
          </w:p>
        </w:tc>
        <w:tc>
          <w:tcPr>
            <w:tcW w:w="0" w:type="auto"/>
            <w:gridSpan w:val="3"/>
            <w:tcBorders>
              <w:top w:val="single" w:sz="8" w:space="0" w:color="0071C5"/>
            </w:tcBorders>
            <w:shd w:val="clear" w:color="auto" w:fill="auto"/>
            <w:tcMar>
              <w:left w:w="20" w:type="dxa"/>
              <w:right w:w="20" w:type="dxa"/>
            </w:tcMar>
            <w:vAlign w:val="bottom"/>
          </w:tcPr>
          <w:p w14:paraId="20AE10BB"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10BC" w14:textId="77777777" w:rsidR="00B626E7" w:rsidRDefault="00175C1D">
            <w:pPr>
              <w:jc w:val="center"/>
              <w:textAlignment w:val="bottom"/>
            </w:pPr>
            <w:r>
              <w:rPr>
                <w:rFonts w:ascii="Arial" w:eastAsia="宋体" w:hAnsi="Arial" w:cs="Arial"/>
                <w:b/>
                <w:bCs/>
                <w:color w:val="333333"/>
                <w:sz w:val="18"/>
                <w:szCs w:val="18"/>
              </w:rPr>
              <w:t>Gross Unrealized Losses</w:t>
            </w:r>
          </w:p>
        </w:tc>
        <w:tc>
          <w:tcPr>
            <w:tcW w:w="0" w:type="auto"/>
            <w:gridSpan w:val="3"/>
            <w:tcBorders>
              <w:top w:val="single" w:sz="8" w:space="0" w:color="0071C5"/>
            </w:tcBorders>
            <w:shd w:val="clear" w:color="auto" w:fill="auto"/>
            <w:tcMar>
              <w:left w:w="20" w:type="dxa"/>
              <w:right w:w="20" w:type="dxa"/>
            </w:tcMar>
            <w:vAlign w:val="bottom"/>
          </w:tcPr>
          <w:p w14:paraId="20AE10BD"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10BE" w14:textId="77777777" w:rsidR="00B626E7" w:rsidRDefault="00175C1D">
            <w:pPr>
              <w:jc w:val="center"/>
              <w:textAlignment w:val="bottom"/>
            </w:pPr>
            <w:r>
              <w:rPr>
                <w:rFonts w:ascii="Arial" w:eastAsia="宋体" w:hAnsi="Arial" w:cs="Arial"/>
                <w:b/>
                <w:bCs/>
                <w:color w:val="333333"/>
                <w:sz w:val="18"/>
                <w:szCs w:val="18"/>
              </w:rPr>
              <w:t>Fair Value</w:t>
            </w:r>
          </w:p>
        </w:tc>
        <w:tc>
          <w:tcPr>
            <w:tcW w:w="0" w:type="auto"/>
            <w:shd w:val="clear" w:color="auto" w:fill="auto"/>
          </w:tcPr>
          <w:p w14:paraId="20AE10BF" w14:textId="77777777" w:rsidR="00B626E7" w:rsidRDefault="00B626E7">
            <w:pPr>
              <w:rPr>
                <w:rFonts w:ascii="宋体"/>
              </w:rPr>
            </w:pPr>
          </w:p>
        </w:tc>
        <w:tc>
          <w:tcPr>
            <w:tcW w:w="0" w:type="auto"/>
            <w:shd w:val="clear" w:color="auto" w:fill="auto"/>
          </w:tcPr>
          <w:p w14:paraId="20AE10C0" w14:textId="77777777" w:rsidR="00B626E7" w:rsidRDefault="00B626E7">
            <w:pPr>
              <w:rPr>
                <w:rFonts w:ascii="宋体"/>
              </w:rPr>
            </w:pPr>
          </w:p>
        </w:tc>
        <w:tc>
          <w:tcPr>
            <w:tcW w:w="0" w:type="auto"/>
            <w:shd w:val="clear" w:color="auto" w:fill="auto"/>
          </w:tcPr>
          <w:p w14:paraId="20AE10C1" w14:textId="77777777" w:rsidR="00B626E7" w:rsidRDefault="00B626E7">
            <w:pPr>
              <w:rPr>
                <w:rFonts w:ascii="宋体"/>
              </w:rPr>
            </w:pPr>
          </w:p>
        </w:tc>
        <w:tc>
          <w:tcPr>
            <w:tcW w:w="0" w:type="auto"/>
            <w:shd w:val="clear" w:color="auto" w:fill="auto"/>
          </w:tcPr>
          <w:p w14:paraId="20AE10C2" w14:textId="77777777" w:rsidR="00B626E7" w:rsidRDefault="00B626E7">
            <w:pPr>
              <w:rPr>
                <w:rFonts w:ascii="宋体"/>
              </w:rPr>
            </w:pPr>
          </w:p>
        </w:tc>
        <w:tc>
          <w:tcPr>
            <w:tcW w:w="0" w:type="auto"/>
            <w:shd w:val="clear" w:color="auto" w:fill="auto"/>
          </w:tcPr>
          <w:p w14:paraId="20AE10C3" w14:textId="77777777" w:rsidR="00B626E7" w:rsidRDefault="00B626E7">
            <w:pPr>
              <w:rPr>
                <w:rFonts w:ascii="宋体"/>
              </w:rPr>
            </w:pPr>
          </w:p>
        </w:tc>
        <w:tc>
          <w:tcPr>
            <w:tcW w:w="0" w:type="auto"/>
            <w:shd w:val="clear" w:color="auto" w:fill="auto"/>
          </w:tcPr>
          <w:p w14:paraId="20AE10C4" w14:textId="77777777" w:rsidR="00B626E7" w:rsidRDefault="00B626E7">
            <w:pPr>
              <w:rPr>
                <w:rFonts w:ascii="宋体"/>
              </w:rPr>
            </w:pPr>
          </w:p>
        </w:tc>
        <w:tc>
          <w:tcPr>
            <w:tcW w:w="0" w:type="auto"/>
            <w:shd w:val="clear" w:color="auto" w:fill="auto"/>
          </w:tcPr>
          <w:p w14:paraId="20AE10C5" w14:textId="77777777" w:rsidR="00B626E7" w:rsidRDefault="00B626E7">
            <w:pPr>
              <w:rPr>
                <w:rFonts w:ascii="宋体"/>
              </w:rPr>
            </w:pPr>
          </w:p>
        </w:tc>
        <w:tc>
          <w:tcPr>
            <w:tcW w:w="0" w:type="auto"/>
            <w:shd w:val="clear" w:color="auto" w:fill="auto"/>
          </w:tcPr>
          <w:p w14:paraId="20AE10C6" w14:textId="77777777" w:rsidR="00B626E7" w:rsidRDefault="00B626E7">
            <w:pPr>
              <w:rPr>
                <w:rFonts w:ascii="宋体"/>
              </w:rPr>
            </w:pPr>
          </w:p>
        </w:tc>
        <w:tc>
          <w:tcPr>
            <w:tcW w:w="0" w:type="auto"/>
            <w:shd w:val="clear" w:color="auto" w:fill="auto"/>
          </w:tcPr>
          <w:p w14:paraId="20AE10C7" w14:textId="77777777" w:rsidR="00B626E7" w:rsidRDefault="00B626E7">
            <w:pPr>
              <w:rPr>
                <w:rFonts w:ascii="宋体"/>
              </w:rPr>
            </w:pPr>
          </w:p>
        </w:tc>
        <w:tc>
          <w:tcPr>
            <w:tcW w:w="0" w:type="auto"/>
            <w:shd w:val="clear" w:color="auto" w:fill="auto"/>
          </w:tcPr>
          <w:p w14:paraId="20AE10C8" w14:textId="77777777" w:rsidR="00B626E7" w:rsidRDefault="00B626E7">
            <w:pPr>
              <w:rPr>
                <w:rFonts w:ascii="宋体"/>
              </w:rPr>
            </w:pPr>
          </w:p>
        </w:tc>
        <w:tc>
          <w:tcPr>
            <w:tcW w:w="0" w:type="auto"/>
            <w:shd w:val="clear" w:color="auto" w:fill="auto"/>
          </w:tcPr>
          <w:p w14:paraId="20AE10C9" w14:textId="77777777" w:rsidR="00B626E7" w:rsidRDefault="00B626E7">
            <w:pPr>
              <w:rPr>
                <w:rFonts w:ascii="宋体"/>
              </w:rPr>
            </w:pPr>
          </w:p>
        </w:tc>
        <w:tc>
          <w:tcPr>
            <w:tcW w:w="0" w:type="auto"/>
            <w:shd w:val="clear" w:color="auto" w:fill="auto"/>
          </w:tcPr>
          <w:p w14:paraId="20AE10CA" w14:textId="77777777" w:rsidR="00B626E7" w:rsidRDefault="00B626E7">
            <w:pPr>
              <w:rPr>
                <w:rFonts w:ascii="宋体"/>
              </w:rPr>
            </w:pPr>
          </w:p>
        </w:tc>
      </w:tr>
      <w:tr w:rsidR="00B626E7" w14:paraId="20AE10E9" w14:textId="77777777">
        <w:trPr>
          <w:hidden/>
        </w:trPr>
        <w:tc>
          <w:tcPr>
            <w:tcW w:w="0" w:type="auto"/>
            <w:gridSpan w:val="3"/>
            <w:shd w:val="clear" w:color="auto" w:fill="auto"/>
          </w:tcPr>
          <w:p w14:paraId="20AE10CC" w14:textId="77777777" w:rsidR="00B626E7" w:rsidRDefault="00B626E7">
            <w:pPr>
              <w:rPr>
                <w:rFonts w:ascii="宋体"/>
                <w:vanish/>
              </w:rPr>
            </w:pPr>
          </w:p>
        </w:tc>
        <w:tc>
          <w:tcPr>
            <w:tcW w:w="0" w:type="auto"/>
            <w:gridSpan w:val="3"/>
            <w:shd w:val="clear" w:color="auto" w:fill="auto"/>
          </w:tcPr>
          <w:p w14:paraId="20AE10CD" w14:textId="77777777" w:rsidR="00B626E7" w:rsidRDefault="00B626E7">
            <w:pPr>
              <w:rPr>
                <w:rFonts w:ascii="宋体"/>
                <w:vanish/>
              </w:rPr>
            </w:pPr>
          </w:p>
        </w:tc>
        <w:tc>
          <w:tcPr>
            <w:tcW w:w="0" w:type="auto"/>
            <w:gridSpan w:val="3"/>
            <w:shd w:val="clear" w:color="auto" w:fill="auto"/>
          </w:tcPr>
          <w:p w14:paraId="20AE10CE" w14:textId="77777777" w:rsidR="00B626E7" w:rsidRDefault="00B626E7">
            <w:pPr>
              <w:rPr>
                <w:rFonts w:ascii="宋体"/>
                <w:vanish/>
              </w:rPr>
            </w:pPr>
          </w:p>
        </w:tc>
        <w:tc>
          <w:tcPr>
            <w:tcW w:w="0" w:type="auto"/>
            <w:gridSpan w:val="3"/>
            <w:shd w:val="clear" w:color="auto" w:fill="auto"/>
          </w:tcPr>
          <w:p w14:paraId="20AE10CF" w14:textId="77777777" w:rsidR="00B626E7" w:rsidRDefault="00B626E7">
            <w:pPr>
              <w:rPr>
                <w:rFonts w:ascii="宋体"/>
                <w:vanish/>
              </w:rPr>
            </w:pPr>
          </w:p>
        </w:tc>
        <w:tc>
          <w:tcPr>
            <w:tcW w:w="0" w:type="auto"/>
            <w:gridSpan w:val="3"/>
            <w:shd w:val="clear" w:color="auto" w:fill="auto"/>
          </w:tcPr>
          <w:p w14:paraId="20AE10D0" w14:textId="77777777" w:rsidR="00B626E7" w:rsidRDefault="00B626E7">
            <w:pPr>
              <w:rPr>
                <w:rFonts w:ascii="宋体"/>
                <w:vanish/>
              </w:rPr>
            </w:pPr>
          </w:p>
        </w:tc>
        <w:tc>
          <w:tcPr>
            <w:tcW w:w="0" w:type="auto"/>
            <w:gridSpan w:val="3"/>
            <w:shd w:val="clear" w:color="auto" w:fill="auto"/>
          </w:tcPr>
          <w:p w14:paraId="20AE10D1" w14:textId="77777777" w:rsidR="00B626E7" w:rsidRDefault="00B626E7">
            <w:pPr>
              <w:rPr>
                <w:rFonts w:ascii="宋体"/>
                <w:vanish/>
              </w:rPr>
            </w:pPr>
          </w:p>
        </w:tc>
        <w:tc>
          <w:tcPr>
            <w:tcW w:w="0" w:type="auto"/>
            <w:gridSpan w:val="3"/>
            <w:shd w:val="clear" w:color="auto" w:fill="auto"/>
          </w:tcPr>
          <w:p w14:paraId="20AE10D2" w14:textId="77777777" w:rsidR="00B626E7" w:rsidRDefault="00B626E7">
            <w:pPr>
              <w:rPr>
                <w:rFonts w:ascii="宋体"/>
                <w:vanish/>
              </w:rPr>
            </w:pPr>
          </w:p>
        </w:tc>
        <w:tc>
          <w:tcPr>
            <w:tcW w:w="0" w:type="auto"/>
            <w:gridSpan w:val="3"/>
            <w:shd w:val="clear" w:color="auto" w:fill="auto"/>
          </w:tcPr>
          <w:p w14:paraId="20AE10D3" w14:textId="77777777" w:rsidR="00B626E7" w:rsidRDefault="00B626E7">
            <w:pPr>
              <w:rPr>
                <w:rFonts w:ascii="宋体"/>
                <w:vanish/>
              </w:rPr>
            </w:pPr>
          </w:p>
        </w:tc>
        <w:tc>
          <w:tcPr>
            <w:tcW w:w="0" w:type="auto"/>
            <w:gridSpan w:val="3"/>
            <w:shd w:val="clear" w:color="auto" w:fill="auto"/>
          </w:tcPr>
          <w:p w14:paraId="20AE10D4" w14:textId="77777777" w:rsidR="00B626E7" w:rsidRDefault="00B626E7">
            <w:pPr>
              <w:rPr>
                <w:rFonts w:ascii="宋体"/>
                <w:vanish/>
              </w:rPr>
            </w:pPr>
          </w:p>
        </w:tc>
        <w:tc>
          <w:tcPr>
            <w:tcW w:w="0" w:type="auto"/>
            <w:gridSpan w:val="3"/>
            <w:shd w:val="clear" w:color="auto" w:fill="auto"/>
          </w:tcPr>
          <w:p w14:paraId="20AE10D5" w14:textId="77777777" w:rsidR="00B626E7" w:rsidRDefault="00B626E7">
            <w:pPr>
              <w:rPr>
                <w:rFonts w:ascii="宋体"/>
                <w:vanish/>
              </w:rPr>
            </w:pPr>
          </w:p>
        </w:tc>
        <w:tc>
          <w:tcPr>
            <w:tcW w:w="0" w:type="auto"/>
            <w:gridSpan w:val="3"/>
            <w:shd w:val="clear" w:color="auto" w:fill="auto"/>
          </w:tcPr>
          <w:p w14:paraId="20AE10D6" w14:textId="77777777" w:rsidR="00B626E7" w:rsidRDefault="00B626E7">
            <w:pPr>
              <w:rPr>
                <w:rFonts w:ascii="宋体"/>
                <w:vanish/>
              </w:rPr>
            </w:pPr>
          </w:p>
        </w:tc>
        <w:tc>
          <w:tcPr>
            <w:tcW w:w="0" w:type="auto"/>
            <w:gridSpan w:val="3"/>
            <w:shd w:val="clear" w:color="auto" w:fill="auto"/>
          </w:tcPr>
          <w:p w14:paraId="20AE10D7" w14:textId="77777777" w:rsidR="00B626E7" w:rsidRDefault="00B626E7">
            <w:pPr>
              <w:rPr>
                <w:rFonts w:ascii="宋体"/>
                <w:vanish/>
              </w:rPr>
            </w:pPr>
          </w:p>
        </w:tc>
        <w:tc>
          <w:tcPr>
            <w:tcW w:w="0" w:type="auto"/>
            <w:gridSpan w:val="3"/>
            <w:shd w:val="clear" w:color="auto" w:fill="auto"/>
          </w:tcPr>
          <w:p w14:paraId="20AE10D8" w14:textId="77777777" w:rsidR="00B626E7" w:rsidRDefault="00B626E7">
            <w:pPr>
              <w:rPr>
                <w:rFonts w:ascii="宋体"/>
                <w:vanish/>
              </w:rPr>
            </w:pPr>
          </w:p>
        </w:tc>
        <w:tc>
          <w:tcPr>
            <w:tcW w:w="0" w:type="auto"/>
            <w:gridSpan w:val="3"/>
            <w:shd w:val="clear" w:color="auto" w:fill="auto"/>
          </w:tcPr>
          <w:p w14:paraId="20AE10D9" w14:textId="77777777" w:rsidR="00B626E7" w:rsidRDefault="00B626E7">
            <w:pPr>
              <w:rPr>
                <w:rFonts w:ascii="宋体"/>
                <w:vanish/>
              </w:rPr>
            </w:pPr>
          </w:p>
        </w:tc>
        <w:tc>
          <w:tcPr>
            <w:tcW w:w="0" w:type="auto"/>
            <w:gridSpan w:val="3"/>
            <w:shd w:val="clear" w:color="auto" w:fill="auto"/>
          </w:tcPr>
          <w:p w14:paraId="20AE10DA" w14:textId="77777777" w:rsidR="00B626E7" w:rsidRDefault="00B626E7">
            <w:pPr>
              <w:rPr>
                <w:rFonts w:ascii="宋体"/>
                <w:vanish/>
              </w:rPr>
            </w:pPr>
          </w:p>
        </w:tc>
        <w:tc>
          <w:tcPr>
            <w:tcW w:w="0" w:type="auto"/>
            <w:gridSpan w:val="3"/>
            <w:shd w:val="clear" w:color="auto" w:fill="auto"/>
          </w:tcPr>
          <w:p w14:paraId="20AE10DB" w14:textId="77777777" w:rsidR="00B626E7" w:rsidRDefault="00B626E7">
            <w:pPr>
              <w:rPr>
                <w:rFonts w:ascii="宋体"/>
                <w:vanish/>
              </w:rPr>
            </w:pPr>
          </w:p>
        </w:tc>
        <w:tc>
          <w:tcPr>
            <w:tcW w:w="0" w:type="auto"/>
            <w:gridSpan w:val="3"/>
            <w:shd w:val="clear" w:color="auto" w:fill="auto"/>
          </w:tcPr>
          <w:p w14:paraId="20AE10DC" w14:textId="77777777" w:rsidR="00B626E7" w:rsidRDefault="00B626E7">
            <w:pPr>
              <w:rPr>
                <w:rFonts w:ascii="宋体"/>
                <w:vanish/>
              </w:rPr>
            </w:pPr>
          </w:p>
        </w:tc>
        <w:tc>
          <w:tcPr>
            <w:tcW w:w="0" w:type="auto"/>
            <w:shd w:val="clear" w:color="auto" w:fill="auto"/>
          </w:tcPr>
          <w:p w14:paraId="20AE10DD" w14:textId="77777777" w:rsidR="00B626E7" w:rsidRDefault="00B626E7">
            <w:pPr>
              <w:rPr>
                <w:rFonts w:ascii="宋体"/>
              </w:rPr>
            </w:pPr>
          </w:p>
        </w:tc>
        <w:tc>
          <w:tcPr>
            <w:tcW w:w="0" w:type="auto"/>
            <w:shd w:val="clear" w:color="auto" w:fill="auto"/>
          </w:tcPr>
          <w:p w14:paraId="20AE10DE" w14:textId="77777777" w:rsidR="00B626E7" w:rsidRDefault="00B626E7">
            <w:pPr>
              <w:rPr>
                <w:rFonts w:ascii="宋体"/>
              </w:rPr>
            </w:pPr>
          </w:p>
        </w:tc>
        <w:tc>
          <w:tcPr>
            <w:tcW w:w="0" w:type="auto"/>
            <w:shd w:val="clear" w:color="auto" w:fill="auto"/>
          </w:tcPr>
          <w:p w14:paraId="20AE10DF" w14:textId="77777777" w:rsidR="00B626E7" w:rsidRDefault="00B626E7">
            <w:pPr>
              <w:rPr>
                <w:rFonts w:ascii="宋体"/>
              </w:rPr>
            </w:pPr>
          </w:p>
        </w:tc>
        <w:tc>
          <w:tcPr>
            <w:tcW w:w="0" w:type="auto"/>
            <w:shd w:val="clear" w:color="auto" w:fill="auto"/>
          </w:tcPr>
          <w:p w14:paraId="20AE10E0" w14:textId="77777777" w:rsidR="00B626E7" w:rsidRDefault="00B626E7">
            <w:pPr>
              <w:rPr>
                <w:rFonts w:ascii="宋体"/>
              </w:rPr>
            </w:pPr>
          </w:p>
        </w:tc>
        <w:tc>
          <w:tcPr>
            <w:tcW w:w="0" w:type="auto"/>
            <w:shd w:val="clear" w:color="auto" w:fill="auto"/>
          </w:tcPr>
          <w:p w14:paraId="20AE10E1" w14:textId="77777777" w:rsidR="00B626E7" w:rsidRDefault="00B626E7">
            <w:pPr>
              <w:rPr>
                <w:rFonts w:ascii="宋体"/>
              </w:rPr>
            </w:pPr>
          </w:p>
        </w:tc>
        <w:tc>
          <w:tcPr>
            <w:tcW w:w="0" w:type="auto"/>
            <w:shd w:val="clear" w:color="auto" w:fill="auto"/>
          </w:tcPr>
          <w:p w14:paraId="20AE10E2" w14:textId="77777777" w:rsidR="00B626E7" w:rsidRDefault="00B626E7">
            <w:pPr>
              <w:rPr>
                <w:rFonts w:ascii="宋体"/>
              </w:rPr>
            </w:pPr>
          </w:p>
        </w:tc>
        <w:tc>
          <w:tcPr>
            <w:tcW w:w="0" w:type="auto"/>
            <w:shd w:val="clear" w:color="auto" w:fill="auto"/>
          </w:tcPr>
          <w:p w14:paraId="20AE10E3" w14:textId="77777777" w:rsidR="00B626E7" w:rsidRDefault="00B626E7">
            <w:pPr>
              <w:rPr>
                <w:rFonts w:ascii="宋体"/>
              </w:rPr>
            </w:pPr>
          </w:p>
        </w:tc>
        <w:tc>
          <w:tcPr>
            <w:tcW w:w="0" w:type="auto"/>
            <w:shd w:val="clear" w:color="auto" w:fill="auto"/>
          </w:tcPr>
          <w:p w14:paraId="20AE10E4" w14:textId="77777777" w:rsidR="00B626E7" w:rsidRDefault="00B626E7">
            <w:pPr>
              <w:rPr>
                <w:rFonts w:ascii="宋体"/>
              </w:rPr>
            </w:pPr>
          </w:p>
        </w:tc>
        <w:tc>
          <w:tcPr>
            <w:tcW w:w="0" w:type="auto"/>
            <w:shd w:val="clear" w:color="auto" w:fill="auto"/>
          </w:tcPr>
          <w:p w14:paraId="20AE10E5" w14:textId="77777777" w:rsidR="00B626E7" w:rsidRDefault="00B626E7">
            <w:pPr>
              <w:rPr>
                <w:rFonts w:ascii="宋体"/>
              </w:rPr>
            </w:pPr>
          </w:p>
        </w:tc>
        <w:tc>
          <w:tcPr>
            <w:tcW w:w="0" w:type="auto"/>
            <w:shd w:val="clear" w:color="auto" w:fill="auto"/>
          </w:tcPr>
          <w:p w14:paraId="20AE10E6" w14:textId="77777777" w:rsidR="00B626E7" w:rsidRDefault="00B626E7">
            <w:pPr>
              <w:rPr>
                <w:rFonts w:ascii="宋体"/>
              </w:rPr>
            </w:pPr>
          </w:p>
        </w:tc>
        <w:tc>
          <w:tcPr>
            <w:tcW w:w="0" w:type="auto"/>
            <w:shd w:val="clear" w:color="auto" w:fill="auto"/>
          </w:tcPr>
          <w:p w14:paraId="20AE10E7" w14:textId="77777777" w:rsidR="00B626E7" w:rsidRDefault="00B626E7">
            <w:pPr>
              <w:rPr>
                <w:rFonts w:ascii="宋体"/>
              </w:rPr>
            </w:pPr>
          </w:p>
        </w:tc>
        <w:tc>
          <w:tcPr>
            <w:tcW w:w="0" w:type="auto"/>
            <w:shd w:val="clear" w:color="auto" w:fill="auto"/>
          </w:tcPr>
          <w:p w14:paraId="20AE10E8" w14:textId="77777777" w:rsidR="00B626E7" w:rsidRDefault="00B626E7">
            <w:pPr>
              <w:rPr>
                <w:rFonts w:ascii="宋体"/>
              </w:rPr>
            </w:pPr>
          </w:p>
        </w:tc>
      </w:tr>
      <w:tr w:rsidR="00B626E7" w14:paraId="20AE1117" w14:textId="77777777">
        <w:tc>
          <w:tcPr>
            <w:tcW w:w="0" w:type="auto"/>
            <w:gridSpan w:val="3"/>
            <w:tcBorders>
              <w:top w:val="single" w:sz="8" w:space="0" w:color="0071C5"/>
            </w:tcBorders>
            <w:shd w:val="clear" w:color="auto" w:fill="auto"/>
            <w:tcMar>
              <w:top w:w="40" w:type="dxa"/>
              <w:left w:w="20" w:type="dxa"/>
              <w:bottom w:w="40" w:type="dxa"/>
              <w:right w:w="20" w:type="dxa"/>
            </w:tcMar>
          </w:tcPr>
          <w:p w14:paraId="20AE10EA" w14:textId="77777777" w:rsidR="00B626E7" w:rsidRDefault="00175C1D">
            <w:pPr>
              <w:textAlignment w:val="top"/>
            </w:pPr>
            <w:r>
              <w:rPr>
                <w:rFonts w:ascii="Arial" w:eastAsia="宋体" w:hAnsi="Arial" w:cs="Arial"/>
                <w:color w:val="333333"/>
                <w:sz w:val="18"/>
                <w:szCs w:val="18"/>
              </w:rPr>
              <w:t>Corporate debt</w:t>
            </w:r>
          </w:p>
        </w:tc>
        <w:tc>
          <w:tcPr>
            <w:tcW w:w="0" w:type="auto"/>
            <w:gridSpan w:val="3"/>
            <w:shd w:val="clear" w:color="auto" w:fill="auto"/>
            <w:tcMar>
              <w:left w:w="20" w:type="dxa"/>
              <w:right w:w="20" w:type="dxa"/>
            </w:tcMar>
            <w:vAlign w:val="bottom"/>
          </w:tcPr>
          <w:p w14:paraId="20AE10EB"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10EC" w14:textId="77777777" w:rsidR="00B626E7" w:rsidRDefault="00175C1D">
            <w:pPr>
              <w:textAlignment w:val="bottom"/>
            </w:pPr>
            <w:r>
              <w:rPr>
                <w:rFonts w:ascii="Arial" w:eastAsia="宋体" w:hAnsi="Arial" w:cs="Arial"/>
                <w:color w:val="026DCE"/>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10ED" w14:textId="77777777" w:rsidR="00B626E7" w:rsidRDefault="00175C1D">
            <w:pPr>
              <w:jc w:val="right"/>
              <w:textAlignment w:val="bottom"/>
            </w:pPr>
            <w:r>
              <w:rPr>
                <w:rFonts w:ascii="Arial" w:eastAsia="宋体" w:hAnsi="Arial" w:cs="Arial"/>
                <w:color w:val="026DCE"/>
                <w:sz w:val="18"/>
                <w:szCs w:val="18"/>
              </w:rPr>
              <w:t>3,911 </w:t>
            </w:r>
          </w:p>
        </w:tc>
        <w:tc>
          <w:tcPr>
            <w:tcW w:w="0" w:type="auto"/>
            <w:tcBorders>
              <w:top w:val="single" w:sz="8" w:space="0" w:color="0071C5"/>
            </w:tcBorders>
            <w:shd w:val="clear" w:color="auto" w:fill="auto"/>
            <w:tcMar>
              <w:top w:w="40" w:type="dxa"/>
              <w:bottom w:w="40" w:type="dxa"/>
              <w:right w:w="20" w:type="dxa"/>
            </w:tcMar>
            <w:vAlign w:val="bottom"/>
          </w:tcPr>
          <w:p w14:paraId="20AE10EE"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0EF"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10F0" w14:textId="77777777" w:rsidR="00B626E7" w:rsidRDefault="00175C1D">
            <w:pPr>
              <w:textAlignment w:val="bottom"/>
            </w:pPr>
            <w:r>
              <w:rPr>
                <w:rFonts w:ascii="Arial" w:eastAsia="宋体" w:hAnsi="Arial" w:cs="Arial"/>
                <w:color w:val="026DCE"/>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10F1" w14:textId="77777777" w:rsidR="00B626E7" w:rsidRDefault="00175C1D">
            <w:pPr>
              <w:jc w:val="right"/>
              <w:textAlignment w:val="bottom"/>
            </w:pPr>
            <w:r>
              <w:rPr>
                <w:rFonts w:ascii="Arial" w:eastAsia="宋体" w:hAnsi="Arial" w:cs="Arial"/>
                <w:color w:val="026DCE"/>
                <w:sz w:val="18"/>
                <w:szCs w:val="18"/>
              </w:rPr>
              <w:t>94 </w:t>
            </w:r>
          </w:p>
        </w:tc>
        <w:tc>
          <w:tcPr>
            <w:tcW w:w="0" w:type="auto"/>
            <w:tcBorders>
              <w:top w:val="single" w:sz="8" w:space="0" w:color="0071C5"/>
            </w:tcBorders>
            <w:shd w:val="clear" w:color="auto" w:fill="auto"/>
            <w:tcMar>
              <w:top w:w="40" w:type="dxa"/>
              <w:bottom w:w="40" w:type="dxa"/>
              <w:right w:w="20" w:type="dxa"/>
            </w:tcMar>
            <w:vAlign w:val="bottom"/>
          </w:tcPr>
          <w:p w14:paraId="20AE10F2"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0F3"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10F4" w14:textId="77777777" w:rsidR="00B626E7" w:rsidRDefault="00175C1D">
            <w:pPr>
              <w:textAlignment w:val="bottom"/>
            </w:pPr>
            <w:r>
              <w:rPr>
                <w:rFonts w:ascii="Arial" w:eastAsia="宋体" w:hAnsi="Arial" w:cs="Arial"/>
                <w:color w:val="026DCE"/>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10F5" w14:textId="77777777" w:rsidR="00B626E7" w:rsidRDefault="00175C1D">
            <w:pPr>
              <w:jc w:val="right"/>
              <w:textAlignment w:val="bottom"/>
            </w:pPr>
            <w:r>
              <w:rPr>
                <w:rFonts w:ascii="Arial" w:eastAsia="宋体" w:hAnsi="Arial" w:cs="Arial"/>
                <w:color w:val="026DCE"/>
                <w:sz w:val="18"/>
                <w:szCs w:val="18"/>
              </w:rPr>
              <w:t>— </w:t>
            </w:r>
          </w:p>
        </w:tc>
        <w:tc>
          <w:tcPr>
            <w:tcW w:w="0" w:type="auto"/>
            <w:tcBorders>
              <w:top w:val="single" w:sz="8" w:space="0" w:color="0071C5"/>
            </w:tcBorders>
            <w:shd w:val="clear" w:color="auto" w:fill="auto"/>
            <w:tcMar>
              <w:top w:w="40" w:type="dxa"/>
              <w:bottom w:w="40" w:type="dxa"/>
              <w:right w:w="20" w:type="dxa"/>
            </w:tcMar>
            <w:vAlign w:val="bottom"/>
          </w:tcPr>
          <w:p w14:paraId="20AE10F6"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0F7"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10F8" w14:textId="77777777" w:rsidR="00B626E7" w:rsidRDefault="00175C1D">
            <w:pPr>
              <w:textAlignment w:val="bottom"/>
            </w:pPr>
            <w:r>
              <w:rPr>
                <w:rFonts w:ascii="Arial" w:eastAsia="宋体" w:hAnsi="Arial" w:cs="Arial"/>
                <w:color w:val="026DCE"/>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10F9" w14:textId="77777777" w:rsidR="00B626E7" w:rsidRDefault="00175C1D">
            <w:pPr>
              <w:jc w:val="right"/>
              <w:textAlignment w:val="bottom"/>
            </w:pPr>
            <w:r>
              <w:rPr>
                <w:rFonts w:ascii="Arial" w:eastAsia="宋体" w:hAnsi="Arial" w:cs="Arial"/>
                <w:color w:val="026DCE"/>
                <w:sz w:val="18"/>
                <w:szCs w:val="18"/>
              </w:rPr>
              <w:t>4,005 </w:t>
            </w:r>
          </w:p>
        </w:tc>
        <w:tc>
          <w:tcPr>
            <w:tcW w:w="0" w:type="auto"/>
            <w:tcBorders>
              <w:top w:val="single" w:sz="8" w:space="0" w:color="0071C5"/>
            </w:tcBorders>
            <w:shd w:val="clear" w:color="auto" w:fill="auto"/>
            <w:tcMar>
              <w:top w:w="40" w:type="dxa"/>
              <w:bottom w:w="40" w:type="dxa"/>
              <w:right w:w="20" w:type="dxa"/>
            </w:tcMar>
            <w:vAlign w:val="bottom"/>
          </w:tcPr>
          <w:p w14:paraId="20AE10FA"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0FB"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10FC" w14:textId="77777777" w:rsidR="00B626E7" w:rsidRDefault="00175C1D">
            <w:pPr>
              <w:textAlignment w:val="bottom"/>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10FD" w14:textId="77777777" w:rsidR="00B626E7" w:rsidRDefault="00175C1D">
            <w:pPr>
              <w:jc w:val="right"/>
              <w:textAlignment w:val="bottom"/>
            </w:pPr>
            <w:r>
              <w:rPr>
                <w:rFonts w:ascii="Arial" w:eastAsia="宋体" w:hAnsi="Arial" w:cs="Arial"/>
                <w:color w:val="333333"/>
                <w:sz w:val="18"/>
                <w:szCs w:val="18"/>
              </w:rPr>
              <w:t>2,914 </w:t>
            </w:r>
          </w:p>
        </w:tc>
        <w:tc>
          <w:tcPr>
            <w:tcW w:w="0" w:type="auto"/>
            <w:tcBorders>
              <w:top w:val="single" w:sz="8" w:space="0" w:color="0071C5"/>
            </w:tcBorders>
            <w:shd w:val="clear" w:color="auto" w:fill="auto"/>
            <w:tcMar>
              <w:top w:w="40" w:type="dxa"/>
              <w:bottom w:w="40" w:type="dxa"/>
              <w:right w:w="20" w:type="dxa"/>
            </w:tcMar>
            <w:vAlign w:val="bottom"/>
          </w:tcPr>
          <w:p w14:paraId="20AE10FE"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0FF"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1100" w14:textId="77777777" w:rsidR="00B626E7" w:rsidRDefault="00175C1D">
            <w:pPr>
              <w:textAlignment w:val="bottom"/>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1101" w14:textId="77777777" w:rsidR="00B626E7" w:rsidRDefault="00175C1D">
            <w:pPr>
              <w:jc w:val="right"/>
              <w:textAlignment w:val="bottom"/>
            </w:pPr>
            <w:r>
              <w:rPr>
                <w:rFonts w:ascii="Arial" w:eastAsia="宋体" w:hAnsi="Arial" w:cs="Arial"/>
                <w:color w:val="333333"/>
                <w:sz w:val="18"/>
                <w:szCs w:val="18"/>
              </w:rPr>
              <w:t>44 </w:t>
            </w:r>
          </w:p>
        </w:tc>
        <w:tc>
          <w:tcPr>
            <w:tcW w:w="0" w:type="auto"/>
            <w:tcBorders>
              <w:top w:val="single" w:sz="8" w:space="0" w:color="0071C5"/>
            </w:tcBorders>
            <w:shd w:val="clear" w:color="auto" w:fill="auto"/>
            <w:tcMar>
              <w:top w:w="40" w:type="dxa"/>
              <w:bottom w:w="40" w:type="dxa"/>
              <w:right w:w="20" w:type="dxa"/>
            </w:tcMar>
            <w:vAlign w:val="bottom"/>
          </w:tcPr>
          <w:p w14:paraId="20AE1102"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103"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1104" w14:textId="77777777" w:rsidR="00B626E7" w:rsidRDefault="00175C1D">
            <w:pPr>
              <w:textAlignment w:val="bottom"/>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1105" w14:textId="77777777" w:rsidR="00B626E7" w:rsidRDefault="00175C1D">
            <w:pPr>
              <w:jc w:val="right"/>
              <w:textAlignment w:val="bottom"/>
            </w:pPr>
            <w:r>
              <w:rPr>
                <w:rFonts w:ascii="Arial" w:eastAsia="宋体" w:hAnsi="Arial" w:cs="Arial"/>
                <w:color w:val="333333"/>
                <w:sz w:val="18"/>
                <w:szCs w:val="18"/>
              </w:rPr>
              <w:t>— </w:t>
            </w:r>
          </w:p>
        </w:tc>
        <w:tc>
          <w:tcPr>
            <w:tcW w:w="0" w:type="auto"/>
            <w:tcBorders>
              <w:top w:val="single" w:sz="8" w:space="0" w:color="0071C5"/>
            </w:tcBorders>
            <w:shd w:val="clear" w:color="auto" w:fill="auto"/>
            <w:tcMar>
              <w:top w:w="40" w:type="dxa"/>
              <w:bottom w:w="40" w:type="dxa"/>
              <w:right w:w="20" w:type="dxa"/>
            </w:tcMar>
            <w:vAlign w:val="bottom"/>
          </w:tcPr>
          <w:p w14:paraId="20AE1106"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107"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1108" w14:textId="77777777" w:rsidR="00B626E7" w:rsidRDefault="00175C1D">
            <w:pPr>
              <w:textAlignment w:val="bottom"/>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1109" w14:textId="77777777" w:rsidR="00B626E7" w:rsidRDefault="00175C1D">
            <w:pPr>
              <w:jc w:val="right"/>
              <w:textAlignment w:val="bottom"/>
            </w:pPr>
            <w:r>
              <w:rPr>
                <w:rFonts w:ascii="Arial" w:eastAsia="宋体" w:hAnsi="Arial" w:cs="Arial"/>
                <w:color w:val="333333"/>
                <w:sz w:val="18"/>
                <w:szCs w:val="18"/>
              </w:rPr>
              <w:t>2,958 </w:t>
            </w:r>
          </w:p>
        </w:tc>
        <w:tc>
          <w:tcPr>
            <w:tcW w:w="0" w:type="auto"/>
            <w:tcBorders>
              <w:top w:val="single" w:sz="8" w:space="0" w:color="0071C5"/>
            </w:tcBorders>
            <w:shd w:val="clear" w:color="auto" w:fill="auto"/>
            <w:tcMar>
              <w:top w:w="40" w:type="dxa"/>
              <w:bottom w:w="40" w:type="dxa"/>
              <w:right w:w="20" w:type="dxa"/>
            </w:tcMar>
            <w:vAlign w:val="bottom"/>
          </w:tcPr>
          <w:p w14:paraId="20AE110A"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10B" w14:textId="77777777" w:rsidR="00B626E7" w:rsidRDefault="00B626E7">
            <w:pPr>
              <w:rPr>
                <w:rFonts w:ascii="宋体"/>
              </w:rPr>
            </w:pPr>
          </w:p>
        </w:tc>
        <w:tc>
          <w:tcPr>
            <w:tcW w:w="0" w:type="auto"/>
            <w:shd w:val="clear" w:color="auto" w:fill="auto"/>
          </w:tcPr>
          <w:p w14:paraId="20AE110C" w14:textId="77777777" w:rsidR="00B626E7" w:rsidRDefault="00B626E7">
            <w:pPr>
              <w:rPr>
                <w:rFonts w:ascii="宋体"/>
              </w:rPr>
            </w:pPr>
          </w:p>
        </w:tc>
        <w:tc>
          <w:tcPr>
            <w:tcW w:w="0" w:type="auto"/>
            <w:shd w:val="clear" w:color="auto" w:fill="auto"/>
          </w:tcPr>
          <w:p w14:paraId="20AE110D" w14:textId="77777777" w:rsidR="00B626E7" w:rsidRDefault="00B626E7">
            <w:pPr>
              <w:rPr>
                <w:rFonts w:ascii="宋体"/>
              </w:rPr>
            </w:pPr>
          </w:p>
        </w:tc>
        <w:tc>
          <w:tcPr>
            <w:tcW w:w="0" w:type="auto"/>
            <w:shd w:val="clear" w:color="auto" w:fill="auto"/>
          </w:tcPr>
          <w:p w14:paraId="20AE110E" w14:textId="77777777" w:rsidR="00B626E7" w:rsidRDefault="00B626E7">
            <w:pPr>
              <w:rPr>
                <w:rFonts w:ascii="宋体"/>
              </w:rPr>
            </w:pPr>
          </w:p>
        </w:tc>
        <w:tc>
          <w:tcPr>
            <w:tcW w:w="0" w:type="auto"/>
            <w:shd w:val="clear" w:color="auto" w:fill="auto"/>
          </w:tcPr>
          <w:p w14:paraId="20AE110F" w14:textId="77777777" w:rsidR="00B626E7" w:rsidRDefault="00B626E7">
            <w:pPr>
              <w:rPr>
                <w:rFonts w:ascii="宋体"/>
              </w:rPr>
            </w:pPr>
          </w:p>
        </w:tc>
        <w:tc>
          <w:tcPr>
            <w:tcW w:w="0" w:type="auto"/>
            <w:shd w:val="clear" w:color="auto" w:fill="auto"/>
          </w:tcPr>
          <w:p w14:paraId="20AE1110" w14:textId="77777777" w:rsidR="00B626E7" w:rsidRDefault="00B626E7">
            <w:pPr>
              <w:rPr>
                <w:rFonts w:ascii="宋体"/>
              </w:rPr>
            </w:pPr>
          </w:p>
        </w:tc>
        <w:tc>
          <w:tcPr>
            <w:tcW w:w="0" w:type="auto"/>
            <w:shd w:val="clear" w:color="auto" w:fill="auto"/>
          </w:tcPr>
          <w:p w14:paraId="20AE1111" w14:textId="77777777" w:rsidR="00B626E7" w:rsidRDefault="00B626E7">
            <w:pPr>
              <w:rPr>
                <w:rFonts w:ascii="宋体"/>
              </w:rPr>
            </w:pPr>
          </w:p>
        </w:tc>
        <w:tc>
          <w:tcPr>
            <w:tcW w:w="0" w:type="auto"/>
            <w:shd w:val="clear" w:color="auto" w:fill="auto"/>
          </w:tcPr>
          <w:p w14:paraId="20AE1112" w14:textId="77777777" w:rsidR="00B626E7" w:rsidRDefault="00B626E7">
            <w:pPr>
              <w:rPr>
                <w:rFonts w:ascii="宋体"/>
              </w:rPr>
            </w:pPr>
          </w:p>
        </w:tc>
        <w:tc>
          <w:tcPr>
            <w:tcW w:w="0" w:type="auto"/>
            <w:shd w:val="clear" w:color="auto" w:fill="auto"/>
          </w:tcPr>
          <w:p w14:paraId="20AE1113" w14:textId="77777777" w:rsidR="00B626E7" w:rsidRDefault="00B626E7">
            <w:pPr>
              <w:rPr>
                <w:rFonts w:ascii="宋体"/>
              </w:rPr>
            </w:pPr>
          </w:p>
        </w:tc>
        <w:tc>
          <w:tcPr>
            <w:tcW w:w="0" w:type="auto"/>
            <w:shd w:val="clear" w:color="auto" w:fill="auto"/>
          </w:tcPr>
          <w:p w14:paraId="20AE1114" w14:textId="77777777" w:rsidR="00B626E7" w:rsidRDefault="00B626E7">
            <w:pPr>
              <w:rPr>
                <w:rFonts w:ascii="宋体"/>
              </w:rPr>
            </w:pPr>
          </w:p>
        </w:tc>
        <w:tc>
          <w:tcPr>
            <w:tcW w:w="0" w:type="auto"/>
            <w:shd w:val="clear" w:color="auto" w:fill="auto"/>
          </w:tcPr>
          <w:p w14:paraId="20AE1115" w14:textId="77777777" w:rsidR="00B626E7" w:rsidRDefault="00B626E7">
            <w:pPr>
              <w:rPr>
                <w:rFonts w:ascii="宋体"/>
              </w:rPr>
            </w:pPr>
          </w:p>
        </w:tc>
        <w:tc>
          <w:tcPr>
            <w:tcW w:w="0" w:type="auto"/>
            <w:shd w:val="clear" w:color="auto" w:fill="auto"/>
          </w:tcPr>
          <w:p w14:paraId="20AE1116" w14:textId="77777777" w:rsidR="00B626E7" w:rsidRDefault="00B626E7">
            <w:pPr>
              <w:rPr>
                <w:rFonts w:ascii="宋体"/>
              </w:rPr>
            </w:pPr>
          </w:p>
        </w:tc>
      </w:tr>
      <w:tr w:rsidR="00B626E7" w14:paraId="20AE113D" w14:textId="77777777">
        <w:tc>
          <w:tcPr>
            <w:tcW w:w="0" w:type="auto"/>
            <w:gridSpan w:val="3"/>
            <w:shd w:val="clear" w:color="auto" w:fill="auto"/>
            <w:tcMar>
              <w:top w:w="40" w:type="dxa"/>
              <w:left w:w="20" w:type="dxa"/>
              <w:bottom w:w="40" w:type="dxa"/>
              <w:right w:w="20" w:type="dxa"/>
            </w:tcMar>
          </w:tcPr>
          <w:p w14:paraId="20AE1118" w14:textId="77777777" w:rsidR="00B626E7" w:rsidRDefault="00175C1D">
            <w:pPr>
              <w:textAlignment w:val="top"/>
            </w:pPr>
            <w:r>
              <w:rPr>
                <w:rFonts w:ascii="Arial" w:eastAsia="宋体" w:hAnsi="Arial" w:cs="Arial"/>
                <w:color w:val="333333"/>
                <w:sz w:val="18"/>
                <w:szCs w:val="18"/>
              </w:rPr>
              <w:t xml:space="preserve">Financial institution </w:t>
            </w:r>
            <w:r>
              <w:rPr>
                <w:rFonts w:ascii="Arial" w:eastAsia="宋体" w:hAnsi="Arial" w:cs="Arial"/>
                <w:color w:val="333333"/>
                <w:sz w:val="18"/>
                <w:szCs w:val="18"/>
              </w:rPr>
              <w:br/>
              <w:t>instruments</w:t>
            </w:r>
          </w:p>
        </w:tc>
        <w:tc>
          <w:tcPr>
            <w:tcW w:w="0" w:type="auto"/>
            <w:gridSpan w:val="3"/>
            <w:shd w:val="clear" w:color="auto" w:fill="auto"/>
            <w:tcMar>
              <w:left w:w="20" w:type="dxa"/>
              <w:right w:w="20" w:type="dxa"/>
            </w:tcMar>
            <w:vAlign w:val="bottom"/>
          </w:tcPr>
          <w:p w14:paraId="20AE1119"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11A" w14:textId="77777777" w:rsidR="00B626E7" w:rsidRDefault="00175C1D">
            <w:pPr>
              <w:jc w:val="right"/>
              <w:textAlignment w:val="bottom"/>
            </w:pPr>
            <w:r>
              <w:rPr>
                <w:rFonts w:ascii="Arial" w:eastAsia="宋体" w:hAnsi="Arial" w:cs="Arial"/>
                <w:color w:val="026DCE"/>
                <w:sz w:val="18"/>
                <w:szCs w:val="18"/>
              </w:rPr>
              <w:t>7,985 </w:t>
            </w:r>
          </w:p>
        </w:tc>
        <w:tc>
          <w:tcPr>
            <w:tcW w:w="0" w:type="auto"/>
            <w:shd w:val="clear" w:color="auto" w:fill="auto"/>
            <w:tcMar>
              <w:top w:w="40" w:type="dxa"/>
              <w:bottom w:w="40" w:type="dxa"/>
              <w:right w:w="20" w:type="dxa"/>
            </w:tcMar>
            <w:vAlign w:val="bottom"/>
          </w:tcPr>
          <w:p w14:paraId="20AE111B"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11C"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11D" w14:textId="77777777" w:rsidR="00B626E7" w:rsidRDefault="00175C1D">
            <w:pPr>
              <w:jc w:val="right"/>
              <w:textAlignment w:val="bottom"/>
            </w:pPr>
            <w:r>
              <w:rPr>
                <w:rFonts w:ascii="Arial" w:eastAsia="宋体" w:hAnsi="Arial" w:cs="Arial"/>
                <w:color w:val="026DCE"/>
                <w:sz w:val="18"/>
                <w:szCs w:val="18"/>
              </w:rPr>
              <w:t>24 </w:t>
            </w:r>
          </w:p>
        </w:tc>
        <w:tc>
          <w:tcPr>
            <w:tcW w:w="0" w:type="auto"/>
            <w:shd w:val="clear" w:color="auto" w:fill="auto"/>
            <w:tcMar>
              <w:top w:w="40" w:type="dxa"/>
              <w:bottom w:w="40" w:type="dxa"/>
              <w:right w:w="20" w:type="dxa"/>
            </w:tcMar>
            <w:vAlign w:val="bottom"/>
          </w:tcPr>
          <w:p w14:paraId="20AE111E"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11F"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120" w14:textId="77777777" w:rsidR="00B626E7" w:rsidRDefault="00175C1D">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20AE1121"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122"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123" w14:textId="77777777" w:rsidR="00B626E7" w:rsidRDefault="00175C1D">
            <w:pPr>
              <w:jc w:val="right"/>
              <w:textAlignment w:val="bottom"/>
            </w:pPr>
            <w:r>
              <w:rPr>
                <w:rFonts w:ascii="Arial" w:eastAsia="宋体" w:hAnsi="Arial" w:cs="Arial"/>
                <w:color w:val="026DCE"/>
                <w:sz w:val="18"/>
                <w:szCs w:val="18"/>
              </w:rPr>
              <w:t>8,009 </w:t>
            </w:r>
          </w:p>
        </w:tc>
        <w:tc>
          <w:tcPr>
            <w:tcW w:w="0" w:type="auto"/>
            <w:shd w:val="clear" w:color="auto" w:fill="auto"/>
            <w:tcMar>
              <w:top w:w="40" w:type="dxa"/>
              <w:bottom w:w="40" w:type="dxa"/>
              <w:right w:w="20" w:type="dxa"/>
            </w:tcMar>
            <w:vAlign w:val="bottom"/>
          </w:tcPr>
          <w:p w14:paraId="20AE1124"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125"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126" w14:textId="77777777" w:rsidR="00B626E7" w:rsidRDefault="00175C1D">
            <w:pPr>
              <w:jc w:val="right"/>
              <w:textAlignment w:val="bottom"/>
            </w:pPr>
            <w:r>
              <w:rPr>
                <w:rFonts w:ascii="Arial" w:eastAsia="宋体" w:hAnsi="Arial" w:cs="Arial"/>
                <w:color w:val="333333"/>
                <w:sz w:val="18"/>
                <w:szCs w:val="18"/>
              </w:rPr>
              <w:t>3,007 </w:t>
            </w:r>
          </w:p>
        </w:tc>
        <w:tc>
          <w:tcPr>
            <w:tcW w:w="0" w:type="auto"/>
            <w:shd w:val="clear" w:color="auto" w:fill="auto"/>
            <w:tcMar>
              <w:top w:w="40" w:type="dxa"/>
              <w:bottom w:w="40" w:type="dxa"/>
              <w:right w:w="20" w:type="dxa"/>
            </w:tcMar>
            <w:vAlign w:val="bottom"/>
          </w:tcPr>
          <w:p w14:paraId="20AE1127"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128"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129" w14:textId="77777777" w:rsidR="00B626E7" w:rsidRDefault="00175C1D">
            <w:pPr>
              <w:jc w:val="right"/>
              <w:textAlignment w:val="bottom"/>
            </w:pPr>
            <w:r>
              <w:rPr>
                <w:rFonts w:ascii="Arial" w:eastAsia="宋体" w:hAnsi="Arial" w:cs="Arial"/>
                <w:color w:val="333333"/>
                <w:sz w:val="18"/>
                <w:szCs w:val="18"/>
              </w:rPr>
              <w:t>15 </w:t>
            </w:r>
          </w:p>
        </w:tc>
        <w:tc>
          <w:tcPr>
            <w:tcW w:w="0" w:type="auto"/>
            <w:shd w:val="clear" w:color="auto" w:fill="auto"/>
            <w:tcMar>
              <w:top w:w="40" w:type="dxa"/>
              <w:bottom w:w="40" w:type="dxa"/>
              <w:right w:w="20" w:type="dxa"/>
            </w:tcMar>
            <w:vAlign w:val="bottom"/>
          </w:tcPr>
          <w:p w14:paraId="20AE112A"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12B"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12C" w14:textId="77777777" w:rsidR="00B626E7" w:rsidRDefault="00175C1D">
            <w:pPr>
              <w:jc w:val="right"/>
              <w:textAlignment w:val="bottom"/>
            </w:pPr>
            <w:r>
              <w:rPr>
                <w:rFonts w:ascii="Arial" w:eastAsia="宋体" w:hAnsi="Arial" w:cs="Arial"/>
                <w:color w:val="333333"/>
                <w:sz w:val="18"/>
                <w:szCs w:val="18"/>
              </w:rPr>
              <w:t>(1)</w:t>
            </w:r>
          </w:p>
        </w:tc>
        <w:tc>
          <w:tcPr>
            <w:tcW w:w="0" w:type="auto"/>
            <w:shd w:val="clear" w:color="auto" w:fill="auto"/>
            <w:tcMar>
              <w:top w:w="40" w:type="dxa"/>
              <w:bottom w:w="40" w:type="dxa"/>
              <w:right w:w="20" w:type="dxa"/>
            </w:tcMar>
            <w:vAlign w:val="bottom"/>
          </w:tcPr>
          <w:p w14:paraId="20AE112D"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12E"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12F" w14:textId="77777777" w:rsidR="00B626E7" w:rsidRDefault="00175C1D">
            <w:pPr>
              <w:jc w:val="right"/>
              <w:textAlignment w:val="bottom"/>
            </w:pPr>
            <w:r>
              <w:rPr>
                <w:rFonts w:ascii="Arial" w:eastAsia="宋体" w:hAnsi="Arial" w:cs="Arial"/>
                <w:color w:val="333333"/>
                <w:sz w:val="18"/>
                <w:szCs w:val="18"/>
              </w:rPr>
              <w:t>3,021 </w:t>
            </w:r>
          </w:p>
        </w:tc>
        <w:tc>
          <w:tcPr>
            <w:tcW w:w="0" w:type="auto"/>
            <w:shd w:val="clear" w:color="auto" w:fill="auto"/>
            <w:tcMar>
              <w:top w:w="40" w:type="dxa"/>
              <w:bottom w:w="40" w:type="dxa"/>
              <w:right w:w="20" w:type="dxa"/>
            </w:tcMar>
            <w:vAlign w:val="bottom"/>
          </w:tcPr>
          <w:p w14:paraId="20AE1130"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131" w14:textId="77777777" w:rsidR="00B626E7" w:rsidRDefault="00B626E7">
            <w:pPr>
              <w:rPr>
                <w:rFonts w:ascii="宋体"/>
              </w:rPr>
            </w:pPr>
          </w:p>
        </w:tc>
        <w:tc>
          <w:tcPr>
            <w:tcW w:w="0" w:type="auto"/>
            <w:shd w:val="clear" w:color="auto" w:fill="auto"/>
          </w:tcPr>
          <w:p w14:paraId="20AE1132" w14:textId="77777777" w:rsidR="00B626E7" w:rsidRDefault="00B626E7">
            <w:pPr>
              <w:rPr>
                <w:rFonts w:ascii="宋体"/>
              </w:rPr>
            </w:pPr>
          </w:p>
        </w:tc>
        <w:tc>
          <w:tcPr>
            <w:tcW w:w="0" w:type="auto"/>
            <w:shd w:val="clear" w:color="auto" w:fill="auto"/>
          </w:tcPr>
          <w:p w14:paraId="20AE1133" w14:textId="77777777" w:rsidR="00B626E7" w:rsidRDefault="00B626E7">
            <w:pPr>
              <w:rPr>
                <w:rFonts w:ascii="宋体"/>
              </w:rPr>
            </w:pPr>
          </w:p>
        </w:tc>
        <w:tc>
          <w:tcPr>
            <w:tcW w:w="0" w:type="auto"/>
            <w:shd w:val="clear" w:color="auto" w:fill="auto"/>
          </w:tcPr>
          <w:p w14:paraId="20AE1134" w14:textId="77777777" w:rsidR="00B626E7" w:rsidRDefault="00B626E7">
            <w:pPr>
              <w:rPr>
                <w:rFonts w:ascii="宋体"/>
              </w:rPr>
            </w:pPr>
          </w:p>
        </w:tc>
        <w:tc>
          <w:tcPr>
            <w:tcW w:w="0" w:type="auto"/>
            <w:shd w:val="clear" w:color="auto" w:fill="auto"/>
          </w:tcPr>
          <w:p w14:paraId="20AE1135" w14:textId="77777777" w:rsidR="00B626E7" w:rsidRDefault="00B626E7">
            <w:pPr>
              <w:rPr>
                <w:rFonts w:ascii="宋体"/>
              </w:rPr>
            </w:pPr>
          </w:p>
        </w:tc>
        <w:tc>
          <w:tcPr>
            <w:tcW w:w="0" w:type="auto"/>
            <w:shd w:val="clear" w:color="auto" w:fill="auto"/>
          </w:tcPr>
          <w:p w14:paraId="20AE1136" w14:textId="77777777" w:rsidR="00B626E7" w:rsidRDefault="00B626E7">
            <w:pPr>
              <w:rPr>
                <w:rFonts w:ascii="宋体"/>
              </w:rPr>
            </w:pPr>
          </w:p>
        </w:tc>
        <w:tc>
          <w:tcPr>
            <w:tcW w:w="0" w:type="auto"/>
            <w:shd w:val="clear" w:color="auto" w:fill="auto"/>
          </w:tcPr>
          <w:p w14:paraId="20AE1137" w14:textId="77777777" w:rsidR="00B626E7" w:rsidRDefault="00B626E7">
            <w:pPr>
              <w:rPr>
                <w:rFonts w:ascii="宋体"/>
              </w:rPr>
            </w:pPr>
          </w:p>
        </w:tc>
        <w:tc>
          <w:tcPr>
            <w:tcW w:w="0" w:type="auto"/>
            <w:shd w:val="clear" w:color="auto" w:fill="auto"/>
          </w:tcPr>
          <w:p w14:paraId="20AE1138" w14:textId="77777777" w:rsidR="00B626E7" w:rsidRDefault="00B626E7">
            <w:pPr>
              <w:rPr>
                <w:rFonts w:ascii="宋体"/>
              </w:rPr>
            </w:pPr>
          </w:p>
        </w:tc>
        <w:tc>
          <w:tcPr>
            <w:tcW w:w="0" w:type="auto"/>
            <w:shd w:val="clear" w:color="auto" w:fill="auto"/>
          </w:tcPr>
          <w:p w14:paraId="20AE1139" w14:textId="77777777" w:rsidR="00B626E7" w:rsidRDefault="00B626E7">
            <w:pPr>
              <w:rPr>
                <w:rFonts w:ascii="宋体"/>
              </w:rPr>
            </w:pPr>
          </w:p>
        </w:tc>
        <w:tc>
          <w:tcPr>
            <w:tcW w:w="0" w:type="auto"/>
            <w:shd w:val="clear" w:color="auto" w:fill="auto"/>
          </w:tcPr>
          <w:p w14:paraId="20AE113A" w14:textId="77777777" w:rsidR="00B626E7" w:rsidRDefault="00B626E7">
            <w:pPr>
              <w:rPr>
                <w:rFonts w:ascii="宋体"/>
              </w:rPr>
            </w:pPr>
          </w:p>
        </w:tc>
        <w:tc>
          <w:tcPr>
            <w:tcW w:w="0" w:type="auto"/>
            <w:shd w:val="clear" w:color="auto" w:fill="auto"/>
          </w:tcPr>
          <w:p w14:paraId="20AE113B" w14:textId="77777777" w:rsidR="00B626E7" w:rsidRDefault="00B626E7">
            <w:pPr>
              <w:rPr>
                <w:rFonts w:ascii="宋体"/>
              </w:rPr>
            </w:pPr>
          </w:p>
        </w:tc>
        <w:tc>
          <w:tcPr>
            <w:tcW w:w="0" w:type="auto"/>
            <w:shd w:val="clear" w:color="auto" w:fill="auto"/>
          </w:tcPr>
          <w:p w14:paraId="20AE113C" w14:textId="77777777" w:rsidR="00B626E7" w:rsidRDefault="00B626E7">
            <w:pPr>
              <w:rPr>
                <w:rFonts w:ascii="宋体"/>
              </w:rPr>
            </w:pPr>
          </w:p>
        </w:tc>
      </w:tr>
      <w:tr w:rsidR="00B626E7" w14:paraId="20AE1163" w14:textId="77777777">
        <w:tc>
          <w:tcPr>
            <w:tcW w:w="0" w:type="auto"/>
            <w:gridSpan w:val="3"/>
            <w:shd w:val="clear" w:color="auto" w:fill="auto"/>
            <w:tcMar>
              <w:top w:w="40" w:type="dxa"/>
              <w:left w:w="20" w:type="dxa"/>
              <w:bottom w:w="40" w:type="dxa"/>
              <w:right w:w="20" w:type="dxa"/>
            </w:tcMar>
          </w:tcPr>
          <w:p w14:paraId="20AE113E" w14:textId="77777777" w:rsidR="00B626E7" w:rsidRDefault="00175C1D">
            <w:pPr>
              <w:textAlignment w:val="top"/>
            </w:pPr>
            <w:r>
              <w:rPr>
                <w:rFonts w:ascii="Arial" w:eastAsia="宋体" w:hAnsi="Arial" w:cs="Arial"/>
                <w:color w:val="333333"/>
                <w:sz w:val="18"/>
                <w:szCs w:val="18"/>
              </w:rPr>
              <w:t>Government debt</w:t>
            </w:r>
          </w:p>
        </w:tc>
        <w:tc>
          <w:tcPr>
            <w:tcW w:w="0" w:type="auto"/>
            <w:gridSpan w:val="3"/>
            <w:shd w:val="clear" w:color="auto" w:fill="auto"/>
            <w:tcMar>
              <w:left w:w="20" w:type="dxa"/>
              <w:right w:w="20" w:type="dxa"/>
            </w:tcMar>
            <w:vAlign w:val="bottom"/>
          </w:tcPr>
          <w:p w14:paraId="20AE113F"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140" w14:textId="77777777" w:rsidR="00B626E7" w:rsidRDefault="00175C1D">
            <w:pPr>
              <w:jc w:val="right"/>
              <w:textAlignment w:val="bottom"/>
            </w:pPr>
            <w:r>
              <w:rPr>
                <w:rFonts w:ascii="Arial" w:eastAsia="宋体" w:hAnsi="Arial" w:cs="Arial"/>
                <w:color w:val="026DCE"/>
                <w:sz w:val="18"/>
                <w:szCs w:val="18"/>
              </w:rPr>
              <w:t>2,491 </w:t>
            </w:r>
          </w:p>
        </w:tc>
        <w:tc>
          <w:tcPr>
            <w:tcW w:w="0" w:type="auto"/>
            <w:shd w:val="clear" w:color="auto" w:fill="auto"/>
            <w:tcMar>
              <w:top w:w="40" w:type="dxa"/>
              <w:bottom w:w="40" w:type="dxa"/>
              <w:right w:w="20" w:type="dxa"/>
            </w:tcMar>
            <w:vAlign w:val="bottom"/>
          </w:tcPr>
          <w:p w14:paraId="20AE1141"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142"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143" w14:textId="77777777" w:rsidR="00B626E7" w:rsidRDefault="00175C1D">
            <w:pPr>
              <w:jc w:val="right"/>
              <w:textAlignment w:val="bottom"/>
            </w:pPr>
            <w:r>
              <w:rPr>
                <w:rFonts w:ascii="Arial" w:eastAsia="宋体" w:hAnsi="Arial" w:cs="Arial"/>
                <w:color w:val="026DCE"/>
                <w:sz w:val="18"/>
                <w:szCs w:val="18"/>
              </w:rPr>
              <w:t>12 </w:t>
            </w:r>
          </w:p>
        </w:tc>
        <w:tc>
          <w:tcPr>
            <w:tcW w:w="0" w:type="auto"/>
            <w:shd w:val="clear" w:color="auto" w:fill="auto"/>
            <w:tcMar>
              <w:top w:w="40" w:type="dxa"/>
              <w:bottom w:w="40" w:type="dxa"/>
              <w:right w:w="20" w:type="dxa"/>
            </w:tcMar>
            <w:vAlign w:val="bottom"/>
          </w:tcPr>
          <w:p w14:paraId="20AE1144"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145"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146" w14:textId="77777777" w:rsidR="00B626E7" w:rsidRDefault="00175C1D">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20AE1147"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148"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149" w14:textId="77777777" w:rsidR="00B626E7" w:rsidRDefault="00175C1D">
            <w:pPr>
              <w:jc w:val="right"/>
              <w:textAlignment w:val="bottom"/>
            </w:pPr>
            <w:r>
              <w:rPr>
                <w:rFonts w:ascii="Arial" w:eastAsia="宋体" w:hAnsi="Arial" w:cs="Arial"/>
                <w:color w:val="026DCE"/>
                <w:sz w:val="18"/>
                <w:szCs w:val="18"/>
              </w:rPr>
              <w:t>2,503 </w:t>
            </w:r>
          </w:p>
        </w:tc>
        <w:tc>
          <w:tcPr>
            <w:tcW w:w="0" w:type="auto"/>
            <w:shd w:val="clear" w:color="auto" w:fill="auto"/>
            <w:tcMar>
              <w:top w:w="40" w:type="dxa"/>
              <w:bottom w:w="40" w:type="dxa"/>
              <w:right w:w="20" w:type="dxa"/>
            </w:tcMar>
            <w:vAlign w:val="bottom"/>
          </w:tcPr>
          <w:p w14:paraId="20AE114A"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14B"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14C" w14:textId="77777777" w:rsidR="00B626E7" w:rsidRDefault="00175C1D">
            <w:pPr>
              <w:jc w:val="right"/>
              <w:textAlignment w:val="bottom"/>
            </w:pPr>
            <w:r>
              <w:rPr>
                <w:rFonts w:ascii="Arial" w:eastAsia="宋体" w:hAnsi="Arial" w:cs="Arial"/>
                <w:color w:val="333333"/>
                <w:sz w:val="18"/>
                <w:szCs w:val="18"/>
              </w:rPr>
              <w:t>560 </w:t>
            </w:r>
          </w:p>
        </w:tc>
        <w:tc>
          <w:tcPr>
            <w:tcW w:w="0" w:type="auto"/>
            <w:shd w:val="clear" w:color="auto" w:fill="auto"/>
            <w:tcMar>
              <w:top w:w="40" w:type="dxa"/>
              <w:bottom w:w="40" w:type="dxa"/>
              <w:right w:w="20" w:type="dxa"/>
            </w:tcMar>
            <w:vAlign w:val="bottom"/>
          </w:tcPr>
          <w:p w14:paraId="20AE114D"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14E"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14F" w14:textId="77777777" w:rsidR="00B626E7" w:rsidRDefault="00175C1D">
            <w:pPr>
              <w:jc w:val="right"/>
              <w:textAlignment w:val="bottom"/>
            </w:pPr>
            <w:r>
              <w:rPr>
                <w:rFonts w:ascii="Arial" w:eastAsia="宋体" w:hAnsi="Arial" w:cs="Arial"/>
                <w:color w:val="333333"/>
                <w:sz w:val="18"/>
                <w:szCs w:val="18"/>
              </w:rPr>
              <w:t>4 </w:t>
            </w:r>
          </w:p>
        </w:tc>
        <w:tc>
          <w:tcPr>
            <w:tcW w:w="0" w:type="auto"/>
            <w:shd w:val="clear" w:color="auto" w:fill="auto"/>
            <w:tcMar>
              <w:top w:w="40" w:type="dxa"/>
              <w:bottom w:w="40" w:type="dxa"/>
              <w:right w:w="20" w:type="dxa"/>
            </w:tcMar>
            <w:vAlign w:val="bottom"/>
          </w:tcPr>
          <w:p w14:paraId="20AE1150"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151"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152"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1153"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154"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155" w14:textId="77777777" w:rsidR="00B626E7" w:rsidRDefault="00175C1D">
            <w:pPr>
              <w:jc w:val="right"/>
              <w:textAlignment w:val="bottom"/>
            </w:pPr>
            <w:r>
              <w:rPr>
                <w:rFonts w:ascii="Arial" w:eastAsia="宋体" w:hAnsi="Arial" w:cs="Arial"/>
                <w:color w:val="333333"/>
                <w:sz w:val="18"/>
                <w:szCs w:val="18"/>
              </w:rPr>
              <w:t>564 </w:t>
            </w:r>
          </w:p>
        </w:tc>
        <w:tc>
          <w:tcPr>
            <w:tcW w:w="0" w:type="auto"/>
            <w:shd w:val="clear" w:color="auto" w:fill="auto"/>
            <w:tcMar>
              <w:top w:w="40" w:type="dxa"/>
              <w:bottom w:w="40" w:type="dxa"/>
              <w:right w:w="20" w:type="dxa"/>
            </w:tcMar>
            <w:vAlign w:val="bottom"/>
          </w:tcPr>
          <w:p w14:paraId="20AE1156"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157" w14:textId="77777777" w:rsidR="00B626E7" w:rsidRDefault="00B626E7">
            <w:pPr>
              <w:rPr>
                <w:rFonts w:ascii="宋体"/>
              </w:rPr>
            </w:pPr>
          </w:p>
        </w:tc>
        <w:tc>
          <w:tcPr>
            <w:tcW w:w="0" w:type="auto"/>
            <w:shd w:val="clear" w:color="auto" w:fill="auto"/>
          </w:tcPr>
          <w:p w14:paraId="20AE1158" w14:textId="77777777" w:rsidR="00B626E7" w:rsidRDefault="00B626E7">
            <w:pPr>
              <w:rPr>
                <w:rFonts w:ascii="宋体"/>
              </w:rPr>
            </w:pPr>
          </w:p>
        </w:tc>
        <w:tc>
          <w:tcPr>
            <w:tcW w:w="0" w:type="auto"/>
            <w:shd w:val="clear" w:color="auto" w:fill="auto"/>
          </w:tcPr>
          <w:p w14:paraId="20AE1159" w14:textId="77777777" w:rsidR="00B626E7" w:rsidRDefault="00B626E7">
            <w:pPr>
              <w:rPr>
                <w:rFonts w:ascii="宋体"/>
              </w:rPr>
            </w:pPr>
          </w:p>
        </w:tc>
        <w:tc>
          <w:tcPr>
            <w:tcW w:w="0" w:type="auto"/>
            <w:shd w:val="clear" w:color="auto" w:fill="auto"/>
          </w:tcPr>
          <w:p w14:paraId="20AE115A" w14:textId="77777777" w:rsidR="00B626E7" w:rsidRDefault="00B626E7">
            <w:pPr>
              <w:rPr>
                <w:rFonts w:ascii="宋体"/>
              </w:rPr>
            </w:pPr>
          </w:p>
        </w:tc>
        <w:tc>
          <w:tcPr>
            <w:tcW w:w="0" w:type="auto"/>
            <w:shd w:val="clear" w:color="auto" w:fill="auto"/>
          </w:tcPr>
          <w:p w14:paraId="20AE115B" w14:textId="77777777" w:rsidR="00B626E7" w:rsidRDefault="00B626E7">
            <w:pPr>
              <w:rPr>
                <w:rFonts w:ascii="宋体"/>
              </w:rPr>
            </w:pPr>
          </w:p>
        </w:tc>
        <w:tc>
          <w:tcPr>
            <w:tcW w:w="0" w:type="auto"/>
            <w:shd w:val="clear" w:color="auto" w:fill="auto"/>
          </w:tcPr>
          <w:p w14:paraId="20AE115C" w14:textId="77777777" w:rsidR="00B626E7" w:rsidRDefault="00B626E7">
            <w:pPr>
              <w:rPr>
                <w:rFonts w:ascii="宋体"/>
              </w:rPr>
            </w:pPr>
          </w:p>
        </w:tc>
        <w:tc>
          <w:tcPr>
            <w:tcW w:w="0" w:type="auto"/>
            <w:shd w:val="clear" w:color="auto" w:fill="auto"/>
          </w:tcPr>
          <w:p w14:paraId="20AE115D" w14:textId="77777777" w:rsidR="00B626E7" w:rsidRDefault="00B626E7">
            <w:pPr>
              <w:rPr>
                <w:rFonts w:ascii="宋体"/>
              </w:rPr>
            </w:pPr>
          </w:p>
        </w:tc>
        <w:tc>
          <w:tcPr>
            <w:tcW w:w="0" w:type="auto"/>
            <w:shd w:val="clear" w:color="auto" w:fill="auto"/>
          </w:tcPr>
          <w:p w14:paraId="20AE115E" w14:textId="77777777" w:rsidR="00B626E7" w:rsidRDefault="00B626E7">
            <w:pPr>
              <w:rPr>
                <w:rFonts w:ascii="宋体"/>
              </w:rPr>
            </w:pPr>
          </w:p>
        </w:tc>
        <w:tc>
          <w:tcPr>
            <w:tcW w:w="0" w:type="auto"/>
            <w:shd w:val="clear" w:color="auto" w:fill="auto"/>
          </w:tcPr>
          <w:p w14:paraId="20AE115F" w14:textId="77777777" w:rsidR="00B626E7" w:rsidRDefault="00B626E7">
            <w:pPr>
              <w:rPr>
                <w:rFonts w:ascii="宋体"/>
              </w:rPr>
            </w:pPr>
          </w:p>
        </w:tc>
        <w:tc>
          <w:tcPr>
            <w:tcW w:w="0" w:type="auto"/>
            <w:shd w:val="clear" w:color="auto" w:fill="auto"/>
          </w:tcPr>
          <w:p w14:paraId="20AE1160" w14:textId="77777777" w:rsidR="00B626E7" w:rsidRDefault="00B626E7">
            <w:pPr>
              <w:rPr>
                <w:rFonts w:ascii="宋体"/>
              </w:rPr>
            </w:pPr>
          </w:p>
        </w:tc>
        <w:tc>
          <w:tcPr>
            <w:tcW w:w="0" w:type="auto"/>
            <w:shd w:val="clear" w:color="auto" w:fill="auto"/>
          </w:tcPr>
          <w:p w14:paraId="20AE1161" w14:textId="77777777" w:rsidR="00B626E7" w:rsidRDefault="00B626E7">
            <w:pPr>
              <w:rPr>
                <w:rFonts w:ascii="宋体"/>
              </w:rPr>
            </w:pPr>
          </w:p>
        </w:tc>
        <w:tc>
          <w:tcPr>
            <w:tcW w:w="0" w:type="auto"/>
            <w:shd w:val="clear" w:color="auto" w:fill="auto"/>
          </w:tcPr>
          <w:p w14:paraId="20AE1162" w14:textId="77777777" w:rsidR="00B626E7" w:rsidRDefault="00B626E7">
            <w:pPr>
              <w:rPr>
                <w:rFonts w:ascii="宋体"/>
              </w:rPr>
            </w:pPr>
          </w:p>
        </w:tc>
      </w:tr>
      <w:tr w:rsidR="00B626E7" w14:paraId="20AE1191" w14:textId="77777777">
        <w:tc>
          <w:tcPr>
            <w:tcW w:w="0" w:type="auto"/>
            <w:gridSpan w:val="3"/>
            <w:shd w:val="clear" w:color="auto" w:fill="auto"/>
            <w:tcMar>
              <w:top w:w="40" w:type="dxa"/>
              <w:left w:w="20" w:type="dxa"/>
              <w:bottom w:w="40" w:type="dxa"/>
              <w:right w:w="20" w:type="dxa"/>
            </w:tcMar>
          </w:tcPr>
          <w:p w14:paraId="20AE1164" w14:textId="77777777" w:rsidR="00B626E7" w:rsidRDefault="00175C1D">
            <w:pPr>
              <w:textAlignment w:val="top"/>
            </w:pPr>
            <w:r>
              <w:rPr>
                <w:rFonts w:ascii="Arial" w:eastAsia="宋体" w:hAnsi="Arial" w:cs="Arial"/>
                <w:b/>
                <w:bCs/>
                <w:color w:val="333333"/>
                <w:sz w:val="18"/>
                <w:szCs w:val="18"/>
              </w:rPr>
              <w:t>Total available-for-sale debt investments</w:t>
            </w:r>
          </w:p>
        </w:tc>
        <w:tc>
          <w:tcPr>
            <w:tcW w:w="0" w:type="auto"/>
            <w:gridSpan w:val="3"/>
            <w:shd w:val="clear" w:color="auto" w:fill="auto"/>
            <w:tcMar>
              <w:left w:w="20" w:type="dxa"/>
              <w:right w:w="20" w:type="dxa"/>
            </w:tcMar>
            <w:vAlign w:val="bottom"/>
          </w:tcPr>
          <w:p w14:paraId="20AE1165"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1166" w14:textId="77777777" w:rsidR="00B626E7" w:rsidRDefault="00175C1D">
            <w:pPr>
              <w:textAlignment w:val="bottom"/>
            </w:pPr>
            <w:r>
              <w:rPr>
                <w:rFonts w:ascii="Arial" w:eastAsia="宋体" w:hAnsi="Arial" w:cs="Arial"/>
                <w:b/>
                <w:bCs/>
                <w:color w:val="026DCE"/>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1167" w14:textId="77777777" w:rsidR="00B626E7" w:rsidRDefault="00175C1D">
            <w:pPr>
              <w:jc w:val="right"/>
              <w:textAlignment w:val="bottom"/>
            </w:pPr>
            <w:r>
              <w:rPr>
                <w:rFonts w:ascii="Arial" w:eastAsia="宋体" w:hAnsi="Arial" w:cs="Arial"/>
                <w:b/>
                <w:bCs/>
                <w:color w:val="026DCE"/>
                <w:sz w:val="18"/>
                <w:szCs w:val="18"/>
              </w:rPr>
              <w:t>14,387 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1168"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1169"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116A" w14:textId="77777777" w:rsidR="00B626E7" w:rsidRDefault="00175C1D">
            <w:pPr>
              <w:textAlignment w:val="bottom"/>
            </w:pPr>
            <w:r>
              <w:rPr>
                <w:rFonts w:ascii="Arial" w:eastAsia="宋体" w:hAnsi="Arial" w:cs="Arial"/>
                <w:b/>
                <w:bCs/>
                <w:color w:val="026DCE"/>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116B" w14:textId="77777777" w:rsidR="00B626E7" w:rsidRDefault="00175C1D">
            <w:pPr>
              <w:jc w:val="right"/>
              <w:textAlignment w:val="bottom"/>
            </w:pPr>
            <w:r>
              <w:rPr>
                <w:rFonts w:ascii="Arial" w:eastAsia="宋体" w:hAnsi="Arial" w:cs="Arial"/>
                <w:b/>
                <w:bCs/>
                <w:color w:val="026DCE"/>
                <w:sz w:val="18"/>
                <w:szCs w:val="18"/>
              </w:rPr>
              <w:t>130 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116C"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116D"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116E" w14:textId="77777777" w:rsidR="00B626E7" w:rsidRDefault="00175C1D">
            <w:pPr>
              <w:textAlignment w:val="bottom"/>
            </w:pPr>
            <w:r>
              <w:rPr>
                <w:rFonts w:ascii="Arial" w:eastAsia="宋体" w:hAnsi="Arial" w:cs="Arial"/>
                <w:b/>
                <w:bCs/>
                <w:color w:val="026DCE"/>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116F" w14:textId="77777777" w:rsidR="00B626E7" w:rsidRDefault="00175C1D">
            <w:pPr>
              <w:jc w:val="right"/>
              <w:textAlignment w:val="bottom"/>
            </w:pPr>
            <w:r>
              <w:rPr>
                <w:rFonts w:ascii="Arial" w:eastAsia="宋体" w:hAnsi="Arial" w:cs="Arial"/>
                <w:b/>
                <w:bCs/>
                <w:color w:val="026DCE"/>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1170"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1171"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1172" w14:textId="77777777" w:rsidR="00B626E7" w:rsidRDefault="00175C1D">
            <w:pPr>
              <w:textAlignment w:val="bottom"/>
            </w:pPr>
            <w:r>
              <w:rPr>
                <w:rFonts w:ascii="Arial" w:eastAsia="宋体" w:hAnsi="Arial" w:cs="Arial"/>
                <w:b/>
                <w:bCs/>
                <w:color w:val="026DCE"/>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1173" w14:textId="77777777" w:rsidR="00B626E7" w:rsidRDefault="00175C1D">
            <w:pPr>
              <w:jc w:val="right"/>
              <w:textAlignment w:val="bottom"/>
            </w:pPr>
            <w:r>
              <w:rPr>
                <w:rFonts w:ascii="Arial" w:eastAsia="宋体" w:hAnsi="Arial" w:cs="Arial"/>
                <w:b/>
                <w:bCs/>
                <w:color w:val="026DCE"/>
                <w:sz w:val="18"/>
                <w:szCs w:val="18"/>
              </w:rPr>
              <w:t>14,517 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1174"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1175"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1176"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1177" w14:textId="77777777" w:rsidR="00B626E7" w:rsidRDefault="00175C1D">
            <w:pPr>
              <w:jc w:val="right"/>
              <w:textAlignment w:val="bottom"/>
            </w:pPr>
            <w:r>
              <w:rPr>
                <w:rFonts w:ascii="Arial" w:eastAsia="宋体" w:hAnsi="Arial" w:cs="Arial"/>
                <w:b/>
                <w:bCs/>
                <w:color w:val="333333"/>
                <w:sz w:val="18"/>
                <w:szCs w:val="18"/>
              </w:rPr>
              <w:t>6,481 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1178"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1179"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117A"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117B" w14:textId="77777777" w:rsidR="00B626E7" w:rsidRDefault="00175C1D">
            <w:pPr>
              <w:jc w:val="right"/>
              <w:textAlignment w:val="bottom"/>
            </w:pPr>
            <w:r>
              <w:rPr>
                <w:rFonts w:ascii="Arial" w:eastAsia="宋体" w:hAnsi="Arial" w:cs="Arial"/>
                <w:b/>
                <w:bCs/>
                <w:color w:val="333333"/>
                <w:sz w:val="18"/>
                <w:szCs w:val="18"/>
              </w:rPr>
              <w:t>63 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117C"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117D"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117E"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117F" w14:textId="77777777" w:rsidR="00B626E7" w:rsidRDefault="00175C1D">
            <w:pPr>
              <w:jc w:val="right"/>
              <w:textAlignment w:val="bottom"/>
            </w:pPr>
            <w:r>
              <w:rPr>
                <w:rFonts w:ascii="Arial" w:eastAsia="宋体" w:hAnsi="Arial" w:cs="Arial"/>
                <w:b/>
                <w:bCs/>
                <w:color w:val="333333"/>
                <w:sz w:val="18"/>
                <w:szCs w:val="18"/>
              </w:rPr>
              <w:t>(1)</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1180"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1181"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1182"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1183" w14:textId="77777777" w:rsidR="00B626E7" w:rsidRDefault="00175C1D">
            <w:pPr>
              <w:jc w:val="right"/>
              <w:textAlignment w:val="bottom"/>
            </w:pPr>
            <w:r>
              <w:rPr>
                <w:rFonts w:ascii="Arial" w:eastAsia="宋体" w:hAnsi="Arial" w:cs="Arial"/>
                <w:b/>
                <w:bCs/>
                <w:color w:val="333333"/>
                <w:sz w:val="18"/>
                <w:szCs w:val="18"/>
              </w:rPr>
              <w:t>6,543 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1184"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E1185" w14:textId="77777777" w:rsidR="00B626E7" w:rsidRDefault="00B626E7">
            <w:pPr>
              <w:rPr>
                <w:rFonts w:ascii="宋体"/>
              </w:rPr>
            </w:pPr>
          </w:p>
        </w:tc>
        <w:tc>
          <w:tcPr>
            <w:tcW w:w="0" w:type="auto"/>
            <w:shd w:val="clear" w:color="auto" w:fill="auto"/>
          </w:tcPr>
          <w:p w14:paraId="20AE1186" w14:textId="77777777" w:rsidR="00B626E7" w:rsidRDefault="00B626E7">
            <w:pPr>
              <w:rPr>
                <w:rFonts w:ascii="宋体"/>
              </w:rPr>
            </w:pPr>
          </w:p>
        </w:tc>
        <w:tc>
          <w:tcPr>
            <w:tcW w:w="0" w:type="auto"/>
            <w:shd w:val="clear" w:color="auto" w:fill="auto"/>
          </w:tcPr>
          <w:p w14:paraId="20AE1187" w14:textId="77777777" w:rsidR="00B626E7" w:rsidRDefault="00B626E7">
            <w:pPr>
              <w:rPr>
                <w:rFonts w:ascii="宋体"/>
              </w:rPr>
            </w:pPr>
          </w:p>
        </w:tc>
        <w:tc>
          <w:tcPr>
            <w:tcW w:w="0" w:type="auto"/>
            <w:shd w:val="clear" w:color="auto" w:fill="auto"/>
          </w:tcPr>
          <w:p w14:paraId="20AE1188" w14:textId="77777777" w:rsidR="00B626E7" w:rsidRDefault="00B626E7">
            <w:pPr>
              <w:rPr>
                <w:rFonts w:ascii="宋体"/>
              </w:rPr>
            </w:pPr>
          </w:p>
        </w:tc>
        <w:tc>
          <w:tcPr>
            <w:tcW w:w="0" w:type="auto"/>
            <w:shd w:val="clear" w:color="auto" w:fill="auto"/>
          </w:tcPr>
          <w:p w14:paraId="20AE1189" w14:textId="77777777" w:rsidR="00B626E7" w:rsidRDefault="00B626E7">
            <w:pPr>
              <w:rPr>
                <w:rFonts w:ascii="宋体"/>
              </w:rPr>
            </w:pPr>
          </w:p>
        </w:tc>
        <w:tc>
          <w:tcPr>
            <w:tcW w:w="0" w:type="auto"/>
            <w:shd w:val="clear" w:color="auto" w:fill="auto"/>
          </w:tcPr>
          <w:p w14:paraId="20AE118A" w14:textId="77777777" w:rsidR="00B626E7" w:rsidRDefault="00B626E7">
            <w:pPr>
              <w:rPr>
                <w:rFonts w:ascii="宋体"/>
              </w:rPr>
            </w:pPr>
          </w:p>
        </w:tc>
        <w:tc>
          <w:tcPr>
            <w:tcW w:w="0" w:type="auto"/>
            <w:shd w:val="clear" w:color="auto" w:fill="auto"/>
          </w:tcPr>
          <w:p w14:paraId="20AE118B" w14:textId="77777777" w:rsidR="00B626E7" w:rsidRDefault="00B626E7">
            <w:pPr>
              <w:rPr>
                <w:rFonts w:ascii="宋体"/>
              </w:rPr>
            </w:pPr>
          </w:p>
        </w:tc>
        <w:tc>
          <w:tcPr>
            <w:tcW w:w="0" w:type="auto"/>
            <w:shd w:val="clear" w:color="auto" w:fill="auto"/>
          </w:tcPr>
          <w:p w14:paraId="20AE118C" w14:textId="77777777" w:rsidR="00B626E7" w:rsidRDefault="00B626E7">
            <w:pPr>
              <w:rPr>
                <w:rFonts w:ascii="宋体"/>
              </w:rPr>
            </w:pPr>
          </w:p>
        </w:tc>
        <w:tc>
          <w:tcPr>
            <w:tcW w:w="0" w:type="auto"/>
            <w:shd w:val="clear" w:color="auto" w:fill="auto"/>
          </w:tcPr>
          <w:p w14:paraId="20AE118D" w14:textId="77777777" w:rsidR="00B626E7" w:rsidRDefault="00B626E7">
            <w:pPr>
              <w:rPr>
                <w:rFonts w:ascii="宋体"/>
              </w:rPr>
            </w:pPr>
          </w:p>
        </w:tc>
        <w:tc>
          <w:tcPr>
            <w:tcW w:w="0" w:type="auto"/>
            <w:shd w:val="clear" w:color="auto" w:fill="auto"/>
          </w:tcPr>
          <w:p w14:paraId="20AE118E" w14:textId="77777777" w:rsidR="00B626E7" w:rsidRDefault="00B626E7">
            <w:pPr>
              <w:rPr>
                <w:rFonts w:ascii="宋体"/>
              </w:rPr>
            </w:pPr>
          </w:p>
        </w:tc>
        <w:tc>
          <w:tcPr>
            <w:tcW w:w="0" w:type="auto"/>
            <w:shd w:val="clear" w:color="auto" w:fill="auto"/>
          </w:tcPr>
          <w:p w14:paraId="20AE118F" w14:textId="77777777" w:rsidR="00B626E7" w:rsidRDefault="00B626E7">
            <w:pPr>
              <w:rPr>
                <w:rFonts w:ascii="宋体"/>
              </w:rPr>
            </w:pPr>
          </w:p>
        </w:tc>
        <w:tc>
          <w:tcPr>
            <w:tcW w:w="0" w:type="auto"/>
            <w:shd w:val="clear" w:color="auto" w:fill="auto"/>
          </w:tcPr>
          <w:p w14:paraId="20AE1190" w14:textId="77777777" w:rsidR="00B626E7" w:rsidRDefault="00B626E7">
            <w:pPr>
              <w:rPr>
                <w:rFonts w:ascii="宋体"/>
              </w:rPr>
            </w:pPr>
          </w:p>
        </w:tc>
      </w:tr>
    </w:tbl>
    <w:p w14:paraId="20AE1192" w14:textId="77777777" w:rsidR="00B626E7" w:rsidRDefault="00175C1D">
      <w:pPr>
        <w:spacing w:before="300" w:after="180"/>
      </w:pPr>
      <w:r>
        <w:rPr>
          <w:rFonts w:ascii="Arial" w:eastAsia="宋体" w:hAnsi="Arial" w:cs="Arial"/>
          <w:color w:val="333333"/>
          <w:sz w:val="18"/>
          <w:szCs w:val="18"/>
        </w:rPr>
        <w:t xml:space="preserve">Government debt </w:t>
      </w:r>
      <w:r>
        <w:rPr>
          <w:rFonts w:ascii="Arial" w:eastAsia="宋体" w:hAnsi="Arial" w:cs="Arial"/>
          <w:color w:val="333333"/>
          <w:sz w:val="18"/>
          <w:szCs w:val="18"/>
        </w:rPr>
        <w:t>includes instruments such as non-U.S. government bonds and U.S. agency securities. Financial institution instruments include instruments issued or managed by financial institutions in various forms such as commercial paper, fixed and floating rate bonds, m</w:t>
      </w:r>
      <w:r>
        <w:rPr>
          <w:rFonts w:ascii="Arial" w:eastAsia="宋体" w:hAnsi="Arial" w:cs="Arial"/>
          <w:color w:val="333333"/>
          <w:sz w:val="18"/>
          <w:szCs w:val="18"/>
        </w:rPr>
        <w:t>oney market fund deposits, and time deposits. Substantially all time deposits were issued by institutions outside the U.S. as of June 27, 2020 and December 28, 2019.</w:t>
      </w:r>
    </w:p>
    <w:p w14:paraId="20AE1193" w14:textId="77777777" w:rsidR="00B626E7" w:rsidRDefault="00175C1D">
      <w:pPr>
        <w:spacing w:after="120"/>
      </w:pPr>
      <w:r>
        <w:rPr>
          <w:rFonts w:ascii="Arial" w:eastAsia="宋体" w:hAnsi="Arial" w:cs="Arial"/>
          <w:color w:val="333333"/>
          <w:sz w:val="18"/>
          <w:szCs w:val="18"/>
        </w:rPr>
        <w:t xml:space="preserve">The fair value of available-for-sale debt investments, by contractual maturity, as of </w:t>
      </w:r>
      <w:r>
        <w:rPr>
          <w:rFonts w:ascii="Arial" w:eastAsia="宋体" w:hAnsi="Arial" w:cs="Arial"/>
          <w:color w:val="333333"/>
          <w:sz w:val="18"/>
          <w:szCs w:val="18"/>
        </w:rPr>
        <w:t>June 27, 2020, was as follows:</w:t>
      </w:r>
    </w:p>
    <w:tbl>
      <w:tblPr>
        <w:tblW w:w="5000" w:type="pct"/>
        <w:tblCellMar>
          <w:top w:w="15" w:type="dxa"/>
          <w:left w:w="15" w:type="dxa"/>
          <w:bottom w:w="15" w:type="dxa"/>
          <w:right w:w="15" w:type="dxa"/>
        </w:tblCellMar>
        <w:tblLook w:val="04A0" w:firstRow="1" w:lastRow="0" w:firstColumn="1" w:lastColumn="0" w:noHBand="0" w:noVBand="1"/>
      </w:tblPr>
      <w:tblGrid>
        <w:gridCol w:w="60"/>
        <w:gridCol w:w="7100"/>
        <w:gridCol w:w="61"/>
        <w:gridCol w:w="36"/>
        <w:gridCol w:w="36"/>
        <w:gridCol w:w="36"/>
        <w:gridCol w:w="137"/>
        <w:gridCol w:w="784"/>
        <w:gridCol w:w="86"/>
      </w:tblGrid>
      <w:tr w:rsidR="00B626E7" w14:paraId="20AE119D" w14:textId="77777777">
        <w:tc>
          <w:tcPr>
            <w:tcW w:w="50" w:type="pct"/>
            <w:shd w:val="clear" w:color="auto" w:fill="auto"/>
          </w:tcPr>
          <w:p w14:paraId="20AE1194" w14:textId="77777777" w:rsidR="00B626E7" w:rsidRDefault="00B626E7">
            <w:pPr>
              <w:rPr>
                <w:rFonts w:ascii="宋体"/>
              </w:rPr>
            </w:pPr>
          </w:p>
        </w:tc>
        <w:tc>
          <w:tcPr>
            <w:tcW w:w="4271" w:type="pct"/>
            <w:shd w:val="clear" w:color="auto" w:fill="auto"/>
          </w:tcPr>
          <w:p w14:paraId="20AE1195" w14:textId="77777777" w:rsidR="00B626E7" w:rsidRDefault="00B626E7">
            <w:pPr>
              <w:rPr>
                <w:rFonts w:ascii="宋体"/>
              </w:rPr>
            </w:pPr>
          </w:p>
        </w:tc>
        <w:tc>
          <w:tcPr>
            <w:tcW w:w="50" w:type="pct"/>
            <w:shd w:val="clear" w:color="auto" w:fill="auto"/>
          </w:tcPr>
          <w:p w14:paraId="20AE1196" w14:textId="77777777" w:rsidR="00B626E7" w:rsidRDefault="00B626E7">
            <w:pPr>
              <w:rPr>
                <w:rFonts w:ascii="宋体"/>
              </w:rPr>
            </w:pPr>
          </w:p>
        </w:tc>
        <w:tc>
          <w:tcPr>
            <w:tcW w:w="5" w:type="pct"/>
            <w:shd w:val="clear" w:color="auto" w:fill="auto"/>
          </w:tcPr>
          <w:p w14:paraId="20AE1197" w14:textId="77777777" w:rsidR="00B626E7" w:rsidRDefault="00B626E7">
            <w:pPr>
              <w:rPr>
                <w:rFonts w:ascii="宋体"/>
              </w:rPr>
            </w:pPr>
          </w:p>
        </w:tc>
        <w:tc>
          <w:tcPr>
            <w:tcW w:w="24" w:type="pct"/>
            <w:shd w:val="clear" w:color="auto" w:fill="auto"/>
          </w:tcPr>
          <w:p w14:paraId="20AE1198" w14:textId="77777777" w:rsidR="00B626E7" w:rsidRDefault="00B626E7">
            <w:pPr>
              <w:rPr>
                <w:rFonts w:ascii="宋体"/>
              </w:rPr>
            </w:pPr>
          </w:p>
        </w:tc>
        <w:tc>
          <w:tcPr>
            <w:tcW w:w="5" w:type="pct"/>
            <w:shd w:val="clear" w:color="auto" w:fill="auto"/>
          </w:tcPr>
          <w:p w14:paraId="20AE1199" w14:textId="77777777" w:rsidR="00B626E7" w:rsidRDefault="00B626E7">
            <w:pPr>
              <w:rPr>
                <w:rFonts w:ascii="宋体"/>
              </w:rPr>
            </w:pPr>
          </w:p>
        </w:tc>
        <w:tc>
          <w:tcPr>
            <w:tcW w:w="50" w:type="pct"/>
            <w:shd w:val="clear" w:color="auto" w:fill="auto"/>
          </w:tcPr>
          <w:p w14:paraId="20AE119A" w14:textId="77777777" w:rsidR="00B626E7" w:rsidRDefault="00B626E7">
            <w:pPr>
              <w:rPr>
                <w:rFonts w:ascii="宋体"/>
              </w:rPr>
            </w:pPr>
          </w:p>
        </w:tc>
        <w:tc>
          <w:tcPr>
            <w:tcW w:w="494" w:type="pct"/>
            <w:shd w:val="clear" w:color="auto" w:fill="auto"/>
          </w:tcPr>
          <w:p w14:paraId="20AE119B" w14:textId="77777777" w:rsidR="00B626E7" w:rsidRDefault="00B626E7">
            <w:pPr>
              <w:rPr>
                <w:rFonts w:ascii="宋体"/>
              </w:rPr>
            </w:pPr>
          </w:p>
        </w:tc>
        <w:tc>
          <w:tcPr>
            <w:tcW w:w="50" w:type="pct"/>
            <w:shd w:val="clear" w:color="auto" w:fill="auto"/>
          </w:tcPr>
          <w:p w14:paraId="20AE119C" w14:textId="77777777" w:rsidR="00B626E7" w:rsidRDefault="00B626E7">
            <w:pPr>
              <w:rPr>
                <w:rFonts w:ascii="宋体"/>
              </w:rPr>
            </w:pPr>
          </w:p>
        </w:tc>
      </w:tr>
      <w:tr w:rsidR="00B626E7" w14:paraId="20AE11A1" w14:textId="77777777">
        <w:tc>
          <w:tcPr>
            <w:tcW w:w="0" w:type="auto"/>
            <w:gridSpan w:val="3"/>
            <w:shd w:val="clear" w:color="auto" w:fill="auto"/>
            <w:tcMar>
              <w:top w:w="40" w:type="dxa"/>
              <w:left w:w="20" w:type="dxa"/>
              <w:bottom w:w="40" w:type="dxa"/>
              <w:right w:w="20" w:type="dxa"/>
            </w:tcMar>
            <w:vAlign w:val="bottom"/>
          </w:tcPr>
          <w:p w14:paraId="20AE119E" w14:textId="77777777" w:rsidR="00B626E7" w:rsidRDefault="00175C1D">
            <w:pPr>
              <w:ind w:hanging="180"/>
              <w:textAlignment w:val="bottom"/>
            </w:pPr>
            <w:r>
              <w:rPr>
                <w:rFonts w:ascii="Arial" w:eastAsia="宋体" w:hAnsi="Arial" w:cs="Arial"/>
                <w:b/>
                <w:bCs/>
                <w:color w:val="333333"/>
                <w:sz w:val="18"/>
                <w:szCs w:val="18"/>
              </w:rPr>
              <w:t>(In Millions)</w:t>
            </w:r>
          </w:p>
        </w:tc>
        <w:tc>
          <w:tcPr>
            <w:tcW w:w="0" w:type="auto"/>
            <w:gridSpan w:val="3"/>
            <w:shd w:val="clear" w:color="auto" w:fill="auto"/>
            <w:tcMar>
              <w:left w:w="20" w:type="dxa"/>
              <w:right w:w="20" w:type="dxa"/>
            </w:tcMar>
            <w:vAlign w:val="bottom"/>
          </w:tcPr>
          <w:p w14:paraId="20AE119F"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bottom"/>
          </w:tcPr>
          <w:p w14:paraId="20AE11A0" w14:textId="77777777" w:rsidR="00B626E7" w:rsidRDefault="00175C1D">
            <w:pPr>
              <w:jc w:val="center"/>
              <w:textAlignment w:val="bottom"/>
            </w:pPr>
            <w:r>
              <w:rPr>
                <w:rFonts w:ascii="Arial" w:eastAsia="宋体" w:hAnsi="Arial" w:cs="Arial"/>
                <w:b/>
                <w:bCs/>
                <w:color w:val="333333"/>
                <w:sz w:val="18"/>
                <w:szCs w:val="18"/>
              </w:rPr>
              <w:t>Fair Value</w:t>
            </w:r>
          </w:p>
        </w:tc>
      </w:tr>
      <w:tr w:rsidR="00B626E7" w14:paraId="20AE11A7" w14:textId="77777777">
        <w:tc>
          <w:tcPr>
            <w:tcW w:w="0" w:type="auto"/>
            <w:gridSpan w:val="3"/>
            <w:tcBorders>
              <w:top w:val="single" w:sz="8" w:space="0" w:color="0071C5"/>
            </w:tcBorders>
            <w:shd w:val="clear" w:color="auto" w:fill="auto"/>
            <w:tcMar>
              <w:top w:w="40" w:type="dxa"/>
              <w:left w:w="20" w:type="dxa"/>
              <w:bottom w:w="40" w:type="dxa"/>
              <w:right w:w="20" w:type="dxa"/>
            </w:tcMar>
          </w:tcPr>
          <w:p w14:paraId="20AE11A2" w14:textId="77777777" w:rsidR="00B626E7" w:rsidRDefault="00175C1D">
            <w:pPr>
              <w:ind w:hanging="180"/>
              <w:textAlignment w:val="top"/>
            </w:pPr>
            <w:r>
              <w:rPr>
                <w:rFonts w:ascii="Arial" w:eastAsia="宋体" w:hAnsi="Arial" w:cs="Arial"/>
                <w:color w:val="333333"/>
                <w:sz w:val="18"/>
                <w:szCs w:val="18"/>
              </w:rPr>
              <w:t>Due in 1 year or less</w:t>
            </w:r>
          </w:p>
        </w:tc>
        <w:tc>
          <w:tcPr>
            <w:tcW w:w="0" w:type="auto"/>
            <w:gridSpan w:val="3"/>
            <w:shd w:val="clear" w:color="auto" w:fill="auto"/>
            <w:tcMar>
              <w:left w:w="20" w:type="dxa"/>
              <w:right w:w="20" w:type="dxa"/>
            </w:tcMar>
            <w:vAlign w:val="bottom"/>
          </w:tcPr>
          <w:p w14:paraId="20AE11A3"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11A4" w14:textId="77777777" w:rsidR="00B626E7" w:rsidRDefault="00175C1D">
            <w:pPr>
              <w:textAlignment w:val="bottom"/>
            </w:pPr>
            <w:r>
              <w:rPr>
                <w:rFonts w:ascii="Arial" w:eastAsia="宋体" w:hAnsi="Arial" w:cs="Arial"/>
                <w:color w:val="026DCE"/>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11A5" w14:textId="77777777" w:rsidR="00B626E7" w:rsidRDefault="00175C1D">
            <w:pPr>
              <w:jc w:val="right"/>
              <w:textAlignment w:val="bottom"/>
            </w:pPr>
            <w:r>
              <w:rPr>
                <w:rFonts w:ascii="Arial" w:eastAsia="宋体" w:hAnsi="Arial" w:cs="Arial"/>
                <w:color w:val="026DCE"/>
                <w:sz w:val="18"/>
                <w:szCs w:val="18"/>
              </w:rPr>
              <w:t>7,763 </w:t>
            </w:r>
          </w:p>
        </w:tc>
        <w:tc>
          <w:tcPr>
            <w:tcW w:w="0" w:type="auto"/>
            <w:tcBorders>
              <w:top w:val="single" w:sz="8" w:space="0" w:color="0071C5"/>
            </w:tcBorders>
            <w:shd w:val="clear" w:color="auto" w:fill="auto"/>
            <w:tcMar>
              <w:top w:w="40" w:type="dxa"/>
              <w:bottom w:w="40" w:type="dxa"/>
              <w:right w:w="20" w:type="dxa"/>
            </w:tcMar>
            <w:vAlign w:val="bottom"/>
          </w:tcPr>
          <w:p w14:paraId="20AE11A6" w14:textId="77777777" w:rsidR="00B626E7" w:rsidRDefault="00175C1D">
            <w:pPr>
              <w:jc w:val="right"/>
              <w:textAlignment w:val="bottom"/>
            </w:pPr>
            <w:r>
              <w:rPr>
                <w:rFonts w:ascii="Arial" w:eastAsia="宋体" w:hAnsi="Arial" w:cs="Arial"/>
                <w:color w:val="026DCE"/>
                <w:sz w:val="18"/>
                <w:szCs w:val="18"/>
              </w:rPr>
              <w:t> </w:t>
            </w:r>
          </w:p>
        </w:tc>
      </w:tr>
      <w:tr w:rsidR="00B626E7" w14:paraId="20AE11AC" w14:textId="77777777">
        <w:tc>
          <w:tcPr>
            <w:tcW w:w="0" w:type="auto"/>
            <w:gridSpan w:val="3"/>
            <w:shd w:val="clear" w:color="auto" w:fill="auto"/>
            <w:tcMar>
              <w:top w:w="40" w:type="dxa"/>
              <w:left w:w="20" w:type="dxa"/>
              <w:bottom w:w="40" w:type="dxa"/>
              <w:right w:w="20" w:type="dxa"/>
            </w:tcMar>
          </w:tcPr>
          <w:p w14:paraId="20AE11A8" w14:textId="77777777" w:rsidR="00B626E7" w:rsidRDefault="00175C1D">
            <w:pPr>
              <w:ind w:hanging="180"/>
              <w:textAlignment w:val="top"/>
            </w:pPr>
            <w:r>
              <w:rPr>
                <w:rFonts w:ascii="Arial" w:eastAsia="宋体" w:hAnsi="Arial" w:cs="Arial"/>
                <w:color w:val="333333"/>
                <w:sz w:val="18"/>
                <w:szCs w:val="18"/>
              </w:rPr>
              <w:t>Due in 1–2 years</w:t>
            </w:r>
          </w:p>
        </w:tc>
        <w:tc>
          <w:tcPr>
            <w:tcW w:w="0" w:type="auto"/>
            <w:gridSpan w:val="3"/>
            <w:shd w:val="clear" w:color="auto" w:fill="auto"/>
            <w:tcMar>
              <w:left w:w="20" w:type="dxa"/>
              <w:right w:w="20" w:type="dxa"/>
            </w:tcMar>
            <w:vAlign w:val="bottom"/>
          </w:tcPr>
          <w:p w14:paraId="20AE11A9"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1AA" w14:textId="77777777" w:rsidR="00B626E7" w:rsidRDefault="00175C1D">
            <w:pPr>
              <w:jc w:val="right"/>
              <w:textAlignment w:val="bottom"/>
            </w:pPr>
            <w:r>
              <w:rPr>
                <w:rFonts w:ascii="Arial" w:eastAsia="宋体" w:hAnsi="Arial" w:cs="Arial"/>
                <w:color w:val="026DCE"/>
                <w:sz w:val="18"/>
                <w:szCs w:val="18"/>
              </w:rPr>
              <w:t>1,525 </w:t>
            </w:r>
          </w:p>
        </w:tc>
        <w:tc>
          <w:tcPr>
            <w:tcW w:w="0" w:type="auto"/>
            <w:shd w:val="clear" w:color="auto" w:fill="auto"/>
            <w:tcMar>
              <w:top w:w="40" w:type="dxa"/>
              <w:bottom w:w="40" w:type="dxa"/>
              <w:right w:w="20" w:type="dxa"/>
            </w:tcMar>
            <w:vAlign w:val="bottom"/>
          </w:tcPr>
          <w:p w14:paraId="20AE11AB" w14:textId="77777777" w:rsidR="00B626E7" w:rsidRDefault="00175C1D">
            <w:pPr>
              <w:jc w:val="right"/>
              <w:textAlignment w:val="bottom"/>
            </w:pPr>
            <w:r>
              <w:rPr>
                <w:rFonts w:ascii="Arial" w:eastAsia="宋体" w:hAnsi="Arial" w:cs="Arial"/>
                <w:color w:val="026DCE"/>
                <w:sz w:val="18"/>
                <w:szCs w:val="18"/>
              </w:rPr>
              <w:t> </w:t>
            </w:r>
          </w:p>
        </w:tc>
      </w:tr>
      <w:tr w:rsidR="00B626E7" w14:paraId="20AE11B1" w14:textId="77777777">
        <w:tc>
          <w:tcPr>
            <w:tcW w:w="0" w:type="auto"/>
            <w:gridSpan w:val="3"/>
            <w:shd w:val="clear" w:color="auto" w:fill="auto"/>
            <w:tcMar>
              <w:top w:w="40" w:type="dxa"/>
              <w:left w:w="20" w:type="dxa"/>
              <w:bottom w:w="40" w:type="dxa"/>
              <w:right w:w="20" w:type="dxa"/>
            </w:tcMar>
          </w:tcPr>
          <w:p w14:paraId="20AE11AD" w14:textId="77777777" w:rsidR="00B626E7" w:rsidRDefault="00175C1D">
            <w:pPr>
              <w:ind w:hanging="180"/>
              <w:textAlignment w:val="top"/>
            </w:pPr>
            <w:r>
              <w:rPr>
                <w:rFonts w:ascii="Arial" w:eastAsia="宋体" w:hAnsi="Arial" w:cs="Arial"/>
                <w:color w:val="333333"/>
                <w:sz w:val="18"/>
                <w:szCs w:val="18"/>
              </w:rPr>
              <w:t>Due in 2–5 years</w:t>
            </w:r>
          </w:p>
        </w:tc>
        <w:tc>
          <w:tcPr>
            <w:tcW w:w="0" w:type="auto"/>
            <w:gridSpan w:val="3"/>
            <w:shd w:val="clear" w:color="auto" w:fill="auto"/>
            <w:tcMar>
              <w:left w:w="20" w:type="dxa"/>
              <w:right w:w="20" w:type="dxa"/>
            </w:tcMar>
            <w:vAlign w:val="bottom"/>
          </w:tcPr>
          <w:p w14:paraId="20AE11AE"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1AF" w14:textId="77777777" w:rsidR="00B626E7" w:rsidRDefault="00175C1D">
            <w:pPr>
              <w:jc w:val="right"/>
              <w:textAlignment w:val="bottom"/>
            </w:pPr>
            <w:r>
              <w:rPr>
                <w:rFonts w:ascii="Arial" w:eastAsia="宋体" w:hAnsi="Arial" w:cs="Arial"/>
                <w:color w:val="026DCE"/>
                <w:sz w:val="18"/>
                <w:szCs w:val="18"/>
              </w:rPr>
              <w:t>1,359 </w:t>
            </w:r>
          </w:p>
        </w:tc>
        <w:tc>
          <w:tcPr>
            <w:tcW w:w="0" w:type="auto"/>
            <w:shd w:val="clear" w:color="auto" w:fill="auto"/>
            <w:tcMar>
              <w:top w:w="40" w:type="dxa"/>
              <w:bottom w:w="40" w:type="dxa"/>
              <w:right w:w="20" w:type="dxa"/>
            </w:tcMar>
            <w:vAlign w:val="bottom"/>
          </w:tcPr>
          <w:p w14:paraId="20AE11B0" w14:textId="77777777" w:rsidR="00B626E7" w:rsidRDefault="00175C1D">
            <w:pPr>
              <w:jc w:val="right"/>
              <w:textAlignment w:val="bottom"/>
            </w:pPr>
            <w:r>
              <w:rPr>
                <w:rFonts w:ascii="Arial" w:eastAsia="宋体" w:hAnsi="Arial" w:cs="Arial"/>
                <w:color w:val="026DCE"/>
                <w:sz w:val="18"/>
                <w:szCs w:val="18"/>
              </w:rPr>
              <w:t> </w:t>
            </w:r>
          </w:p>
        </w:tc>
      </w:tr>
      <w:tr w:rsidR="00B626E7" w14:paraId="20AE11B6" w14:textId="77777777">
        <w:tc>
          <w:tcPr>
            <w:tcW w:w="0" w:type="auto"/>
            <w:gridSpan w:val="3"/>
            <w:shd w:val="clear" w:color="auto" w:fill="auto"/>
            <w:tcMar>
              <w:top w:w="40" w:type="dxa"/>
              <w:left w:w="20" w:type="dxa"/>
              <w:bottom w:w="40" w:type="dxa"/>
              <w:right w:w="20" w:type="dxa"/>
            </w:tcMar>
          </w:tcPr>
          <w:p w14:paraId="20AE11B2" w14:textId="77777777" w:rsidR="00B626E7" w:rsidRDefault="00175C1D">
            <w:pPr>
              <w:ind w:hanging="180"/>
              <w:textAlignment w:val="top"/>
            </w:pPr>
            <w:r>
              <w:rPr>
                <w:rFonts w:ascii="Arial" w:eastAsia="宋体" w:hAnsi="Arial" w:cs="Arial"/>
                <w:color w:val="333333"/>
                <w:sz w:val="18"/>
                <w:szCs w:val="18"/>
              </w:rPr>
              <w:t>Due after 5 years</w:t>
            </w:r>
          </w:p>
        </w:tc>
        <w:tc>
          <w:tcPr>
            <w:tcW w:w="0" w:type="auto"/>
            <w:gridSpan w:val="3"/>
            <w:shd w:val="clear" w:color="auto" w:fill="auto"/>
            <w:tcMar>
              <w:left w:w="20" w:type="dxa"/>
              <w:right w:w="20" w:type="dxa"/>
            </w:tcMar>
            <w:vAlign w:val="bottom"/>
          </w:tcPr>
          <w:p w14:paraId="20AE11B3"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1B4" w14:textId="77777777" w:rsidR="00B626E7" w:rsidRDefault="00175C1D">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20AE11B5" w14:textId="77777777" w:rsidR="00B626E7" w:rsidRDefault="00175C1D">
            <w:pPr>
              <w:jc w:val="right"/>
              <w:textAlignment w:val="bottom"/>
            </w:pPr>
            <w:r>
              <w:rPr>
                <w:rFonts w:ascii="Arial" w:eastAsia="宋体" w:hAnsi="Arial" w:cs="Arial"/>
                <w:color w:val="026DCE"/>
                <w:sz w:val="18"/>
                <w:szCs w:val="18"/>
              </w:rPr>
              <w:t> </w:t>
            </w:r>
          </w:p>
        </w:tc>
      </w:tr>
      <w:tr w:rsidR="00B626E7" w14:paraId="20AE11BB" w14:textId="77777777">
        <w:tc>
          <w:tcPr>
            <w:tcW w:w="0" w:type="auto"/>
            <w:gridSpan w:val="3"/>
            <w:shd w:val="clear" w:color="auto" w:fill="auto"/>
            <w:tcMar>
              <w:top w:w="40" w:type="dxa"/>
              <w:left w:w="20" w:type="dxa"/>
              <w:bottom w:w="40" w:type="dxa"/>
              <w:right w:w="20" w:type="dxa"/>
            </w:tcMar>
          </w:tcPr>
          <w:p w14:paraId="20AE11B7" w14:textId="77777777" w:rsidR="00B626E7" w:rsidRDefault="00175C1D">
            <w:pPr>
              <w:ind w:hanging="180"/>
              <w:textAlignment w:val="top"/>
            </w:pPr>
            <w:r>
              <w:rPr>
                <w:rFonts w:ascii="Arial" w:eastAsia="宋体" w:hAnsi="Arial" w:cs="Arial"/>
                <w:color w:val="333333"/>
                <w:sz w:val="18"/>
                <w:szCs w:val="18"/>
              </w:rPr>
              <w:t>Instruments not due at a single maturity date</w:t>
            </w:r>
          </w:p>
        </w:tc>
        <w:tc>
          <w:tcPr>
            <w:tcW w:w="0" w:type="auto"/>
            <w:gridSpan w:val="3"/>
            <w:shd w:val="clear" w:color="auto" w:fill="auto"/>
            <w:tcMar>
              <w:left w:w="20" w:type="dxa"/>
              <w:right w:w="20" w:type="dxa"/>
            </w:tcMar>
            <w:vAlign w:val="bottom"/>
          </w:tcPr>
          <w:p w14:paraId="20AE11B8"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1B9" w14:textId="77777777" w:rsidR="00B626E7" w:rsidRDefault="00175C1D">
            <w:pPr>
              <w:jc w:val="right"/>
              <w:textAlignment w:val="bottom"/>
            </w:pPr>
            <w:r>
              <w:rPr>
                <w:rFonts w:ascii="Arial" w:eastAsia="宋体" w:hAnsi="Arial" w:cs="Arial"/>
                <w:color w:val="026DCE"/>
                <w:sz w:val="18"/>
                <w:szCs w:val="18"/>
              </w:rPr>
              <w:t>3,870 </w:t>
            </w:r>
          </w:p>
        </w:tc>
        <w:tc>
          <w:tcPr>
            <w:tcW w:w="0" w:type="auto"/>
            <w:shd w:val="clear" w:color="auto" w:fill="auto"/>
            <w:tcMar>
              <w:top w:w="40" w:type="dxa"/>
              <w:bottom w:w="40" w:type="dxa"/>
              <w:right w:w="20" w:type="dxa"/>
            </w:tcMar>
            <w:vAlign w:val="bottom"/>
          </w:tcPr>
          <w:p w14:paraId="20AE11BA" w14:textId="77777777" w:rsidR="00B626E7" w:rsidRDefault="00175C1D">
            <w:pPr>
              <w:jc w:val="right"/>
              <w:textAlignment w:val="bottom"/>
            </w:pPr>
            <w:r>
              <w:rPr>
                <w:rFonts w:ascii="Arial" w:eastAsia="宋体" w:hAnsi="Arial" w:cs="Arial"/>
                <w:color w:val="026DCE"/>
                <w:sz w:val="18"/>
                <w:szCs w:val="18"/>
              </w:rPr>
              <w:t> </w:t>
            </w:r>
          </w:p>
        </w:tc>
      </w:tr>
      <w:tr w:rsidR="00B626E7" w14:paraId="20AE11C1" w14:textId="77777777">
        <w:tc>
          <w:tcPr>
            <w:tcW w:w="0" w:type="auto"/>
            <w:gridSpan w:val="3"/>
            <w:shd w:val="clear" w:color="auto" w:fill="auto"/>
            <w:tcMar>
              <w:top w:w="40" w:type="dxa"/>
              <w:left w:w="20" w:type="dxa"/>
              <w:bottom w:w="40" w:type="dxa"/>
              <w:right w:w="20" w:type="dxa"/>
            </w:tcMar>
          </w:tcPr>
          <w:p w14:paraId="20AE11BC" w14:textId="77777777" w:rsidR="00B626E7" w:rsidRDefault="00175C1D">
            <w:pPr>
              <w:ind w:hanging="180"/>
              <w:textAlignment w:val="top"/>
            </w:pPr>
            <w:r>
              <w:rPr>
                <w:rFonts w:ascii="Arial" w:eastAsia="宋体" w:hAnsi="Arial" w:cs="Arial"/>
                <w:b/>
                <w:bCs/>
                <w:color w:val="333333"/>
                <w:sz w:val="18"/>
                <w:szCs w:val="18"/>
              </w:rPr>
              <w:t>Total</w:t>
            </w:r>
          </w:p>
        </w:tc>
        <w:tc>
          <w:tcPr>
            <w:tcW w:w="0" w:type="auto"/>
            <w:gridSpan w:val="3"/>
            <w:shd w:val="clear" w:color="auto" w:fill="auto"/>
            <w:tcMar>
              <w:left w:w="20" w:type="dxa"/>
              <w:right w:w="20" w:type="dxa"/>
            </w:tcMar>
            <w:vAlign w:val="bottom"/>
          </w:tcPr>
          <w:p w14:paraId="20AE11BD"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11BE" w14:textId="77777777" w:rsidR="00B626E7" w:rsidRDefault="00175C1D">
            <w:pPr>
              <w:textAlignment w:val="bottom"/>
            </w:pPr>
            <w:r>
              <w:rPr>
                <w:rFonts w:ascii="Arial" w:eastAsia="宋体" w:hAnsi="Arial" w:cs="Arial"/>
                <w:b/>
                <w:bCs/>
                <w:color w:val="026DCE"/>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11BF" w14:textId="77777777" w:rsidR="00B626E7" w:rsidRDefault="00175C1D">
            <w:pPr>
              <w:jc w:val="right"/>
              <w:textAlignment w:val="bottom"/>
            </w:pPr>
            <w:r>
              <w:rPr>
                <w:rFonts w:ascii="Arial" w:eastAsia="宋体" w:hAnsi="Arial" w:cs="Arial"/>
                <w:b/>
                <w:bCs/>
                <w:color w:val="026DCE"/>
                <w:sz w:val="18"/>
                <w:szCs w:val="18"/>
              </w:rPr>
              <w:t>14,517 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11C0" w14:textId="77777777" w:rsidR="00B626E7" w:rsidRDefault="00175C1D">
            <w:pPr>
              <w:jc w:val="right"/>
              <w:textAlignment w:val="bottom"/>
            </w:pPr>
            <w:r>
              <w:rPr>
                <w:rFonts w:ascii="Arial" w:eastAsia="宋体" w:hAnsi="Arial" w:cs="Arial"/>
                <w:b/>
                <w:bCs/>
                <w:color w:val="026DCE"/>
                <w:sz w:val="18"/>
                <w:szCs w:val="18"/>
              </w:rPr>
              <w:t> </w:t>
            </w:r>
          </w:p>
        </w:tc>
      </w:tr>
    </w:tbl>
    <w:p w14:paraId="20AE11C2" w14:textId="77777777" w:rsidR="00B626E7" w:rsidRDefault="00B626E7">
      <w:pPr>
        <w:spacing w:after="180"/>
      </w:pPr>
    </w:p>
    <w:p w14:paraId="20AE11C3" w14:textId="77777777" w:rsidR="00B626E7" w:rsidRDefault="00B626E7">
      <w:pPr>
        <w:spacing w:after="180"/>
      </w:pPr>
    </w:p>
    <w:p w14:paraId="20AE11C4" w14:textId="77777777" w:rsidR="00B626E7" w:rsidRDefault="00B626E7">
      <w:pPr>
        <w:spacing w:after="180"/>
      </w:pPr>
    </w:p>
    <w:p w14:paraId="20AE11C5" w14:textId="77777777" w:rsidR="00B626E7" w:rsidRDefault="00B626E7">
      <w:pPr>
        <w:spacing w:after="180"/>
      </w:pPr>
    </w:p>
    <w:p w14:paraId="20AE11C6" w14:textId="77777777" w:rsidR="00B626E7" w:rsidRDefault="00B626E7">
      <w:pPr>
        <w:spacing w:after="180"/>
      </w:pPr>
    </w:p>
    <w:p w14:paraId="20AE11C7" w14:textId="77777777" w:rsidR="00B626E7" w:rsidRDefault="00B626E7">
      <w:pPr>
        <w:spacing w:after="180"/>
      </w:pPr>
    </w:p>
    <w:p w14:paraId="20AE11C8" w14:textId="77777777" w:rsidR="00B626E7" w:rsidRDefault="00B626E7">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4"/>
        <w:gridCol w:w="2423"/>
        <w:gridCol w:w="84"/>
        <w:gridCol w:w="83"/>
        <w:gridCol w:w="3471"/>
        <w:gridCol w:w="83"/>
        <w:gridCol w:w="83"/>
        <w:gridCol w:w="1942"/>
        <w:gridCol w:w="83"/>
      </w:tblGrid>
      <w:tr w:rsidR="00B626E7" w14:paraId="20AE11D2" w14:textId="77777777">
        <w:tc>
          <w:tcPr>
            <w:tcW w:w="50" w:type="pct"/>
            <w:shd w:val="clear" w:color="auto" w:fill="auto"/>
            <w:vAlign w:val="bottom"/>
          </w:tcPr>
          <w:p w14:paraId="20AE11C9" w14:textId="77777777" w:rsidR="00B626E7" w:rsidRDefault="00B626E7">
            <w:pPr>
              <w:rPr>
                <w:rFonts w:ascii="宋体"/>
              </w:rPr>
            </w:pPr>
          </w:p>
        </w:tc>
        <w:tc>
          <w:tcPr>
            <w:tcW w:w="1452" w:type="pct"/>
            <w:shd w:val="clear" w:color="auto" w:fill="auto"/>
            <w:vAlign w:val="bottom"/>
          </w:tcPr>
          <w:p w14:paraId="20AE11CA" w14:textId="77777777" w:rsidR="00B626E7" w:rsidRDefault="00B626E7">
            <w:pPr>
              <w:rPr>
                <w:rFonts w:ascii="宋体"/>
              </w:rPr>
            </w:pPr>
          </w:p>
        </w:tc>
        <w:tc>
          <w:tcPr>
            <w:tcW w:w="50" w:type="pct"/>
            <w:shd w:val="clear" w:color="auto" w:fill="auto"/>
            <w:vAlign w:val="bottom"/>
          </w:tcPr>
          <w:p w14:paraId="20AE11CB" w14:textId="77777777" w:rsidR="00B626E7" w:rsidRDefault="00B626E7">
            <w:pPr>
              <w:rPr>
                <w:rFonts w:ascii="宋体"/>
              </w:rPr>
            </w:pPr>
          </w:p>
        </w:tc>
        <w:tc>
          <w:tcPr>
            <w:tcW w:w="50" w:type="pct"/>
            <w:shd w:val="clear" w:color="auto" w:fill="auto"/>
            <w:vAlign w:val="bottom"/>
          </w:tcPr>
          <w:p w14:paraId="20AE11CC" w14:textId="77777777" w:rsidR="00B626E7" w:rsidRDefault="00B626E7">
            <w:pPr>
              <w:rPr>
                <w:rFonts w:ascii="宋体"/>
              </w:rPr>
            </w:pPr>
          </w:p>
        </w:tc>
        <w:tc>
          <w:tcPr>
            <w:tcW w:w="2081" w:type="pct"/>
            <w:shd w:val="clear" w:color="auto" w:fill="auto"/>
            <w:vAlign w:val="bottom"/>
          </w:tcPr>
          <w:p w14:paraId="20AE11CD" w14:textId="77777777" w:rsidR="00B626E7" w:rsidRDefault="00B626E7">
            <w:pPr>
              <w:rPr>
                <w:rFonts w:ascii="宋体"/>
              </w:rPr>
            </w:pPr>
          </w:p>
        </w:tc>
        <w:tc>
          <w:tcPr>
            <w:tcW w:w="50" w:type="pct"/>
            <w:shd w:val="clear" w:color="auto" w:fill="auto"/>
            <w:vAlign w:val="bottom"/>
          </w:tcPr>
          <w:p w14:paraId="20AE11CE" w14:textId="77777777" w:rsidR="00B626E7" w:rsidRDefault="00B626E7">
            <w:pPr>
              <w:rPr>
                <w:rFonts w:ascii="宋体"/>
              </w:rPr>
            </w:pPr>
          </w:p>
        </w:tc>
        <w:tc>
          <w:tcPr>
            <w:tcW w:w="50" w:type="pct"/>
            <w:shd w:val="clear" w:color="auto" w:fill="auto"/>
            <w:vAlign w:val="bottom"/>
          </w:tcPr>
          <w:p w14:paraId="20AE11CF" w14:textId="77777777" w:rsidR="00B626E7" w:rsidRDefault="00B626E7">
            <w:pPr>
              <w:rPr>
                <w:rFonts w:ascii="宋体"/>
              </w:rPr>
            </w:pPr>
          </w:p>
        </w:tc>
        <w:tc>
          <w:tcPr>
            <w:tcW w:w="1165" w:type="pct"/>
            <w:shd w:val="clear" w:color="auto" w:fill="auto"/>
            <w:vAlign w:val="bottom"/>
          </w:tcPr>
          <w:p w14:paraId="20AE11D0" w14:textId="77777777" w:rsidR="00B626E7" w:rsidRDefault="00B626E7">
            <w:pPr>
              <w:rPr>
                <w:rFonts w:ascii="宋体"/>
              </w:rPr>
            </w:pPr>
          </w:p>
        </w:tc>
        <w:tc>
          <w:tcPr>
            <w:tcW w:w="50" w:type="pct"/>
            <w:shd w:val="clear" w:color="auto" w:fill="auto"/>
            <w:vAlign w:val="bottom"/>
          </w:tcPr>
          <w:p w14:paraId="20AE11D1" w14:textId="77777777" w:rsidR="00B626E7" w:rsidRDefault="00B626E7">
            <w:pPr>
              <w:rPr>
                <w:rFonts w:ascii="宋体"/>
              </w:rPr>
            </w:pPr>
          </w:p>
        </w:tc>
      </w:tr>
      <w:tr w:rsidR="00B626E7" w14:paraId="20AE11D6" w14:textId="77777777">
        <w:tc>
          <w:tcPr>
            <w:tcW w:w="0" w:type="auto"/>
            <w:gridSpan w:val="3"/>
            <w:tcBorders>
              <w:top w:val="single" w:sz="8" w:space="0" w:color="0071C5"/>
            </w:tcBorders>
            <w:shd w:val="clear" w:color="auto" w:fill="auto"/>
            <w:tcMar>
              <w:top w:w="40" w:type="dxa"/>
              <w:left w:w="20" w:type="dxa"/>
              <w:bottom w:w="40" w:type="dxa"/>
              <w:right w:w="20" w:type="dxa"/>
            </w:tcMar>
            <w:vAlign w:val="center"/>
          </w:tcPr>
          <w:p w14:paraId="20AE11D3" w14:textId="77777777" w:rsidR="00B626E7" w:rsidRDefault="00175C1D">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Viewer10_files/intc-20200627_g15.jpg"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41" wp14:editId="20AE3C42">
                  <wp:extent cx="304800" cy="304800"/>
                  <wp:effectExtent l="0" t="0" r="0" b="0"/>
                  <wp:docPr id="6" name="图片 67"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7" descr="IMG_28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Arial" w:eastAsia="宋体" w:hAnsi="Arial" w:cs="Arial"/>
                <w:color w:val="333333"/>
                <w:sz w:val="16"/>
                <w:szCs w:val="16"/>
              </w:rPr>
              <w:t>FINANCIAL STATEMENTS</w:t>
            </w:r>
          </w:p>
        </w:tc>
        <w:tc>
          <w:tcPr>
            <w:tcW w:w="0" w:type="auto"/>
            <w:gridSpan w:val="3"/>
            <w:tcBorders>
              <w:top w:val="single" w:sz="8" w:space="0" w:color="0071C5"/>
              <w:left w:val="single" w:sz="24" w:space="0" w:color="0071C5"/>
            </w:tcBorders>
            <w:shd w:val="clear" w:color="auto" w:fill="auto"/>
            <w:tcMar>
              <w:top w:w="40" w:type="dxa"/>
              <w:left w:w="20" w:type="dxa"/>
              <w:bottom w:w="40" w:type="dxa"/>
              <w:right w:w="20" w:type="dxa"/>
            </w:tcMar>
            <w:vAlign w:val="bottom"/>
          </w:tcPr>
          <w:p w14:paraId="20AE11D4" w14:textId="77777777" w:rsidR="00B626E7" w:rsidRDefault="00175C1D">
            <w:pPr>
              <w:textAlignment w:val="bottom"/>
            </w:pPr>
            <w:r>
              <w:rPr>
                <w:rFonts w:ascii="Arial" w:eastAsia="宋体" w:hAnsi="Arial" w:cs="Arial"/>
                <w:color w:val="333333"/>
                <w:sz w:val="16"/>
                <w:szCs w:val="16"/>
              </w:rPr>
              <w:t>  Notes to Financial Statements</w:t>
            </w: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11D5" w14:textId="77777777" w:rsidR="00B626E7" w:rsidRDefault="00175C1D">
            <w:pPr>
              <w:jc w:val="right"/>
              <w:textAlignment w:val="bottom"/>
            </w:pPr>
            <w:r>
              <w:rPr>
                <w:rFonts w:ascii="Arial" w:eastAsia="宋体" w:hAnsi="Arial" w:cs="Arial"/>
                <w:color w:val="333333"/>
                <w:sz w:val="16"/>
                <w:szCs w:val="16"/>
              </w:rPr>
              <w:t>14</w:t>
            </w:r>
          </w:p>
        </w:tc>
      </w:tr>
    </w:tbl>
    <w:p w14:paraId="20AE11D7" w14:textId="77777777" w:rsidR="00B626E7" w:rsidRDefault="00175C1D">
      <w:r>
        <w:pict w14:anchorId="20AE3C43">
          <v:rect id="_x0000_i1040" style="width:415.3pt;height:1.5pt" o:hralign="center" o:hrstd="t" o:hr="t" fillcolor="#a0a0a0" stroked="f"/>
        </w:pict>
      </w:r>
    </w:p>
    <w:p w14:paraId="20AE11D8" w14:textId="77777777" w:rsidR="00B626E7" w:rsidRDefault="00175C1D">
      <w:pPr>
        <w:spacing w:after="180"/>
        <w:jc w:val="right"/>
      </w:pPr>
      <w:hyperlink r:id="rId42" w:anchor="ib035cc8759904e51927d703ec8414366_7" w:history="1">
        <w:r>
          <w:rPr>
            <w:rStyle w:val="a5"/>
            <w:rFonts w:ascii="Arial" w:eastAsia="宋体" w:hAnsi="Arial" w:cs="Arial"/>
            <w:b/>
            <w:bCs/>
            <w:sz w:val="16"/>
            <w:szCs w:val="16"/>
          </w:rPr>
          <w:t>Table of Contents</w:t>
        </w:r>
      </w:hyperlink>
    </w:p>
    <w:p w14:paraId="20AE11D9" w14:textId="77777777" w:rsidR="00B626E7" w:rsidRDefault="00B626E7">
      <w:pPr>
        <w:spacing w:after="180"/>
        <w:jc w:val="right"/>
      </w:pPr>
    </w:p>
    <w:p w14:paraId="20AE11DA" w14:textId="77777777" w:rsidR="00B626E7" w:rsidRDefault="00175C1D">
      <w:pPr>
        <w:spacing w:after="120"/>
      </w:pPr>
      <w:r>
        <w:rPr>
          <w:rFonts w:ascii="Arial" w:eastAsia="宋体" w:hAnsi="Arial" w:cs="Arial"/>
          <w:b/>
          <w:bCs/>
          <w:color w:val="0071C5"/>
        </w:rPr>
        <w:t>EQUITY INVESTMENTS</w:t>
      </w:r>
    </w:p>
    <w:tbl>
      <w:tblPr>
        <w:tblW w:w="5000" w:type="pct"/>
        <w:tblCellMar>
          <w:top w:w="15" w:type="dxa"/>
          <w:left w:w="15" w:type="dxa"/>
          <w:bottom w:w="15" w:type="dxa"/>
          <w:right w:w="15" w:type="dxa"/>
        </w:tblCellMar>
        <w:tblLook w:val="04A0" w:firstRow="1" w:lastRow="0" w:firstColumn="1" w:lastColumn="0" w:noHBand="0" w:noVBand="1"/>
      </w:tblPr>
      <w:tblGrid>
        <w:gridCol w:w="51"/>
        <w:gridCol w:w="6043"/>
        <w:gridCol w:w="51"/>
        <w:gridCol w:w="36"/>
        <w:gridCol w:w="36"/>
        <w:gridCol w:w="36"/>
        <w:gridCol w:w="136"/>
        <w:gridCol w:w="765"/>
        <w:gridCol w:w="86"/>
        <w:gridCol w:w="36"/>
        <w:gridCol w:w="36"/>
        <w:gridCol w:w="36"/>
        <w:gridCol w:w="136"/>
        <w:gridCol w:w="766"/>
        <w:gridCol w:w="86"/>
      </w:tblGrid>
      <w:tr w:rsidR="00B626E7" w14:paraId="20AE11EA" w14:textId="77777777">
        <w:tc>
          <w:tcPr>
            <w:tcW w:w="50" w:type="pct"/>
            <w:shd w:val="clear" w:color="auto" w:fill="auto"/>
          </w:tcPr>
          <w:p w14:paraId="20AE11DB" w14:textId="77777777" w:rsidR="00B626E7" w:rsidRDefault="00B626E7">
            <w:pPr>
              <w:rPr>
                <w:rFonts w:ascii="宋体"/>
              </w:rPr>
            </w:pPr>
          </w:p>
        </w:tc>
        <w:tc>
          <w:tcPr>
            <w:tcW w:w="3643" w:type="pct"/>
            <w:shd w:val="clear" w:color="auto" w:fill="auto"/>
          </w:tcPr>
          <w:p w14:paraId="20AE11DC" w14:textId="77777777" w:rsidR="00B626E7" w:rsidRDefault="00B626E7">
            <w:pPr>
              <w:rPr>
                <w:rFonts w:ascii="宋体"/>
              </w:rPr>
            </w:pPr>
          </w:p>
        </w:tc>
        <w:tc>
          <w:tcPr>
            <w:tcW w:w="50" w:type="pct"/>
            <w:shd w:val="clear" w:color="auto" w:fill="auto"/>
          </w:tcPr>
          <w:p w14:paraId="20AE11DD" w14:textId="77777777" w:rsidR="00B626E7" w:rsidRDefault="00B626E7">
            <w:pPr>
              <w:rPr>
                <w:rFonts w:ascii="宋体"/>
              </w:rPr>
            </w:pPr>
          </w:p>
        </w:tc>
        <w:tc>
          <w:tcPr>
            <w:tcW w:w="5" w:type="pct"/>
            <w:shd w:val="clear" w:color="auto" w:fill="auto"/>
          </w:tcPr>
          <w:p w14:paraId="20AE11DE" w14:textId="77777777" w:rsidR="00B626E7" w:rsidRDefault="00B626E7">
            <w:pPr>
              <w:rPr>
                <w:rFonts w:ascii="宋体"/>
              </w:rPr>
            </w:pPr>
          </w:p>
        </w:tc>
        <w:tc>
          <w:tcPr>
            <w:tcW w:w="24" w:type="pct"/>
            <w:shd w:val="clear" w:color="auto" w:fill="auto"/>
          </w:tcPr>
          <w:p w14:paraId="20AE11DF" w14:textId="77777777" w:rsidR="00B626E7" w:rsidRDefault="00B626E7">
            <w:pPr>
              <w:rPr>
                <w:rFonts w:ascii="宋体"/>
              </w:rPr>
            </w:pPr>
          </w:p>
        </w:tc>
        <w:tc>
          <w:tcPr>
            <w:tcW w:w="5" w:type="pct"/>
            <w:shd w:val="clear" w:color="auto" w:fill="auto"/>
          </w:tcPr>
          <w:p w14:paraId="20AE11E0" w14:textId="77777777" w:rsidR="00B626E7" w:rsidRDefault="00B626E7">
            <w:pPr>
              <w:rPr>
                <w:rFonts w:ascii="宋体"/>
              </w:rPr>
            </w:pPr>
          </w:p>
        </w:tc>
        <w:tc>
          <w:tcPr>
            <w:tcW w:w="50" w:type="pct"/>
            <w:shd w:val="clear" w:color="auto" w:fill="auto"/>
          </w:tcPr>
          <w:p w14:paraId="20AE11E1" w14:textId="77777777" w:rsidR="00B626E7" w:rsidRDefault="00B626E7">
            <w:pPr>
              <w:rPr>
                <w:rFonts w:ascii="宋体"/>
              </w:rPr>
            </w:pPr>
          </w:p>
        </w:tc>
        <w:tc>
          <w:tcPr>
            <w:tcW w:w="494" w:type="pct"/>
            <w:shd w:val="clear" w:color="auto" w:fill="auto"/>
          </w:tcPr>
          <w:p w14:paraId="20AE11E2" w14:textId="77777777" w:rsidR="00B626E7" w:rsidRDefault="00B626E7">
            <w:pPr>
              <w:rPr>
                <w:rFonts w:ascii="宋体"/>
              </w:rPr>
            </w:pPr>
          </w:p>
        </w:tc>
        <w:tc>
          <w:tcPr>
            <w:tcW w:w="50" w:type="pct"/>
            <w:shd w:val="clear" w:color="auto" w:fill="auto"/>
          </w:tcPr>
          <w:p w14:paraId="20AE11E3" w14:textId="77777777" w:rsidR="00B626E7" w:rsidRDefault="00B626E7">
            <w:pPr>
              <w:rPr>
                <w:rFonts w:ascii="宋体"/>
              </w:rPr>
            </w:pPr>
          </w:p>
        </w:tc>
        <w:tc>
          <w:tcPr>
            <w:tcW w:w="5" w:type="pct"/>
            <w:shd w:val="clear" w:color="auto" w:fill="auto"/>
          </w:tcPr>
          <w:p w14:paraId="20AE11E4" w14:textId="77777777" w:rsidR="00B626E7" w:rsidRDefault="00B626E7">
            <w:pPr>
              <w:rPr>
                <w:rFonts w:ascii="宋体"/>
              </w:rPr>
            </w:pPr>
          </w:p>
        </w:tc>
        <w:tc>
          <w:tcPr>
            <w:tcW w:w="24" w:type="pct"/>
            <w:shd w:val="clear" w:color="auto" w:fill="auto"/>
          </w:tcPr>
          <w:p w14:paraId="20AE11E5" w14:textId="77777777" w:rsidR="00B626E7" w:rsidRDefault="00B626E7">
            <w:pPr>
              <w:rPr>
                <w:rFonts w:ascii="宋体"/>
              </w:rPr>
            </w:pPr>
          </w:p>
        </w:tc>
        <w:tc>
          <w:tcPr>
            <w:tcW w:w="5" w:type="pct"/>
            <w:shd w:val="clear" w:color="auto" w:fill="auto"/>
          </w:tcPr>
          <w:p w14:paraId="20AE11E6" w14:textId="77777777" w:rsidR="00B626E7" w:rsidRDefault="00B626E7">
            <w:pPr>
              <w:rPr>
                <w:rFonts w:ascii="宋体"/>
              </w:rPr>
            </w:pPr>
          </w:p>
        </w:tc>
        <w:tc>
          <w:tcPr>
            <w:tcW w:w="50" w:type="pct"/>
            <w:shd w:val="clear" w:color="auto" w:fill="auto"/>
          </w:tcPr>
          <w:p w14:paraId="20AE11E7" w14:textId="77777777" w:rsidR="00B626E7" w:rsidRDefault="00B626E7">
            <w:pPr>
              <w:rPr>
                <w:rFonts w:ascii="宋体"/>
              </w:rPr>
            </w:pPr>
          </w:p>
        </w:tc>
        <w:tc>
          <w:tcPr>
            <w:tcW w:w="494" w:type="pct"/>
            <w:shd w:val="clear" w:color="auto" w:fill="auto"/>
          </w:tcPr>
          <w:p w14:paraId="20AE11E8" w14:textId="77777777" w:rsidR="00B626E7" w:rsidRDefault="00B626E7">
            <w:pPr>
              <w:rPr>
                <w:rFonts w:ascii="宋体"/>
              </w:rPr>
            </w:pPr>
          </w:p>
        </w:tc>
        <w:tc>
          <w:tcPr>
            <w:tcW w:w="50" w:type="pct"/>
            <w:shd w:val="clear" w:color="auto" w:fill="auto"/>
          </w:tcPr>
          <w:p w14:paraId="20AE11E9" w14:textId="77777777" w:rsidR="00B626E7" w:rsidRDefault="00B626E7">
            <w:pPr>
              <w:rPr>
                <w:rFonts w:ascii="宋体"/>
              </w:rPr>
            </w:pPr>
          </w:p>
        </w:tc>
      </w:tr>
      <w:tr w:rsidR="00B626E7" w14:paraId="20AE11F0" w14:textId="77777777">
        <w:tc>
          <w:tcPr>
            <w:tcW w:w="0" w:type="auto"/>
            <w:gridSpan w:val="3"/>
            <w:shd w:val="clear" w:color="auto" w:fill="auto"/>
            <w:tcMar>
              <w:top w:w="40" w:type="dxa"/>
              <w:left w:w="20" w:type="dxa"/>
              <w:bottom w:w="40" w:type="dxa"/>
              <w:right w:w="20" w:type="dxa"/>
            </w:tcMar>
            <w:vAlign w:val="bottom"/>
          </w:tcPr>
          <w:p w14:paraId="20AE11EB" w14:textId="77777777" w:rsidR="00B626E7" w:rsidRDefault="00175C1D">
            <w:pPr>
              <w:textAlignment w:val="bottom"/>
            </w:pPr>
            <w:r>
              <w:rPr>
                <w:rFonts w:ascii="Arial" w:eastAsia="宋体" w:hAnsi="Arial" w:cs="Arial"/>
                <w:b/>
                <w:bCs/>
                <w:color w:val="333333"/>
                <w:sz w:val="18"/>
                <w:szCs w:val="18"/>
              </w:rPr>
              <w:t>(In Millions)</w:t>
            </w:r>
          </w:p>
        </w:tc>
        <w:tc>
          <w:tcPr>
            <w:tcW w:w="0" w:type="auto"/>
            <w:gridSpan w:val="3"/>
            <w:shd w:val="clear" w:color="auto" w:fill="auto"/>
            <w:tcMar>
              <w:left w:w="20" w:type="dxa"/>
              <w:right w:w="20" w:type="dxa"/>
            </w:tcMar>
            <w:vAlign w:val="bottom"/>
          </w:tcPr>
          <w:p w14:paraId="20AE11EC"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bottom"/>
          </w:tcPr>
          <w:p w14:paraId="20AE11ED" w14:textId="77777777" w:rsidR="00B626E7" w:rsidRDefault="00175C1D">
            <w:pPr>
              <w:jc w:val="center"/>
              <w:textAlignment w:val="bottom"/>
            </w:pPr>
            <w:r>
              <w:rPr>
                <w:rFonts w:ascii="Arial" w:eastAsia="宋体" w:hAnsi="Arial" w:cs="Arial"/>
                <w:b/>
                <w:bCs/>
                <w:color w:val="333333"/>
                <w:sz w:val="18"/>
                <w:szCs w:val="18"/>
              </w:rPr>
              <w:t>Jun 27, 2020</w:t>
            </w:r>
          </w:p>
        </w:tc>
        <w:tc>
          <w:tcPr>
            <w:tcW w:w="0" w:type="auto"/>
            <w:gridSpan w:val="3"/>
            <w:shd w:val="clear" w:color="auto" w:fill="auto"/>
            <w:tcMar>
              <w:left w:w="20" w:type="dxa"/>
              <w:right w:w="20" w:type="dxa"/>
            </w:tcMar>
            <w:vAlign w:val="bottom"/>
          </w:tcPr>
          <w:p w14:paraId="20AE11EE"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bottom"/>
          </w:tcPr>
          <w:p w14:paraId="20AE11EF" w14:textId="77777777" w:rsidR="00B626E7" w:rsidRDefault="00175C1D">
            <w:pPr>
              <w:jc w:val="center"/>
              <w:textAlignment w:val="bottom"/>
            </w:pPr>
            <w:r>
              <w:rPr>
                <w:rFonts w:ascii="Arial" w:eastAsia="宋体" w:hAnsi="Arial" w:cs="Arial"/>
                <w:b/>
                <w:bCs/>
                <w:color w:val="333333"/>
                <w:sz w:val="18"/>
                <w:szCs w:val="18"/>
              </w:rPr>
              <w:t>Dec 28, 2019</w:t>
            </w:r>
          </w:p>
        </w:tc>
      </w:tr>
      <w:tr w:rsidR="00B626E7" w14:paraId="20AE11FA" w14:textId="77777777">
        <w:tc>
          <w:tcPr>
            <w:tcW w:w="0" w:type="auto"/>
            <w:gridSpan w:val="3"/>
            <w:tcBorders>
              <w:top w:val="single" w:sz="8" w:space="0" w:color="0071C5"/>
            </w:tcBorders>
            <w:shd w:val="clear" w:color="auto" w:fill="auto"/>
            <w:tcMar>
              <w:top w:w="40" w:type="dxa"/>
              <w:left w:w="20" w:type="dxa"/>
              <w:bottom w:w="40" w:type="dxa"/>
              <w:right w:w="20" w:type="dxa"/>
            </w:tcMar>
          </w:tcPr>
          <w:p w14:paraId="20AE11F1" w14:textId="77777777" w:rsidR="00B626E7" w:rsidRDefault="00175C1D">
            <w:pPr>
              <w:textAlignment w:val="top"/>
            </w:pPr>
            <w:r>
              <w:rPr>
                <w:rFonts w:ascii="Arial" w:eastAsia="宋体" w:hAnsi="Arial" w:cs="Arial"/>
                <w:color w:val="333333"/>
                <w:sz w:val="18"/>
                <w:szCs w:val="18"/>
              </w:rPr>
              <w:t>Marketable equity securities</w:t>
            </w:r>
          </w:p>
        </w:tc>
        <w:tc>
          <w:tcPr>
            <w:tcW w:w="0" w:type="auto"/>
            <w:gridSpan w:val="3"/>
            <w:shd w:val="clear" w:color="auto" w:fill="auto"/>
            <w:tcMar>
              <w:left w:w="20" w:type="dxa"/>
              <w:right w:w="20" w:type="dxa"/>
            </w:tcMar>
            <w:vAlign w:val="bottom"/>
          </w:tcPr>
          <w:p w14:paraId="20AE11F2"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11F3" w14:textId="77777777" w:rsidR="00B626E7" w:rsidRDefault="00175C1D">
            <w:pPr>
              <w:textAlignment w:val="bottom"/>
            </w:pPr>
            <w:r>
              <w:rPr>
                <w:rFonts w:ascii="Arial" w:eastAsia="宋体" w:hAnsi="Arial" w:cs="Arial"/>
                <w:color w:val="0071C5"/>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11F4" w14:textId="77777777" w:rsidR="00B626E7" w:rsidRDefault="00175C1D">
            <w:pPr>
              <w:jc w:val="right"/>
              <w:textAlignment w:val="bottom"/>
            </w:pPr>
            <w:r>
              <w:rPr>
                <w:rFonts w:ascii="Arial" w:eastAsia="宋体" w:hAnsi="Arial" w:cs="Arial"/>
                <w:color w:val="0071C5"/>
                <w:sz w:val="18"/>
                <w:szCs w:val="18"/>
              </w:rPr>
              <w:t>464 </w:t>
            </w:r>
          </w:p>
        </w:tc>
        <w:tc>
          <w:tcPr>
            <w:tcW w:w="0" w:type="auto"/>
            <w:tcBorders>
              <w:top w:val="single" w:sz="8" w:space="0" w:color="0071C5"/>
            </w:tcBorders>
            <w:shd w:val="clear" w:color="auto" w:fill="auto"/>
            <w:tcMar>
              <w:top w:w="40" w:type="dxa"/>
              <w:bottom w:w="40" w:type="dxa"/>
              <w:right w:w="20" w:type="dxa"/>
            </w:tcMar>
            <w:vAlign w:val="bottom"/>
          </w:tcPr>
          <w:p w14:paraId="20AE11F5"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11F6"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11F7" w14:textId="77777777" w:rsidR="00B626E7" w:rsidRDefault="00175C1D">
            <w:pPr>
              <w:textAlignment w:val="bottom"/>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11F8" w14:textId="77777777" w:rsidR="00B626E7" w:rsidRDefault="00175C1D">
            <w:pPr>
              <w:jc w:val="right"/>
              <w:textAlignment w:val="bottom"/>
            </w:pPr>
            <w:r>
              <w:rPr>
                <w:rFonts w:ascii="Arial" w:eastAsia="宋体" w:hAnsi="Arial" w:cs="Arial"/>
                <w:color w:val="333333"/>
                <w:sz w:val="18"/>
                <w:szCs w:val="18"/>
              </w:rPr>
              <w:t>450 </w:t>
            </w:r>
          </w:p>
        </w:tc>
        <w:tc>
          <w:tcPr>
            <w:tcW w:w="0" w:type="auto"/>
            <w:tcBorders>
              <w:top w:val="single" w:sz="8" w:space="0" w:color="0071C5"/>
            </w:tcBorders>
            <w:shd w:val="clear" w:color="auto" w:fill="auto"/>
            <w:tcMar>
              <w:top w:w="40" w:type="dxa"/>
              <w:bottom w:w="40" w:type="dxa"/>
              <w:right w:w="20" w:type="dxa"/>
            </w:tcMar>
            <w:vAlign w:val="bottom"/>
          </w:tcPr>
          <w:p w14:paraId="20AE11F9" w14:textId="77777777" w:rsidR="00B626E7" w:rsidRDefault="00175C1D">
            <w:pPr>
              <w:jc w:val="right"/>
              <w:textAlignment w:val="bottom"/>
            </w:pPr>
            <w:r>
              <w:rPr>
                <w:rFonts w:ascii="Arial" w:eastAsia="宋体" w:hAnsi="Arial" w:cs="Arial"/>
                <w:color w:val="333333"/>
                <w:sz w:val="18"/>
                <w:szCs w:val="18"/>
              </w:rPr>
              <w:t> </w:t>
            </w:r>
          </w:p>
        </w:tc>
      </w:tr>
      <w:tr w:rsidR="00B626E7" w14:paraId="20AE1202" w14:textId="77777777">
        <w:tc>
          <w:tcPr>
            <w:tcW w:w="0" w:type="auto"/>
            <w:gridSpan w:val="3"/>
            <w:shd w:val="clear" w:color="auto" w:fill="auto"/>
            <w:tcMar>
              <w:top w:w="40" w:type="dxa"/>
              <w:left w:w="20" w:type="dxa"/>
              <w:bottom w:w="40" w:type="dxa"/>
              <w:right w:w="20" w:type="dxa"/>
            </w:tcMar>
          </w:tcPr>
          <w:p w14:paraId="20AE11FB" w14:textId="77777777" w:rsidR="00B626E7" w:rsidRDefault="00175C1D">
            <w:pPr>
              <w:textAlignment w:val="top"/>
            </w:pPr>
            <w:r>
              <w:rPr>
                <w:rFonts w:ascii="Arial" w:eastAsia="宋体" w:hAnsi="Arial" w:cs="Arial"/>
                <w:color w:val="333333"/>
                <w:sz w:val="18"/>
                <w:szCs w:val="18"/>
              </w:rPr>
              <w:t xml:space="preserve">Non-marketable equity securities </w:t>
            </w:r>
          </w:p>
        </w:tc>
        <w:tc>
          <w:tcPr>
            <w:tcW w:w="0" w:type="auto"/>
            <w:gridSpan w:val="3"/>
            <w:shd w:val="clear" w:color="auto" w:fill="auto"/>
            <w:tcMar>
              <w:left w:w="20" w:type="dxa"/>
              <w:right w:w="20" w:type="dxa"/>
            </w:tcMar>
            <w:vAlign w:val="bottom"/>
          </w:tcPr>
          <w:p w14:paraId="20AE11FC"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1FD" w14:textId="77777777" w:rsidR="00B626E7" w:rsidRDefault="00175C1D">
            <w:pPr>
              <w:jc w:val="right"/>
              <w:textAlignment w:val="bottom"/>
            </w:pPr>
            <w:r>
              <w:rPr>
                <w:rFonts w:ascii="Arial" w:eastAsia="宋体" w:hAnsi="Arial" w:cs="Arial"/>
                <w:color w:val="0071C5"/>
                <w:sz w:val="18"/>
                <w:szCs w:val="18"/>
              </w:rPr>
              <w:t>3,419 </w:t>
            </w:r>
          </w:p>
        </w:tc>
        <w:tc>
          <w:tcPr>
            <w:tcW w:w="0" w:type="auto"/>
            <w:shd w:val="clear" w:color="auto" w:fill="auto"/>
            <w:tcMar>
              <w:top w:w="40" w:type="dxa"/>
              <w:bottom w:w="40" w:type="dxa"/>
              <w:right w:w="20" w:type="dxa"/>
            </w:tcMar>
            <w:vAlign w:val="bottom"/>
          </w:tcPr>
          <w:p w14:paraId="20AE11FE"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11FF"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200" w14:textId="77777777" w:rsidR="00B626E7" w:rsidRDefault="00175C1D">
            <w:pPr>
              <w:jc w:val="right"/>
              <w:textAlignment w:val="bottom"/>
            </w:pPr>
            <w:r>
              <w:rPr>
                <w:rFonts w:ascii="Arial" w:eastAsia="宋体" w:hAnsi="Arial" w:cs="Arial"/>
                <w:color w:val="333333"/>
                <w:sz w:val="18"/>
                <w:szCs w:val="18"/>
              </w:rPr>
              <w:t>3,480 </w:t>
            </w:r>
          </w:p>
        </w:tc>
        <w:tc>
          <w:tcPr>
            <w:tcW w:w="0" w:type="auto"/>
            <w:shd w:val="clear" w:color="auto" w:fill="auto"/>
            <w:tcMar>
              <w:top w:w="40" w:type="dxa"/>
              <w:bottom w:w="40" w:type="dxa"/>
              <w:right w:w="20" w:type="dxa"/>
            </w:tcMar>
            <w:vAlign w:val="bottom"/>
          </w:tcPr>
          <w:p w14:paraId="20AE1201" w14:textId="77777777" w:rsidR="00B626E7" w:rsidRDefault="00175C1D">
            <w:pPr>
              <w:jc w:val="right"/>
              <w:textAlignment w:val="bottom"/>
            </w:pPr>
            <w:r>
              <w:rPr>
                <w:rFonts w:ascii="Arial" w:eastAsia="宋体" w:hAnsi="Arial" w:cs="Arial"/>
                <w:color w:val="333333"/>
                <w:sz w:val="18"/>
                <w:szCs w:val="18"/>
              </w:rPr>
              <w:t> </w:t>
            </w:r>
          </w:p>
        </w:tc>
      </w:tr>
      <w:tr w:rsidR="00B626E7" w14:paraId="20AE120A" w14:textId="77777777">
        <w:tc>
          <w:tcPr>
            <w:tcW w:w="0" w:type="auto"/>
            <w:gridSpan w:val="3"/>
            <w:shd w:val="clear" w:color="auto" w:fill="auto"/>
            <w:tcMar>
              <w:top w:w="40" w:type="dxa"/>
              <w:left w:w="20" w:type="dxa"/>
              <w:bottom w:w="40" w:type="dxa"/>
              <w:right w:w="20" w:type="dxa"/>
            </w:tcMar>
          </w:tcPr>
          <w:p w14:paraId="20AE1203" w14:textId="77777777" w:rsidR="00B626E7" w:rsidRDefault="00175C1D">
            <w:pPr>
              <w:textAlignment w:val="top"/>
            </w:pPr>
            <w:r>
              <w:rPr>
                <w:rFonts w:ascii="Arial" w:eastAsia="宋体" w:hAnsi="Arial" w:cs="Arial"/>
                <w:color w:val="333333"/>
                <w:sz w:val="18"/>
                <w:szCs w:val="18"/>
              </w:rPr>
              <w:t>Equity method investments</w:t>
            </w:r>
          </w:p>
        </w:tc>
        <w:tc>
          <w:tcPr>
            <w:tcW w:w="0" w:type="auto"/>
            <w:gridSpan w:val="3"/>
            <w:shd w:val="clear" w:color="auto" w:fill="auto"/>
            <w:tcMar>
              <w:left w:w="20" w:type="dxa"/>
              <w:right w:w="20" w:type="dxa"/>
            </w:tcMar>
            <w:vAlign w:val="bottom"/>
          </w:tcPr>
          <w:p w14:paraId="20AE1204"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205" w14:textId="77777777" w:rsidR="00B626E7" w:rsidRDefault="00175C1D">
            <w:pPr>
              <w:jc w:val="right"/>
              <w:textAlignment w:val="bottom"/>
            </w:pPr>
            <w:r>
              <w:rPr>
                <w:rFonts w:ascii="Arial" w:eastAsia="宋体" w:hAnsi="Arial" w:cs="Arial"/>
                <w:color w:val="0071C5"/>
                <w:sz w:val="18"/>
                <w:szCs w:val="18"/>
              </w:rPr>
              <w:t>18 </w:t>
            </w:r>
          </w:p>
        </w:tc>
        <w:tc>
          <w:tcPr>
            <w:tcW w:w="0" w:type="auto"/>
            <w:shd w:val="clear" w:color="auto" w:fill="auto"/>
            <w:tcMar>
              <w:top w:w="40" w:type="dxa"/>
              <w:bottom w:w="40" w:type="dxa"/>
              <w:right w:w="20" w:type="dxa"/>
            </w:tcMar>
            <w:vAlign w:val="bottom"/>
          </w:tcPr>
          <w:p w14:paraId="20AE1206"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1207"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208" w14:textId="77777777" w:rsidR="00B626E7" w:rsidRDefault="00175C1D">
            <w:pPr>
              <w:jc w:val="right"/>
              <w:textAlignment w:val="bottom"/>
            </w:pPr>
            <w:r>
              <w:rPr>
                <w:rFonts w:ascii="Arial" w:eastAsia="宋体" w:hAnsi="Arial" w:cs="Arial"/>
                <w:color w:val="333333"/>
                <w:sz w:val="18"/>
                <w:szCs w:val="18"/>
              </w:rPr>
              <w:t>37 </w:t>
            </w:r>
          </w:p>
        </w:tc>
        <w:tc>
          <w:tcPr>
            <w:tcW w:w="0" w:type="auto"/>
            <w:shd w:val="clear" w:color="auto" w:fill="auto"/>
            <w:tcMar>
              <w:top w:w="40" w:type="dxa"/>
              <w:bottom w:w="40" w:type="dxa"/>
              <w:right w:w="20" w:type="dxa"/>
            </w:tcMar>
            <w:vAlign w:val="bottom"/>
          </w:tcPr>
          <w:p w14:paraId="20AE1209" w14:textId="77777777" w:rsidR="00B626E7" w:rsidRDefault="00175C1D">
            <w:pPr>
              <w:jc w:val="right"/>
              <w:textAlignment w:val="bottom"/>
            </w:pPr>
            <w:r>
              <w:rPr>
                <w:rFonts w:ascii="Arial" w:eastAsia="宋体" w:hAnsi="Arial" w:cs="Arial"/>
                <w:color w:val="333333"/>
                <w:sz w:val="18"/>
                <w:szCs w:val="18"/>
              </w:rPr>
              <w:t> </w:t>
            </w:r>
          </w:p>
        </w:tc>
      </w:tr>
      <w:tr w:rsidR="00B626E7" w14:paraId="20AE1214" w14:textId="77777777">
        <w:tc>
          <w:tcPr>
            <w:tcW w:w="0" w:type="auto"/>
            <w:gridSpan w:val="3"/>
            <w:shd w:val="clear" w:color="auto" w:fill="auto"/>
            <w:tcMar>
              <w:top w:w="40" w:type="dxa"/>
              <w:left w:w="20" w:type="dxa"/>
              <w:bottom w:w="40" w:type="dxa"/>
              <w:right w:w="20" w:type="dxa"/>
            </w:tcMar>
          </w:tcPr>
          <w:p w14:paraId="20AE120B" w14:textId="77777777" w:rsidR="00B626E7" w:rsidRDefault="00175C1D">
            <w:pPr>
              <w:textAlignment w:val="top"/>
            </w:pPr>
            <w:r>
              <w:rPr>
                <w:rFonts w:ascii="Arial" w:eastAsia="宋体" w:hAnsi="Arial" w:cs="Arial"/>
                <w:b/>
                <w:bCs/>
                <w:color w:val="333333"/>
                <w:sz w:val="18"/>
                <w:szCs w:val="18"/>
              </w:rPr>
              <w:t>Total</w:t>
            </w:r>
          </w:p>
        </w:tc>
        <w:tc>
          <w:tcPr>
            <w:tcW w:w="0" w:type="auto"/>
            <w:gridSpan w:val="3"/>
            <w:shd w:val="clear" w:color="auto" w:fill="auto"/>
            <w:tcMar>
              <w:left w:w="20" w:type="dxa"/>
              <w:right w:w="20" w:type="dxa"/>
            </w:tcMar>
            <w:vAlign w:val="bottom"/>
          </w:tcPr>
          <w:p w14:paraId="20AE120C"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120D" w14:textId="77777777" w:rsidR="00B626E7" w:rsidRDefault="00175C1D">
            <w:pPr>
              <w:textAlignment w:val="bottom"/>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120E" w14:textId="77777777" w:rsidR="00B626E7" w:rsidRDefault="00175C1D">
            <w:pPr>
              <w:jc w:val="right"/>
              <w:textAlignment w:val="bottom"/>
            </w:pPr>
            <w:r>
              <w:rPr>
                <w:rFonts w:ascii="Arial" w:eastAsia="宋体" w:hAnsi="Arial" w:cs="Arial"/>
                <w:b/>
                <w:bCs/>
                <w:color w:val="0071C5"/>
                <w:sz w:val="18"/>
                <w:szCs w:val="18"/>
              </w:rPr>
              <w:t>3,901 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120F"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1210" w14:textId="77777777" w:rsidR="00B626E7" w:rsidRDefault="00B626E7">
            <w:pPr>
              <w:jc w:val="right"/>
              <w:textAlignment w:val="bottom"/>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1211"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1212" w14:textId="77777777" w:rsidR="00B626E7" w:rsidRDefault="00175C1D">
            <w:pPr>
              <w:jc w:val="right"/>
              <w:textAlignment w:val="bottom"/>
            </w:pPr>
            <w:r>
              <w:rPr>
                <w:rFonts w:ascii="Arial" w:eastAsia="宋体" w:hAnsi="Arial" w:cs="Arial"/>
                <w:b/>
                <w:bCs/>
                <w:color w:val="333333"/>
                <w:sz w:val="18"/>
                <w:szCs w:val="18"/>
              </w:rPr>
              <w:t>3,967 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1213" w14:textId="77777777" w:rsidR="00B626E7" w:rsidRDefault="00175C1D">
            <w:pPr>
              <w:jc w:val="right"/>
              <w:textAlignment w:val="bottom"/>
            </w:pPr>
            <w:r>
              <w:rPr>
                <w:rFonts w:ascii="Arial" w:eastAsia="宋体" w:hAnsi="Arial" w:cs="Arial"/>
                <w:b/>
                <w:bCs/>
                <w:color w:val="333333"/>
                <w:sz w:val="18"/>
                <w:szCs w:val="18"/>
              </w:rPr>
              <w:t> </w:t>
            </w:r>
          </w:p>
        </w:tc>
      </w:tr>
    </w:tbl>
    <w:p w14:paraId="20AE1215" w14:textId="77777777" w:rsidR="00B626E7" w:rsidRDefault="00B626E7"/>
    <w:p w14:paraId="20AE1216" w14:textId="77777777" w:rsidR="00B626E7" w:rsidRDefault="00175C1D">
      <w:pPr>
        <w:spacing w:after="120"/>
      </w:pPr>
      <w:r>
        <w:rPr>
          <w:rFonts w:ascii="Arial" w:eastAsia="宋体" w:hAnsi="Arial" w:cs="Arial"/>
          <w:color w:val="333333"/>
          <w:sz w:val="18"/>
          <w:szCs w:val="18"/>
        </w:rPr>
        <w:t xml:space="preserve">The components of gains (losses) on equity investments, net for each </w:t>
      </w:r>
      <w:r>
        <w:rPr>
          <w:rFonts w:ascii="Arial" w:eastAsia="宋体" w:hAnsi="Arial" w:cs="Arial"/>
          <w:color w:val="333333"/>
          <w:sz w:val="18"/>
          <w:szCs w:val="18"/>
        </w:rPr>
        <w:t>period were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3723"/>
        <w:gridCol w:w="37"/>
        <w:gridCol w:w="36"/>
        <w:gridCol w:w="36"/>
        <w:gridCol w:w="36"/>
        <w:gridCol w:w="136"/>
        <w:gridCol w:w="657"/>
        <w:gridCol w:w="86"/>
        <w:gridCol w:w="36"/>
        <w:gridCol w:w="36"/>
        <w:gridCol w:w="36"/>
        <w:gridCol w:w="136"/>
        <w:gridCol w:w="674"/>
        <w:gridCol w:w="86"/>
        <w:gridCol w:w="36"/>
        <w:gridCol w:w="36"/>
        <w:gridCol w:w="36"/>
        <w:gridCol w:w="136"/>
        <w:gridCol w:w="727"/>
        <w:gridCol w:w="86"/>
        <w:gridCol w:w="36"/>
        <w:gridCol w:w="36"/>
        <w:gridCol w:w="36"/>
        <w:gridCol w:w="136"/>
        <w:gridCol w:w="727"/>
        <w:gridCol w:w="86"/>
        <w:gridCol w:w="36"/>
        <w:gridCol w:w="36"/>
        <w:gridCol w:w="36"/>
        <w:gridCol w:w="36"/>
        <w:gridCol w:w="36"/>
        <w:gridCol w:w="36"/>
        <w:gridCol w:w="36"/>
        <w:gridCol w:w="36"/>
        <w:gridCol w:w="36"/>
        <w:gridCol w:w="36"/>
        <w:gridCol w:w="36"/>
        <w:gridCol w:w="36"/>
      </w:tblGrid>
      <w:tr w:rsidR="00B626E7" w14:paraId="20AE1232" w14:textId="77777777">
        <w:trPr>
          <w:gridAfter w:val="12"/>
        </w:trPr>
        <w:tc>
          <w:tcPr>
            <w:tcW w:w="50" w:type="pct"/>
            <w:shd w:val="clear" w:color="auto" w:fill="auto"/>
          </w:tcPr>
          <w:p w14:paraId="20AE1217" w14:textId="77777777" w:rsidR="00B626E7" w:rsidRDefault="00B626E7">
            <w:pPr>
              <w:rPr>
                <w:rFonts w:ascii="宋体"/>
              </w:rPr>
            </w:pPr>
          </w:p>
        </w:tc>
        <w:tc>
          <w:tcPr>
            <w:tcW w:w="2400" w:type="pct"/>
            <w:shd w:val="clear" w:color="auto" w:fill="auto"/>
          </w:tcPr>
          <w:p w14:paraId="20AE1218" w14:textId="77777777" w:rsidR="00B626E7" w:rsidRDefault="00B626E7">
            <w:pPr>
              <w:rPr>
                <w:rFonts w:ascii="宋体"/>
              </w:rPr>
            </w:pPr>
          </w:p>
        </w:tc>
        <w:tc>
          <w:tcPr>
            <w:tcW w:w="50" w:type="pct"/>
            <w:shd w:val="clear" w:color="auto" w:fill="auto"/>
          </w:tcPr>
          <w:p w14:paraId="20AE1219" w14:textId="77777777" w:rsidR="00B626E7" w:rsidRDefault="00B626E7">
            <w:pPr>
              <w:rPr>
                <w:rFonts w:ascii="宋体"/>
              </w:rPr>
            </w:pPr>
          </w:p>
        </w:tc>
        <w:tc>
          <w:tcPr>
            <w:tcW w:w="5" w:type="pct"/>
            <w:shd w:val="clear" w:color="auto" w:fill="auto"/>
          </w:tcPr>
          <w:p w14:paraId="20AE121A" w14:textId="77777777" w:rsidR="00B626E7" w:rsidRDefault="00B626E7">
            <w:pPr>
              <w:rPr>
                <w:rFonts w:ascii="宋体"/>
              </w:rPr>
            </w:pPr>
          </w:p>
        </w:tc>
        <w:tc>
          <w:tcPr>
            <w:tcW w:w="24" w:type="pct"/>
            <w:shd w:val="clear" w:color="auto" w:fill="auto"/>
          </w:tcPr>
          <w:p w14:paraId="20AE121B" w14:textId="77777777" w:rsidR="00B626E7" w:rsidRDefault="00B626E7">
            <w:pPr>
              <w:rPr>
                <w:rFonts w:ascii="宋体"/>
              </w:rPr>
            </w:pPr>
          </w:p>
        </w:tc>
        <w:tc>
          <w:tcPr>
            <w:tcW w:w="5" w:type="pct"/>
            <w:shd w:val="clear" w:color="auto" w:fill="auto"/>
          </w:tcPr>
          <w:p w14:paraId="20AE121C" w14:textId="77777777" w:rsidR="00B626E7" w:rsidRDefault="00B626E7">
            <w:pPr>
              <w:rPr>
                <w:rFonts w:ascii="宋体"/>
              </w:rPr>
            </w:pPr>
          </w:p>
        </w:tc>
        <w:tc>
          <w:tcPr>
            <w:tcW w:w="50" w:type="pct"/>
            <w:shd w:val="clear" w:color="auto" w:fill="auto"/>
          </w:tcPr>
          <w:p w14:paraId="20AE121D" w14:textId="77777777" w:rsidR="00B626E7" w:rsidRDefault="00B626E7">
            <w:pPr>
              <w:rPr>
                <w:rFonts w:ascii="宋体"/>
              </w:rPr>
            </w:pPr>
          </w:p>
        </w:tc>
        <w:tc>
          <w:tcPr>
            <w:tcW w:w="494" w:type="pct"/>
            <w:shd w:val="clear" w:color="auto" w:fill="auto"/>
          </w:tcPr>
          <w:p w14:paraId="20AE121E" w14:textId="77777777" w:rsidR="00B626E7" w:rsidRDefault="00B626E7">
            <w:pPr>
              <w:rPr>
                <w:rFonts w:ascii="宋体"/>
              </w:rPr>
            </w:pPr>
          </w:p>
        </w:tc>
        <w:tc>
          <w:tcPr>
            <w:tcW w:w="50" w:type="pct"/>
            <w:shd w:val="clear" w:color="auto" w:fill="auto"/>
          </w:tcPr>
          <w:p w14:paraId="20AE121F" w14:textId="77777777" w:rsidR="00B626E7" w:rsidRDefault="00B626E7">
            <w:pPr>
              <w:rPr>
                <w:rFonts w:ascii="宋体"/>
              </w:rPr>
            </w:pPr>
          </w:p>
        </w:tc>
        <w:tc>
          <w:tcPr>
            <w:tcW w:w="5" w:type="pct"/>
            <w:shd w:val="clear" w:color="auto" w:fill="auto"/>
          </w:tcPr>
          <w:p w14:paraId="20AE1220" w14:textId="77777777" w:rsidR="00B626E7" w:rsidRDefault="00B626E7">
            <w:pPr>
              <w:rPr>
                <w:rFonts w:ascii="宋体"/>
              </w:rPr>
            </w:pPr>
          </w:p>
        </w:tc>
        <w:tc>
          <w:tcPr>
            <w:tcW w:w="24" w:type="pct"/>
            <w:shd w:val="clear" w:color="auto" w:fill="auto"/>
          </w:tcPr>
          <w:p w14:paraId="20AE1221" w14:textId="77777777" w:rsidR="00B626E7" w:rsidRDefault="00B626E7">
            <w:pPr>
              <w:rPr>
                <w:rFonts w:ascii="宋体"/>
              </w:rPr>
            </w:pPr>
          </w:p>
        </w:tc>
        <w:tc>
          <w:tcPr>
            <w:tcW w:w="5" w:type="pct"/>
            <w:shd w:val="clear" w:color="auto" w:fill="auto"/>
          </w:tcPr>
          <w:p w14:paraId="20AE1222" w14:textId="77777777" w:rsidR="00B626E7" w:rsidRDefault="00B626E7">
            <w:pPr>
              <w:rPr>
                <w:rFonts w:ascii="宋体"/>
              </w:rPr>
            </w:pPr>
          </w:p>
        </w:tc>
        <w:tc>
          <w:tcPr>
            <w:tcW w:w="50" w:type="pct"/>
            <w:shd w:val="clear" w:color="auto" w:fill="auto"/>
          </w:tcPr>
          <w:p w14:paraId="20AE1223" w14:textId="77777777" w:rsidR="00B626E7" w:rsidRDefault="00B626E7">
            <w:pPr>
              <w:rPr>
                <w:rFonts w:ascii="宋体"/>
              </w:rPr>
            </w:pPr>
          </w:p>
        </w:tc>
        <w:tc>
          <w:tcPr>
            <w:tcW w:w="494" w:type="pct"/>
            <w:shd w:val="clear" w:color="auto" w:fill="auto"/>
          </w:tcPr>
          <w:p w14:paraId="20AE1224" w14:textId="77777777" w:rsidR="00B626E7" w:rsidRDefault="00B626E7">
            <w:pPr>
              <w:rPr>
                <w:rFonts w:ascii="宋体"/>
              </w:rPr>
            </w:pPr>
          </w:p>
        </w:tc>
        <w:tc>
          <w:tcPr>
            <w:tcW w:w="50" w:type="pct"/>
            <w:shd w:val="clear" w:color="auto" w:fill="auto"/>
          </w:tcPr>
          <w:p w14:paraId="20AE1225" w14:textId="77777777" w:rsidR="00B626E7" w:rsidRDefault="00B626E7">
            <w:pPr>
              <w:rPr>
                <w:rFonts w:ascii="宋体"/>
              </w:rPr>
            </w:pPr>
          </w:p>
        </w:tc>
        <w:tc>
          <w:tcPr>
            <w:tcW w:w="5" w:type="pct"/>
            <w:shd w:val="clear" w:color="auto" w:fill="auto"/>
          </w:tcPr>
          <w:p w14:paraId="20AE1226" w14:textId="77777777" w:rsidR="00B626E7" w:rsidRDefault="00B626E7">
            <w:pPr>
              <w:rPr>
                <w:rFonts w:ascii="宋体"/>
              </w:rPr>
            </w:pPr>
          </w:p>
        </w:tc>
        <w:tc>
          <w:tcPr>
            <w:tcW w:w="17" w:type="pct"/>
            <w:shd w:val="clear" w:color="auto" w:fill="auto"/>
          </w:tcPr>
          <w:p w14:paraId="20AE1227" w14:textId="77777777" w:rsidR="00B626E7" w:rsidRDefault="00B626E7">
            <w:pPr>
              <w:rPr>
                <w:rFonts w:ascii="宋体"/>
              </w:rPr>
            </w:pPr>
          </w:p>
        </w:tc>
        <w:tc>
          <w:tcPr>
            <w:tcW w:w="5" w:type="pct"/>
            <w:shd w:val="clear" w:color="auto" w:fill="auto"/>
          </w:tcPr>
          <w:p w14:paraId="20AE1228" w14:textId="77777777" w:rsidR="00B626E7" w:rsidRDefault="00B626E7">
            <w:pPr>
              <w:rPr>
                <w:rFonts w:ascii="宋体"/>
              </w:rPr>
            </w:pPr>
          </w:p>
        </w:tc>
        <w:tc>
          <w:tcPr>
            <w:tcW w:w="50" w:type="pct"/>
            <w:shd w:val="clear" w:color="auto" w:fill="auto"/>
          </w:tcPr>
          <w:p w14:paraId="20AE1229" w14:textId="77777777" w:rsidR="00B626E7" w:rsidRDefault="00B626E7">
            <w:pPr>
              <w:rPr>
                <w:rFonts w:ascii="宋体"/>
              </w:rPr>
            </w:pPr>
          </w:p>
        </w:tc>
        <w:tc>
          <w:tcPr>
            <w:tcW w:w="494" w:type="pct"/>
            <w:shd w:val="clear" w:color="auto" w:fill="auto"/>
          </w:tcPr>
          <w:p w14:paraId="20AE122A" w14:textId="77777777" w:rsidR="00B626E7" w:rsidRDefault="00B626E7">
            <w:pPr>
              <w:rPr>
                <w:rFonts w:ascii="宋体"/>
              </w:rPr>
            </w:pPr>
          </w:p>
        </w:tc>
        <w:tc>
          <w:tcPr>
            <w:tcW w:w="50" w:type="pct"/>
            <w:shd w:val="clear" w:color="auto" w:fill="auto"/>
          </w:tcPr>
          <w:p w14:paraId="20AE122B" w14:textId="77777777" w:rsidR="00B626E7" w:rsidRDefault="00B626E7">
            <w:pPr>
              <w:rPr>
                <w:rFonts w:ascii="宋体"/>
              </w:rPr>
            </w:pPr>
          </w:p>
        </w:tc>
        <w:tc>
          <w:tcPr>
            <w:tcW w:w="5" w:type="pct"/>
            <w:shd w:val="clear" w:color="auto" w:fill="auto"/>
          </w:tcPr>
          <w:p w14:paraId="20AE122C" w14:textId="77777777" w:rsidR="00B626E7" w:rsidRDefault="00B626E7">
            <w:pPr>
              <w:rPr>
                <w:rFonts w:ascii="宋体"/>
              </w:rPr>
            </w:pPr>
          </w:p>
        </w:tc>
        <w:tc>
          <w:tcPr>
            <w:tcW w:w="17" w:type="pct"/>
            <w:shd w:val="clear" w:color="auto" w:fill="auto"/>
          </w:tcPr>
          <w:p w14:paraId="20AE122D" w14:textId="77777777" w:rsidR="00B626E7" w:rsidRDefault="00B626E7">
            <w:pPr>
              <w:rPr>
                <w:rFonts w:ascii="宋体"/>
              </w:rPr>
            </w:pPr>
          </w:p>
        </w:tc>
        <w:tc>
          <w:tcPr>
            <w:tcW w:w="5" w:type="pct"/>
            <w:shd w:val="clear" w:color="auto" w:fill="auto"/>
          </w:tcPr>
          <w:p w14:paraId="20AE122E" w14:textId="77777777" w:rsidR="00B626E7" w:rsidRDefault="00B626E7">
            <w:pPr>
              <w:rPr>
                <w:rFonts w:ascii="宋体"/>
              </w:rPr>
            </w:pPr>
          </w:p>
        </w:tc>
        <w:tc>
          <w:tcPr>
            <w:tcW w:w="50" w:type="pct"/>
            <w:shd w:val="clear" w:color="auto" w:fill="auto"/>
          </w:tcPr>
          <w:p w14:paraId="20AE122F" w14:textId="77777777" w:rsidR="00B626E7" w:rsidRDefault="00B626E7">
            <w:pPr>
              <w:rPr>
                <w:rFonts w:ascii="宋体"/>
              </w:rPr>
            </w:pPr>
          </w:p>
        </w:tc>
        <w:tc>
          <w:tcPr>
            <w:tcW w:w="494" w:type="pct"/>
            <w:shd w:val="clear" w:color="auto" w:fill="auto"/>
          </w:tcPr>
          <w:p w14:paraId="20AE1230" w14:textId="77777777" w:rsidR="00B626E7" w:rsidRDefault="00B626E7">
            <w:pPr>
              <w:rPr>
                <w:rFonts w:ascii="宋体"/>
              </w:rPr>
            </w:pPr>
          </w:p>
        </w:tc>
        <w:tc>
          <w:tcPr>
            <w:tcW w:w="50" w:type="pct"/>
            <w:shd w:val="clear" w:color="auto" w:fill="auto"/>
          </w:tcPr>
          <w:p w14:paraId="20AE1231" w14:textId="77777777" w:rsidR="00B626E7" w:rsidRDefault="00B626E7">
            <w:pPr>
              <w:rPr>
                <w:rFonts w:ascii="宋体"/>
              </w:rPr>
            </w:pPr>
          </w:p>
        </w:tc>
      </w:tr>
      <w:tr w:rsidR="00B626E7" w14:paraId="20AE123C" w14:textId="77777777">
        <w:tc>
          <w:tcPr>
            <w:tcW w:w="0" w:type="auto"/>
            <w:gridSpan w:val="3"/>
            <w:shd w:val="clear" w:color="auto" w:fill="auto"/>
            <w:tcMar>
              <w:top w:w="40" w:type="dxa"/>
              <w:left w:w="20" w:type="dxa"/>
              <w:bottom w:w="40" w:type="dxa"/>
              <w:right w:w="20" w:type="dxa"/>
            </w:tcMar>
            <w:vAlign w:val="bottom"/>
          </w:tcPr>
          <w:p w14:paraId="20AE1233" w14:textId="77777777" w:rsidR="00B626E7" w:rsidRDefault="00175C1D">
            <w:pPr>
              <w:ind w:hanging="180"/>
              <w:textAlignment w:val="bottom"/>
            </w:pPr>
            <w:r>
              <w:rPr>
                <w:rFonts w:ascii="Arial" w:eastAsia="宋体" w:hAnsi="Arial" w:cs="Arial"/>
                <w:color w:val="333333"/>
                <w:sz w:val="16"/>
                <w:szCs w:val="16"/>
              </w:rPr>
              <w:t> </w:t>
            </w:r>
          </w:p>
        </w:tc>
        <w:tc>
          <w:tcPr>
            <w:tcW w:w="0" w:type="auto"/>
            <w:gridSpan w:val="3"/>
            <w:shd w:val="clear" w:color="auto" w:fill="auto"/>
            <w:tcMar>
              <w:left w:w="20" w:type="dxa"/>
              <w:right w:w="20" w:type="dxa"/>
            </w:tcMar>
            <w:vAlign w:val="bottom"/>
          </w:tcPr>
          <w:p w14:paraId="20AE1234" w14:textId="77777777" w:rsidR="00B626E7" w:rsidRDefault="00B626E7">
            <w:pPr>
              <w:rPr>
                <w:rFonts w:ascii="宋体"/>
              </w:rPr>
            </w:pPr>
          </w:p>
        </w:tc>
        <w:tc>
          <w:tcPr>
            <w:tcW w:w="0" w:type="auto"/>
            <w:gridSpan w:val="9"/>
            <w:shd w:val="clear" w:color="auto" w:fill="auto"/>
            <w:tcMar>
              <w:top w:w="40" w:type="dxa"/>
              <w:left w:w="20" w:type="dxa"/>
              <w:bottom w:w="40" w:type="dxa"/>
              <w:right w:w="20" w:type="dxa"/>
            </w:tcMar>
            <w:vAlign w:val="bottom"/>
          </w:tcPr>
          <w:p w14:paraId="20AE1235" w14:textId="77777777" w:rsidR="00B626E7" w:rsidRDefault="00175C1D">
            <w:pPr>
              <w:jc w:val="center"/>
              <w:textAlignment w:val="bottom"/>
            </w:pPr>
            <w:r>
              <w:rPr>
                <w:rFonts w:ascii="Arial" w:eastAsia="宋体" w:hAnsi="Arial" w:cs="Arial"/>
                <w:b/>
                <w:bCs/>
                <w:color w:val="333333"/>
                <w:sz w:val="18"/>
                <w:szCs w:val="18"/>
              </w:rPr>
              <w:t>Three Months Ended</w:t>
            </w:r>
          </w:p>
        </w:tc>
        <w:tc>
          <w:tcPr>
            <w:tcW w:w="0" w:type="auto"/>
            <w:gridSpan w:val="3"/>
            <w:shd w:val="clear" w:color="auto" w:fill="auto"/>
          </w:tcPr>
          <w:p w14:paraId="20AE1236" w14:textId="77777777" w:rsidR="00B626E7" w:rsidRDefault="00B626E7">
            <w:pPr>
              <w:rPr>
                <w:rFonts w:ascii="宋体"/>
                <w:vanish/>
              </w:rPr>
            </w:pPr>
          </w:p>
        </w:tc>
        <w:tc>
          <w:tcPr>
            <w:tcW w:w="0" w:type="auto"/>
            <w:gridSpan w:val="3"/>
            <w:shd w:val="clear" w:color="auto" w:fill="auto"/>
          </w:tcPr>
          <w:p w14:paraId="20AE1237" w14:textId="77777777" w:rsidR="00B626E7" w:rsidRDefault="00B626E7">
            <w:pPr>
              <w:rPr>
                <w:rFonts w:ascii="宋体"/>
                <w:vanish/>
              </w:rPr>
            </w:pPr>
          </w:p>
        </w:tc>
        <w:tc>
          <w:tcPr>
            <w:tcW w:w="0" w:type="auto"/>
            <w:gridSpan w:val="3"/>
            <w:shd w:val="clear" w:color="auto" w:fill="auto"/>
            <w:tcMar>
              <w:left w:w="20" w:type="dxa"/>
              <w:right w:w="20" w:type="dxa"/>
            </w:tcMar>
            <w:vAlign w:val="bottom"/>
          </w:tcPr>
          <w:p w14:paraId="20AE1238" w14:textId="77777777" w:rsidR="00B626E7" w:rsidRDefault="00B626E7">
            <w:pPr>
              <w:rPr>
                <w:rFonts w:ascii="宋体"/>
              </w:rPr>
            </w:pPr>
          </w:p>
        </w:tc>
        <w:tc>
          <w:tcPr>
            <w:tcW w:w="0" w:type="auto"/>
            <w:gridSpan w:val="9"/>
            <w:shd w:val="clear" w:color="auto" w:fill="auto"/>
            <w:tcMar>
              <w:top w:w="40" w:type="dxa"/>
              <w:left w:w="20" w:type="dxa"/>
              <w:bottom w:w="40" w:type="dxa"/>
              <w:right w:w="20" w:type="dxa"/>
            </w:tcMar>
            <w:vAlign w:val="bottom"/>
          </w:tcPr>
          <w:p w14:paraId="20AE1239" w14:textId="77777777" w:rsidR="00B626E7" w:rsidRDefault="00175C1D">
            <w:pPr>
              <w:jc w:val="center"/>
              <w:textAlignment w:val="bottom"/>
            </w:pPr>
            <w:r>
              <w:rPr>
                <w:rFonts w:ascii="Arial" w:eastAsia="宋体" w:hAnsi="Arial" w:cs="Arial"/>
                <w:b/>
                <w:bCs/>
                <w:color w:val="333333"/>
                <w:sz w:val="18"/>
                <w:szCs w:val="18"/>
              </w:rPr>
              <w:t>Six Months Ended</w:t>
            </w:r>
          </w:p>
        </w:tc>
        <w:tc>
          <w:tcPr>
            <w:tcW w:w="0" w:type="auto"/>
            <w:gridSpan w:val="3"/>
            <w:shd w:val="clear" w:color="auto" w:fill="auto"/>
          </w:tcPr>
          <w:p w14:paraId="20AE123A" w14:textId="77777777" w:rsidR="00B626E7" w:rsidRDefault="00B626E7">
            <w:pPr>
              <w:rPr>
                <w:rFonts w:ascii="宋体"/>
                <w:vanish/>
              </w:rPr>
            </w:pPr>
          </w:p>
        </w:tc>
        <w:tc>
          <w:tcPr>
            <w:tcW w:w="0" w:type="auto"/>
            <w:gridSpan w:val="3"/>
            <w:shd w:val="clear" w:color="auto" w:fill="auto"/>
          </w:tcPr>
          <w:p w14:paraId="20AE123B" w14:textId="77777777" w:rsidR="00B626E7" w:rsidRDefault="00B626E7">
            <w:pPr>
              <w:rPr>
                <w:rFonts w:ascii="宋体"/>
                <w:vanish/>
              </w:rPr>
            </w:pPr>
          </w:p>
        </w:tc>
      </w:tr>
      <w:tr w:rsidR="00B626E7" w14:paraId="20AE1252" w14:textId="77777777">
        <w:tc>
          <w:tcPr>
            <w:tcW w:w="0" w:type="auto"/>
            <w:gridSpan w:val="3"/>
            <w:shd w:val="clear" w:color="auto" w:fill="auto"/>
            <w:tcMar>
              <w:top w:w="40" w:type="dxa"/>
              <w:left w:w="20" w:type="dxa"/>
              <w:bottom w:w="40" w:type="dxa"/>
              <w:right w:w="20" w:type="dxa"/>
            </w:tcMar>
            <w:vAlign w:val="bottom"/>
          </w:tcPr>
          <w:p w14:paraId="20AE123D" w14:textId="77777777" w:rsidR="00B626E7" w:rsidRDefault="00175C1D">
            <w:pPr>
              <w:textAlignment w:val="bottom"/>
            </w:pPr>
            <w:r>
              <w:rPr>
                <w:rFonts w:ascii="Arial" w:eastAsia="宋体" w:hAnsi="Arial" w:cs="Arial"/>
                <w:b/>
                <w:bCs/>
                <w:color w:val="333333"/>
                <w:sz w:val="18"/>
                <w:szCs w:val="18"/>
              </w:rPr>
              <w:t>(In Millions)</w:t>
            </w:r>
          </w:p>
        </w:tc>
        <w:tc>
          <w:tcPr>
            <w:tcW w:w="0" w:type="auto"/>
            <w:gridSpan w:val="3"/>
            <w:shd w:val="clear" w:color="auto" w:fill="auto"/>
            <w:tcMar>
              <w:left w:w="20" w:type="dxa"/>
              <w:right w:w="20" w:type="dxa"/>
            </w:tcMar>
            <w:vAlign w:val="bottom"/>
          </w:tcPr>
          <w:p w14:paraId="20AE123E"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123F" w14:textId="77777777" w:rsidR="00B626E7" w:rsidRDefault="00175C1D">
            <w:pPr>
              <w:jc w:val="center"/>
              <w:textAlignment w:val="bottom"/>
            </w:pPr>
            <w:r>
              <w:rPr>
                <w:rFonts w:ascii="Arial" w:eastAsia="宋体" w:hAnsi="Arial" w:cs="Arial"/>
                <w:b/>
                <w:bCs/>
                <w:color w:val="333333"/>
                <w:sz w:val="18"/>
                <w:szCs w:val="18"/>
              </w:rPr>
              <w:t>Jun 27, 2020</w:t>
            </w:r>
          </w:p>
        </w:tc>
        <w:tc>
          <w:tcPr>
            <w:tcW w:w="0" w:type="auto"/>
            <w:gridSpan w:val="3"/>
            <w:tcBorders>
              <w:top w:val="single" w:sz="8" w:space="0" w:color="0071C5"/>
            </w:tcBorders>
            <w:shd w:val="clear" w:color="auto" w:fill="auto"/>
            <w:tcMar>
              <w:left w:w="20" w:type="dxa"/>
              <w:right w:w="20" w:type="dxa"/>
            </w:tcMar>
            <w:vAlign w:val="bottom"/>
          </w:tcPr>
          <w:p w14:paraId="20AE1240"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1241" w14:textId="77777777" w:rsidR="00B626E7" w:rsidRDefault="00175C1D">
            <w:pPr>
              <w:jc w:val="center"/>
              <w:textAlignment w:val="bottom"/>
            </w:pPr>
            <w:r>
              <w:rPr>
                <w:rFonts w:ascii="Arial" w:eastAsia="宋体" w:hAnsi="Arial" w:cs="Arial"/>
                <w:b/>
                <w:bCs/>
                <w:color w:val="333333"/>
                <w:sz w:val="18"/>
                <w:szCs w:val="18"/>
              </w:rPr>
              <w:t>Jun 29, 2019</w:t>
            </w:r>
          </w:p>
        </w:tc>
        <w:tc>
          <w:tcPr>
            <w:tcW w:w="0" w:type="auto"/>
            <w:gridSpan w:val="3"/>
            <w:shd w:val="clear" w:color="auto" w:fill="auto"/>
            <w:tcMar>
              <w:left w:w="20" w:type="dxa"/>
              <w:right w:w="20" w:type="dxa"/>
            </w:tcMar>
            <w:vAlign w:val="bottom"/>
          </w:tcPr>
          <w:p w14:paraId="20AE1242"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1243" w14:textId="77777777" w:rsidR="00B626E7" w:rsidRDefault="00175C1D">
            <w:pPr>
              <w:jc w:val="center"/>
              <w:textAlignment w:val="bottom"/>
            </w:pPr>
            <w:r>
              <w:rPr>
                <w:rFonts w:ascii="Arial" w:eastAsia="宋体" w:hAnsi="Arial" w:cs="Arial"/>
                <w:b/>
                <w:bCs/>
                <w:color w:val="333333"/>
                <w:sz w:val="18"/>
                <w:szCs w:val="18"/>
              </w:rPr>
              <w:t>Jun 27, 2020</w:t>
            </w:r>
          </w:p>
        </w:tc>
        <w:tc>
          <w:tcPr>
            <w:tcW w:w="0" w:type="auto"/>
            <w:gridSpan w:val="3"/>
            <w:tcBorders>
              <w:top w:val="single" w:sz="8" w:space="0" w:color="0071C5"/>
            </w:tcBorders>
            <w:shd w:val="clear" w:color="auto" w:fill="auto"/>
            <w:tcMar>
              <w:left w:w="20" w:type="dxa"/>
              <w:right w:w="20" w:type="dxa"/>
            </w:tcMar>
            <w:vAlign w:val="bottom"/>
          </w:tcPr>
          <w:p w14:paraId="20AE1244" w14:textId="77777777" w:rsidR="00B626E7" w:rsidRDefault="00B626E7">
            <w:pPr>
              <w:jc w:val="right"/>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1245" w14:textId="77777777" w:rsidR="00B626E7" w:rsidRDefault="00175C1D">
            <w:pPr>
              <w:jc w:val="center"/>
              <w:textAlignment w:val="bottom"/>
            </w:pPr>
            <w:r>
              <w:rPr>
                <w:rFonts w:ascii="Arial" w:eastAsia="宋体" w:hAnsi="Arial" w:cs="Arial"/>
                <w:b/>
                <w:bCs/>
                <w:color w:val="333333"/>
                <w:sz w:val="18"/>
                <w:szCs w:val="18"/>
              </w:rPr>
              <w:t>Jun 29, 2019</w:t>
            </w:r>
          </w:p>
        </w:tc>
        <w:tc>
          <w:tcPr>
            <w:tcW w:w="0" w:type="auto"/>
            <w:shd w:val="clear" w:color="auto" w:fill="auto"/>
          </w:tcPr>
          <w:p w14:paraId="20AE1246" w14:textId="77777777" w:rsidR="00B626E7" w:rsidRDefault="00B626E7">
            <w:pPr>
              <w:rPr>
                <w:rFonts w:ascii="宋体"/>
              </w:rPr>
            </w:pPr>
          </w:p>
        </w:tc>
        <w:tc>
          <w:tcPr>
            <w:tcW w:w="0" w:type="auto"/>
            <w:shd w:val="clear" w:color="auto" w:fill="auto"/>
          </w:tcPr>
          <w:p w14:paraId="20AE1247" w14:textId="77777777" w:rsidR="00B626E7" w:rsidRDefault="00B626E7">
            <w:pPr>
              <w:rPr>
                <w:rFonts w:ascii="宋体"/>
              </w:rPr>
            </w:pPr>
          </w:p>
        </w:tc>
        <w:tc>
          <w:tcPr>
            <w:tcW w:w="0" w:type="auto"/>
            <w:shd w:val="clear" w:color="auto" w:fill="auto"/>
          </w:tcPr>
          <w:p w14:paraId="20AE1248" w14:textId="77777777" w:rsidR="00B626E7" w:rsidRDefault="00B626E7">
            <w:pPr>
              <w:rPr>
                <w:rFonts w:ascii="宋体"/>
              </w:rPr>
            </w:pPr>
          </w:p>
        </w:tc>
        <w:tc>
          <w:tcPr>
            <w:tcW w:w="0" w:type="auto"/>
            <w:shd w:val="clear" w:color="auto" w:fill="auto"/>
          </w:tcPr>
          <w:p w14:paraId="20AE1249" w14:textId="77777777" w:rsidR="00B626E7" w:rsidRDefault="00B626E7">
            <w:pPr>
              <w:rPr>
                <w:rFonts w:ascii="宋体"/>
              </w:rPr>
            </w:pPr>
          </w:p>
        </w:tc>
        <w:tc>
          <w:tcPr>
            <w:tcW w:w="0" w:type="auto"/>
            <w:shd w:val="clear" w:color="auto" w:fill="auto"/>
          </w:tcPr>
          <w:p w14:paraId="20AE124A" w14:textId="77777777" w:rsidR="00B626E7" w:rsidRDefault="00B626E7">
            <w:pPr>
              <w:rPr>
                <w:rFonts w:ascii="宋体"/>
              </w:rPr>
            </w:pPr>
          </w:p>
        </w:tc>
        <w:tc>
          <w:tcPr>
            <w:tcW w:w="0" w:type="auto"/>
            <w:shd w:val="clear" w:color="auto" w:fill="auto"/>
          </w:tcPr>
          <w:p w14:paraId="20AE124B" w14:textId="77777777" w:rsidR="00B626E7" w:rsidRDefault="00B626E7">
            <w:pPr>
              <w:rPr>
                <w:rFonts w:ascii="宋体"/>
              </w:rPr>
            </w:pPr>
          </w:p>
        </w:tc>
        <w:tc>
          <w:tcPr>
            <w:tcW w:w="0" w:type="auto"/>
            <w:shd w:val="clear" w:color="auto" w:fill="auto"/>
          </w:tcPr>
          <w:p w14:paraId="20AE124C" w14:textId="77777777" w:rsidR="00B626E7" w:rsidRDefault="00B626E7">
            <w:pPr>
              <w:rPr>
                <w:rFonts w:ascii="宋体"/>
              </w:rPr>
            </w:pPr>
          </w:p>
        </w:tc>
        <w:tc>
          <w:tcPr>
            <w:tcW w:w="0" w:type="auto"/>
            <w:shd w:val="clear" w:color="auto" w:fill="auto"/>
          </w:tcPr>
          <w:p w14:paraId="20AE124D" w14:textId="77777777" w:rsidR="00B626E7" w:rsidRDefault="00B626E7">
            <w:pPr>
              <w:rPr>
                <w:rFonts w:ascii="宋体"/>
              </w:rPr>
            </w:pPr>
          </w:p>
        </w:tc>
        <w:tc>
          <w:tcPr>
            <w:tcW w:w="0" w:type="auto"/>
            <w:shd w:val="clear" w:color="auto" w:fill="auto"/>
          </w:tcPr>
          <w:p w14:paraId="20AE124E" w14:textId="77777777" w:rsidR="00B626E7" w:rsidRDefault="00B626E7">
            <w:pPr>
              <w:rPr>
                <w:rFonts w:ascii="宋体"/>
              </w:rPr>
            </w:pPr>
          </w:p>
        </w:tc>
        <w:tc>
          <w:tcPr>
            <w:tcW w:w="0" w:type="auto"/>
            <w:shd w:val="clear" w:color="auto" w:fill="auto"/>
          </w:tcPr>
          <w:p w14:paraId="20AE124F" w14:textId="77777777" w:rsidR="00B626E7" w:rsidRDefault="00B626E7">
            <w:pPr>
              <w:rPr>
                <w:rFonts w:ascii="宋体"/>
              </w:rPr>
            </w:pPr>
          </w:p>
        </w:tc>
        <w:tc>
          <w:tcPr>
            <w:tcW w:w="0" w:type="auto"/>
            <w:shd w:val="clear" w:color="auto" w:fill="auto"/>
          </w:tcPr>
          <w:p w14:paraId="20AE1250" w14:textId="77777777" w:rsidR="00B626E7" w:rsidRDefault="00B626E7">
            <w:pPr>
              <w:rPr>
                <w:rFonts w:ascii="宋体"/>
              </w:rPr>
            </w:pPr>
          </w:p>
        </w:tc>
        <w:tc>
          <w:tcPr>
            <w:tcW w:w="0" w:type="auto"/>
            <w:shd w:val="clear" w:color="auto" w:fill="auto"/>
          </w:tcPr>
          <w:p w14:paraId="20AE1251" w14:textId="77777777" w:rsidR="00B626E7" w:rsidRDefault="00B626E7">
            <w:pPr>
              <w:rPr>
                <w:rFonts w:ascii="宋体"/>
              </w:rPr>
            </w:pPr>
          </w:p>
        </w:tc>
      </w:tr>
      <w:tr w:rsidR="00B626E7" w14:paraId="20AE1270" w14:textId="77777777">
        <w:tc>
          <w:tcPr>
            <w:tcW w:w="0" w:type="auto"/>
            <w:gridSpan w:val="3"/>
            <w:tcBorders>
              <w:top w:val="single" w:sz="8" w:space="0" w:color="0071C5"/>
            </w:tcBorders>
            <w:shd w:val="clear" w:color="auto" w:fill="auto"/>
            <w:tcMar>
              <w:top w:w="40" w:type="dxa"/>
              <w:left w:w="20" w:type="dxa"/>
              <w:bottom w:w="40" w:type="dxa"/>
              <w:right w:w="20" w:type="dxa"/>
            </w:tcMar>
          </w:tcPr>
          <w:p w14:paraId="20AE1253" w14:textId="77777777" w:rsidR="00B626E7" w:rsidRDefault="00175C1D">
            <w:pPr>
              <w:textAlignment w:val="top"/>
            </w:pPr>
            <w:r>
              <w:rPr>
                <w:rFonts w:ascii="Arial" w:eastAsia="宋体" w:hAnsi="Arial" w:cs="Arial"/>
                <w:color w:val="333333"/>
                <w:sz w:val="18"/>
                <w:szCs w:val="18"/>
              </w:rPr>
              <w:t>Ongoing</w:t>
            </w:r>
            <w:r>
              <w:rPr>
                <w:rFonts w:ascii="Arial" w:eastAsia="宋体" w:hAnsi="Arial" w:cs="Arial"/>
                <w:color w:val="333333"/>
                <w:sz w:val="18"/>
                <w:szCs w:val="18"/>
              </w:rPr>
              <w:t xml:space="preserve"> mark-to-market adjustments on marketable equity securities</w:t>
            </w:r>
          </w:p>
        </w:tc>
        <w:tc>
          <w:tcPr>
            <w:tcW w:w="0" w:type="auto"/>
            <w:gridSpan w:val="3"/>
            <w:shd w:val="clear" w:color="auto" w:fill="auto"/>
            <w:tcMar>
              <w:left w:w="20" w:type="dxa"/>
              <w:right w:w="20" w:type="dxa"/>
            </w:tcMar>
            <w:vAlign w:val="bottom"/>
          </w:tcPr>
          <w:p w14:paraId="20AE1254"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1255" w14:textId="77777777" w:rsidR="00B626E7" w:rsidRDefault="00175C1D">
            <w:pPr>
              <w:textAlignment w:val="bottom"/>
            </w:pPr>
            <w:r>
              <w:rPr>
                <w:rFonts w:ascii="Arial" w:eastAsia="宋体" w:hAnsi="Arial" w:cs="Arial"/>
                <w:color w:val="026DCE"/>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1256" w14:textId="77777777" w:rsidR="00B626E7" w:rsidRDefault="00175C1D">
            <w:pPr>
              <w:jc w:val="right"/>
              <w:textAlignment w:val="bottom"/>
            </w:pPr>
            <w:r>
              <w:rPr>
                <w:rFonts w:ascii="Arial" w:eastAsia="宋体" w:hAnsi="Arial" w:cs="Arial"/>
                <w:color w:val="026DCE"/>
                <w:sz w:val="18"/>
                <w:szCs w:val="18"/>
              </w:rPr>
              <w:t>165 </w:t>
            </w:r>
          </w:p>
        </w:tc>
        <w:tc>
          <w:tcPr>
            <w:tcW w:w="0" w:type="auto"/>
            <w:tcBorders>
              <w:top w:val="single" w:sz="8" w:space="0" w:color="0071C5"/>
            </w:tcBorders>
            <w:shd w:val="clear" w:color="auto" w:fill="auto"/>
            <w:tcMar>
              <w:top w:w="40" w:type="dxa"/>
              <w:bottom w:w="40" w:type="dxa"/>
              <w:right w:w="20" w:type="dxa"/>
            </w:tcMar>
            <w:vAlign w:val="bottom"/>
          </w:tcPr>
          <w:p w14:paraId="20AE1257"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258"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1259" w14:textId="77777777" w:rsidR="00B626E7" w:rsidRDefault="00175C1D">
            <w:pPr>
              <w:textAlignment w:val="bottom"/>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125A" w14:textId="77777777" w:rsidR="00B626E7" w:rsidRDefault="00175C1D">
            <w:pPr>
              <w:jc w:val="right"/>
              <w:textAlignment w:val="bottom"/>
            </w:pPr>
            <w:r>
              <w:rPr>
                <w:rFonts w:ascii="Arial" w:eastAsia="宋体" w:hAnsi="Arial" w:cs="Arial"/>
                <w:color w:val="333333"/>
                <w:sz w:val="18"/>
                <w:szCs w:val="18"/>
              </w:rPr>
              <w:t>(179)</w:t>
            </w:r>
          </w:p>
        </w:tc>
        <w:tc>
          <w:tcPr>
            <w:tcW w:w="0" w:type="auto"/>
            <w:tcBorders>
              <w:top w:val="single" w:sz="8" w:space="0" w:color="0071C5"/>
            </w:tcBorders>
            <w:shd w:val="clear" w:color="auto" w:fill="auto"/>
            <w:tcMar>
              <w:top w:w="40" w:type="dxa"/>
              <w:bottom w:w="40" w:type="dxa"/>
              <w:right w:w="20" w:type="dxa"/>
            </w:tcMar>
            <w:vAlign w:val="bottom"/>
          </w:tcPr>
          <w:p w14:paraId="20AE125B"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25C"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125D" w14:textId="77777777" w:rsidR="00B626E7" w:rsidRDefault="00175C1D">
            <w:pPr>
              <w:textAlignment w:val="bottom"/>
            </w:pPr>
            <w:r>
              <w:rPr>
                <w:rFonts w:ascii="Arial" w:eastAsia="宋体" w:hAnsi="Arial" w:cs="Arial"/>
                <w:color w:val="026DCE"/>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125E" w14:textId="77777777" w:rsidR="00B626E7" w:rsidRDefault="00175C1D">
            <w:pPr>
              <w:jc w:val="right"/>
              <w:textAlignment w:val="bottom"/>
            </w:pPr>
            <w:r>
              <w:rPr>
                <w:rFonts w:ascii="Arial" w:eastAsia="宋体" w:hAnsi="Arial" w:cs="Arial"/>
                <w:color w:val="026DCE"/>
                <w:sz w:val="18"/>
                <w:szCs w:val="18"/>
              </w:rPr>
              <w:t>62 </w:t>
            </w:r>
          </w:p>
        </w:tc>
        <w:tc>
          <w:tcPr>
            <w:tcW w:w="0" w:type="auto"/>
            <w:tcBorders>
              <w:top w:val="single" w:sz="8" w:space="0" w:color="0071C5"/>
            </w:tcBorders>
            <w:shd w:val="clear" w:color="auto" w:fill="auto"/>
            <w:tcMar>
              <w:top w:w="40" w:type="dxa"/>
              <w:bottom w:w="40" w:type="dxa"/>
              <w:right w:w="20" w:type="dxa"/>
            </w:tcMar>
            <w:vAlign w:val="bottom"/>
          </w:tcPr>
          <w:p w14:paraId="20AE125F"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260"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1261" w14:textId="77777777" w:rsidR="00B626E7" w:rsidRDefault="00175C1D">
            <w:pPr>
              <w:textAlignment w:val="bottom"/>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1262" w14:textId="77777777" w:rsidR="00B626E7" w:rsidRDefault="00175C1D">
            <w:pPr>
              <w:jc w:val="right"/>
              <w:textAlignment w:val="bottom"/>
            </w:pPr>
            <w:r>
              <w:rPr>
                <w:rFonts w:ascii="Arial" w:eastAsia="宋体" w:hAnsi="Arial" w:cs="Arial"/>
                <w:color w:val="333333"/>
                <w:sz w:val="18"/>
                <w:szCs w:val="18"/>
              </w:rPr>
              <w:t>74 </w:t>
            </w:r>
          </w:p>
        </w:tc>
        <w:tc>
          <w:tcPr>
            <w:tcW w:w="0" w:type="auto"/>
            <w:tcBorders>
              <w:top w:val="single" w:sz="8" w:space="0" w:color="0071C5"/>
            </w:tcBorders>
            <w:shd w:val="clear" w:color="auto" w:fill="auto"/>
            <w:tcMar>
              <w:top w:w="40" w:type="dxa"/>
              <w:bottom w:w="40" w:type="dxa"/>
              <w:right w:w="20" w:type="dxa"/>
            </w:tcMar>
            <w:vAlign w:val="bottom"/>
          </w:tcPr>
          <w:p w14:paraId="20AE1263"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264" w14:textId="77777777" w:rsidR="00B626E7" w:rsidRDefault="00B626E7">
            <w:pPr>
              <w:rPr>
                <w:rFonts w:ascii="宋体"/>
              </w:rPr>
            </w:pPr>
          </w:p>
        </w:tc>
        <w:tc>
          <w:tcPr>
            <w:tcW w:w="0" w:type="auto"/>
            <w:shd w:val="clear" w:color="auto" w:fill="auto"/>
          </w:tcPr>
          <w:p w14:paraId="20AE1265" w14:textId="77777777" w:rsidR="00B626E7" w:rsidRDefault="00B626E7">
            <w:pPr>
              <w:rPr>
                <w:rFonts w:ascii="宋体"/>
              </w:rPr>
            </w:pPr>
          </w:p>
        </w:tc>
        <w:tc>
          <w:tcPr>
            <w:tcW w:w="0" w:type="auto"/>
            <w:shd w:val="clear" w:color="auto" w:fill="auto"/>
          </w:tcPr>
          <w:p w14:paraId="20AE1266" w14:textId="77777777" w:rsidR="00B626E7" w:rsidRDefault="00B626E7">
            <w:pPr>
              <w:rPr>
                <w:rFonts w:ascii="宋体"/>
              </w:rPr>
            </w:pPr>
          </w:p>
        </w:tc>
        <w:tc>
          <w:tcPr>
            <w:tcW w:w="0" w:type="auto"/>
            <w:shd w:val="clear" w:color="auto" w:fill="auto"/>
          </w:tcPr>
          <w:p w14:paraId="20AE1267" w14:textId="77777777" w:rsidR="00B626E7" w:rsidRDefault="00B626E7">
            <w:pPr>
              <w:rPr>
                <w:rFonts w:ascii="宋体"/>
              </w:rPr>
            </w:pPr>
          </w:p>
        </w:tc>
        <w:tc>
          <w:tcPr>
            <w:tcW w:w="0" w:type="auto"/>
            <w:shd w:val="clear" w:color="auto" w:fill="auto"/>
          </w:tcPr>
          <w:p w14:paraId="20AE1268" w14:textId="77777777" w:rsidR="00B626E7" w:rsidRDefault="00B626E7">
            <w:pPr>
              <w:rPr>
                <w:rFonts w:ascii="宋体"/>
              </w:rPr>
            </w:pPr>
          </w:p>
        </w:tc>
        <w:tc>
          <w:tcPr>
            <w:tcW w:w="0" w:type="auto"/>
            <w:shd w:val="clear" w:color="auto" w:fill="auto"/>
          </w:tcPr>
          <w:p w14:paraId="20AE1269" w14:textId="77777777" w:rsidR="00B626E7" w:rsidRDefault="00B626E7">
            <w:pPr>
              <w:rPr>
                <w:rFonts w:ascii="宋体"/>
              </w:rPr>
            </w:pPr>
          </w:p>
        </w:tc>
        <w:tc>
          <w:tcPr>
            <w:tcW w:w="0" w:type="auto"/>
            <w:shd w:val="clear" w:color="auto" w:fill="auto"/>
          </w:tcPr>
          <w:p w14:paraId="20AE126A" w14:textId="77777777" w:rsidR="00B626E7" w:rsidRDefault="00B626E7">
            <w:pPr>
              <w:rPr>
                <w:rFonts w:ascii="宋体"/>
              </w:rPr>
            </w:pPr>
          </w:p>
        </w:tc>
        <w:tc>
          <w:tcPr>
            <w:tcW w:w="0" w:type="auto"/>
            <w:shd w:val="clear" w:color="auto" w:fill="auto"/>
          </w:tcPr>
          <w:p w14:paraId="20AE126B" w14:textId="77777777" w:rsidR="00B626E7" w:rsidRDefault="00B626E7">
            <w:pPr>
              <w:rPr>
                <w:rFonts w:ascii="宋体"/>
              </w:rPr>
            </w:pPr>
          </w:p>
        </w:tc>
        <w:tc>
          <w:tcPr>
            <w:tcW w:w="0" w:type="auto"/>
            <w:shd w:val="clear" w:color="auto" w:fill="auto"/>
          </w:tcPr>
          <w:p w14:paraId="20AE126C" w14:textId="77777777" w:rsidR="00B626E7" w:rsidRDefault="00B626E7">
            <w:pPr>
              <w:rPr>
                <w:rFonts w:ascii="宋体"/>
              </w:rPr>
            </w:pPr>
          </w:p>
        </w:tc>
        <w:tc>
          <w:tcPr>
            <w:tcW w:w="0" w:type="auto"/>
            <w:shd w:val="clear" w:color="auto" w:fill="auto"/>
          </w:tcPr>
          <w:p w14:paraId="20AE126D" w14:textId="77777777" w:rsidR="00B626E7" w:rsidRDefault="00B626E7">
            <w:pPr>
              <w:rPr>
                <w:rFonts w:ascii="宋体"/>
              </w:rPr>
            </w:pPr>
          </w:p>
        </w:tc>
        <w:tc>
          <w:tcPr>
            <w:tcW w:w="0" w:type="auto"/>
            <w:shd w:val="clear" w:color="auto" w:fill="auto"/>
          </w:tcPr>
          <w:p w14:paraId="20AE126E" w14:textId="77777777" w:rsidR="00B626E7" w:rsidRDefault="00B626E7">
            <w:pPr>
              <w:rPr>
                <w:rFonts w:ascii="宋体"/>
              </w:rPr>
            </w:pPr>
          </w:p>
        </w:tc>
        <w:tc>
          <w:tcPr>
            <w:tcW w:w="0" w:type="auto"/>
            <w:shd w:val="clear" w:color="auto" w:fill="auto"/>
          </w:tcPr>
          <w:p w14:paraId="20AE126F" w14:textId="77777777" w:rsidR="00B626E7" w:rsidRDefault="00B626E7">
            <w:pPr>
              <w:rPr>
                <w:rFonts w:ascii="宋体"/>
              </w:rPr>
            </w:pPr>
          </w:p>
        </w:tc>
      </w:tr>
      <w:tr w:rsidR="00B626E7" w14:paraId="20AE128A" w14:textId="77777777">
        <w:tc>
          <w:tcPr>
            <w:tcW w:w="0" w:type="auto"/>
            <w:gridSpan w:val="3"/>
            <w:shd w:val="clear" w:color="auto" w:fill="auto"/>
            <w:tcMar>
              <w:top w:w="40" w:type="dxa"/>
              <w:left w:w="20" w:type="dxa"/>
              <w:bottom w:w="40" w:type="dxa"/>
              <w:right w:w="20" w:type="dxa"/>
            </w:tcMar>
            <w:vAlign w:val="bottom"/>
          </w:tcPr>
          <w:p w14:paraId="20AE1271" w14:textId="77777777" w:rsidR="00B626E7" w:rsidRDefault="00175C1D">
            <w:pPr>
              <w:textAlignment w:val="bottom"/>
            </w:pPr>
            <w:r>
              <w:rPr>
                <w:rFonts w:ascii="Arial" w:eastAsia="宋体" w:hAnsi="Arial" w:cs="Arial"/>
                <w:color w:val="333333"/>
                <w:sz w:val="18"/>
                <w:szCs w:val="18"/>
              </w:rPr>
              <w:t>Observable price adjustments on non-marketable equity securities</w:t>
            </w:r>
          </w:p>
        </w:tc>
        <w:tc>
          <w:tcPr>
            <w:tcW w:w="0" w:type="auto"/>
            <w:gridSpan w:val="3"/>
            <w:shd w:val="clear" w:color="auto" w:fill="auto"/>
            <w:tcMar>
              <w:left w:w="20" w:type="dxa"/>
              <w:right w:w="20" w:type="dxa"/>
            </w:tcMar>
            <w:vAlign w:val="bottom"/>
          </w:tcPr>
          <w:p w14:paraId="20AE1272"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273" w14:textId="77777777" w:rsidR="00B626E7" w:rsidRDefault="00175C1D">
            <w:pPr>
              <w:jc w:val="right"/>
              <w:textAlignment w:val="bottom"/>
            </w:pPr>
            <w:r>
              <w:rPr>
                <w:rFonts w:ascii="Arial" w:eastAsia="宋体" w:hAnsi="Arial" w:cs="Arial"/>
                <w:color w:val="026DCE"/>
                <w:sz w:val="18"/>
                <w:szCs w:val="18"/>
              </w:rPr>
              <w:t>58 </w:t>
            </w:r>
          </w:p>
        </w:tc>
        <w:tc>
          <w:tcPr>
            <w:tcW w:w="0" w:type="auto"/>
            <w:shd w:val="clear" w:color="auto" w:fill="auto"/>
            <w:tcMar>
              <w:top w:w="40" w:type="dxa"/>
              <w:bottom w:w="40" w:type="dxa"/>
              <w:right w:w="20" w:type="dxa"/>
            </w:tcMar>
            <w:vAlign w:val="bottom"/>
          </w:tcPr>
          <w:p w14:paraId="20AE1274"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275"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276" w14:textId="77777777" w:rsidR="00B626E7" w:rsidRDefault="00175C1D">
            <w:pPr>
              <w:jc w:val="right"/>
              <w:textAlignment w:val="bottom"/>
            </w:pPr>
            <w:r>
              <w:rPr>
                <w:rFonts w:ascii="Arial" w:eastAsia="宋体" w:hAnsi="Arial" w:cs="Arial"/>
                <w:color w:val="333333"/>
                <w:sz w:val="18"/>
                <w:szCs w:val="18"/>
              </w:rPr>
              <w:t>8 </w:t>
            </w:r>
          </w:p>
        </w:tc>
        <w:tc>
          <w:tcPr>
            <w:tcW w:w="0" w:type="auto"/>
            <w:shd w:val="clear" w:color="auto" w:fill="auto"/>
            <w:tcMar>
              <w:top w:w="40" w:type="dxa"/>
              <w:bottom w:w="40" w:type="dxa"/>
              <w:right w:w="20" w:type="dxa"/>
            </w:tcMar>
            <w:vAlign w:val="bottom"/>
          </w:tcPr>
          <w:p w14:paraId="20AE1277"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278"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279" w14:textId="77777777" w:rsidR="00B626E7" w:rsidRDefault="00175C1D">
            <w:pPr>
              <w:jc w:val="right"/>
              <w:textAlignment w:val="bottom"/>
            </w:pPr>
            <w:r>
              <w:rPr>
                <w:rFonts w:ascii="Arial" w:eastAsia="宋体" w:hAnsi="Arial" w:cs="Arial"/>
                <w:color w:val="026DCE"/>
                <w:sz w:val="18"/>
                <w:szCs w:val="18"/>
              </w:rPr>
              <w:t>137 </w:t>
            </w:r>
          </w:p>
        </w:tc>
        <w:tc>
          <w:tcPr>
            <w:tcW w:w="0" w:type="auto"/>
            <w:shd w:val="clear" w:color="auto" w:fill="auto"/>
            <w:tcMar>
              <w:top w:w="40" w:type="dxa"/>
              <w:bottom w:w="40" w:type="dxa"/>
              <w:right w:w="20" w:type="dxa"/>
            </w:tcMar>
            <w:vAlign w:val="bottom"/>
          </w:tcPr>
          <w:p w14:paraId="20AE127A"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27B"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27C" w14:textId="77777777" w:rsidR="00B626E7" w:rsidRDefault="00175C1D">
            <w:pPr>
              <w:jc w:val="right"/>
              <w:textAlignment w:val="bottom"/>
            </w:pPr>
            <w:r>
              <w:rPr>
                <w:rFonts w:ascii="Arial" w:eastAsia="宋体" w:hAnsi="Arial" w:cs="Arial"/>
                <w:color w:val="333333"/>
                <w:sz w:val="18"/>
                <w:szCs w:val="18"/>
              </w:rPr>
              <w:t>16 </w:t>
            </w:r>
          </w:p>
        </w:tc>
        <w:tc>
          <w:tcPr>
            <w:tcW w:w="0" w:type="auto"/>
            <w:shd w:val="clear" w:color="auto" w:fill="auto"/>
            <w:tcMar>
              <w:top w:w="40" w:type="dxa"/>
              <w:bottom w:w="40" w:type="dxa"/>
              <w:right w:w="20" w:type="dxa"/>
            </w:tcMar>
            <w:vAlign w:val="bottom"/>
          </w:tcPr>
          <w:p w14:paraId="20AE127D"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27E" w14:textId="77777777" w:rsidR="00B626E7" w:rsidRDefault="00B626E7">
            <w:pPr>
              <w:rPr>
                <w:rFonts w:ascii="宋体"/>
              </w:rPr>
            </w:pPr>
          </w:p>
        </w:tc>
        <w:tc>
          <w:tcPr>
            <w:tcW w:w="0" w:type="auto"/>
            <w:shd w:val="clear" w:color="auto" w:fill="auto"/>
          </w:tcPr>
          <w:p w14:paraId="20AE127F" w14:textId="77777777" w:rsidR="00B626E7" w:rsidRDefault="00B626E7">
            <w:pPr>
              <w:rPr>
                <w:rFonts w:ascii="宋体"/>
              </w:rPr>
            </w:pPr>
          </w:p>
        </w:tc>
        <w:tc>
          <w:tcPr>
            <w:tcW w:w="0" w:type="auto"/>
            <w:shd w:val="clear" w:color="auto" w:fill="auto"/>
          </w:tcPr>
          <w:p w14:paraId="20AE1280" w14:textId="77777777" w:rsidR="00B626E7" w:rsidRDefault="00B626E7">
            <w:pPr>
              <w:rPr>
                <w:rFonts w:ascii="宋体"/>
              </w:rPr>
            </w:pPr>
          </w:p>
        </w:tc>
        <w:tc>
          <w:tcPr>
            <w:tcW w:w="0" w:type="auto"/>
            <w:shd w:val="clear" w:color="auto" w:fill="auto"/>
          </w:tcPr>
          <w:p w14:paraId="20AE1281" w14:textId="77777777" w:rsidR="00B626E7" w:rsidRDefault="00B626E7">
            <w:pPr>
              <w:rPr>
                <w:rFonts w:ascii="宋体"/>
              </w:rPr>
            </w:pPr>
          </w:p>
        </w:tc>
        <w:tc>
          <w:tcPr>
            <w:tcW w:w="0" w:type="auto"/>
            <w:shd w:val="clear" w:color="auto" w:fill="auto"/>
          </w:tcPr>
          <w:p w14:paraId="20AE1282" w14:textId="77777777" w:rsidR="00B626E7" w:rsidRDefault="00B626E7">
            <w:pPr>
              <w:rPr>
                <w:rFonts w:ascii="宋体"/>
              </w:rPr>
            </w:pPr>
          </w:p>
        </w:tc>
        <w:tc>
          <w:tcPr>
            <w:tcW w:w="0" w:type="auto"/>
            <w:shd w:val="clear" w:color="auto" w:fill="auto"/>
          </w:tcPr>
          <w:p w14:paraId="20AE1283" w14:textId="77777777" w:rsidR="00B626E7" w:rsidRDefault="00B626E7">
            <w:pPr>
              <w:rPr>
                <w:rFonts w:ascii="宋体"/>
              </w:rPr>
            </w:pPr>
          </w:p>
        </w:tc>
        <w:tc>
          <w:tcPr>
            <w:tcW w:w="0" w:type="auto"/>
            <w:shd w:val="clear" w:color="auto" w:fill="auto"/>
          </w:tcPr>
          <w:p w14:paraId="20AE1284" w14:textId="77777777" w:rsidR="00B626E7" w:rsidRDefault="00B626E7">
            <w:pPr>
              <w:rPr>
                <w:rFonts w:ascii="宋体"/>
              </w:rPr>
            </w:pPr>
          </w:p>
        </w:tc>
        <w:tc>
          <w:tcPr>
            <w:tcW w:w="0" w:type="auto"/>
            <w:shd w:val="clear" w:color="auto" w:fill="auto"/>
          </w:tcPr>
          <w:p w14:paraId="20AE1285" w14:textId="77777777" w:rsidR="00B626E7" w:rsidRDefault="00B626E7">
            <w:pPr>
              <w:rPr>
                <w:rFonts w:ascii="宋体"/>
              </w:rPr>
            </w:pPr>
          </w:p>
        </w:tc>
        <w:tc>
          <w:tcPr>
            <w:tcW w:w="0" w:type="auto"/>
            <w:shd w:val="clear" w:color="auto" w:fill="auto"/>
          </w:tcPr>
          <w:p w14:paraId="20AE1286" w14:textId="77777777" w:rsidR="00B626E7" w:rsidRDefault="00B626E7">
            <w:pPr>
              <w:rPr>
                <w:rFonts w:ascii="宋体"/>
              </w:rPr>
            </w:pPr>
          </w:p>
        </w:tc>
        <w:tc>
          <w:tcPr>
            <w:tcW w:w="0" w:type="auto"/>
            <w:shd w:val="clear" w:color="auto" w:fill="auto"/>
          </w:tcPr>
          <w:p w14:paraId="20AE1287" w14:textId="77777777" w:rsidR="00B626E7" w:rsidRDefault="00B626E7">
            <w:pPr>
              <w:rPr>
                <w:rFonts w:ascii="宋体"/>
              </w:rPr>
            </w:pPr>
          </w:p>
        </w:tc>
        <w:tc>
          <w:tcPr>
            <w:tcW w:w="0" w:type="auto"/>
            <w:shd w:val="clear" w:color="auto" w:fill="auto"/>
          </w:tcPr>
          <w:p w14:paraId="20AE1288" w14:textId="77777777" w:rsidR="00B626E7" w:rsidRDefault="00B626E7">
            <w:pPr>
              <w:rPr>
                <w:rFonts w:ascii="宋体"/>
              </w:rPr>
            </w:pPr>
          </w:p>
        </w:tc>
        <w:tc>
          <w:tcPr>
            <w:tcW w:w="0" w:type="auto"/>
            <w:shd w:val="clear" w:color="auto" w:fill="auto"/>
          </w:tcPr>
          <w:p w14:paraId="20AE1289" w14:textId="77777777" w:rsidR="00B626E7" w:rsidRDefault="00B626E7">
            <w:pPr>
              <w:rPr>
                <w:rFonts w:ascii="宋体"/>
              </w:rPr>
            </w:pPr>
          </w:p>
        </w:tc>
      </w:tr>
      <w:tr w:rsidR="00B626E7" w14:paraId="20AE12A4" w14:textId="77777777">
        <w:tc>
          <w:tcPr>
            <w:tcW w:w="0" w:type="auto"/>
            <w:gridSpan w:val="3"/>
            <w:shd w:val="clear" w:color="auto" w:fill="auto"/>
            <w:tcMar>
              <w:top w:w="40" w:type="dxa"/>
              <w:left w:w="20" w:type="dxa"/>
              <w:bottom w:w="40" w:type="dxa"/>
              <w:right w:w="20" w:type="dxa"/>
            </w:tcMar>
          </w:tcPr>
          <w:p w14:paraId="20AE128B" w14:textId="77777777" w:rsidR="00B626E7" w:rsidRDefault="00175C1D">
            <w:pPr>
              <w:ind w:hanging="180"/>
              <w:textAlignment w:val="top"/>
            </w:pPr>
            <w:r>
              <w:rPr>
                <w:rFonts w:ascii="Arial" w:eastAsia="宋体" w:hAnsi="Arial" w:cs="Arial"/>
                <w:color w:val="333333"/>
                <w:sz w:val="18"/>
                <w:szCs w:val="18"/>
              </w:rPr>
              <w:t>Impairment charges</w:t>
            </w:r>
          </w:p>
        </w:tc>
        <w:tc>
          <w:tcPr>
            <w:tcW w:w="0" w:type="auto"/>
            <w:gridSpan w:val="3"/>
            <w:shd w:val="clear" w:color="auto" w:fill="auto"/>
            <w:tcMar>
              <w:left w:w="20" w:type="dxa"/>
              <w:right w:w="20" w:type="dxa"/>
            </w:tcMar>
            <w:vAlign w:val="bottom"/>
          </w:tcPr>
          <w:p w14:paraId="20AE128C"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28D" w14:textId="77777777" w:rsidR="00B626E7" w:rsidRDefault="00175C1D">
            <w:pPr>
              <w:jc w:val="right"/>
              <w:textAlignment w:val="bottom"/>
            </w:pPr>
            <w:r>
              <w:rPr>
                <w:rFonts w:ascii="Arial" w:eastAsia="宋体" w:hAnsi="Arial" w:cs="Arial"/>
                <w:color w:val="026DCE"/>
                <w:sz w:val="18"/>
                <w:szCs w:val="18"/>
              </w:rPr>
              <w:t>(51)</w:t>
            </w:r>
          </w:p>
        </w:tc>
        <w:tc>
          <w:tcPr>
            <w:tcW w:w="0" w:type="auto"/>
            <w:shd w:val="clear" w:color="auto" w:fill="auto"/>
            <w:tcMar>
              <w:top w:w="40" w:type="dxa"/>
              <w:bottom w:w="40" w:type="dxa"/>
              <w:right w:w="20" w:type="dxa"/>
            </w:tcMar>
            <w:vAlign w:val="bottom"/>
          </w:tcPr>
          <w:p w14:paraId="20AE128E"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28F"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290" w14:textId="77777777" w:rsidR="00B626E7" w:rsidRDefault="00175C1D">
            <w:pPr>
              <w:jc w:val="right"/>
              <w:textAlignment w:val="bottom"/>
            </w:pPr>
            <w:r>
              <w:rPr>
                <w:rFonts w:ascii="Arial" w:eastAsia="宋体" w:hAnsi="Arial" w:cs="Arial"/>
                <w:color w:val="333333"/>
                <w:sz w:val="18"/>
                <w:szCs w:val="18"/>
              </w:rPr>
              <w:t>(39)</w:t>
            </w:r>
          </w:p>
        </w:tc>
        <w:tc>
          <w:tcPr>
            <w:tcW w:w="0" w:type="auto"/>
            <w:shd w:val="clear" w:color="auto" w:fill="auto"/>
            <w:tcMar>
              <w:top w:w="40" w:type="dxa"/>
              <w:bottom w:w="40" w:type="dxa"/>
              <w:right w:w="20" w:type="dxa"/>
            </w:tcMar>
            <w:vAlign w:val="bottom"/>
          </w:tcPr>
          <w:p w14:paraId="20AE1291"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292"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293" w14:textId="77777777" w:rsidR="00B626E7" w:rsidRDefault="00175C1D">
            <w:pPr>
              <w:jc w:val="right"/>
              <w:textAlignment w:val="bottom"/>
            </w:pPr>
            <w:r>
              <w:rPr>
                <w:rFonts w:ascii="Arial" w:eastAsia="宋体" w:hAnsi="Arial" w:cs="Arial"/>
                <w:color w:val="026DCE"/>
                <w:sz w:val="18"/>
                <w:szCs w:val="18"/>
              </w:rPr>
              <w:t>(193)</w:t>
            </w:r>
          </w:p>
        </w:tc>
        <w:tc>
          <w:tcPr>
            <w:tcW w:w="0" w:type="auto"/>
            <w:shd w:val="clear" w:color="auto" w:fill="auto"/>
            <w:tcMar>
              <w:top w:w="40" w:type="dxa"/>
              <w:bottom w:w="40" w:type="dxa"/>
              <w:right w:w="20" w:type="dxa"/>
            </w:tcMar>
            <w:vAlign w:val="bottom"/>
          </w:tcPr>
          <w:p w14:paraId="20AE1294"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295"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296" w14:textId="77777777" w:rsidR="00B626E7" w:rsidRDefault="00175C1D">
            <w:pPr>
              <w:jc w:val="right"/>
              <w:textAlignment w:val="bottom"/>
            </w:pPr>
            <w:r>
              <w:rPr>
                <w:rFonts w:ascii="Arial" w:eastAsia="宋体" w:hAnsi="Arial" w:cs="Arial"/>
                <w:color w:val="333333"/>
                <w:sz w:val="18"/>
                <w:szCs w:val="18"/>
              </w:rPr>
              <w:t>(62)</w:t>
            </w:r>
          </w:p>
        </w:tc>
        <w:tc>
          <w:tcPr>
            <w:tcW w:w="0" w:type="auto"/>
            <w:shd w:val="clear" w:color="auto" w:fill="auto"/>
            <w:tcMar>
              <w:top w:w="40" w:type="dxa"/>
              <w:bottom w:w="40" w:type="dxa"/>
              <w:right w:w="20" w:type="dxa"/>
            </w:tcMar>
            <w:vAlign w:val="bottom"/>
          </w:tcPr>
          <w:p w14:paraId="20AE1297"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298" w14:textId="77777777" w:rsidR="00B626E7" w:rsidRDefault="00B626E7">
            <w:pPr>
              <w:rPr>
                <w:rFonts w:ascii="宋体"/>
              </w:rPr>
            </w:pPr>
          </w:p>
        </w:tc>
        <w:tc>
          <w:tcPr>
            <w:tcW w:w="0" w:type="auto"/>
            <w:shd w:val="clear" w:color="auto" w:fill="auto"/>
          </w:tcPr>
          <w:p w14:paraId="20AE1299" w14:textId="77777777" w:rsidR="00B626E7" w:rsidRDefault="00B626E7">
            <w:pPr>
              <w:rPr>
                <w:rFonts w:ascii="宋体"/>
              </w:rPr>
            </w:pPr>
          </w:p>
        </w:tc>
        <w:tc>
          <w:tcPr>
            <w:tcW w:w="0" w:type="auto"/>
            <w:shd w:val="clear" w:color="auto" w:fill="auto"/>
          </w:tcPr>
          <w:p w14:paraId="20AE129A" w14:textId="77777777" w:rsidR="00B626E7" w:rsidRDefault="00B626E7">
            <w:pPr>
              <w:rPr>
                <w:rFonts w:ascii="宋体"/>
              </w:rPr>
            </w:pPr>
          </w:p>
        </w:tc>
        <w:tc>
          <w:tcPr>
            <w:tcW w:w="0" w:type="auto"/>
            <w:shd w:val="clear" w:color="auto" w:fill="auto"/>
          </w:tcPr>
          <w:p w14:paraId="20AE129B" w14:textId="77777777" w:rsidR="00B626E7" w:rsidRDefault="00B626E7">
            <w:pPr>
              <w:rPr>
                <w:rFonts w:ascii="宋体"/>
              </w:rPr>
            </w:pPr>
          </w:p>
        </w:tc>
        <w:tc>
          <w:tcPr>
            <w:tcW w:w="0" w:type="auto"/>
            <w:shd w:val="clear" w:color="auto" w:fill="auto"/>
          </w:tcPr>
          <w:p w14:paraId="20AE129C" w14:textId="77777777" w:rsidR="00B626E7" w:rsidRDefault="00B626E7">
            <w:pPr>
              <w:rPr>
                <w:rFonts w:ascii="宋体"/>
              </w:rPr>
            </w:pPr>
          </w:p>
        </w:tc>
        <w:tc>
          <w:tcPr>
            <w:tcW w:w="0" w:type="auto"/>
            <w:shd w:val="clear" w:color="auto" w:fill="auto"/>
          </w:tcPr>
          <w:p w14:paraId="20AE129D" w14:textId="77777777" w:rsidR="00B626E7" w:rsidRDefault="00B626E7">
            <w:pPr>
              <w:rPr>
                <w:rFonts w:ascii="宋体"/>
              </w:rPr>
            </w:pPr>
          </w:p>
        </w:tc>
        <w:tc>
          <w:tcPr>
            <w:tcW w:w="0" w:type="auto"/>
            <w:shd w:val="clear" w:color="auto" w:fill="auto"/>
          </w:tcPr>
          <w:p w14:paraId="20AE129E" w14:textId="77777777" w:rsidR="00B626E7" w:rsidRDefault="00B626E7">
            <w:pPr>
              <w:rPr>
                <w:rFonts w:ascii="宋体"/>
              </w:rPr>
            </w:pPr>
          </w:p>
        </w:tc>
        <w:tc>
          <w:tcPr>
            <w:tcW w:w="0" w:type="auto"/>
            <w:shd w:val="clear" w:color="auto" w:fill="auto"/>
          </w:tcPr>
          <w:p w14:paraId="20AE129F" w14:textId="77777777" w:rsidR="00B626E7" w:rsidRDefault="00B626E7">
            <w:pPr>
              <w:rPr>
                <w:rFonts w:ascii="宋体"/>
              </w:rPr>
            </w:pPr>
          </w:p>
        </w:tc>
        <w:tc>
          <w:tcPr>
            <w:tcW w:w="0" w:type="auto"/>
            <w:shd w:val="clear" w:color="auto" w:fill="auto"/>
          </w:tcPr>
          <w:p w14:paraId="20AE12A0" w14:textId="77777777" w:rsidR="00B626E7" w:rsidRDefault="00B626E7">
            <w:pPr>
              <w:rPr>
                <w:rFonts w:ascii="宋体"/>
              </w:rPr>
            </w:pPr>
          </w:p>
        </w:tc>
        <w:tc>
          <w:tcPr>
            <w:tcW w:w="0" w:type="auto"/>
            <w:shd w:val="clear" w:color="auto" w:fill="auto"/>
          </w:tcPr>
          <w:p w14:paraId="20AE12A1" w14:textId="77777777" w:rsidR="00B626E7" w:rsidRDefault="00B626E7">
            <w:pPr>
              <w:rPr>
                <w:rFonts w:ascii="宋体"/>
              </w:rPr>
            </w:pPr>
          </w:p>
        </w:tc>
        <w:tc>
          <w:tcPr>
            <w:tcW w:w="0" w:type="auto"/>
            <w:shd w:val="clear" w:color="auto" w:fill="auto"/>
          </w:tcPr>
          <w:p w14:paraId="20AE12A2" w14:textId="77777777" w:rsidR="00B626E7" w:rsidRDefault="00B626E7">
            <w:pPr>
              <w:rPr>
                <w:rFonts w:ascii="宋体"/>
              </w:rPr>
            </w:pPr>
          </w:p>
        </w:tc>
        <w:tc>
          <w:tcPr>
            <w:tcW w:w="0" w:type="auto"/>
            <w:shd w:val="clear" w:color="auto" w:fill="auto"/>
          </w:tcPr>
          <w:p w14:paraId="20AE12A3" w14:textId="77777777" w:rsidR="00B626E7" w:rsidRDefault="00B626E7">
            <w:pPr>
              <w:rPr>
                <w:rFonts w:ascii="宋体"/>
              </w:rPr>
            </w:pPr>
          </w:p>
        </w:tc>
      </w:tr>
      <w:tr w:rsidR="00B626E7" w14:paraId="20AE12BE" w14:textId="77777777">
        <w:tc>
          <w:tcPr>
            <w:tcW w:w="0" w:type="auto"/>
            <w:gridSpan w:val="3"/>
            <w:shd w:val="clear" w:color="auto" w:fill="auto"/>
            <w:tcMar>
              <w:top w:w="40" w:type="dxa"/>
              <w:left w:w="20" w:type="dxa"/>
              <w:bottom w:w="40" w:type="dxa"/>
              <w:right w:w="20" w:type="dxa"/>
            </w:tcMar>
          </w:tcPr>
          <w:p w14:paraId="20AE12A5" w14:textId="77777777" w:rsidR="00B626E7" w:rsidRDefault="00175C1D">
            <w:pPr>
              <w:textAlignment w:val="top"/>
            </w:pPr>
            <w:r>
              <w:rPr>
                <w:rFonts w:ascii="Arial" w:eastAsia="宋体" w:hAnsi="Arial" w:cs="Arial"/>
                <w:color w:val="333333"/>
                <w:sz w:val="18"/>
                <w:szCs w:val="18"/>
              </w:rPr>
              <w:t>Sale of equity investments and other¹</w:t>
            </w:r>
          </w:p>
        </w:tc>
        <w:tc>
          <w:tcPr>
            <w:tcW w:w="0" w:type="auto"/>
            <w:gridSpan w:val="3"/>
            <w:shd w:val="clear" w:color="auto" w:fill="auto"/>
            <w:tcMar>
              <w:left w:w="20" w:type="dxa"/>
              <w:right w:w="20" w:type="dxa"/>
            </w:tcMar>
            <w:vAlign w:val="bottom"/>
          </w:tcPr>
          <w:p w14:paraId="20AE12A6"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2A7" w14:textId="77777777" w:rsidR="00B626E7" w:rsidRDefault="00175C1D">
            <w:pPr>
              <w:jc w:val="right"/>
              <w:textAlignment w:val="bottom"/>
            </w:pPr>
            <w:r>
              <w:rPr>
                <w:rFonts w:ascii="Arial" w:eastAsia="宋体" w:hAnsi="Arial" w:cs="Arial"/>
                <w:color w:val="026DCE"/>
                <w:sz w:val="18"/>
                <w:szCs w:val="18"/>
              </w:rPr>
              <w:t>95 </w:t>
            </w:r>
          </w:p>
        </w:tc>
        <w:tc>
          <w:tcPr>
            <w:tcW w:w="0" w:type="auto"/>
            <w:shd w:val="clear" w:color="auto" w:fill="auto"/>
            <w:tcMar>
              <w:top w:w="40" w:type="dxa"/>
              <w:bottom w:w="40" w:type="dxa"/>
              <w:right w:w="20" w:type="dxa"/>
            </w:tcMar>
            <w:vAlign w:val="bottom"/>
          </w:tcPr>
          <w:p w14:paraId="20AE12A8"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2A9"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2AA" w14:textId="77777777" w:rsidR="00B626E7" w:rsidRDefault="00175C1D">
            <w:pPr>
              <w:jc w:val="right"/>
              <w:textAlignment w:val="bottom"/>
            </w:pPr>
            <w:r>
              <w:rPr>
                <w:rFonts w:ascii="Arial" w:eastAsia="宋体" w:hAnsi="Arial" w:cs="Arial"/>
                <w:color w:val="333333"/>
                <w:sz w:val="18"/>
                <w:szCs w:val="18"/>
              </w:rPr>
              <w:t>380 </w:t>
            </w:r>
          </w:p>
        </w:tc>
        <w:tc>
          <w:tcPr>
            <w:tcW w:w="0" w:type="auto"/>
            <w:shd w:val="clear" w:color="auto" w:fill="auto"/>
            <w:tcMar>
              <w:top w:w="40" w:type="dxa"/>
              <w:bottom w:w="40" w:type="dxa"/>
              <w:right w:w="20" w:type="dxa"/>
            </w:tcMar>
            <w:vAlign w:val="bottom"/>
          </w:tcPr>
          <w:p w14:paraId="20AE12AB"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2AC"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2AD" w14:textId="77777777" w:rsidR="00B626E7" w:rsidRDefault="00175C1D">
            <w:pPr>
              <w:jc w:val="right"/>
              <w:textAlignment w:val="bottom"/>
            </w:pPr>
            <w:r>
              <w:rPr>
                <w:rFonts w:ascii="Arial" w:eastAsia="宋体" w:hAnsi="Arial" w:cs="Arial"/>
                <w:color w:val="026DCE"/>
                <w:sz w:val="18"/>
                <w:szCs w:val="18"/>
              </w:rPr>
              <w:t>150 </w:t>
            </w:r>
          </w:p>
        </w:tc>
        <w:tc>
          <w:tcPr>
            <w:tcW w:w="0" w:type="auto"/>
            <w:shd w:val="clear" w:color="auto" w:fill="auto"/>
            <w:tcMar>
              <w:top w:w="40" w:type="dxa"/>
              <w:bottom w:w="40" w:type="dxa"/>
              <w:right w:w="20" w:type="dxa"/>
            </w:tcMar>
            <w:vAlign w:val="bottom"/>
          </w:tcPr>
          <w:p w14:paraId="20AE12AE"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2AF"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2B0" w14:textId="77777777" w:rsidR="00B626E7" w:rsidRDefault="00175C1D">
            <w:pPr>
              <w:jc w:val="right"/>
              <w:textAlignment w:val="bottom"/>
            </w:pPr>
            <w:r>
              <w:rPr>
                <w:rFonts w:ascii="Arial" w:eastAsia="宋体" w:hAnsi="Arial" w:cs="Arial"/>
                <w:color w:val="333333"/>
                <w:sz w:val="18"/>
                <w:szCs w:val="18"/>
              </w:rPr>
              <w:t>576 </w:t>
            </w:r>
          </w:p>
        </w:tc>
        <w:tc>
          <w:tcPr>
            <w:tcW w:w="0" w:type="auto"/>
            <w:shd w:val="clear" w:color="auto" w:fill="auto"/>
            <w:tcMar>
              <w:top w:w="40" w:type="dxa"/>
              <w:bottom w:w="40" w:type="dxa"/>
              <w:right w:w="20" w:type="dxa"/>
            </w:tcMar>
            <w:vAlign w:val="bottom"/>
          </w:tcPr>
          <w:p w14:paraId="20AE12B1"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2B2" w14:textId="77777777" w:rsidR="00B626E7" w:rsidRDefault="00B626E7">
            <w:pPr>
              <w:rPr>
                <w:rFonts w:ascii="宋体"/>
              </w:rPr>
            </w:pPr>
          </w:p>
        </w:tc>
        <w:tc>
          <w:tcPr>
            <w:tcW w:w="0" w:type="auto"/>
            <w:shd w:val="clear" w:color="auto" w:fill="auto"/>
          </w:tcPr>
          <w:p w14:paraId="20AE12B3" w14:textId="77777777" w:rsidR="00B626E7" w:rsidRDefault="00B626E7">
            <w:pPr>
              <w:rPr>
                <w:rFonts w:ascii="宋体"/>
              </w:rPr>
            </w:pPr>
          </w:p>
        </w:tc>
        <w:tc>
          <w:tcPr>
            <w:tcW w:w="0" w:type="auto"/>
            <w:shd w:val="clear" w:color="auto" w:fill="auto"/>
          </w:tcPr>
          <w:p w14:paraId="20AE12B4" w14:textId="77777777" w:rsidR="00B626E7" w:rsidRDefault="00B626E7">
            <w:pPr>
              <w:rPr>
                <w:rFonts w:ascii="宋体"/>
              </w:rPr>
            </w:pPr>
          </w:p>
        </w:tc>
        <w:tc>
          <w:tcPr>
            <w:tcW w:w="0" w:type="auto"/>
            <w:shd w:val="clear" w:color="auto" w:fill="auto"/>
          </w:tcPr>
          <w:p w14:paraId="20AE12B5" w14:textId="77777777" w:rsidR="00B626E7" w:rsidRDefault="00B626E7">
            <w:pPr>
              <w:rPr>
                <w:rFonts w:ascii="宋体"/>
              </w:rPr>
            </w:pPr>
          </w:p>
        </w:tc>
        <w:tc>
          <w:tcPr>
            <w:tcW w:w="0" w:type="auto"/>
            <w:shd w:val="clear" w:color="auto" w:fill="auto"/>
          </w:tcPr>
          <w:p w14:paraId="20AE12B6" w14:textId="77777777" w:rsidR="00B626E7" w:rsidRDefault="00B626E7">
            <w:pPr>
              <w:rPr>
                <w:rFonts w:ascii="宋体"/>
              </w:rPr>
            </w:pPr>
          </w:p>
        </w:tc>
        <w:tc>
          <w:tcPr>
            <w:tcW w:w="0" w:type="auto"/>
            <w:shd w:val="clear" w:color="auto" w:fill="auto"/>
          </w:tcPr>
          <w:p w14:paraId="20AE12B7" w14:textId="77777777" w:rsidR="00B626E7" w:rsidRDefault="00B626E7">
            <w:pPr>
              <w:rPr>
                <w:rFonts w:ascii="宋体"/>
              </w:rPr>
            </w:pPr>
          </w:p>
        </w:tc>
        <w:tc>
          <w:tcPr>
            <w:tcW w:w="0" w:type="auto"/>
            <w:shd w:val="clear" w:color="auto" w:fill="auto"/>
          </w:tcPr>
          <w:p w14:paraId="20AE12B8" w14:textId="77777777" w:rsidR="00B626E7" w:rsidRDefault="00B626E7">
            <w:pPr>
              <w:rPr>
                <w:rFonts w:ascii="宋体"/>
              </w:rPr>
            </w:pPr>
          </w:p>
        </w:tc>
        <w:tc>
          <w:tcPr>
            <w:tcW w:w="0" w:type="auto"/>
            <w:shd w:val="clear" w:color="auto" w:fill="auto"/>
          </w:tcPr>
          <w:p w14:paraId="20AE12B9" w14:textId="77777777" w:rsidR="00B626E7" w:rsidRDefault="00B626E7">
            <w:pPr>
              <w:rPr>
                <w:rFonts w:ascii="宋体"/>
              </w:rPr>
            </w:pPr>
          </w:p>
        </w:tc>
        <w:tc>
          <w:tcPr>
            <w:tcW w:w="0" w:type="auto"/>
            <w:shd w:val="clear" w:color="auto" w:fill="auto"/>
          </w:tcPr>
          <w:p w14:paraId="20AE12BA" w14:textId="77777777" w:rsidR="00B626E7" w:rsidRDefault="00B626E7">
            <w:pPr>
              <w:rPr>
                <w:rFonts w:ascii="宋体"/>
              </w:rPr>
            </w:pPr>
          </w:p>
        </w:tc>
        <w:tc>
          <w:tcPr>
            <w:tcW w:w="0" w:type="auto"/>
            <w:shd w:val="clear" w:color="auto" w:fill="auto"/>
          </w:tcPr>
          <w:p w14:paraId="20AE12BB" w14:textId="77777777" w:rsidR="00B626E7" w:rsidRDefault="00B626E7">
            <w:pPr>
              <w:rPr>
                <w:rFonts w:ascii="宋体"/>
              </w:rPr>
            </w:pPr>
          </w:p>
        </w:tc>
        <w:tc>
          <w:tcPr>
            <w:tcW w:w="0" w:type="auto"/>
            <w:shd w:val="clear" w:color="auto" w:fill="auto"/>
          </w:tcPr>
          <w:p w14:paraId="20AE12BC" w14:textId="77777777" w:rsidR="00B626E7" w:rsidRDefault="00B626E7">
            <w:pPr>
              <w:rPr>
                <w:rFonts w:ascii="宋体"/>
              </w:rPr>
            </w:pPr>
          </w:p>
        </w:tc>
        <w:tc>
          <w:tcPr>
            <w:tcW w:w="0" w:type="auto"/>
            <w:shd w:val="clear" w:color="auto" w:fill="auto"/>
          </w:tcPr>
          <w:p w14:paraId="20AE12BD" w14:textId="77777777" w:rsidR="00B626E7" w:rsidRDefault="00B626E7">
            <w:pPr>
              <w:rPr>
                <w:rFonts w:ascii="宋体"/>
              </w:rPr>
            </w:pPr>
          </w:p>
        </w:tc>
      </w:tr>
      <w:tr w:rsidR="00B626E7" w14:paraId="20AE12DC" w14:textId="77777777">
        <w:tc>
          <w:tcPr>
            <w:tcW w:w="0" w:type="auto"/>
            <w:gridSpan w:val="3"/>
            <w:shd w:val="clear" w:color="auto" w:fill="auto"/>
            <w:tcMar>
              <w:top w:w="40" w:type="dxa"/>
              <w:left w:w="20" w:type="dxa"/>
              <w:bottom w:w="40" w:type="dxa"/>
              <w:right w:w="20" w:type="dxa"/>
            </w:tcMar>
          </w:tcPr>
          <w:p w14:paraId="20AE12BF" w14:textId="77777777" w:rsidR="00B626E7" w:rsidRDefault="00175C1D">
            <w:pPr>
              <w:ind w:hanging="180"/>
              <w:textAlignment w:val="top"/>
            </w:pPr>
            <w:r>
              <w:rPr>
                <w:rFonts w:ascii="Arial" w:eastAsia="宋体" w:hAnsi="Arial" w:cs="Arial"/>
                <w:b/>
                <w:bCs/>
                <w:color w:val="333333"/>
                <w:sz w:val="18"/>
                <w:szCs w:val="18"/>
              </w:rPr>
              <w:t>Total gains (losses) on equity investments, net</w:t>
            </w:r>
          </w:p>
        </w:tc>
        <w:tc>
          <w:tcPr>
            <w:tcW w:w="0" w:type="auto"/>
            <w:gridSpan w:val="3"/>
            <w:shd w:val="clear" w:color="auto" w:fill="auto"/>
            <w:tcMar>
              <w:left w:w="20" w:type="dxa"/>
              <w:right w:w="20" w:type="dxa"/>
            </w:tcMar>
            <w:vAlign w:val="bottom"/>
          </w:tcPr>
          <w:p w14:paraId="20AE12C0"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12C1" w14:textId="77777777" w:rsidR="00B626E7" w:rsidRDefault="00175C1D">
            <w:pPr>
              <w:textAlignment w:val="bottom"/>
            </w:pPr>
            <w:r>
              <w:rPr>
                <w:rFonts w:ascii="Arial" w:eastAsia="宋体" w:hAnsi="Arial" w:cs="Arial"/>
                <w:b/>
                <w:bCs/>
                <w:color w:val="026DCE"/>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12C2" w14:textId="77777777" w:rsidR="00B626E7" w:rsidRDefault="00175C1D">
            <w:pPr>
              <w:jc w:val="right"/>
              <w:textAlignment w:val="bottom"/>
            </w:pPr>
            <w:r>
              <w:rPr>
                <w:rFonts w:ascii="Arial" w:eastAsia="宋体" w:hAnsi="Arial" w:cs="Arial"/>
                <w:b/>
                <w:bCs/>
                <w:color w:val="026DCE"/>
                <w:sz w:val="18"/>
                <w:szCs w:val="18"/>
              </w:rPr>
              <w:t>267 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12C3"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12C4"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12C5"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12C6" w14:textId="77777777" w:rsidR="00B626E7" w:rsidRDefault="00175C1D">
            <w:pPr>
              <w:jc w:val="right"/>
              <w:textAlignment w:val="bottom"/>
            </w:pPr>
            <w:r>
              <w:rPr>
                <w:rFonts w:ascii="Arial" w:eastAsia="宋体" w:hAnsi="Arial" w:cs="Arial"/>
                <w:b/>
                <w:bCs/>
                <w:color w:val="333333"/>
                <w:sz w:val="18"/>
                <w:szCs w:val="18"/>
              </w:rPr>
              <w:t>170 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12C7"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12C8"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12C9" w14:textId="77777777" w:rsidR="00B626E7" w:rsidRDefault="00175C1D">
            <w:pPr>
              <w:textAlignment w:val="bottom"/>
            </w:pPr>
            <w:r>
              <w:rPr>
                <w:rFonts w:ascii="Arial" w:eastAsia="宋体" w:hAnsi="Arial" w:cs="Arial"/>
                <w:b/>
                <w:bCs/>
                <w:color w:val="026DCE"/>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12CA" w14:textId="77777777" w:rsidR="00B626E7" w:rsidRDefault="00175C1D">
            <w:pPr>
              <w:jc w:val="right"/>
              <w:textAlignment w:val="bottom"/>
            </w:pPr>
            <w:r>
              <w:rPr>
                <w:rFonts w:ascii="Arial" w:eastAsia="宋体" w:hAnsi="Arial" w:cs="Arial"/>
                <w:b/>
                <w:bCs/>
                <w:color w:val="026DCE"/>
                <w:sz w:val="18"/>
                <w:szCs w:val="18"/>
              </w:rPr>
              <w:t>156 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12CB"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12CC"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12CD"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12CE" w14:textId="77777777" w:rsidR="00B626E7" w:rsidRDefault="00175C1D">
            <w:pPr>
              <w:jc w:val="right"/>
              <w:textAlignment w:val="bottom"/>
            </w:pPr>
            <w:r>
              <w:rPr>
                <w:rFonts w:ascii="Arial" w:eastAsia="宋体" w:hAnsi="Arial" w:cs="Arial"/>
                <w:b/>
                <w:bCs/>
                <w:color w:val="333333"/>
                <w:sz w:val="18"/>
                <w:szCs w:val="18"/>
              </w:rPr>
              <w:t>604 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12CF"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E12D0" w14:textId="77777777" w:rsidR="00B626E7" w:rsidRDefault="00B626E7">
            <w:pPr>
              <w:rPr>
                <w:rFonts w:ascii="宋体"/>
              </w:rPr>
            </w:pPr>
          </w:p>
        </w:tc>
        <w:tc>
          <w:tcPr>
            <w:tcW w:w="0" w:type="auto"/>
            <w:shd w:val="clear" w:color="auto" w:fill="auto"/>
          </w:tcPr>
          <w:p w14:paraId="20AE12D1" w14:textId="77777777" w:rsidR="00B626E7" w:rsidRDefault="00B626E7">
            <w:pPr>
              <w:rPr>
                <w:rFonts w:ascii="宋体"/>
              </w:rPr>
            </w:pPr>
          </w:p>
        </w:tc>
        <w:tc>
          <w:tcPr>
            <w:tcW w:w="0" w:type="auto"/>
            <w:shd w:val="clear" w:color="auto" w:fill="auto"/>
          </w:tcPr>
          <w:p w14:paraId="20AE12D2" w14:textId="77777777" w:rsidR="00B626E7" w:rsidRDefault="00B626E7">
            <w:pPr>
              <w:rPr>
                <w:rFonts w:ascii="宋体"/>
              </w:rPr>
            </w:pPr>
          </w:p>
        </w:tc>
        <w:tc>
          <w:tcPr>
            <w:tcW w:w="0" w:type="auto"/>
            <w:shd w:val="clear" w:color="auto" w:fill="auto"/>
          </w:tcPr>
          <w:p w14:paraId="20AE12D3" w14:textId="77777777" w:rsidR="00B626E7" w:rsidRDefault="00B626E7">
            <w:pPr>
              <w:rPr>
                <w:rFonts w:ascii="宋体"/>
              </w:rPr>
            </w:pPr>
          </w:p>
        </w:tc>
        <w:tc>
          <w:tcPr>
            <w:tcW w:w="0" w:type="auto"/>
            <w:shd w:val="clear" w:color="auto" w:fill="auto"/>
          </w:tcPr>
          <w:p w14:paraId="20AE12D4" w14:textId="77777777" w:rsidR="00B626E7" w:rsidRDefault="00B626E7">
            <w:pPr>
              <w:rPr>
                <w:rFonts w:ascii="宋体"/>
              </w:rPr>
            </w:pPr>
          </w:p>
        </w:tc>
        <w:tc>
          <w:tcPr>
            <w:tcW w:w="0" w:type="auto"/>
            <w:shd w:val="clear" w:color="auto" w:fill="auto"/>
          </w:tcPr>
          <w:p w14:paraId="20AE12D5" w14:textId="77777777" w:rsidR="00B626E7" w:rsidRDefault="00B626E7">
            <w:pPr>
              <w:rPr>
                <w:rFonts w:ascii="宋体"/>
              </w:rPr>
            </w:pPr>
          </w:p>
        </w:tc>
        <w:tc>
          <w:tcPr>
            <w:tcW w:w="0" w:type="auto"/>
            <w:shd w:val="clear" w:color="auto" w:fill="auto"/>
          </w:tcPr>
          <w:p w14:paraId="20AE12D6" w14:textId="77777777" w:rsidR="00B626E7" w:rsidRDefault="00B626E7">
            <w:pPr>
              <w:rPr>
                <w:rFonts w:ascii="宋体"/>
              </w:rPr>
            </w:pPr>
          </w:p>
        </w:tc>
        <w:tc>
          <w:tcPr>
            <w:tcW w:w="0" w:type="auto"/>
            <w:shd w:val="clear" w:color="auto" w:fill="auto"/>
          </w:tcPr>
          <w:p w14:paraId="20AE12D7" w14:textId="77777777" w:rsidR="00B626E7" w:rsidRDefault="00B626E7">
            <w:pPr>
              <w:rPr>
                <w:rFonts w:ascii="宋体"/>
              </w:rPr>
            </w:pPr>
          </w:p>
        </w:tc>
        <w:tc>
          <w:tcPr>
            <w:tcW w:w="0" w:type="auto"/>
            <w:shd w:val="clear" w:color="auto" w:fill="auto"/>
          </w:tcPr>
          <w:p w14:paraId="20AE12D8" w14:textId="77777777" w:rsidR="00B626E7" w:rsidRDefault="00B626E7">
            <w:pPr>
              <w:rPr>
                <w:rFonts w:ascii="宋体"/>
              </w:rPr>
            </w:pPr>
          </w:p>
        </w:tc>
        <w:tc>
          <w:tcPr>
            <w:tcW w:w="0" w:type="auto"/>
            <w:shd w:val="clear" w:color="auto" w:fill="auto"/>
          </w:tcPr>
          <w:p w14:paraId="20AE12D9" w14:textId="77777777" w:rsidR="00B626E7" w:rsidRDefault="00B626E7">
            <w:pPr>
              <w:rPr>
                <w:rFonts w:ascii="宋体"/>
              </w:rPr>
            </w:pPr>
          </w:p>
        </w:tc>
        <w:tc>
          <w:tcPr>
            <w:tcW w:w="0" w:type="auto"/>
            <w:shd w:val="clear" w:color="auto" w:fill="auto"/>
          </w:tcPr>
          <w:p w14:paraId="20AE12DA" w14:textId="77777777" w:rsidR="00B626E7" w:rsidRDefault="00B626E7">
            <w:pPr>
              <w:rPr>
                <w:rFonts w:ascii="宋体"/>
              </w:rPr>
            </w:pPr>
          </w:p>
        </w:tc>
        <w:tc>
          <w:tcPr>
            <w:tcW w:w="0" w:type="auto"/>
            <w:shd w:val="clear" w:color="auto" w:fill="auto"/>
          </w:tcPr>
          <w:p w14:paraId="20AE12DB" w14:textId="77777777" w:rsidR="00B626E7" w:rsidRDefault="00B626E7">
            <w:pPr>
              <w:rPr>
                <w:rFonts w:ascii="宋体"/>
              </w:rPr>
            </w:pPr>
          </w:p>
        </w:tc>
      </w:tr>
    </w:tbl>
    <w:p w14:paraId="20AE12DD" w14:textId="77777777" w:rsidR="00B626E7" w:rsidRDefault="00175C1D">
      <w:pPr>
        <w:spacing w:before="120" w:after="180"/>
        <w:ind w:hanging="180"/>
      </w:pPr>
      <w:r>
        <w:rPr>
          <w:rFonts w:ascii="Arial" w:eastAsia="宋体" w:hAnsi="Arial" w:cs="Arial"/>
          <w:i/>
          <w:iCs/>
          <w:color w:val="333333"/>
          <w:sz w:val="10"/>
          <w:szCs w:val="10"/>
        </w:rPr>
        <w:t>1</w:t>
      </w:r>
      <w:r>
        <w:rPr>
          <w:rFonts w:ascii="Arial" w:eastAsia="宋体" w:hAnsi="Arial" w:cs="Arial"/>
          <w:i/>
          <w:iCs/>
          <w:color w:val="333333"/>
          <w:sz w:val="16"/>
          <w:szCs w:val="16"/>
        </w:rPr>
        <w:t xml:space="preserve"> Sale of equity investments and other includes realized gains (losses) on sales of</w:t>
      </w:r>
      <w:r>
        <w:rPr>
          <w:rFonts w:ascii="Arial" w:eastAsia="宋体" w:hAnsi="Arial" w:cs="Arial"/>
          <w:i/>
          <w:iCs/>
          <w:color w:val="333333"/>
          <w:sz w:val="16"/>
          <w:szCs w:val="16"/>
        </w:rPr>
        <w:t xml:space="preserve"> non-marketable equity investments, our share of equity method investee gains (losses) and distributions, and initial fair value adjustments recorded upon a security becoming marketable. </w:t>
      </w:r>
    </w:p>
    <w:p w14:paraId="20AE12DE" w14:textId="77777777" w:rsidR="00B626E7" w:rsidRDefault="00175C1D">
      <w:pPr>
        <w:spacing w:after="180"/>
      </w:pPr>
      <w:r>
        <w:rPr>
          <w:rFonts w:ascii="Arial" w:eastAsia="宋体" w:hAnsi="Arial" w:cs="Arial"/>
          <w:color w:val="333333"/>
          <w:sz w:val="18"/>
          <w:szCs w:val="18"/>
        </w:rPr>
        <w:t>We recognized higher than historically experienced impairment charge</w:t>
      </w:r>
      <w:r>
        <w:rPr>
          <w:rFonts w:ascii="Arial" w:eastAsia="宋体" w:hAnsi="Arial" w:cs="Arial"/>
          <w:color w:val="333333"/>
          <w:sz w:val="18"/>
          <w:szCs w:val="18"/>
        </w:rPr>
        <w:t>s on our non-marketable portfolio in the first six months of 2020 based on our assessment of the impact of recent public and private market volatility and tightening of liquidity.</w:t>
      </w:r>
    </w:p>
    <w:p w14:paraId="20AE12DF" w14:textId="77777777" w:rsidR="00B626E7" w:rsidRDefault="00175C1D">
      <w:pPr>
        <w:spacing w:after="120"/>
      </w:pPr>
      <w:r>
        <w:rPr>
          <w:rFonts w:ascii="Arial" w:eastAsia="宋体" w:hAnsi="Arial" w:cs="Arial"/>
          <w:color w:val="333333"/>
          <w:sz w:val="18"/>
          <w:szCs w:val="18"/>
        </w:rPr>
        <w:t>Gains and losses for our marketable and non-marketable equity securities dur</w:t>
      </w:r>
      <w:r>
        <w:rPr>
          <w:rFonts w:ascii="Arial" w:eastAsia="宋体" w:hAnsi="Arial" w:cs="Arial"/>
          <w:color w:val="333333"/>
          <w:sz w:val="18"/>
          <w:szCs w:val="18"/>
        </w:rPr>
        <w:t>ing the period were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3723"/>
        <w:gridCol w:w="38"/>
        <w:gridCol w:w="36"/>
        <w:gridCol w:w="36"/>
        <w:gridCol w:w="36"/>
        <w:gridCol w:w="136"/>
        <w:gridCol w:w="656"/>
        <w:gridCol w:w="86"/>
        <w:gridCol w:w="36"/>
        <w:gridCol w:w="36"/>
        <w:gridCol w:w="36"/>
        <w:gridCol w:w="136"/>
        <w:gridCol w:w="674"/>
        <w:gridCol w:w="86"/>
        <w:gridCol w:w="36"/>
        <w:gridCol w:w="36"/>
        <w:gridCol w:w="36"/>
        <w:gridCol w:w="136"/>
        <w:gridCol w:w="727"/>
        <w:gridCol w:w="86"/>
        <w:gridCol w:w="36"/>
        <w:gridCol w:w="36"/>
        <w:gridCol w:w="36"/>
        <w:gridCol w:w="136"/>
        <w:gridCol w:w="727"/>
        <w:gridCol w:w="86"/>
        <w:gridCol w:w="36"/>
        <w:gridCol w:w="36"/>
        <w:gridCol w:w="36"/>
        <w:gridCol w:w="36"/>
        <w:gridCol w:w="36"/>
        <w:gridCol w:w="36"/>
        <w:gridCol w:w="36"/>
        <w:gridCol w:w="36"/>
        <w:gridCol w:w="36"/>
        <w:gridCol w:w="36"/>
        <w:gridCol w:w="36"/>
        <w:gridCol w:w="36"/>
      </w:tblGrid>
      <w:tr w:rsidR="00B626E7" w14:paraId="20AE12FB" w14:textId="77777777">
        <w:trPr>
          <w:gridAfter w:val="12"/>
        </w:trPr>
        <w:tc>
          <w:tcPr>
            <w:tcW w:w="50" w:type="pct"/>
            <w:shd w:val="clear" w:color="auto" w:fill="auto"/>
          </w:tcPr>
          <w:p w14:paraId="20AE12E0" w14:textId="77777777" w:rsidR="00B626E7" w:rsidRDefault="00B626E7">
            <w:pPr>
              <w:rPr>
                <w:rFonts w:ascii="宋体"/>
              </w:rPr>
            </w:pPr>
          </w:p>
        </w:tc>
        <w:tc>
          <w:tcPr>
            <w:tcW w:w="2400" w:type="pct"/>
            <w:shd w:val="clear" w:color="auto" w:fill="auto"/>
          </w:tcPr>
          <w:p w14:paraId="20AE12E1" w14:textId="77777777" w:rsidR="00B626E7" w:rsidRDefault="00B626E7">
            <w:pPr>
              <w:rPr>
                <w:rFonts w:ascii="宋体"/>
              </w:rPr>
            </w:pPr>
          </w:p>
        </w:tc>
        <w:tc>
          <w:tcPr>
            <w:tcW w:w="50" w:type="pct"/>
            <w:shd w:val="clear" w:color="auto" w:fill="auto"/>
          </w:tcPr>
          <w:p w14:paraId="20AE12E2" w14:textId="77777777" w:rsidR="00B626E7" w:rsidRDefault="00B626E7">
            <w:pPr>
              <w:rPr>
                <w:rFonts w:ascii="宋体"/>
              </w:rPr>
            </w:pPr>
          </w:p>
        </w:tc>
        <w:tc>
          <w:tcPr>
            <w:tcW w:w="5" w:type="pct"/>
            <w:shd w:val="clear" w:color="auto" w:fill="auto"/>
          </w:tcPr>
          <w:p w14:paraId="20AE12E3" w14:textId="77777777" w:rsidR="00B626E7" w:rsidRDefault="00B626E7">
            <w:pPr>
              <w:rPr>
                <w:rFonts w:ascii="宋体"/>
              </w:rPr>
            </w:pPr>
          </w:p>
        </w:tc>
        <w:tc>
          <w:tcPr>
            <w:tcW w:w="24" w:type="pct"/>
            <w:shd w:val="clear" w:color="auto" w:fill="auto"/>
          </w:tcPr>
          <w:p w14:paraId="20AE12E4" w14:textId="77777777" w:rsidR="00B626E7" w:rsidRDefault="00B626E7">
            <w:pPr>
              <w:rPr>
                <w:rFonts w:ascii="宋体"/>
              </w:rPr>
            </w:pPr>
          </w:p>
        </w:tc>
        <w:tc>
          <w:tcPr>
            <w:tcW w:w="5" w:type="pct"/>
            <w:shd w:val="clear" w:color="auto" w:fill="auto"/>
          </w:tcPr>
          <w:p w14:paraId="20AE12E5" w14:textId="77777777" w:rsidR="00B626E7" w:rsidRDefault="00B626E7">
            <w:pPr>
              <w:rPr>
                <w:rFonts w:ascii="宋体"/>
              </w:rPr>
            </w:pPr>
          </w:p>
        </w:tc>
        <w:tc>
          <w:tcPr>
            <w:tcW w:w="50" w:type="pct"/>
            <w:shd w:val="clear" w:color="auto" w:fill="auto"/>
          </w:tcPr>
          <w:p w14:paraId="20AE12E6" w14:textId="77777777" w:rsidR="00B626E7" w:rsidRDefault="00B626E7">
            <w:pPr>
              <w:rPr>
                <w:rFonts w:ascii="宋体"/>
              </w:rPr>
            </w:pPr>
          </w:p>
        </w:tc>
        <w:tc>
          <w:tcPr>
            <w:tcW w:w="494" w:type="pct"/>
            <w:shd w:val="clear" w:color="auto" w:fill="auto"/>
          </w:tcPr>
          <w:p w14:paraId="20AE12E7" w14:textId="77777777" w:rsidR="00B626E7" w:rsidRDefault="00B626E7">
            <w:pPr>
              <w:rPr>
                <w:rFonts w:ascii="宋体"/>
              </w:rPr>
            </w:pPr>
          </w:p>
        </w:tc>
        <w:tc>
          <w:tcPr>
            <w:tcW w:w="50" w:type="pct"/>
            <w:shd w:val="clear" w:color="auto" w:fill="auto"/>
          </w:tcPr>
          <w:p w14:paraId="20AE12E8" w14:textId="77777777" w:rsidR="00B626E7" w:rsidRDefault="00B626E7">
            <w:pPr>
              <w:rPr>
                <w:rFonts w:ascii="宋体"/>
              </w:rPr>
            </w:pPr>
          </w:p>
        </w:tc>
        <w:tc>
          <w:tcPr>
            <w:tcW w:w="5" w:type="pct"/>
            <w:shd w:val="clear" w:color="auto" w:fill="auto"/>
          </w:tcPr>
          <w:p w14:paraId="20AE12E9" w14:textId="77777777" w:rsidR="00B626E7" w:rsidRDefault="00B626E7">
            <w:pPr>
              <w:rPr>
                <w:rFonts w:ascii="宋体"/>
              </w:rPr>
            </w:pPr>
          </w:p>
        </w:tc>
        <w:tc>
          <w:tcPr>
            <w:tcW w:w="24" w:type="pct"/>
            <w:shd w:val="clear" w:color="auto" w:fill="auto"/>
          </w:tcPr>
          <w:p w14:paraId="20AE12EA" w14:textId="77777777" w:rsidR="00B626E7" w:rsidRDefault="00B626E7">
            <w:pPr>
              <w:rPr>
                <w:rFonts w:ascii="宋体"/>
              </w:rPr>
            </w:pPr>
          </w:p>
        </w:tc>
        <w:tc>
          <w:tcPr>
            <w:tcW w:w="5" w:type="pct"/>
            <w:shd w:val="clear" w:color="auto" w:fill="auto"/>
          </w:tcPr>
          <w:p w14:paraId="20AE12EB" w14:textId="77777777" w:rsidR="00B626E7" w:rsidRDefault="00B626E7">
            <w:pPr>
              <w:rPr>
                <w:rFonts w:ascii="宋体"/>
              </w:rPr>
            </w:pPr>
          </w:p>
        </w:tc>
        <w:tc>
          <w:tcPr>
            <w:tcW w:w="50" w:type="pct"/>
            <w:shd w:val="clear" w:color="auto" w:fill="auto"/>
          </w:tcPr>
          <w:p w14:paraId="20AE12EC" w14:textId="77777777" w:rsidR="00B626E7" w:rsidRDefault="00B626E7">
            <w:pPr>
              <w:rPr>
                <w:rFonts w:ascii="宋体"/>
              </w:rPr>
            </w:pPr>
          </w:p>
        </w:tc>
        <w:tc>
          <w:tcPr>
            <w:tcW w:w="494" w:type="pct"/>
            <w:shd w:val="clear" w:color="auto" w:fill="auto"/>
          </w:tcPr>
          <w:p w14:paraId="20AE12ED" w14:textId="77777777" w:rsidR="00B626E7" w:rsidRDefault="00B626E7">
            <w:pPr>
              <w:rPr>
                <w:rFonts w:ascii="宋体"/>
              </w:rPr>
            </w:pPr>
          </w:p>
        </w:tc>
        <w:tc>
          <w:tcPr>
            <w:tcW w:w="50" w:type="pct"/>
            <w:shd w:val="clear" w:color="auto" w:fill="auto"/>
          </w:tcPr>
          <w:p w14:paraId="20AE12EE" w14:textId="77777777" w:rsidR="00B626E7" w:rsidRDefault="00B626E7">
            <w:pPr>
              <w:rPr>
                <w:rFonts w:ascii="宋体"/>
              </w:rPr>
            </w:pPr>
          </w:p>
        </w:tc>
        <w:tc>
          <w:tcPr>
            <w:tcW w:w="5" w:type="pct"/>
            <w:shd w:val="clear" w:color="auto" w:fill="auto"/>
          </w:tcPr>
          <w:p w14:paraId="20AE12EF" w14:textId="77777777" w:rsidR="00B626E7" w:rsidRDefault="00B626E7">
            <w:pPr>
              <w:rPr>
                <w:rFonts w:ascii="宋体"/>
              </w:rPr>
            </w:pPr>
          </w:p>
        </w:tc>
        <w:tc>
          <w:tcPr>
            <w:tcW w:w="17" w:type="pct"/>
            <w:shd w:val="clear" w:color="auto" w:fill="auto"/>
          </w:tcPr>
          <w:p w14:paraId="20AE12F0" w14:textId="77777777" w:rsidR="00B626E7" w:rsidRDefault="00B626E7">
            <w:pPr>
              <w:rPr>
                <w:rFonts w:ascii="宋体"/>
              </w:rPr>
            </w:pPr>
          </w:p>
        </w:tc>
        <w:tc>
          <w:tcPr>
            <w:tcW w:w="5" w:type="pct"/>
            <w:shd w:val="clear" w:color="auto" w:fill="auto"/>
          </w:tcPr>
          <w:p w14:paraId="20AE12F1" w14:textId="77777777" w:rsidR="00B626E7" w:rsidRDefault="00B626E7">
            <w:pPr>
              <w:rPr>
                <w:rFonts w:ascii="宋体"/>
              </w:rPr>
            </w:pPr>
          </w:p>
        </w:tc>
        <w:tc>
          <w:tcPr>
            <w:tcW w:w="50" w:type="pct"/>
            <w:shd w:val="clear" w:color="auto" w:fill="auto"/>
          </w:tcPr>
          <w:p w14:paraId="20AE12F2" w14:textId="77777777" w:rsidR="00B626E7" w:rsidRDefault="00B626E7">
            <w:pPr>
              <w:rPr>
                <w:rFonts w:ascii="宋体"/>
              </w:rPr>
            </w:pPr>
          </w:p>
        </w:tc>
        <w:tc>
          <w:tcPr>
            <w:tcW w:w="494" w:type="pct"/>
            <w:shd w:val="clear" w:color="auto" w:fill="auto"/>
          </w:tcPr>
          <w:p w14:paraId="20AE12F3" w14:textId="77777777" w:rsidR="00B626E7" w:rsidRDefault="00B626E7">
            <w:pPr>
              <w:rPr>
                <w:rFonts w:ascii="宋体"/>
              </w:rPr>
            </w:pPr>
          </w:p>
        </w:tc>
        <w:tc>
          <w:tcPr>
            <w:tcW w:w="50" w:type="pct"/>
            <w:shd w:val="clear" w:color="auto" w:fill="auto"/>
          </w:tcPr>
          <w:p w14:paraId="20AE12F4" w14:textId="77777777" w:rsidR="00B626E7" w:rsidRDefault="00B626E7">
            <w:pPr>
              <w:rPr>
                <w:rFonts w:ascii="宋体"/>
              </w:rPr>
            </w:pPr>
          </w:p>
        </w:tc>
        <w:tc>
          <w:tcPr>
            <w:tcW w:w="5" w:type="pct"/>
            <w:shd w:val="clear" w:color="auto" w:fill="auto"/>
          </w:tcPr>
          <w:p w14:paraId="20AE12F5" w14:textId="77777777" w:rsidR="00B626E7" w:rsidRDefault="00B626E7">
            <w:pPr>
              <w:rPr>
                <w:rFonts w:ascii="宋体"/>
              </w:rPr>
            </w:pPr>
          </w:p>
        </w:tc>
        <w:tc>
          <w:tcPr>
            <w:tcW w:w="17" w:type="pct"/>
            <w:shd w:val="clear" w:color="auto" w:fill="auto"/>
          </w:tcPr>
          <w:p w14:paraId="20AE12F6" w14:textId="77777777" w:rsidR="00B626E7" w:rsidRDefault="00B626E7">
            <w:pPr>
              <w:rPr>
                <w:rFonts w:ascii="宋体"/>
              </w:rPr>
            </w:pPr>
          </w:p>
        </w:tc>
        <w:tc>
          <w:tcPr>
            <w:tcW w:w="5" w:type="pct"/>
            <w:shd w:val="clear" w:color="auto" w:fill="auto"/>
          </w:tcPr>
          <w:p w14:paraId="20AE12F7" w14:textId="77777777" w:rsidR="00B626E7" w:rsidRDefault="00B626E7">
            <w:pPr>
              <w:rPr>
                <w:rFonts w:ascii="宋体"/>
              </w:rPr>
            </w:pPr>
          </w:p>
        </w:tc>
        <w:tc>
          <w:tcPr>
            <w:tcW w:w="50" w:type="pct"/>
            <w:shd w:val="clear" w:color="auto" w:fill="auto"/>
          </w:tcPr>
          <w:p w14:paraId="20AE12F8" w14:textId="77777777" w:rsidR="00B626E7" w:rsidRDefault="00B626E7">
            <w:pPr>
              <w:rPr>
                <w:rFonts w:ascii="宋体"/>
              </w:rPr>
            </w:pPr>
          </w:p>
        </w:tc>
        <w:tc>
          <w:tcPr>
            <w:tcW w:w="494" w:type="pct"/>
            <w:shd w:val="clear" w:color="auto" w:fill="auto"/>
          </w:tcPr>
          <w:p w14:paraId="20AE12F9" w14:textId="77777777" w:rsidR="00B626E7" w:rsidRDefault="00B626E7">
            <w:pPr>
              <w:rPr>
                <w:rFonts w:ascii="宋体"/>
              </w:rPr>
            </w:pPr>
          </w:p>
        </w:tc>
        <w:tc>
          <w:tcPr>
            <w:tcW w:w="50" w:type="pct"/>
            <w:shd w:val="clear" w:color="auto" w:fill="auto"/>
          </w:tcPr>
          <w:p w14:paraId="20AE12FA" w14:textId="77777777" w:rsidR="00B626E7" w:rsidRDefault="00B626E7">
            <w:pPr>
              <w:rPr>
                <w:rFonts w:ascii="宋体"/>
              </w:rPr>
            </w:pPr>
          </w:p>
        </w:tc>
      </w:tr>
      <w:tr w:rsidR="00B626E7" w14:paraId="20AE1305" w14:textId="77777777">
        <w:tc>
          <w:tcPr>
            <w:tcW w:w="0" w:type="auto"/>
            <w:gridSpan w:val="3"/>
            <w:shd w:val="clear" w:color="auto" w:fill="auto"/>
            <w:tcMar>
              <w:left w:w="20" w:type="dxa"/>
              <w:right w:w="20" w:type="dxa"/>
            </w:tcMar>
            <w:vAlign w:val="bottom"/>
          </w:tcPr>
          <w:p w14:paraId="20AE12FC"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2FD" w14:textId="77777777" w:rsidR="00B626E7" w:rsidRDefault="00B626E7">
            <w:pPr>
              <w:rPr>
                <w:rFonts w:ascii="宋体"/>
              </w:rPr>
            </w:pPr>
          </w:p>
        </w:tc>
        <w:tc>
          <w:tcPr>
            <w:tcW w:w="0" w:type="auto"/>
            <w:gridSpan w:val="9"/>
            <w:shd w:val="clear" w:color="auto" w:fill="auto"/>
            <w:tcMar>
              <w:top w:w="40" w:type="dxa"/>
              <w:left w:w="20" w:type="dxa"/>
              <w:bottom w:w="40" w:type="dxa"/>
              <w:right w:w="20" w:type="dxa"/>
            </w:tcMar>
            <w:vAlign w:val="bottom"/>
          </w:tcPr>
          <w:p w14:paraId="20AE12FE" w14:textId="77777777" w:rsidR="00B626E7" w:rsidRDefault="00175C1D">
            <w:pPr>
              <w:jc w:val="center"/>
              <w:textAlignment w:val="bottom"/>
            </w:pPr>
            <w:r>
              <w:rPr>
                <w:rFonts w:ascii="Arial" w:eastAsia="宋体" w:hAnsi="Arial" w:cs="Arial"/>
                <w:b/>
                <w:bCs/>
                <w:color w:val="333333"/>
                <w:sz w:val="18"/>
                <w:szCs w:val="18"/>
              </w:rPr>
              <w:t>Three Months Ended</w:t>
            </w:r>
          </w:p>
        </w:tc>
        <w:tc>
          <w:tcPr>
            <w:tcW w:w="0" w:type="auto"/>
            <w:gridSpan w:val="3"/>
            <w:shd w:val="clear" w:color="auto" w:fill="auto"/>
          </w:tcPr>
          <w:p w14:paraId="20AE12FF" w14:textId="77777777" w:rsidR="00B626E7" w:rsidRDefault="00B626E7">
            <w:pPr>
              <w:rPr>
                <w:rFonts w:ascii="宋体"/>
                <w:vanish/>
              </w:rPr>
            </w:pPr>
          </w:p>
        </w:tc>
        <w:tc>
          <w:tcPr>
            <w:tcW w:w="0" w:type="auto"/>
            <w:gridSpan w:val="3"/>
            <w:shd w:val="clear" w:color="auto" w:fill="auto"/>
          </w:tcPr>
          <w:p w14:paraId="20AE1300" w14:textId="77777777" w:rsidR="00B626E7" w:rsidRDefault="00B626E7">
            <w:pPr>
              <w:rPr>
                <w:rFonts w:ascii="宋体"/>
                <w:vanish/>
              </w:rPr>
            </w:pPr>
          </w:p>
        </w:tc>
        <w:tc>
          <w:tcPr>
            <w:tcW w:w="0" w:type="auto"/>
            <w:gridSpan w:val="3"/>
            <w:shd w:val="clear" w:color="auto" w:fill="auto"/>
            <w:tcMar>
              <w:left w:w="20" w:type="dxa"/>
              <w:right w:w="20" w:type="dxa"/>
            </w:tcMar>
            <w:vAlign w:val="bottom"/>
          </w:tcPr>
          <w:p w14:paraId="20AE1301" w14:textId="77777777" w:rsidR="00B626E7" w:rsidRDefault="00B626E7">
            <w:pPr>
              <w:rPr>
                <w:rFonts w:ascii="宋体"/>
              </w:rPr>
            </w:pPr>
          </w:p>
        </w:tc>
        <w:tc>
          <w:tcPr>
            <w:tcW w:w="0" w:type="auto"/>
            <w:gridSpan w:val="9"/>
            <w:shd w:val="clear" w:color="auto" w:fill="auto"/>
            <w:tcMar>
              <w:top w:w="40" w:type="dxa"/>
              <w:left w:w="20" w:type="dxa"/>
              <w:bottom w:w="40" w:type="dxa"/>
              <w:right w:w="20" w:type="dxa"/>
            </w:tcMar>
            <w:vAlign w:val="bottom"/>
          </w:tcPr>
          <w:p w14:paraId="20AE1302" w14:textId="77777777" w:rsidR="00B626E7" w:rsidRDefault="00175C1D">
            <w:pPr>
              <w:jc w:val="center"/>
              <w:textAlignment w:val="bottom"/>
            </w:pPr>
            <w:r>
              <w:rPr>
                <w:rFonts w:ascii="Arial" w:eastAsia="宋体" w:hAnsi="Arial" w:cs="Arial"/>
                <w:b/>
                <w:bCs/>
                <w:color w:val="333333"/>
                <w:sz w:val="18"/>
                <w:szCs w:val="18"/>
              </w:rPr>
              <w:t>Six Months Ended</w:t>
            </w:r>
          </w:p>
        </w:tc>
        <w:tc>
          <w:tcPr>
            <w:tcW w:w="0" w:type="auto"/>
            <w:gridSpan w:val="3"/>
            <w:shd w:val="clear" w:color="auto" w:fill="auto"/>
          </w:tcPr>
          <w:p w14:paraId="20AE1303" w14:textId="77777777" w:rsidR="00B626E7" w:rsidRDefault="00B626E7">
            <w:pPr>
              <w:rPr>
                <w:rFonts w:ascii="宋体"/>
                <w:vanish/>
              </w:rPr>
            </w:pPr>
          </w:p>
        </w:tc>
        <w:tc>
          <w:tcPr>
            <w:tcW w:w="0" w:type="auto"/>
            <w:gridSpan w:val="3"/>
            <w:shd w:val="clear" w:color="auto" w:fill="auto"/>
          </w:tcPr>
          <w:p w14:paraId="20AE1304" w14:textId="77777777" w:rsidR="00B626E7" w:rsidRDefault="00B626E7">
            <w:pPr>
              <w:rPr>
                <w:rFonts w:ascii="宋体"/>
                <w:vanish/>
              </w:rPr>
            </w:pPr>
          </w:p>
        </w:tc>
      </w:tr>
      <w:tr w:rsidR="00B626E7" w14:paraId="20AE131B" w14:textId="77777777">
        <w:tc>
          <w:tcPr>
            <w:tcW w:w="0" w:type="auto"/>
            <w:gridSpan w:val="3"/>
            <w:shd w:val="clear" w:color="auto" w:fill="auto"/>
            <w:tcMar>
              <w:top w:w="40" w:type="dxa"/>
              <w:left w:w="20" w:type="dxa"/>
              <w:bottom w:w="40" w:type="dxa"/>
              <w:right w:w="20" w:type="dxa"/>
            </w:tcMar>
            <w:vAlign w:val="bottom"/>
          </w:tcPr>
          <w:p w14:paraId="20AE1306" w14:textId="77777777" w:rsidR="00B626E7" w:rsidRDefault="00175C1D">
            <w:pPr>
              <w:textAlignment w:val="bottom"/>
            </w:pPr>
            <w:r>
              <w:rPr>
                <w:rFonts w:ascii="Arial" w:eastAsia="宋体" w:hAnsi="Arial" w:cs="Arial"/>
                <w:b/>
                <w:bCs/>
                <w:color w:val="333333"/>
                <w:sz w:val="18"/>
                <w:szCs w:val="18"/>
              </w:rPr>
              <w:t>(In Millions)</w:t>
            </w:r>
          </w:p>
        </w:tc>
        <w:tc>
          <w:tcPr>
            <w:tcW w:w="0" w:type="auto"/>
            <w:gridSpan w:val="3"/>
            <w:shd w:val="clear" w:color="auto" w:fill="auto"/>
            <w:tcMar>
              <w:left w:w="20" w:type="dxa"/>
              <w:right w:w="20" w:type="dxa"/>
            </w:tcMar>
            <w:vAlign w:val="bottom"/>
          </w:tcPr>
          <w:p w14:paraId="20AE1307"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1308" w14:textId="77777777" w:rsidR="00B626E7" w:rsidRDefault="00175C1D">
            <w:pPr>
              <w:jc w:val="center"/>
              <w:textAlignment w:val="bottom"/>
            </w:pPr>
            <w:r>
              <w:rPr>
                <w:rFonts w:ascii="Arial" w:eastAsia="宋体" w:hAnsi="Arial" w:cs="Arial"/>
                <w:b/>
                <w:bCs/>
                <w:color w:val="333333"/>
                <w:sz w:val="18"/>
                <w:szCs w:val="18"/>
              </w:rPr>
              <w:t>Jun 27, 2020</w:t>
            </w:r>
          </w:p>
        </w:tc>
        <w:tc>
          <w:tcPr>
            <w:tcW w:w="0" w:type="auto"/>
            <w:gridSpan w:val="3"/>
            <w:tcBorders>
              <w:top w:val="single" w:sz="8" w:space="0" w:color="0071C5"/>
            </w:tcBorders>
            <w:shd w:val="clear" w:color="auto" w:fill="auto"/>
            <w:tcMar>
              <w:left w:w="20" w:type="dxa"/>
              <w:right w:w="20" w:type="dxa"/>
            </w:tcMar>
            <w:vAlign w:val="bottom"/>
          </w:tcPr>
          <w:p w14:paraId="20AE1309"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130A" w14:textId="77777777" w:rsidR="00B626E7" w:rsidRDefault="00175C1D">
            <w:pPr>
              <w:jc w:val="center"/>
              <w:textAlignment w:val="bottom"/>
            </w:pPr>
            <w:r>
              <w:rPr>
                <w:rFonts w:ascii="Arial" w:eastAsia="宋体" w:hAnsi="Arial" w:cs="Arial"/>
                <w:b/>
                <w:bCs/>
                <w:color w:val="333333"/>
                <w:sz w:val="18"/>
                <w:szCs w:val="18"/>
              </w:rPr>
              <w:t>Jun 29, 2019</w:t>
            </w:r>
          </w:p>
        </w:tc>
        <w:tc>
          <w:tcPr>
            <w:tcW w:w="0" w:type="auto"/>
            <w:gridSpan w:val="3"/>
            <w:shd w:val="clear" w:color="auto" w:fill="auto"/>
            <w:tcMar>
              <w:left w:w="20" w:type="dxa"/>
              <w:right w:w="20" w:type="dxa"/>
            </w:tcMar>
            <w:vAlign w:val="bottom"/>
          </w:tcPr>
          <w:p w14:paraId="20AE130B"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130C" w14:textId="77777777" w:rsidR="00B626E7" w:rsidRDefault="00175C1D">
            <w:pPr>
              <w:jc w:val="center"/>
              <w:textAlignment w:val="bottom"/>
            </w:pPr>
            <w:r>
              <w:rPr>
                <w:rFonts w:ascii="Arial" w:eastAsia="宋体" w:hAnsi="Arial" w:cs="Arial"/>
                <w:b/>
                <w:bCs/>
                <w:color w:val="333333"/>
                <w:sz w:val="18"/>
                <w:szCs w:val="18"/>
              </w:rPr>
              <w:t>Jun 27, 2020</w:t>
            </w:r>
          </w:p>
        </w:tc>
        <w:tc>
          <w:tcPr>
            <w:tcW w:w="0" w:type="auto"/>
            <w:gridSpan w:val="3"/>
            <w:tcBorders>
              <w:top w:val="single" w:sz="8" w:space="0" w:color="0071C5"/>
            </w:tcBorders>
            <w:shd w:val="clear" w:color="auto" w:fill="auto"/>
            <w:tcMar>
              <w:left w:w="20" w:type="dxa"/>
              <w:right w:w="20" w:type="dxa"/>
            </w:tcMar>
            <w:vAlign w:val="bottom"/>
          </w:tcPr>
          <w:p w14:paraId="20AE130D" w14:textId="77777777" w:rsidR="00B626E7" w:rsidRDefault="00B626E7">
            <w:pPr>
              <w:jc w:val="right"/>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130E" w14:textId="77777777" w:rsidR="00B626E7" w:rsidRDefault="00175C1D">
            <w:pPr>
              <w:jc w:val="center"/>
              <w:textAlignment w:val="bottom"/>
            </w:pPr>
            <w:r>
              <w:rPr>
                <w:rFonts w:ascii="Arial" w:eastAsia="宋体" w:hAnsi="Arial" w:cs="Arial"/>
                <w:b/>
                <w:bCs/>
                <w:color w:val="333333"/>
                <w:sz w:val="18"/>
                <w:szCs w:val="18"/>
              </w:rPr>
              <w:t>Jun 29, 2019</w:t>
            </w:r>
          </w:p>
        </w:tc>
        <w:tc>
          <w:tcPr>
            <w:tcW w:w="0" w:type="auto"/>
            <w:shd w:val="clear" w:color="auto" w:fill="auto"/>
          </w:tcPr>
          <w:p w14:paraId="20AE130F" w14:textId="77777777" w:rsidR="00B626E7" w:rsidRDefault="00B626E7">
            <w:pPr>
              <w:rPr>
                <w:rFonts w:ascii="宋体"/>
              </w:rPr>
            </w:pPr>
          </w:p>
        </w:tc>
        <w:tc>
          <w:tcPr>
            <w:tcW w:w="0" w:type="auto"/>
            <w:shd w:val="clear" w:color="auto" w:fill="auto"/>
          </w:tcPr>
          <w:p w14:paraId="20AE1310" w14:textId="77777777" w:rsidR="00B626E7" w:rsidRDefault="00B626E7">
            <w:pPr>
              <w:rPr>
                <w:rFonts w:ascii="宋体"/>
              </w:rPr>
            </w:pPr>
          </w:p>
        </w:tc>
        <w:tc>
          <w:tcPr>
            <w:tcW w:w="0" w:type="auto"/>
            <w:shd w:val="clear" w:color="auto" w:fill="auto"/>
          </w:tcPr>
          <w:p w14:paraId="20AE1311" w14:textId="77777777" w:rsidR="00B626E7" w:rsidRDefault="00B626E7">
            <w:pPr>
              <w:rPr>
                <w:rFonts w:ascii="宋体"/>
              </w:rPr>
            </w:pPr>
          </w:p>
        </w:tc>
        <w:tc>
          <w:tcPr>
            <w:tcW w:w="0" w:type="auto"/>
            <w:shd w:val="clear" w:color="auto" w:fill="auto"/>
          </w:tcPr>
          <w:p w14:paraId="20AE1312" w14:textId="77777777" w:rsidR="00B626E7" w:rsidRDefault="00B626E7">
            <w:pPr>
              <w:rPr>
                <w:rFonts w:ascii="宋体"/>
              </w:rPr>
            </w:pPr>
          </w:p>
        </w:tc>
        <w:tc>
          <w:tcPr>
            <w:tcW w:w="0" w:type="auto"/>
            <w:shd w:val="clear" w:color="auto" w:fill="auto"/>
          </w:tcPr>
          <w:p w14:paraId="20AE1313" w14:textId="77777777" w:rsidR="00B626E7" w:rsidRDefault="00B626E7">
            <w:pPr>
              <w:rPr>
                <w:rFonts w:ascii="宋体"/>
              </w:rPr>
            </w:pPr>
          </w:p>
        </w:tc>
        <w:tc>
          <w:tcPr>
            <w:tcW w:w="0" w:type="auto"/>
            <w:shd w:val="clear" w:color="auto" w:fill="auto"/>
          </w:tcPr>
          <w:p w14:paraId="20AE1314" w14:textId="77777777" w:rsidR="00B626E7" w:rsidRDefault="00B626E7">
            <w:pPr>
              <w:rPr>
                <w:rFonts w:ascii="宋体"/>
              </w:rPr>
            </w:pPr>
          </w:p>
        </w:tc>
        <w:tc>
          <w:tcPr>
            <w:tcW w:w="0" w:type="auto"/>
            <w:shd w:val="clear" w:color="auto" w:fill="auto"/>
          </w:tcPr>
          <w:p w14:paraId="20AE1315" w14:textId="77777777" w:rsidR="00B626E7" w:rsidRDefault="00B626E7">
            <w:pPr>
              <w:rPr>
                <w:rFonts w:ascii="宋体"/>
              </w:rPr>
            </w:pPr>
          </w:p>
        </w:tc>
        <w:tc>
          <w:tcPr>
            <w:tcW w:w="0" w:type="auto"/>
            <w:shd w:val="clear" w:color="auto" w:fill="auto"/>
          </w:tcPr>
          <w:p w14:paraId="20AE1316" w14:textId="77777777" w:rsidR="00B626E7" w:rsidRDefault="00B626E7">
            <w:pPr>
              <w:rPr>
                <w:rFonts w:ascii="宋体"/>
              </w:rPr>
            </w:pPr>
          </w:p>
        </w:tc>
        <w:tc>
          <w:tcPr>
            <w:tcW w:w="0" w:type="auto"/>
            <w:shd w:val="clear" w:color="auto" w:fill="auto"/>
          </w:tcPr>
          <w:p w14:paraId="20AE1317" w14:textId="77777777" w:rsidR="00B626E7" w:rsidRDefault="00B626E7">
            <w:pPr>
              <w:rPr>
                <w:rFonts w:ascii="宋体"/>
              </w:rPr>
            </w:pPr>
          </w:p>
        </w:tc>
        <w:tc>
          <w:tcPr>
            <w:tcW w:w="0" w:type="auto"/>
            <w:shd w:val="clear" w:color="auto" w:fill="auto"/>
          </w:tcPr>
          <w:p w14:paraId="20AE1318" w14:textId="77777777" w:rsidR="00B626E7" w:rsidRDefault="00B626E7">
            <w:pPr>
              <w:rPr>
                <w:rFonts w:ascii="宋体"/>
              </w:rPr>
            </w:pPr>
          </w:p>
        </w:tc>
        <w:tc>
          <w:tcPr>
            <w:tcW w:w="0" w:type="auto"/>
            <w:shd w:val="clear" w:color="auto" w:fill="auto"/>
          </w:tcPr>
          <w:p w14:paraId="20AE1319" w14:textId="77777777" w:rsidR="00B626E7" w:rsidRDefault="00B626E7">
            <w:pPr>
              <w:rPr>
                <w:rFonts w:ascii="宋体"/>
              </w:rPr>
            </w:pPr>
          </w:p>
        </w:tc>
        <w:tc>
          <w:tcPr>
            <w:tcW w:w="0" w:type="auto"/>
            <w:shd w:val="clear" w:color="auto" w:fill="auto"/>
          </w:tcPr>
          <w:p w14:paraId="20AE131A" w14:textId="77777777" w:rsidR="00B626E7" w:rsidRDefault="00B626E7">
            <w:pPr>
              <w:rPr>
                <w:rFonts w:ascii="宋体"/>
              </w:rPr>
            </w:pPr>
          </w:p>
        </w:tc>
      </w:tr>
      <w:tr w:rsidR="00B626E7" w14:paraId="20AE1339" w14:textId="77777777">
        <w:tc>
          <w:tcPr>
            <w:tcW w:w="0" w:type="auto"/>
            <w:gridSpan w:val="3"/>
            <w:tcBorders>
              <w:top w:val="single" w:sz="8" w:space="0" w:color="0071C5"/>
            </w:tcBorders>
            <w:shd w:val="clear" w:color="auto" w:fill="auto"/>
            <w:tcMar>
              <w:top w:w="40" w:type="dxa"/>
              <w:left w:w="20" w:type="dxa"/>
              <w:bottom w:w="40" w:type="dxa"/>
              <w:right w:w="20" w:type="dxa"/>
            </w:tcMar>
          </w:tcPr>
          <w:p w14:paraId="20AE131C" w14:textId="77777777" w:rsidR="00B626E7" w:rsidRDefault="00175C1D">
            <w:pPr>
              <w:textAlignment w:val="top"/>
            </w:pPr>
            <w:r>
              <w:rPr>
                <w:rFonts w:ascii="Arial" w:eastAsia="宋体" w:hAnsi="Arial" w:cs="Arial"/>
                <w:color w:val="333333"/>
                <w:sz w:val="18"/>
                <w:szCs w:val="18"/>
              </w:rPr>
              <w:t>Net gai</w:t>
            </w:r>
            <w:r>
              <w:rPr>
                <w:rFonts w:ascii="Arial" w:eastAsia="宋体" w:hAnsi="Arial" w:cs="Arial"/>
                <w:color w:val="333333"/>
                <w:sz w:val="18"/>
                <w:szCs w:val="18"/>
              </w:rPr>
              <w:t>ns (losses) recognized during the period on equity securities</w:t>
            </w:r>
          </w:p>
        </w:tc>
        <w:tc>
          <w:tcPr>
            <w:tcW w:w="0" w:type="auto"/>
            <w:gridSpan w:val="3"/>
            <w:shd w:val="clear" w:color="auto" w:fill="auto"/>
            <w:tcMar>
              <w:left w:w="20" w:type="dxa"/>
              <w:right w:w="20" w:type="dxa"/>
            </w:tcMar>
            <w:vAlign w:val="bottom"/>
          </w:tcPr>
          <w:p w14:paraId="20AE131D"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131E" w14:textId="77777777" w:rsidR="00B626E7" w:rsidRDefault="00175C1D">
            <w:pPr>
              <w:textAlignment w:val="bottom"/>
            </w:pPr>
            <w:r>
              <w:rPr>
                <w:rFonts w:ascii="Arial" w:eastAsia="宋体" w:hAnsi="Arial" w:cs="Arial"/>
                <w:color w:val="026DCE"/>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131F" w14:textId="77777777" w:rsidR="00B626E7" w:rsidRDefault="00175C1D">
            <w:pPr>
              <w:jc w:val="right"/>
              <w:textAlignment w:val="bottom"/>
            </w:pPr>
            <w:r>
              <w:rPr>
                <w:rFonts w:ascii="Arial" w:eastAsia="宋体" w:hAnsi="Arial" w:cs="Arial"/>
                <w:color w:val="026DCE"/>
                <w:sz w:val="18"/>
                <w:szCs w:val="18"/>
              </w:rPr>
              <w:t>223 </w:t>
            </w:r>
          </w:p>
        </w:tc>
        <w:tc>
          <w:tcPr>
            <w:tcW w:w="0" w:type="auto"/>
            <w:tcBorders>
              <w:top w:val="single" w:sz="8" w:space="0" w:color="0071C5"/>
            </w:tcBorders>
            <w:shd w:val="clear" w:color="auto" w:fill="auto"/>
            <w:tcMar>
              <w:top w:w="40" w:type="dxa"/>
              <w:bottom w:w="40" w:type="dxa"/>
              <w:right w:w="20" w:type="dxa"/>
            </w:tcMar>
            <w:vAlign w:val="bottom"/>
          </w:tcPr>
          <w:p w14:paraId="20AE1320"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321"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1322" w14:textId="77777777" w:rsidR="00B626E7" w:rsidRDefault="00175C1D">
            <w:pPr>
              <w:textAlignment w:val="bottom"/>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1323" w14:textId="77777777" w:rsidR="00B626E7" w:rsidRDefault="00175C1D">
            <w:pPr>
              <w:jc w:val="right"/>
              <w:textAlignment w:val="bottom"/>
            </w:pPr>
            <w:r>
              <w:rPr>
                <w:rFonts w:ascii="Arial" w:eastAsia="宋体" w:hAnsi="Arial" w:cs="Arial"/>
                <w:color w:val="333333"/>
                <w:sz w:val="18"/>
                <w:szCs w:val="18"/>
              </w:rPr>
              <w:t>(178)</w:t>
            </w:r>
          </w:p>
        </w:tc>
        <w:tc>
          <w:tcPr>
            <w:tcW w:w="0" w:type="auto"/>
            <w:tcBorders>
              <w:top w:val="single" w:sz="8" w:space="0" w:color="0071C5"/>
            </w:tcBorders>
            <w:shd w:val="clear" w:color="auto" w:fill="auto"/>
            <w:tcMar>
              <w:top w:w="40" w:type="dxa"/>
              <w:bottom w:w="40" w:type="dxa"/>
              <w:right w:w="20" w:type="dxa"/>
            </w:tcMar>
            <w:vAlign w:val="bottom"/>
          </w:tcPr>
          <w:p w14:paraId="20AE1324"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325"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1326" w14:textId="77777777" w:rsidR="00B626E7" w:rsidRDefault="00175C1D">
            <w:pPr>
              <w:textAlignment w:val="bottom"/>
            </w:pPr>
            <w:r>
              <w:rPr>
                <w:rFonts w:ascii="Arial" w:eastAsia="宋体" w:hAnsi="Arial" w:cs="Arial"/>
                <w:color w:val="026DCE"/>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1327" w14:textId="77777777" w:rsidR="00B626E7" w:rsidRDefault="00175C1D">
            <w:pPr>
              <w:jc w:val="right"/>
              <w:textAlignment w:val="bottom"/>
            </w:pPr>
            <w:r>
              <w:rPr>
                <w:rFonts w:ascii="Arial" w:eastAsia="宋体" w:hAnsi="Arial" w:cs="Arial"/>
                <w:color w:val="026DCE"/>
                <w:sz w:val="18"/>
                <w:szCs w:val="18"/>
              </w:rPr>
              <w:t>83 </w:t>
            </w:r>
          </w:p>
        </w:tc>
        <w:tc>
          <w:tcPr>
            <w:tcW w:w="0" w:type="auto"/>
            <w:tcBorders>
              <w:top w:val="single" w:sz="8" w:space="0" w:color="0071C5"/>
            </w:tcBorders>
            <w:shd w:val="clear" w:color="auto" w:fill="auto"/>
            <w:tcMar>
              <w:top w:w="40" w:type="dxa"/>
              <w:bottom w:w="40" w:type="dxa"/>
              <w:right w:w="20" w:type="dxa"/>
            </w:tcMar>
            <w:vAlign w:val="bottom"/>
          </w:tcPr>
          <w:p w14:paraId="20AE1328"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329"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132A" w14:textId="77777777" w:rsidR="00B626E7" w:rsidRDefault="00175C1D">
            <w:pPr>
              <w:textAlignment w:val="bottom"/>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132B" w14:textId="77777777" w:rsidR="00B626E7" w:rsidRDefault="00175C1D">
            <w:pPr>
              <w:jc w:val="right"/>
              <w:textAlignment w:val="bottom"/>
            </w:pPr>
            <w:r>
              <w:rPr>
                <w:rFonts w:ascii="Arial" w:eastAsia="宋体" w:hAnsi="Arial" w:cs="Arial"/>
                <w:color w:val="333333"/>
                <w:sz w:val="18"/>
                <w:szCs w:val="18"/>
              </w:rPr>
              <w:t>84 </w:t>
            </w:r>
          </w:p>
        </w:tc>
        <w:tc>
          <w:tcPr>
            <w:tcW w:w="0" w:type="auto"/>
            <w:tcBorders>
              <w:top w:val="single" w:sz="8" w:space="0" w:color="0071C5"/>
            </w:tcBorders>
            <w:shd w:val="clear" w:color="auto" w:fill="auto"/>
            <w:tcMar>
              <w:top w:w="40" w:type="dxa"/>
              <w:bottom w:w="40" w:type="dxa"/>
              <w:right w:w="20" w:type="dxa"/>
            </w:tcMar>
            <w:vAlign w:val="bottom"/>
          </w:tcPr>
          <w:p w14:paraId="20AE132C"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32D" w14:textId="77777777" w:rsidR="00B626E7" w:rsidRDefault="00B626E7">
            <w:pPr>
              <w:rPr>
                <w:rFonts w:ascii="宋体"/>
              </w:rPr>
            </w:pPr>
          </w:p>
        </w:tc>
        <w:tc>
          <w:tcPr>
            <w:tcW w:w="0" w:type="auto"/>
            <w:shd w:val="clear" w:color="auto" w:fill="auto"/>
          </w:tcPr>
          <w:p w14:paraId="20AE132E" w14:textId="77777777" w:rsidR="00B626E7" w:rsidRDefault="00B626E7">
            <w:pPr>
              <w:rPr>
                <w:rFonts w:ascii="宋体"/>
              </w:rPr>
            </w:pPr>
          </w:p>
        </w:tc>
        <w:tc>
          <w:tcPr>
            <w:tcW w:w="0" w:type="auto"/>
            <w:shd w:val="clear" w:color="auto" w:fill="auto"/>
          </w:tcPr>
          <w:p w14:paraId="20AE132F" w14:textId="77777777" w:rsidR="00B626E7" w:rsidRDefault="00B626E7">
            <w:pPr>
              <w:rPr>
                <w:rFonts w:ascii="宋体"/>
              </w:rPr>
            </w:pPr>
          </w:p>
        </w:tc>
        <w:tc>
          <w:tcPr>
            <w:tcW w:w="0" w:type="auto"/>
            <w:shd w:val="clear" w:color="auto" w:fill="auto"/>
          </w:tcPr>
          <w:p w14:paraId="20AE1330" w14:textId="77777777" w:rsidR="00B626E7" w:rsidRDefault="00B626E7">
            <w:pPr>
              <w:rPr>
                <w:rFonts w:ascii="宋体"/>
              </w:rPr>
            </w:pPr>
          </w:p>
        </w:tc>
        <w:tc>
          <w:tcPr>
            <w:tcW w:w="0" w:type="auto"/>
            <w:shd w:val="clear" w:color="auto" w:fill="auto"/>
          </w:tcPr>
          <w:p w14:paraId="20AE1331" w14:textId="77777777" w:rsidR="00B626E7" w:rsidRDefault="00B626E7">
            <w:pPr>
              <w:rPr>
                <w:rFonts w:ascii="宋体"/>
              </w:rPr>
            </w:pPr>
          </w:p>
        </w:tc>
        <w:tc>
          <w:tcPr>
            <w:tcW w:w="0" w:type="auto"/>
            <w:shd w:val="clear" w:color="auto" w:fill="auto"/>
          </w:tcPr>
          <w:p w14:paraId="20AE1332" w14:textId="77777777" w:rsidR="00B626E7" w:rsidRDefault="00B626E7">
            <w:pPr>
              <w:rPr>
                <w:rFonts w:ascii="宋体"/>
              </w:rPr>
            </w:pPr>
          </w:p>
        </w:tc>
        <w:tc>
          <w:tcPr>
            <w:tcW w:w="0" w:type="auto"/>
            <w:shd w:val="clear" w:color="auto" w:fill="auto"/>
          </w:tcPr>
          <w:p w14:paraId="20AE1333" w14:textId="77777777" w:rsidR="00B626E7" w:rsidRDefault="00B626E7">
            <w:pPr>
              <w:rPr>
                <w:rFonts w:ascii="宋体"/>
              </w:rPr>
            </w:pPr>
          </w:p>
        </w:tc>
        <w:tc>
          <w:tcPr>
            <w:tcW w:w="0" w:type="auto"/>
            <w:shd w:val="clear" w:color="auto" w:fill="auto"/>
          </w:tcPr>
          <w:p w14:paraId="20AE1334" w14:textId="77777777" w:rsidR="00B626E7" w:rsidRDefault="00B626E7">
            <w:pPr>
              <w:rPr>
                <w:rFonts w:ascii="宋体"/>
              </w:rPr>
            </w:pPr>
          </w:p>
        </w:tc>
        <w:tc>
          <w:tcPr>
            <w:tcW w:w="0" w:type="auto"/>
            <w:shd w:val="clear" w:color="auto" w:fill="auto"/>
          </w:tcPr>
          <w:p w14:paraId="20AE1335" w14:textId="77777777" w:rsidR="00B626E7" w:rsidRDefault="00B626E7">
            <w:pPr>
              <w:rPr>
                <w:rFonts w:ascii="宋体"/>
              </w:rPr>
            </w:pPr>
          </w:p>
        </w:tc>
        <w:tc>
          <w:tcPr>
            <w:tcW w:w="0" w:type="auto"/>
            <w:shd w:val="clear" w:color="auto" w:fill="auto"/>
          </w:tcPr>
          <w:p w14:paraId="20AE1336" w14:textId="77777777" w:rsidR="00B626E7" w:rsidRDefault="00B626E7">
            <w:pPr>
              <w:rPr>
                <w:rFonts w:ascii="宋体"/>
              </w:rPr>
            </w:pPr>
          </w:p>
        </w:tc>
        <w:tc>
          <w:tcPr>
            <w:tcW w:w="0" w:type="auto"/>
            <w:shd w:val="clear" w:color="auto" w:fill="auto"/>
          </w:tcPr>
          <w:p w14:paraId="20AE1337" w14:textId="77777777" w:rsidR="00B626E7" w:rsidRDefault="00B626E7">
            <w:pPr>
              <w:rPr>
                <w:rFonts w:ascii="宋体"/>
              </w:rPr>
            </w:pPr>
          </w:p>
        </w:tc>
        <w:tc>
          <w:tcPr>
            <w:tcW w:w="0" w:type="auto"/>
            <w:shd w:val="clear" w:color="auto" w:fill="auto"/>
          </w:tcPr>
          <w:p w14:paraId="20AE1338" w14:textId="77777777" w:rsidR="00B626E7" w:rsidRDefault="00B626E7">
            <w:pPr>
              <w:rPr>
                <w:rFonts w:ascii="宋体"/>
              </w:rPr>
            </w:pPr>
          </w:p>
        </w:tc>
      </w:tr>
      <w:tr w:rsidR="00B626E7" w14:paraId="20AE1353" w14:textId="77777777">
        <w:tc>
          <w:tcPr>
            <w:tcW w:w="0" w:type="auto"/>
            <w:gridSpan w:val="3"/>
            <w:shd w:val="clear" w:color="auto" w:fill="auto"/>
            <w:tcMar>
              <w:top w:w="40" w:type="dxa"/>
              <w:left w:w="20" w:type="dxa"/>
              <w:bottom w:w="40" w:type="dxa"/>
              <w:right w:w="20" w:type="dxa"/>
            </w:tcMar>
          </w:tcPr>
          <w:p w14:paraId="20AE133A" w14:textId="77777777" w:rsidR="00B626E7" w:rsidRDefault="00175C1D">
            <w:pPr>
              <w:textAlignment w:val="top"/>
            </w:pPr>
            <w:r>
              <w:rPr>
                <w:rFonts w:ascii="Arial" w:eastAsia="宋体" w:hAnsi="Arial" w:cs="Arial"/>
                <w:color w:val="333333"/>
                <w:sz w:val="18"/>
                <w:szCs w:val="18"/>
              </w:rPr>
              <w:t>Less: Net (gains) losses recognized during the period on equity securities sold during the period</w:t>
            </w:r>
          </w:p>
        </w:tc>
        <w:tc>
          <w:tcPr>
            <w:tcW w:w="0" w:type="auto"/>
            <w:gridSpan w:val="3"/>
            <w:shd w:val="clear" w:color="auto" w:fill="auto"/>
            <w:tcMar>
              <w:left w:w="20" w:type="dxa"/>
              <w:right w:w="20" w:type="dxa"/>
            </w:tcMar>
            <w:vAlign w:val="bottom"/>
          </w:tcPr>
          <w:p w14:paraId="20AE133B"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33C" w14:textId="77777777" w:rsidR="00B626E7" w:rsidRDefault="00175C1D">
            <w:pPr>
              <w:jc w:val="right"/>
              <w:textAlignment w:val="bottom"/>
            </w:pPr>
            <w:r>
              <w:rPr>
                <w:rFonts w:ascii="Arial" w:eastAsia="宋体" w:hAnsi="Arial" w:cs="Arial"/>
                <w:color w:val="026DCE"/>
                <w:sz w:val="18"/>
                <w:szCs w:val="18"/>
              </w:rPr>
              <w:t>(55)</w:t>
            </w:r>
          </w:p>
        </w:tc>
        <w:tc>
          <w:tcPr>
            <w:tcW w:w="0" w:type="auto"/>
            <w:shd w:val="clear" w:color="auto" w:fill="auto"/>
            <w:tcMar>
              <w:top w:w="40" w:type="dxa"/>
              <w:bottom w:w="40" w:type="dxa"/>
              <w:right w:w="20" w:type="dxa"/>
            </w:tcMar>
            <w:vAlign w:val="bottom"/>
          </w:tcPr>
          <w:p w14:paraId="20AE133D"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33E"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33F" w14:textId="77777777" w:rsidR="00B626E7" w:rsidRDefault="00175C1D">
            <w:pPr>
              <w:jc w:val="right"/>
              <w:textAlignment w:val="bottom"/>
            </w:pPr>
            <w:r>
              <w:rPr>
                <w:rFonts w:ascii="Arial" w:eastAsia="宋体" w:hAnsi="Arial" w:cs="Arial"/>
                <w:color w:val="333333"/>
                <w:sz w:val="18"/>
                <w:szCs w:val="18"/>
              </w:rPr>
              <w:t>(33)</w:t>
            </w:r>
          </w:p>
        </w:tc>
        <w:tc>
          <w:tcPr>
            <w:tcW w:w="0" w:type="auto"/>
            <w:shd w:val="clear" w:color="auto" w:fill="auto"/>
            <w:tcMar>
              <w:top w:w="40" w:type="dxa"/>
              <w:bottom w:w="40" w:type="dxa"/>
              <w:right w:w="20" w:type="dxa"/>
            </w:tcMar>
            <w:vAlign w:val="bottom"/>
          </w:tcPr>
          <w:p w14:paraId="20AE1340"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341"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342" w14:textId="77777777" w:rsidR="00B626E7" w:rsidRDefault="00175C1D">
            <w:pPr>
              <w:jc w:val="right"/>
              <w:textAlignment w:val="bottom"/>
            </w:pPr>
            <w:r>
              <w:rPr>
                <w:rFonts w:ascii="Arial" w:eastAsia="宋体" w:hAnsi="Arial" w:cs="Arial"/>
                <w:color w:val="026DCE"/>
                <w:sz w:val="18"/>
                <w:szCs w:val="18"/>
              </w:rPr>
              <w:t>(58)</w:t>
            </w:r>
          </w:p>
        </w:tc>
        <w:tc>
          <w:tcPr>
            <w:tcW w:w="0" w:type="auto"/>
            <w:shd w:val="clear" w:color="auto" w:fill="auto"/>
            <w:tcMar>
              <w:top w:w="40" w:type="dxa"/>
              <w:bottom w:w="40" w:type="dxa"/>
              <w:right w:w="20" w:type="dxa"/>
            </w:tcMar>
            <w:vAlign w:val="bottom"/>
          </w:tcPr>
          <w:p w14:paraId="20AE1343"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344"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345" w14:textId="77777777" w:rsidR="00B626E7" w:rsidRDefault="00175C1D">
            <w:pPr>
              <w:jc w:val="right"/>
              <w:textAlignment w:val="bottom"/>
            </w:pPr>
            <w:r>
              <w:rPr>
                <w:rFonts w:ascii="Arial" w:eastAsia="宋体" w:hAnsi="Arial" w:cs="Arial"/>
                <w:color w:val="333333"/>
                <w:sz w:val="18"/>
                <w:szCs w:val="18"/>
              </w:rPr>
              <w:t>(258)</w:t>
            </w:r>
          </w:p>
        </w:tc>
        <w:tc>
          <w:tcPr>
            <w:tcW w:w="0" w:type="auto"/>
            <w:shd w:val="clear" w:color="auto" w:fill="auto"/>
            <w:tcMar>
              <w:top w:w="40" w:type="dxa"/>
              <w:bottom w:w="40" w:type="dxa"/>
              <w:right w:w="20" w:type="dxa"/>
            </w:tcMar>
            <w:vAlign w:val="bottom"/>
          </w:tcPr>
          <w:p w14:paraId="20AE1346"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347" w14:textId="77777777" w:rsidR="00B626E7" w:rsidRDefault="00B626E7">
            <w:pPr>
              <w:rPr>
                <w:rFonts w:ascii="宋体"/>
              </w:rPr>
            </w:pPr>
          </w:p>
        </w:tc>
        <w:tc>
          <w:tcPr>
            <w:tcW w:w="0" w:type="auto"/>
            <w:shd w:val="clear" w:color="auto" w:fill="auto"/>
          </w:tcPr>
          <w:p w14:paraId="20AE1348" w14:textId="77777777" w:rsidR="00B626E7" w:rsidRDefault="00B626E7">
            <w:pPr>
              <w:rPr>
                <w:rFonts w:ascii="宋体"/>
              </w:rPr>
            </w:pPr>
          </w:p>
        </w:tc>
        <w:tc>
          <w:tcPr>
            <w:tcW w:w="0" w:type="auto"/>
            <w:shd w:val="clear" w:color="auto" w:fill="auto"/>
          </w:tcPr>
          <w:p w14:paraId="20AE1349" w14:textId="77777777" w:rsidR="00B626E7" w:rsidRDefault="00B626E7">
            <w:pPr>
              <w:rPr>
                <w:rFonts w:ascii="宋体"/>
              </w:rPr>
            </w:pPr>
          </w:p>
        </w:tc>
        <w:tc>
          <w:tcPr>
            <w:tcW w:w="0" w:type="auto"/>
            <w:shd w:val="clear" w:color="auto" w:fill="auto"/>
          </w:tcPr>
          <w:p w14:paraId="20AE134A" w14:textId="77777777" w:rsidR="00B626E7" w:rsidRDefault="00B626E7">
            <w:pPr>
              <w:rPr>
                <w:rFonts w:ascii="宋体"/>
              </w:rPr>
            </w:pPr>
          </w:p>
        </w:tc>
        <w:tc>
          <w:tcPr>
            <w:tcW w:w="0" w:type="auto"/>
            <w:shd w:val="clear" w:color="auto" w:fill="auto"/>
          </w:tcPr>
          <w:p w14:paraId="20AE134B" w14:textId="77777777" w:rsidR="00B626E7" w:rsidRDefault="00B626E7">
            <w:pPr>
              <w:rPr>
                <w:rFonts w:ascii="宋体"/>
              </w:rPr>
            </w:pPr>
          </w:p>
        </w:tc>
        <w:tc>
          <w:tcPr>
            <w:tcW w:w="0" w:type="auto"/>
            <w:shd w:val="clear" w:color="auto" w:fill="auto"/>
          </w:tcPr>
          <w:p w14:paraId="20AE134C" w14:textId="77777777" w:rsidR="00B626E7" w:rsidRDefault="00B626E7">
            <w:pPr>
              <w:rPr>
                <w:rFonts w:ascii="宋体"/>
              </w:rPr>
            </w:pPr>
          </w:p>
        </w:tc>
        <w:tc>
          <w:tcPr>
            <w:tcW w:w="0" w:type="auto"/>
            <w:shd w:val="clear" w:color="auto" w:fill="auto"/>
          </w:tcPr>
          <w:p w14:paraId="20AE134D" w14:textId="77777777" w:rsidR="00B626E7" w:rsidRDefault="00B626E7">
            <w:pPr>
              <w:rPr>
                <w:rFonts w:ascii="宋体"/>
              </w:rPr>
            </w:pPr>
          </w:p>
        </w:tc>
        <w:tc>
          <w:tcPr>
            <w:tcW w:w="0" w:type="auto"/>
            <w:shd w:val="clear" w:color="auto" w:fill="auto"/>
          </w:tcPr>
          <w:p w14:paraId="20AE134E" w14:textId="77777777" w:rsidR="00B626E7" w:rsidRDefault="00B626E7">
            <w:pPr>
              <w:rPr>
                <w:rFonts w:ascii="宋体"/>
              </w:rPr>
            </w:pPr>
          </w:p>
        </w:tc>
        <w:tc>
          <w:tcPr>
            <w:tcW w:w="0" w:type="auto"/>
            <w:shd w:val="clear" w:color="auto" w:fill="auto"/>
          </w:tcPr>
          <w:p w14:paraId="20AE134F" w14:textId="77777777" w:rsidR="00B626E7" w:rsidRDefault="00B626E7">
            <w:pPr>
              <w:rPr>
                <w:rFonts w:ascii="宋体"/>
              </w:rPr>
            </w:pPr>
          </w:p>
        </w:tc>
        <w:tc>
          <w:tcPr>
            <w:tcW w:w="0" w:type="auto"/>
            <w:shd w:val="clear" w:color="auto" w:fill="auto"/>
          </w:tcPr>
          <w:p w14:paraId="20AE1350" w14:textId="77777777" w:rsidR="00B626E7" w:rsidRDefault="00B626E7">
            <w:pPr>
              <w:rPr>
                <w:rFonts w:ascii="宋体"/>
              </w:rPr>
            </w:pPr>
          </w:p>
        </w:tc>
        <w:tc>
          <w:tcPr>
            <w:tcW w:w="0" w:type="auto"/>
            <w:shd w:val="clear" w:color="auto" w:fill="auto"/>
          </w:tcPr>
          <w:p w14:paraId="20AE1351" w14:textId="77777777" w:rsidR="00B626E7" w:rsidRDefault="00B626E7">
            <w:pPr>
              <w:rPr>
                <w:rFonts w:ascii="宋体"/>
              </w:rPr>
            </w:pPr>
          </w:p>
        </w:tc>
        <w:tc>
          <w:tcPr>
            <w:tcW w:w="0" w:type="auto"/>
            <w:shd w:val="clear" w:color="auto" w:fill="auto"/>
          </w:tcPr>
          <w:p w14:paraId="20AE1352" w14:textId="77777777" w:rsidR="00B626E7" w:rsidRDefault="00B626E7">
            <w:pPr>
              <w:rPr>
                <w:rFonts w:ascii="宋体"/>
              </w:rPr>
            </w:pPr>
          </w:p>
        </w:tc>
      </w:tr>
      <w:tr w:rsidR="00B626E7" w14:paraId="20AE1371" w14:textId="77777777">
        <w:tc>
          <w:tcPr>
            <w:tcW w:w="0" w:type="auto"/>
            <w:gridSpan w:val="3"/>
            <w:shd w:val="clear" w:color="auto" w:fill="auto"/>
            <w:tcMar>
              <w:top w:w="40" w:type="dxa"/>
              <w:left w:w="20" w:type="dxa"/>
              <w:bottom w:w="40" w:type="dxa"/>
              <w:right w:w="20" w:type="dxa"/>
            </w:tcMar>
          </w:tcPr>
          <w:p w14:paraId="20AE1354" w14:textId="77777777" w:rsidR="00B626E7" w:rsidRDefault="00175C1D">
            <w:pPr>
              <w:textAlignment w:val="top"/>
            </w:pPr>
            <w:r>
              <w:rPr>
                <w:rFonts w:ascii="Arial" w:eastAsia="宋体" w:hAnsi="Arial" w:cs="Arial"/>
                <w:b/>
                <w:bCs/>
                <w:color w:val="333333"/>
                <w:sz w:val="18"/>
                <w:szCs w:val="18"/>
              </w:rPr>
              <w:t>Unrealized gains (losses) recognized during the reporting period on equity securities still held at the reporting date</w:t>
            </w:r>
          </w:p>
        </w:tc>
        <w:tc>
          <w:tcPr>
            <w:tcW w:w="0" w:type="auto"/>
            <w:gridSpan w:val="3"/>
            <w:shd w:val="clear" w:color="auto" w:fill="auto"/>
            <w:tcMar>
              <w:left w:w="20" w:type="dxa"/>
              <w:right w:w="20" w:type="dxa"/>
            </w:tcMar>
            <w:vAlign w:val="bottom"/>
          </w:tcPr>
          <w:p w14:paraId="20AE1355"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1356" w14:textId="77777777" w:rsidR="00B626E7" w:rsidRDefault="00175C1D">
            <w:pPr>
              <w:textAlignment w:val="bottom"/>
            </w:pPr>
            <w:r>
              <w:rPr>
                <w:rFonts w:ascii="Arial" w:eastAsia="宋体" w:hAnsi="Arial" w:cs="Arial"/>
                <w:b/>
                <w:bCs/>
                <w:color w:val="026DCE"/>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1357" w14:textId="77777777" w:rsidR="00B626E7" w:rsidRDefault="00175C1D">
            <w:pPr>
              <w:jc w:val="right"/>
              <w:textAlignment w:val="bottom"/>
            </w:pPr>
            <w:r>
              <w:rPr>
                <w:rFonts w:ascii="Arial" w:eastAsia="宋体" w:hAnsi="Arial" w:cs="Arial"/>
                <w:b/>
                <w:bCs/>
                <w:color w:val="026DCE"/>
                <w:sz w:val="18"/>
                <w:szCs w:val="18"/>
              </w:rPr>
              <w:t>168 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1358"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1359"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135A"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135B" w14:textId="77777777" w:rsidR="00B626E7" w:rsidRDefault="00175C1D">
            <w:pPr>
              <w:jc w:val="right"/>
              <w:textAlignment w:val="bottom"/>
            </w:pPr>
            <w:r>
              <w:rPr>
                <w:rFonts w:ascii="Arial" w:eastAsia="宋体" w:hAnsi="Arial" w:cs="Arial"/>
                <w:b/>
                <w:bCs/>
                <w:color w:val="333333"/>
                <w:sz w:val="18"/>
                <w:szCs w:val="18"/>
              </w:rPr>
              <w:t>(211)</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135C"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135D"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135E" w14:textId="77777777" w:rsidR="00B626E7" w:rsidRDefault="00175C1D">
            <w:pPr>
              <w:textAlignment w:val="bottom"/>
            </w:pPr>
            <w:r>
              <w:rPr>
                <w:rFonts w:ascii="Arial" w:eastAsia="宋体" w:hAnsi="Arial" w:cs="Arial"/>
                <w:b/>
                <w:bCs/>
                <w:color w:val="026DCE"/>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135F" w14:textId="77777777" w:rsidR="00B626E7" w:rsidRDefault="00175C1D">
            <w:pPr>
              <w:jc w:val="right"/>
              <w:textAlignment w:val="bottom"/>
            </w:pPr>
            <w:r>
              <w:rPr>
                <w:rFonts w:ascii="Arial" w:eastAsia="宋体" w:hAnsi="Arial" w:cs="Arial"/>
                <w:b/>
                <w:bCs/>
                <w:color w:val="026DCE"/>
                <w:sz w:val="18"/>
                <w:szCs w:val="18"/>
              </w:rPr>
              <w:t>25 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1360"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1361"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1362"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1363" w14:textId="77777777" w:rsidR="00B626E7" w:rsidRDefault="00175C1D">
            <w:pPr>
              <w:jc w:val="right"/>
              <w:textAlignment w:val="bottom"/>
            </w:pPr>
            <w:r>
              <w:rPr>
                <w:rFonts w:ascii="Arial" w:eastAsia="宋体" w:hAnsi="Arial" w:cs="Arial"/>
                <w:b/>
                <w:bCs/>
                <w:color w:val="333333"/>
                <w:sz w:val="18"/>
                <w:szCs w:val="18"/>
              </w:rPr>
              <w:t>(174)</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1364"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E1365" w14:textId="77777777" w:rsidR="00B626E7" w:rsidRDefault="00B626E7">
            <w:pPr>
              <w:rPr>
                <w:rFonts w:ascii="宋体"/>
              </w:rPr>
            </w:pPr>
          </w:p>
        </w:tc>
        <w:tc>
          <w:tcPr>
            <w:tcW w:w="0" w:type="auto"/>
            <w:shd w:val="clear" w:color="auto" w:fill="auto"/>
          </w:tcPr>
          <w:p w14:paraId="20AE1366" w14:textId="77777777" w:rsidR="00B626E7" w:rsidRDefault="00B626E7">
            <w:pPr>
              <w:rPr>
                <w:rFonts w:ascii="宋体"/>
              </w:rPr>
            </w:pPr>
          </w:p>
        </w:tc>
        <w:tc>
          <w:tcPr>
            <w:tcW w:w="0" w:type="auto"/>
            <w:shd w:val="clear" w:color="auto" w:fill="auto"/>
          </w:tcPr>
          <w:p w14:paraId="20AE1367" w14:textId="77777777" w:rsidR="00B626E7" w:rsidRDefault="00B626E7">
            <w:pPr>
              <w:rPr>
                <w:rFonts w:ascii="宋体"/>
              </w:rPr>
            </w:pPr>
          </w:p>
        </w:tc>
        <w:tc>
          <w:tcPr>
            <w:tcW w:w="0" w:type="auto"/>
            <w:shd w:val="clear" w:color="auto" w:fill="auto"/>
          </w:tcPr>
          <w:p w14:paraId="20AE1368" w14:textId="77777777" w:rsidR="00B626E7" w:rsidRDefault="00B626E7">
            <w:pPr>
              <w:rPr>
                <w:rFonts w:ascii="宋体"/>
              </w:rPr>
            </w:pPr>
          </w:p>
        </w:tc>
        <w:tc>
          <w:tcPr>
            <w:tcW w:w="0" w:type="auto"/>
            <w:shd w:val="clear" w:color="auto" w:fill="auto"/>
          </w:tcPr>
          <w:p w14:paraId="20AE1369" w14:textId="77777777" w:rsidR="00B626E7" w:rsidRDefault="00B626E7">
            <w:pPr>
              <w:rPr>
                <w:rFonts w:ascii="宋体"/>
              </w:rPr>
            </w:pPr>
          </w:p>
        </w:tc>
        <w:tc>
          <w:tcPr>
            <w:tcW w:w="0" w:type="auto"/>
            <w:shd w:val="clear" w:color="auto" w:fill="auto"/>
          </w:tcPr>
          <w:p w14:paraId="20AE136A" w14:textId="77777777" w:rsidR="00B626E7" w:rsidRDefault="00B626E7">
            <w:pPr>
              <w:rPr>
                <w:rFonts w:ascii="宋体"/>
              </w:rPr>
            </w:pPr>
          </w:p>
        </w:tc>
        <w:tc>
          <w:tcPr>
            <w:tcW w:w="0" w:type="auto"/>
            <w:shd w:val="clear" w:color="auto" w:fill="auto"/>
          </w:tcPr>
          <w:p w14:paraId="20AE136B" w14:textId="77777777" w:rsidR="00B626E7" w:rsidRDefault="00B626E7">
            <w:pPr>
              <w:rPr>
                <w:rFonts w:ascii="宋体"/>
              </w:rPr>
            </w:pPr>
          </w:p>
        </w:tc>
        <w:tc>
          <w:tcPr>
            <w:tcW w:w="0" w:type="auto"/>
            <w:shd w:val="clear" w:color="auto" w:fill="auto"/>
          </w:tcPr>
          <w:p w14:paraId="20AE136C" w14:textId="77777777" w:rsidR="00B626E7" w:rsidRDefault="00B626E7">
            <w:pPr>
              <w:rPr>
                <w:rFonts w:ascii="宋体"/>
              </w:rPr>
            </w:pPr>
          </w:p>
        </w:tc>
        <w:tc>
          <w:tcPr>
            <w:tcW w:w="0" w:type="auto"/>
            <w:shd w:val="clear" w:color="auto" w:fill="auto"/>
          </w:tcPr>
          <w:p w14:paraId="20AE136D" w14:textId="77777777" w:rsidR="00B626E7" w:rsidRDefault="00B626E7">
            <w:pPr>
              <w:rPr>
                <w:rFonts w:ascii="宋体"/>
              </w:rPr>
            </w:pPr>
          </w:p>
        </w:tc>
        <w:tc>
          <w:tcPr>
            <w:tcW w:w="0" w:type="auto"/>
            <w:shd w:val="clear" w:color="auto" w:fill="auto"/>
          </w:tcPr>
          <w:p w14:paraId="20AE136E" w14:textId="77777777" w:rsidR="00B626E7" w:rsidRDefault="00B626E7">
            <w:pPr>
              <w:rPr>
                <w:rFonts w:ascii="宋体"/>
              </w:rPr>
            </w:pPr>
          </w:p>
        </w:tc>
        <w:tc>
          <w:tcPr>
            <w:tcW w:w="0" w:type="auto"/>
            <w:shd w:val="clear" w:color="auto" w:fill="auto"/>
          </w:tcPr>
          <w:p w14:paraId="20AE136F" w14:textId="77777777" w:rsidR="00B626E7" w:rsidRDefault="00B626E7">
            <w:pPr>
              <w:rPr>
                <w:rFonts w:ascii="宋体"/>
              </w:rPr>
            </w:pPr>
          </w:p>
        </w:tc>
        <w:tc>
          <w:tcPr>
            <w:tcW w:w="0" w:type="auto"/>
            <w:shd w:val="clear" w:color="auto" w:fill="auto"/>
          </w:tcPr>
          <w:p w14:paraId="20AE1370" w14:textId="77777777" w:rsidR="00B626E7" w:rsidRDefault="00B626E7">
            <w:pPr>
              <w:rPr>
                <w:rFonts w:ascii="宋体"/>
              </w:rPr>
            </w:pPr>
          </w:p>
        </w:tc>
      </w:tr>
    </w:tbl>
    <w:p w14:paraId="20AE1372" w14:textId="77777777" w:rsidR="00B626E7" w:rsidRDefault="00175C1D">
      <w:pPr>
        <w:spacing w:before="300" w:after="120"/>
      </w:pPr>
      <w:r>
        <w:rPr>
          <w:rFonts w:ascii="Arial" w:eastAsia="宋体" w:hAnsi="Arial" w:cs="Arial"/>
          <w:b/>
          <w:bCs/>
          <w:color w:val="333333"/>
          <w:sz w:val="20"/>
          <w:szCs w:val="20"/>
        </w:rPr>
        <w:t>IMFT</w:t>
      </w:r>
    </w:p>
    <w:p w14:paraId="20AE1373" w14:textId="77777777" w:rsidR="00B626E7" w:rsidRDefault="00175C1D">
      <w:pPr>
        <w:spacing w:after="180"/>
      </w:pPr>
      <w:r>
        <w:rPr>
          <w:rFonts w:ascii="Arial" w:eastAsia="宋体" w:hAnsi="Arial" w:cs="Arial"/>
          <w:color w:val="333333"/>
          <w:sz w:val="18"/>
          <w:szCs w:val="18"/>
        </w:rPr>
        <w:t>IMFT was formed in 2006 by Micron Technology, Inc. (Micron) and Intel to joint</w:t>
      </w:r>
      <w:r>
        <w:rPr>
          <w:rFonts w:ascii="Arial" w:eastAsia="宋体" w:hAnsi="Arial" w:cs="Arial"/>
          <w:color w:val="333333"/>
          <w:sz w:val="18"/>
          <w:szCs w:val="18"/>
        </w:rPr>
        <w:t>ly develop NAND flash memory and 3D XPoint™ technology products. As of June 29, 2019, we had a carrying value of $1.3 billion in IMFT and owned a 49% interest in the unconsolidated variable interest entity. We sold our non-controlling interest in IMFT to M</w:t>
      </w:r>
      <w:r>
        <w:rPr>
          <w:rFonts w:ascii="Arial" w:eastAsia="宋体" w:hAnsi="Arial" w:cs="Arial"/>
          <w:color w:val="333333"/>
          <w:sz w:val="18"/>
          <w:szCs w:val="18"/>
        </w:rPr>
        <w:t>icron in October 2019. We will continue to purchase product manufactured by Micron at the IMFT facility under supply agreements, which include the next generation of 3D XPoint™ technology.</w:t>
      </w:r>
    </w:p>
    <w:p w14:paraId="20AE1374" w14:textId="77777777" w:rsidR="00B626E7" w:rsidRDefault="00B626E7">
      <w:pPr>
        <w:spacing w:after="180"/>
      </w:pPr>
    </w:p>
    <w:p w14:paraId="20AE1375" w14:textId="77777777" w:rsidR="00B626E7" w:rsidRDefault="00B626E7">
      <w:pPr>
        <w:spacing w:after="180"/>
      </w:pPr>
    </w:p>
    <w:p w14:paraId="20AE1376" w14:textId="77777777" w:rsidR="00B626E7" w:rsidRDefault="00B626E7">
      <w:pPr>
        <w:spacing w:after="180"/>
      </w:pPr>
    </w:p>
    <w:p w14:paraId="20AE1377" w14:textId="77777777" w:rsidR="00B626E7" w:rsidRDefault="00B626E7">
      <w:pPr>
        <w:spacing w:after="180"/>
      </w:pPr>
    </w:p>
    <w:p w14:paraId="20AE1378" w14:textId="77777777" w:rsidR="00B626E7" w:rsidRDefault="00B626E7">
      <w:pPr>
        <w:spacing w:after="180"/>
      </w:pPr>
    </w:p>
    <w:p w14:paraId="20AE1379" w14:textId="77777777" w:rsidR="00B626E7" w:rsidRDefault="00B626E7">
      <w:pPr>
        <w:spacing w:after="180"/>
      </w:pPr>
    </w:p>
    <w:p w14:paraId="20AE137A" w14:textId="77777777" w:rsidR="00B626E7" w:rsidRDefault="00B626E7">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4"/>
        <w:gridCol w:w="2423"/>
        <w:gridCol w:w="84"/>
        <w:gridCol w:w="83"/>
        <w:gridCol w:w="3471"/>
        <w:gridCol w:w="83"/>
        <w:gridCol w:w="83"/>
        <w:gridCol w:w="1942"/>
        <w:gridCol w:w="83"/>
      </w:tblGrid>
      <w:tr w:rsidR="00B626E7" w14:paraId="20AE1384" w14:textId="77777777">
        <w:tc>
          <w:tcPr>
            <w:tcW w:w="50" w:type="pct"/>
            <w:shd w:val="clear" w:color="auto" w:fill="auto"/>
            <w:vAlign w:val="bottom"/>
          </w:tcPr>
          <w:p w14:paraId="20AE137B" w14:textId="77777777" w:rsidR="00B626E7" w:rsidRDefault="00B626E7">
            <w:pPr>
              <w:rPr>
                <w:rFonts w:ascii="宋体"/>
              </w:rPr>
            </w:pPr>
          </w:p>
        </w:tc>
        <w:tc>
          <w:tcPr>
            <w:tcW w:w="1452" w:type="pct"/>
            <w:shd w:val="clear" w:color="auto" w:fill="auto"/>
            <w:vAlign w:val="bottom"/>
          </w:tcPr>
          <w:p w14:paraId="20AE137C" w14:textId="77777777" w:rsidR="00B626E7" w:rsidRDefault="00B626E7">
            <w:pPr>
              <w:rPr>
                <w:rFonts w:ascii="宋体"/>
              </w:rPr>
            </w:pPr>
          </w:p>
        </w:tc>
        <w:tc>
          <w:tcPr>
            <w:tcW w:w="50" w:type="pct"/>
            <w:shd w:val="clear" w:color="auto" w:fill="auto"/>
            <w:vAlign w:val="bottom"/>
          </w:tcPr>
          <w:p w14:paraId="20AE137D" w14:textId="77777777" w:rsidR="00B626E7" w:rsidRDefault="00B626E7">
            <w:pPr>
              <w:rPr>
                <w:rFonts w:ascii="宋体"/>
              </w:rPr>
            </w:pPr>
          </w:p>
        </w:tc>
        <w:tc>
          <w:tcPr>
            <w:tcW w:w="50" w:type="pct"/>
            <w:shd w:val="clear" w:color="auto" w:fill="auto"/>
            <w:vAlign w:val="bottom"/>
          </w:tcPr>
          <w:p w14:paraId="20AE137E" w14:textId="77777777" w:rsidR="00B626E7" w:rsidRDefault="00B626E7">
            <w:pPr>
              <w:rPr>
                <w:rFonts w:ascii="宋体"/>
              </w:rPr>
            </w:pPr>
          </w:p>
        </w:tc>
        <w:tc>
          <w:tcPr>
            <w:tcW w:w="2081" w:type="pct"/>
            <w:shd w:val="clear" w:color="auto" w:fill="auto"/>
            <w:vAlign w:val="bottom"/>
          </w:tcPr>
          <w:p w14:paraId="20AE137F" w14:textId="77777777" w:rsidR="00B626E7" w:rsidRDefault="00B626E7">
            <w:pPr>
              <w:rPr>
                <w:rFonts w:ascii="宋体"/>
              </w:rPr>
            </w:pPr>
          </w:p>
        </w:tc>
        <w:tc>
          <w:tcPr>
            <w:tcW w:w="50" w:type="pct"/>
            <w:shd w:val="clear" w:color="auto" w:fill="auto"/>
            <w:vAlign w:val="bottom"/>
          </w:tcPr>
          <w:p w14:paraId="20AE1380" w14:textId="77777777" w:rsidR="00B626E7" w:rsidRDefault="00B626E7">
            <w:pPr>
              <w:rPr>
                <w:rFonts w:ascii="宋体"/>
              </w:rPr>
            </w:pPr>
          </w:p>
        </w:tc>
        <w:tc>
          <w:tcPr>
            <w:tcW w:w="50" w:type="pct"/>
            <w:shd w:val="clear" w:color="auto" w:fill="auto"/>
            <w:vAlign w:val="bottom"/>
          </w:tcPr>
          <w:p w14:paraId="20AE1381" w14:textId="77777777" w:rsidR="00B626E7" w:rsidRDefault="00B626E7">
            <w:pPr>
              <w:rPr>
                <w:rFonts w:ascii="宋体"/>
              </w:rPr>
            </w:pPr>
          </w:p>
        </w:tc>
        <w:tc>
          <w:tcPr>
            <w:tcW w:w="1165" w:type="pct"/>
            <w:shd w:val="clear" w:color="auto" w:fill="auto"/>
            <w:vAlign w:val="bottom"/>
          </w:tcPr>
          <w:p w14:paraId="20AE1382" w14:textId="77777777" w:rsidR="00B626E7" w:rsidRDefault="00B626E7">
            <w:pPr>
              <w:rPr>
                <w:rFonts w:ascii="宋体"/>
              </w:rPr>
            </w:pPr>
          </w:p>
        </w:tc>
        <w:tc>
          <w:tcPr>
            <w:tcW w:w="50" w:type="pct"/>
            <w:shd w:val="clear" w:color="auto" w:fill="auto"/>
            <w:vAlign w:val="bottom"/>
          </w:tcPr>
          <w:p w14:paraId="20AE1383" w14:textId="77777777" w:rsidR="00B626E7" w:rsidRDefault="00B626E7">
            <w:pPr>
              <w:rPr>
                <w:rFonts w:ascii="宋体"/>
              </w:rPr>
            </w:pPr>
          </w:p>
        </w:tc>
      </w:tr>
      <w:tr w:rsidR="00B626E7" w14:paraId="20AE1388" w14:textId="77777777">
        <w:tc>
          <w:tcPr>
            <w:tcW w:w="0" w:type="auto"/>
            <w:gridSpan w:val="3"/>
            <w:tcBorders>
              <w:top w:val="single" w:sz="8" w:space="0" w:color="0071C5"/>
            </w:tcBorders>
            <w:shd w:val="clear" w:color="auto" w:fill="auto"/>
            <w:tcMar>
              <w:top w:w="40" w:type="dxa"/>
              <w:left w:w="20" w:type="dxa"/>
              <w:bottom w:w="40" w:type="dxa"/>
              <w:right w:w="20" w:type="dxa"/>
            </w:tcMar>
            <w:vAlign w:val="center"/>
          </w:tcPr>
          <w:p w14:paraId="20AE1385" w14:textId="77777777" w:rsidR="00B626E7" w:rsidRDefault="00175C1D">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Viewer10_files/intc-20200627_g15.jpg"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44" wp14:editId="20AE3C45">
                  <wp:extent cx="304800" cy="304800"/>
                  <wp:effectExtent l="0" t="0" r="0" b="0"/>
                  <wp:docPr id="20" name="图片 69"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9" descr="IMG_28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Arial" w:eastAsia="宋体" w:hAnsi="Arial" w:cs="Arial"/>
                <w:color w:val="333333"/>
                <w:sz w:val="16"/>
                <w:szCs w:val="16"/>
              </w:rPr>
              <w:t>FINANCIAL STATEMENTS</w:t>
            </w:r>
          </w:p>
        </w:tc>
        <w:tc>
          <w:tcPr>
            <w:tcW w:w="0" w:type="auto"/>
            <w:gridSpan w:val="3"/>
            <w:tcBorders>
              <w:top w:val="single" w:sz="8" w:space="0" w:color="0071C5"/>
              <w:left w:val="single" w:sz="24" w:space="0" w:color="0071C5"/>
            </w:tcBorders>
            <w:shd w:val="clear" w:color="auto" w:fill="auto"/>
            <w:tcMar>
              <w:top w:w="40" w:type="dxa"/>
              <w:left w:w="20" w:type="dxa"/>
              <w:bottom w:w="40" w:type="dxa"/>
              <w:right w:w="20" w:type="dxa"/>
            </w:tcMar>
            <w:vAlign w:val="bottom"/>
          </w:tcPr>
          <w:p w14:paraId="20AE1386" w14:textId="77777777" w:rsidR="00B626E7" w:rsidRDefault="00175C1D">
            <w:pPr>
              <w:textAlignment w:val="bottom"/>
            </w:pPr>
            <w:r>
              <w:rPr>
                <w:rFonts w:ascii="Arial" w:eastAsia="宋体" w:hAnsi="Arial" w:cs="Arial"/>
                <w:color w:val="333333"/>
                <w:sz w:val="16"/>
                <w:szCs w:val="16"/>
              </w:rPr>
              <w:t>  Notes to Financial Statements</w:t>
            </w: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1387" w14:textId="77777777" w:rsidR="00B626E7" w:rsidRDefault="00175C1D">
            <w:pPr>
              <w:jc w:val="right"/>
              <w:textAlignment w:val="bottom"/>
            </w:pPr>
            <w:r>
              <w:rPr>
                <w:rFonts w:ascii="Arial" w:eastAsia="宋体" w:hAnsi="Arial" w:cs="Arial"/>
                <w:color w:val="333333"/>
                <w:sz w:val="16"/>
                <w:szCs w:val="16"/>
              </w:rPr>
              <w:t>15</w:t>
            </w:r>
          </w:p>
        </w:tc>
      </w:tr>
    </w:tbl>
    <w:p w14:paraId="20AE1389" w14:textId="77777777" w:rsidR="00B626E7" w:rsidRDefault="00175C1D">
      <w:r>
        <w:pict w14:anchorId="20AE3C46">
          <v:rect id="_x0000_i1041" style="width:415.3pt;height:1.5pt" o:hralign="center" o:hrstd="t" o:hr="t" fillcolor="#a0a0a0" stroked="f"/>
        </w:pict>
      </w:r>
    </w:p>
    <w:p w14:paraId="20AE138A" w14:textId="77777777" w:rsidR="00B626E7" w:rsidRDefault="00B626E7">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4"/>
        <w:gridCol w:w="937"/>
        <w:gridCol w:w="83"/>
        <w:gridCol w:w="83"/>
        <w:gridCol w:w="7066"/>
        <w:gridCol w:w="83"/>
      </w:tblGrid>
      <w:tr w:rsidR="00B626E7" w14:paraId="20AE1391" w14:textId="77777777">
        <w:tc>
          <w:tcPr>
            <w:tcW w:w="50" w:type="pct"/>
            <w:shd w:val="clear" w:color="auto" w:fill="auto"/>
          </w:tcPr>
          <w:p w14:paraId="20AE138B" w14:textId="77777777" w:rsidR="00B626E7" w:rsidRDefault="00B626E7">
            <w:pPr>
              <w:rPr>
                <w:rFonts w:ascii="宋体"/>
              </w:rPr>
            </w:pPr>
          </w:p>
        </w:tc>
        <w:tc>
          <w:tcPr>
            <w:tcW w:w="562" w:type="pct"/>
            <w:shd w:val="clear" w:color="auto" w:fill="auto"/>
          </w:tcPr>
          <w:p w14:paraId="20AE138C" w14:textId="77777777" w:rsidR="00B626E7" w:rsidRDefault="00B626E7">
            <w:pPr>
              <w:rPr>
                <w:rFonts w:ascii="宋体"/>
              </w:rPr>
            </w:pPr>
          </w:p>
        </w:tc>
        <w:tc>
          <w:tcPr>
            <w:tcW w:w="50" w:type="pct"/>
            <w:shd w:val="clear" w:color="auto" w:fill="auto"/>
          </w:tcPr>
          <w:p w14:paraId="20AE138D" w14:textId="77777777" w:rsidR="00B626E7" w:rsidRDefault="00B626E7">
            <w:pPr>
              <w:rPr>
                <w:rFonts w:ascii="宋体"/>
              </w:rPr>
            </w:pPr>
          </w:p>
        </w:tc>
        <w:tc>
          <w:tcPr>
            <w:tcW w:w="50" w:type="pct"/>
            <w:shd w:val="clear" w:color="auto" w:fill="auto"/>
          </w:tcPr>
          <w:p w14:paraId="20AE138E" w14:textId="77777777" w:rsidR="00B626E7" w:rsidRDefault="00B626E7">
            <w:pPr>
              <w:rPr>
                <w:rFonts w:ascii="宋体"/>
              </w:rPr>
            </w:pPr>
          </w:p>
        </w:tc>
        <w:tc>
          <w:tcPr>
            <w:tcW w:w="4237" w:type="pct"/>
            <w:shd w:val="clear" w:color="auto" w:fill="auto"/>
          </w:tcPr>
          <w:p w14:paraId="20AE138F" w14:textId="77777777" w:rsidR="00B626E7" w:rsidRDefault="00B626E7">
            <w:pPr>
              <w:rPr>
                <w:rFonts w:ascii="宋体"/>
              </w:rPr>
            </w:pPr>
          </w:p>
        </w:tc>
        <w:tc>
          <w:tcPr>
            <w:tcW w:w="50" w:type="pct"/>
            <w:shd w:val="clear" w:color="auto" w:fill="auto"/>
          </w:tcPr>
          <w:p w14:paraId="20AE1390" w14:textId="77777777" w:rsidR="00B626E7" w:rsidRDefault="00B626E7">
            <w:pPr>
              <w:rPr>
                <w:rFonts w:ascii="宋体"/>
              </w:rPr>
            </w:pPr>
          </w:p>
        </w:tc>
      </w:tr>
      <w:tr w:rsidR="00B626E7" w14:paraId="20AE1394" w14:textId="77777777">
        <w:tc>
          <w:tcPr>
            <w:tcW w:w="0" w:type="auto"/>
            <w:gridSpan w:val="3"/>
            <w:tcBorders>
              <w:bottom w:val="single" w:sz="8" w:space="0" w:color="0071C5"/>
            </w:tcBorders>
            <w:shd w:val="clear" w:color="auto" w:fill="0071C5"/>
            <w:tcMar>
              <w:top w:w="40" w:type="dxa"/>
              <w:left w:w="20" w:type="dxa"/>
              <w:bottom w:w="40" w:type="dxa"/>
              <w:right w:w="20" w:type="dxa"/>
            </w:tcMar>
            <w:vAlign w:val="bottom"/>
          </w:tcPr>
          <w:p w14:paraId="20AE1392" w14:textId="77777777" w:rsidR="00B626E7" w:rsidRDefault="00175C1D">
            <w:pPr>
              <w:textAlignment w:val="bottom"/>
            </w:pPr>
            <w:r>
              <w:rPr>
                <w:rFonts w:ascii="Arial" w:eastAsia="宋体" w:hAnsi="Arial" w:cs="Arial"/>
                <w:b/>
                <w:bCs/>
                <w:color w:val="FFFFFF"/>
                <w:sz w:val="28"/>
                <w:szCs w:val="28"/>
              </w:rPr>
              <w:t xml:space="preserve">NOTE 8 : </w:t>
            </w:r>
          </w:p>
        </w:tc>
        <w:tc>
          <w:tcPr>
            <w:tcW w:w="0" w:type="auto"/>
            <w:gridSpan w:val="3"/>
            <w:tcBorders>
              <w:bottom w:val="single" w:sz="8" w:space="0" w:color="0071C5"/>
            </w:tcBorders>
            <w:shd w:val="clear" w:color="auto" w:fill="auto"/>
            <w:tcMar>
              <w:top w:w="40" w:type="dxa"/>
              <w:left w:w="20" w:type="dxa"/>
              <w:bottom w:w="40" w:type="dxa"/>
              <w:right w:w="20" w:type="dxa"/>
            </w:tcMar>
            <w:vAlign w:val="bottom"/>
          </w:tcPr>
          <w:p w14:paraId="20AE1393" w14:textId="77777777" w:rsidR="00B626E7" w:rsidRDefault="00175C1D">
            <w:pPr>
              <w:textAlignment w:val="bottom"/>
            </w:pPr>
            <w:r>
              <w:rPr>
                <w:rFonts w:ascii="Arial" w:eastAsia="宋体" w:hAnsi="Arial" w:cs="Arial"/>
                <w:b/>
                <w:bCs/>
                <w:color w:val="0071C5"/>
                <w:sz w:val="28"/>
                <w:szCs w:val="28"/>
              </w:rPr>
              <w:t xml:space="preserve">ACQUISITIONS AND </w:t>
            </w:r>
            <w:r>
              <w:rPr>
                <w:rFonts w:ascii="Arial" w:eastAsia="宋体" w:hAnsi="Arial" w:cs="Arial"/>
                <w:b/>
                <w:bCs/>
                <w:color w:val="0071C5"/>
                <w:sz w:val="28"/>
                <w:szCs w:val="28"/>
              </w:rPr>
              <w:t>DIVESTITURES</w:t>
            </w:r>
          </w:p>
        </w:tc>
      </w:tr>
    </w:tbl>
    <w:p w14:paraId="20AE1395" w14:textId="77777777" w:rsidR="00B626E7" w:rsidRDefault="00175C1D">
      <w:pPr>
        <w:spacing w:before="180" w:after="180"/>
      </w:pPr>
      <w:r>
        <w:rPr>
          <w:rFonts w:ascii="Arial" w:eastAsia="宋体" w:hAnsi="Arial" w:cs="Arial"/>
          <w:b/>
          <w:bCs/>
          <w:color w:val="0071C5"/>
        </w:rPr>
        <w:t>ACQUISITIONS</w:t>
      </w:r>
    </w:p>
    <w:p w14:paraId="20AE1396" w14:textId="77777777" w:rsidR="00B626E7" w:rsidRDefault="00175C1D">
      <w:pPr>
        <w:spacing w:after="120"/>
      </w:pPr>
      <w:r>
        <w:rPr>
          <w:rFonts w:ascii="Arial" w:eastAsia="宋体" w:hAnsi="Arial" w:cs="Arial"/>
          <w:b/>
          <w:bCs/>
          <w:color w:val="333333"/>
          <w:sz w:val="20"/>
          <w:szCs w:val="20"/>
        </w:rPr>
        <w:t xml:space="preserve">Acquisition of Moovit </w:t>
      </w:r>
    </w:p>
    <w:p w14:paraId="20AE1397" w14:textId="77777777" w:rsidR="00B626E7" w:rsidRDefault="00175C1D">
      <w:pPr>
        <w:spacing w:after="180"/>
      </w:pPr>
      <w:r>
        <w:rPr>
          <w:rFonts w:ascii="Arial" w:eastAsia="宋体" w:hAnsi="Arial" w:cs="Arial"/>
          <w:color w:val="333333"/>
          <w:sz w:val="18"/>
          <w:szCs w:val="18"/>
        </w:rPr>
        <w:t>On May 4, 2020, we acquired Moovit, a MaaS solutions company, for total consideration of $915 million. The fair values of the assets acquired relate to goodwill of $638 million and intangible assets of $331</w:t>
      </w:r>
      <w:r>
        <w:rPr>
          <w:rFonts w:ascii="Arial" w:eastAsia="宋体" w:hAnsi="Arial" w:cs="Arial"/>
          <w:color w:val="333333"/>
          <w:sz w:val="18"/>
          <w:szCs w:val="18"/>
        </w:rPr>
        <w:t xml:space="preserve"> million. The goodwill arising from the acquisition is attributed to the expected synergies and other benefits that will be generated from the combination of Intel and Moovit. We expect substantially all of the goodwill will not be deductible for local tax</w:t>
      </w:r>
      <w:r>
        <w:rPr>
          <w:rFonts w:ascii="Arial" w:eastAsia="宋体" w:hAnsi="Arial" w:cs="Arial"/>
          <w:color w:val="333333"/>
          <w:sz w:val="18"/>
          <w:szCs w:val="18"/>
        </w:rPr>
        <w:t xml:space="preserve"> purposes. The acquisition-related intangible assets are primarily related to Moovit's monthly active user base and application platform. The goodwill and operating results of Moovit are included in our Mobileye operating segment.</w:t>
      </w:r>
    </w:p>
    <w:p w14:paraId="20AE1398" w14:textId="77777777" w:rsidR="00B626E7" w:rsidRDefault="00175C1D">
      <w:pPr>
        <w:spacing w:before="180" w:after="180"/>
      </w:pPr>
      <w:r>
        <w:rPr>
          <w:rFonts w:ascii="Arial" w:eastAsia="宋体" w:hAnsi="Arial" w:cs="Arial"/>
          <w:b/>
          <w:bCs/>
          <w:color w:val="0071C5"/>
        </w:rPr>
        <w:t>DIVESTITURES</w:t>
      </w:r>
    </w:p>
    <w:p w14:paraId="20AE1399" w14:textId="77777777" w:rsidR="00B626E7" w:rsidRDefault="00175C1D">
      <w:pPr>
        <w:spacing w:after="120"/>
      </w:pPr>
      <w:r>
        <w:rPr>
          <w:rFonts w:ascii="Arial" w:eastAsia="宋体" w:hAnsi="Arial" w:cs="Arial"/>
          <w:b/>
          <w:bCs/>
          <w:color w:val="333333"/>
          <w:sz w:val="20"/>
          <w:szCs w:val="20"/>
        </w:rPr>
        <w:t>Planned Divestiture of our Home Gateway Platform Division</w:t>
      </w:r>
    </w:p>
    <w:p w14:paraId="20AE139A" w14:textId="77777777" w:rsidR="00B626E7" w:rsidRDefault="00175C1D">
      <w:pPr>
        <w:spacing w:after="180"/>
      </w:pPr>
      <w:r>
        <w:rPr>
          <w:rFonts w:ascii="Arial" w:eastAsia="宋体" w:hAnsi="Arial" w:cs="Arial"/>
          <w:color w:val="333333"/>
          <w:sz w:val="18"/>
          <w:szCs w:val="18"/>
        </w:rPr>
        <w:t xml:space="preserve">We signed a definitive agreement on April 5, 2020 to sell the majority of Home Gateway Platform, a division of CCG. The transaction contemplates the transfer of certain employees, equipment, and an </w:t>
      </w:r>
      <w:r>
        <w:rPr>
          <w:rFonts w:ascii="Arial" w:eastAsia="宋体" w:hAnsi="Arial" w:cs="Arial"/>
          <w:color w:val="333333"/>
          <w:sz w:val="18"/>
          <w:szCs w:val="18"/>
        </w:rPr>
        <w:t>on-going supply agreement for future units. We reclassified the assets and liabilities as held-for-sale within other current assets/liabilities. We expect to close the transaction in the third quarter of 2020.</w:t>
      </w:r>
    </w:p>
    <w:p w14:paraId="20AE139B" w14:textId="77777777" w:rsidR="00B626E7" w:rsidRDefault="00B626E7">
      <w:pPr>
        <w:spacing w:after="180"/>
      </w:pPr>
    </w:p>
    <w:p w14:paraId="20AE139C" w14:textId="77777777" w:rsidR="00B626E7" w:rsidRDefault="00B626E7">
      <w:pPr>
        <w:spacing w:after="180"/>
      </w:pPr>
    </w:p>
    <w:p w14:paraId="20AE139D" w14:textId="77777777" w:rsidR="00B626E7" w:rsidRDefault="00B626E7">
      <w:pPr>
        <w:spacing w:after="180"/>
      </w:pPr>
    </w:p>
    <w:p w14:paraId="20AE139E" w14:textId="77777777" w:rsidR="00B626E7" w:rsidRDefault="00B626E7">
      <w:pPr>
        <w:spacing w:after="180"/>
      </w:pPr>
    </w:p>
    <w:p w14:paraId="20AE139F" w14:textId="77777777" w:rsidR="00B626E7" w:rsidRDefault="00B626E7">
      <w:pPr>
        <w:spacing w:after="180"/>
      </w:pPr>
    </w:p>
    <w:p w14:paraId="20AE13A0" w14:textId="77777777" w:rsidR="00B626E7" w:rsidRDefault="00B626E7">
      <w:pPr>
        <w:spacing w:after="180"/>
      </w:pPr>
    </w:p>
    <w:p w14:paraId="20AE13A1" w14:textId="77777777" w:rsidR="00B626E7" w:rsidRDefault="00B626E7">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4"/>
        <w:gridCol w:w="2423"/>
        <w:gridCol w:w="84"/>
        <w:gridCol w:w="83"/>
        <w:gridCol w:w="3471"/>
        <w:gridCol w:w="83"/>
        <w:gridCol w:w="83"/>
        <w:gridCol w:w="1942"/>
        <w:gridCol w:w="83"/>
      </w:tblGrid>
      <w:tr w:rsidR="00B626E7" w14:paraId="20AE13AB" w14:textId="77777777">
        <w:tc>
          <w:tcPr>
            <w:tcW w:w="50" w:type="pct"/>
            <w:shd w:val="clear" w:color="auto" w:fill="auto"/>
            <w:vAlign w:val="bottom"/>
          </w:tcPr>
          <w:p w14:paraId="20AE13A2" w14:textId="77777777" w:rsidR="00B626E7" w:rsidRDefault="00B626E7">
            <w:pPr>
              <w:rPr>
                <w:rFonts w:ascii="宋体"/>
              </w:rPr>
            </w:pPr>
          </w:p>
        </w:tc>
        <w:tc>
          <w:tcPr>
            <w:tcW w:w="1452" w:type="pct"/>
            <w:shd w:val="clear" w:color="auto" w:fill="auto"/>
            <w:vAlign w:val="bottom"/>
          </w:tcPr>
          <w:p w14:paraId="20AE13A3" w14:textId="77777777" w:rsidR="00B626E7" w:rsidRDefault="00B626E7">
            <w:pPr>
              <w:rPr>
                <w:rFonts w:ascii="宋体"/>
              </w:rPr>
            </w:pPr>
          </w:p>
        </w:tc>
        <w:tc>
          <w:tcPr>
            <w:tcW w:w="50" w:type="pct"/>
            <w:shd w:val="clear" w:color="auto" w:fill="auto"/>
            <w:vAlign w:val="bottom"/>
          </w:tcPr>
          <w:p w14:paraId="20AE13A4" w14:textId="77777777" w:rsidR="00B626E7" w:rsidRDefault="00B626E7">
            <w:pPr>
              <w:rPr>
                <w:rFonts w:ascii="宋体"/>
              </w:rPr>
            </w:pPr>
          </w:p>
        </w:tc>
        <w:tc>
          <w:tcPr>
            <w:tcW w:w="50" w:type="pct"/>
            <w:shd w:val="clear" w:color="auto" w:fill="auto"/>
            <w:vAlign w:val="bottom"/>
          </w:tcPr>
          <w:p w14:paraId="20AE13A5" w14:textId="77777777" w:rsidR="00B626E7" w:rsidRDefault="00B626E7">
            <w:pPr>
              <w:rPr>
                <w:rFonts w:ascii="宋体"/>
              </w:rPr>
            </w:pPr>
          </w:p>
        </w:tc>
        <w:tc>
          <w:tcPr>
            <w:tcW w:w="2081" w:type="pct"/>
            <w:shd w:val="clear" w:color="auto" w:fill="auto"/>
            <w:vAlign w:val="bottom"/>
          </w:tcPr>
          <w:p w14:paraId="20AE13A6" w14:textId="77777777" w:rsidR="00B626E7" w:rsidRDefault="00B626E7">
            <w:pPr>
              <w:rPr>
                <w:rFonts w:ascii="宋体"/>
              </w:rPr>
            </w:pPr>
          </w:p>
        </w:tc>
        <w:tc>
          <w:tcPr>
            <w:tcW w:w="50" w:type="pct"/>
            <w:shd w:val="clear" w:color="auto" w:fill="auto"/>
            <w:vAlign w:val="bottom"/>
          </w:tcPr>
          <w:p w14:paraId="20AE13A7" w14:textId="77777777" w:rsidR="00B626E7" w:rsidRDefault="00B626E7">
            <w:pPr>
              <w:rPr>
                <w:rFonts w:ascii="宋体"/>
              </w:rPr>
            </w:pPr>
          </w:p>
        </w:tc>
        <w:tc>
          <w:tcPr>
            <w:tcW w:w="50" w:type="pct"/>
            <w:shd w:val="clear" w:color="auto" w:fill="auto"/>
            <w:vAlign w:val="bottom"/>
          </w:tcPr>
          <w:p w14:paraId="20AE13A8" w14:textId="77777777" w:rsidR="00B626E7" w:rsidRDefault="00B626E7">
            <w:pPr>
              <w:rPr>
                <w:rFonts w:ascii="宋体"/>
              </w:rPr>
            </w:pPr>
          </w:p>
        </w:tc>
        <w:tc>
          <w:tcPr>
            <w:tcW w:w="1165" w:type="pct"/>
            <w:shd w:val="clear" w:color="auto" w:fill="auto"/>
            <w:vAlign w:val="bottom"/>
          </w:tcPr>
          <w:p w14:paraId="20AE13A9" w14:textId="77777777" w:rsidR="00B626E7" w:rsidRDefault="00B626E7">
            <w:pPr>
              <w:rPr>
                <w:rFonts w:ascii="宋体"/>
              </w:rPr>
            </w:pPr>
          </w:p>
        </w:tc>
        <w:tc>
          <w:tcPr>
            <w:tcW w:w="50" w:type="pct"/>
            <w:shd w:val="clear" w:color="auto" w:fill="auto"/>
            <w:vAlign w:val="bottom"/>
          </w:tcPr>
          <w:p w14:paraId="20AE13AA" w14:textId="77777777" w:rsidR="00B626E7" w:rsidRDefault="00B626E7">
            <w:pPr>
              <w:rPr>
                <w:rFonts w:ascii="宋体"/>
              </w:rPr>
            </w:pPr>
          </w:p>
        </w:tc>
      </w:tr>
      <w:tr w:rsidR="00B626E7" w14:paraId="20AE13AF" w14:textId="77777777">
        <w:tc>
          <w:tcPr>
            <w:tcW w:w="0" w:type="auto"/>
            <w:gridSpan w:val="3"/>
            <w:tcBorders>
              <w:top w:val="single" w:sz="8" w:space="0" w:color="0071C5"/>
            </w:tcBorders>
            <w:shd w:val="clear" w:color="auto" w:fill="auto"/>
            <w:tcMar>
              <w:top w:w="40" w:type="dxa"/>
              <w:left w:w="20" w:type="dxa"/>
              <w:bottom w:w="40" w:type="dxa"/>
              <w:right w:w="20" w:type="dxa"/>
            </w:tcMar>
            <w:vAlign w:val="center"/>
          </w:tcPr>
          <w:p w14:paraId="20AE13AC" w14:textId="77777777" w:rsidR="00B626E7" w:rsidRDefault="00175C1D">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Viewer10_files/intc-20200627_g15.jpg"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47" wp14:editId="20AE3C48">
                  <wp:extent cx="304800" cy="304800"/>
                  <wp:effectExtent l="0" t="0" r="0" b="0"/>
                  <wp:docPr id="12" name="图片 71"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1" descr="IMG_28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Arial" w:eastAsia="宋体" w:hAnsi="Arial" w:cs="Arial"/>
                <w:color w:val="333333"/>
                <w:sz w:val="16"/>
                <w:szCs w:val="16"/>
              </w:rPr>
              <w:t>FINANCIAL STATEMENTS</w:t>
            </w:r>
          </w:p>
        </w:tc>
        <w:tc>
          <w:tcPr>
            <w:tcW w:w="0" w:type="auto"/>
            <w:gridSpan w:val="3"/>
            <w:tcBorders>
              <w:top w:val="single" w:sz="8" w:space="0" w:color="0071C5"/>
              <w:left w:val="single" w:sz="24" w:space="0" w:color="0071C5"/>
            </w:tcBorders>
            <w:shd w:val="clear" w:color="auto" w:fill="auto"/>
            <w:tcMar>
              <w:top w:w="40" w:type="dxa"/>
              <w:left w:w="20" w:type="dxa"/>
              <w:bottom w:w="40" w:type="dxa"/>
              <w:right w:w="20" w:type="dxa"/>
            </w:tcMar>
            <w:vAlign w:val="bottom"/>
          </w:tcPr>
          <w:p w14:paraId="20AE13AD" w14:textId="77777777" w:rsidR="00B626E7" w:rsidRDefault="00175C1D">
            <w:pPr>
              <w:textAlignment w:val="bottom"/>
            </w:pPr>
            <w:r>
              <w:rPr>
                <w:rFonts w:ascii="Arial" w:eastAsia="宋体" w:hAnsi="Arial" w:cs="Arial"/>
                <w:color w:val="333333"/>
                <w:sz w:val="16"/>
                <w:szCs w:val="16"/>
              </w:rPr>
              <w:t>  Notes to Financial Statements</w:t>
            </w: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13AE" w14:textId="77777777" w:rsidR="00B626E7" w:rsidRDefault="00175C1D">
            <w:pPr>
              <w:jc w:val="right"/>
              <w:textAlignment w:val="bottom"/>
            </w:pPr>
            <w:r>
              <w:rPr>
                <w:rFonts w:ascii="Arial" w:eastAsia="宋体" w:hAnsi="Arial" w:cs="Arial"/>
                <w:color w:val="333333"/>
                <w:sz w:val="16"/>
                <w:szCs w:val="16"/>
              </w:rPr>
              <w:t>16</w:t>
            </w:r>
          </w:p>
        </w:tc>
      </w:tr>
    </w:tbl>
    <w:p w14:paraId="20AE13B0" w14:textId="77777777" w:rsidR="00B626E7" w:rsidRDefault="00175C1D">
      <w:r>
        <w:pict w14:anchorId="20AE3C49">
          <v:rect id="_x0000_i1042" style="width:415.3pt;height:1.5pt" o:hralign="center" o:hrstd="t" o:hr="t" fillcolor="#a0a0a0" stroked="f"/>
        </w:pict>
      </w:r>
    </w:p>
    <w:p w14:paraId="20AE13B1" w14:textId="77777777" w:rsidR="00B626E7" w:rsidRDefault="00175C1D">
      <w:pPr>
        <w:spacing w:after="180"/>
        <w:jc w:val="right"/>
      </w:pPr>
      <w:hyperlink r:id="rId43" w:anchor="ib035cc8759904e51927d703ec8414366_7" w:history="1">
        <w:r>
          <w:rPr>
            <w:rStyle w:val="a5"/>
            <w:rFonts w:ascii="Arial" w:eastAsia="宋体" w:hAnsi="Arial" w:cs="Arial"/>
            <w:b/>
            <w:bCs/>
            <w:sz w:val="16"/>
            <w:szCs w:val="16"/>
          </w:rPr>
          <w:t>Table of Contents</w:t>
        </w:r>
      </w:hyperlink>
    </w:p>
    <w:p w14:paraId="20AE13B2" w14:textId="77777777" w:rsidR="00B626E7" w:rsidRDefault="00B626E7">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84"/>
        <w:gridCol w:w="937"/>
        <w:gridCol w:w="83"/>
        <w:gridCol w:w="83"/>
        <w:gridCol w:w="7066"/>
        <w:gridCol w:w="83"/>
      </w:tblGrid>
      <w:tr w:rsidR="00B626E7" w14:paraId="20AE13B9" w14:textId="77777777">
        <w:tc>
          <w:tcPr>
            <w:tcW w:w="50" w:type="pct"/>
            <w:shd w:val="clear" w:color="auto" w:fill="auto"/>
          </w:tcPr>
          <w:p w14:paraId="20AE13B3" w14:textId="77777777" w:rsidR="00B626E7" w:rsidRDefault="00B626E7">
            <w:pPr>
              <w:rPr>
                <w:rFonts w:ascii="宋体"/>
              </w:rPr>
            </w:pPr>
          </w:p>
        </w:tc>
        <w:tc>
          <w:tcPr>
            <w:tcW w:w="562" w:type="pct"/>
            <w:shd w:val="clear" w:color="auto" w:fill="auto"/>
          </w:tcPr>
          <w:p w14:paraId="20AE13B4" w14:textId="77777777" w:rsidR="00B626E7" w:rsidRDefault="00B626E7">
            <w:pPr>
              <w:rPr>
                <w:rFonts w:ascii="宋体"/>
              </w:rPr>
            </w:pPr>
          </w:p>
        </w:tc>
        <w:tc>
          <w:tcPr>
            <w:tcW w:w="50" w:type="pct"/>
            <w:shd w:val="clear" w:color="auto" w:fill="auto"/>
          </w:tcPr>
          <w:p w14:paraId="20AE13B5" w14:textId="77777777" w:rsidR="00B626E7" w:rsidRDefault="00B626E7">
            <w:pPr>
              <w:rPr>
                <w:rFonts w:ascii="宋体"/>
              </w:rPr>
            </w:pPr>
          </w:p>
        </w:tc>
        <w:tc>
          <w:tcPr>
            <w:tcW w:w="50" w:type="pct"/>
            <w:shd w:val="clear" w:color="auto" w:fill="auto"/>
          </w:tcPr>
          <w:p w14:paraId="20AE13B6" w14:textId="77777777" w:rsidR="00B626E7" w:rsidRDefault="00B626E7">
            <w:pPr>
              <w:rPr>
                <w:rFonts w:ascii="宋体"/>
              </w:rPr>
            </w:pPr>
          </w:p>
        </w:tc>
        <w:tc>
          <w:tcPr>
            <w:tcW w:w="4237" w:type="pct"/>
            <w:shd w:val="clear" w:color="auto" w:fill="auto"/>
          </w:tcPr>
          <w:p w14:paraId="20AE13B7" w14:textId="77777777" w:rsidR="00B626E7" w:rsidRDefault="00B626E7">
            <w:pPr>
              <w:rPr>
                <w:rFonts w:ascii="宋体"/>
              </w:rPr>
            </w:pPr>
          </w:p>
        </w:tc>
        <w:tc>
          <w:tcPr>
            <w:tcW w:w="50" w:type="pct"/>
            <w:shd w:val="clear" w:color="auto" w:fill="auto"/>
          </w:tcPr>
          <w:p w14:paraId="20AE13B8" w14:textId="77777777" w:rsidR="00B626E7" w:rsidRDefault="00B626E7">
            <w:pPr>
              <w:rPr>
                <w:rFonts w:ascii="宋体"/>
              </w:rPr>
            </w:pPr>
          </w:p>
        </w:tc>
      </w:tr>
      <w:tr w:rsidR="00B626E7" w14:paraId="20AE13BC" w14:textId="77777777">
        <w:tc>
          <w:tcPr>
            <w:tcW w:w="0" w:type="auto"/>
            <w:gridSpan w:val="3"/>
            <w:tcBorders>
              <w:bottom w:val="single" w:sz="8" w:space="0" w:color="0071C5"/>
            </w:tcBorders>
            <w:shd w:val="clear" w:color="auto" w:fill="0071C5"/>
            <w:tcMar>
              <w:top w:w="40" w:type="dxa"/>
              <w:left w:w="20" w:type="dxa"/>
              <w:bottom w:w="40" w:type="dxa"/>
              <w:right w:w="20" w:type="dxa"/>
            </w:tcMar>
            <w:vAlign w:val="bottom"/>
          </w:tcPr>
          <w:p w14:paraId="20AE13BA" w14:textId="77777777" w:rsidR="00B626E7" w:rsidRDefault="00175C1D">
            <w:pPr>
              <w:textAlignment w:val="bottom"/>
            </w:pPr>
            <w:r>
              <w:rPr>
                <w:rFonts w:ascii="Arial" w:eastAsia="宋体" w:hAnsi="Arial" w:cs="Arial"/>
                <w:b/>
                <w:bCs/>
                <w:color w:val="FFFFFF"/>
                <w:sz w:val="28"/>
                <w:szCs w:val="28"/>
              </w:rPr>
              <w:t xml:space="preserve">NOTE 9 : </w:t>
            </w:r>
          </w:p>
        </w:tc>
        <w:tc>
          <w:tcPr>
            <w:tcW w:w="0" w:type="auto"/>
            <w:gridSpan w:val="3"/>
            <w:tcBorders>
              <w:bottom w:val="single" w:sz="8" w:space="0" w:color="0071C5"/>
            </w:tcBorders>
            <w:shd w:val="clear" w:color="auto" w:fill="auto"/>
            <w:tcMar>
              <w:top w:w="40" w:type="dxa"/>
              <w:left w:w="20" w:type="dxa"/>
              <w:bottom w:w="40" w:type="dxa"/>
              <w:right w:w="20" w:type="dxa"/>
            </w:tcMar>
            <w:vAlign w:val="bottom"/>
          </w:tcPr>
          <w:p w14:paraId="20AE13BB" w14:textId="77777777" w:rsidR="00B626E7" w:rsidRDefault="00175C1D">
            <w:pPr>
              <w:textAlignment w:val="bottom"/>
            </w:pPr>
            <w:r>
              <w:rPr>
                <w:rFonts w:ascii="Arial" w:eastAsia="宋体" w:hAnsi="Arial" w:cs="Arial"/>
                <w:b/>
                <w:bCs/>
                <w:color w:val="0071C5"/>
                <w:sz w:val="28"/>
                <w:szCs w:val="28"/>
              </w:rPr>
              <w:t>BORROWINGS</w:t>
            </w:r>
          </w:p>
        </w:tc>
      </w:tr>
    </w:tbl>
    <w:p w14:paraId="20AE13BD" w14:textId="77777777" w:rsidR="00B626E7" w:rsidRDefault="00175C1D">
      <w:pPr>
        <w:spacing w:before="180" w:after="180"/>
      </w:pPr>
      <w:r>
        <w:rPr>
          <w:rFonts w:ascii="Arial" w:eastAsia="宋体" w:hAnsi="Arial" w:cs="Arial"/>
          <w:color w:val="333333"/>
          <w:sz w:val="18"/>
          <w:szCs w:val="18"/>
        </w:rPr>
        <w:t xml:space="preserve">As of June 27, 2020, our short-term debt was $2.3 billion, primarily comprised of the current portion of our long-term debt ($3.7 billion as of December 28, 2019). </w:t>
      </w:r>
    </w:p>
    <w:p w14:paraId="20AE13BE" w14:textId="77777777" w:rsidR="00B626E7" w:rsidRDefault="00175C1D">
      <w:pPr>
        <w:spacing w:after="180"/>
      </w:pPr>
      <w:r>
        <w:rPr>
          <w:rFonts w:ascii="Arial" w:eastAsia="宋体" w:hAnsi="Arial" w:cs="Arial"/>
          <w:color w:val="333333"/>
          <w:sz w:val="18"/>
          <w:szCs w:val="18"/>
        </w:rPr>
        <w:t xml:space="preserve">We have an ongoing authorization from our Board of Directors to borrow up to $10.0 billion </w:t>
      </w:r>
      <w:r>
        <w:rPr>
          <w:rFonts w:ascii="Arial" w:eastAsia="宋体" w:hAnsi="Arial" w:cs="Arial"/>
          <w:color w:val="333333"/>
          <w:sz w:val="18"/>
          <w:szCs w:val="18"/>
        </w:rPr>
        <w:t>under our commercial paper program.</w:t>
      </w:r>
    </w:p>
    <w:p w14:paraId="20AE13BF" w14:textId="77777777" w:rsidR="00B626E7" w:rsidRDefault="00175C1D">
      <w:pPr>
        <w:spacing w:after="60"/>
      </w:pPr>
      <w:r>
        <w:rPr>
          <w:rFonts w:ascii="Arial" w:eastAsia="宋体" w:hAnsi="Arial" w:cs="Arial"/>
          <w:b/>
          <w:bCs/>
          <w:color w:val="0071C5"/>
        </w:rPr>
        <w:t>LONG-TERM DEBT</w:t>
      </w:r>
    </w:p>
    <w:tbl>
      <w:tblPr>
        <w:tblW w:w="4986" w:type="pct"/>
        <w:tblCellMar>
          <w:top w:w="15" w:type="dxa"/>
          <w:left w:w="15" w:type="dxa"/>
          <w:bottom w:w="15" w:type="dxa"/>
          <w:right w:w="15" w:type="dxa"/>
        </w:tblCellMar>
        <w:tblLook w:val="04A0" w:firstRow="1" w:lastRow="0" w:firstColumn="1" w:lastColumn="0" w:noHBand="0" w:noVBand="1"/>
      </w:tblPr>
      <w:tblGrid>
        <w:gridCol w:w="40"/>
        <w:gridCol w:w="4054"/>
        <w:gridCol w:w="38"/>
        <w:gridCol w:w="36"/>
        <w:gridCol w:w="36"/>
        <w:gridCol w:w="36"/>
        <w:gridCol w:w="56"/>
        <w:gridCol w:w="856"/>
        <w:gridCol w:w="196"/>
        <w:gridCol w:w="36"/>
        <w:gridCol w:w="36"/>
        <w:gridCol w:w="36"/>
        <w:gridCol w:w="136"/>
        <w:gridCol w:w="878"/>
        <w:gridCol w:w="86"/>
        <w:gridCol w:w="36"/>
        <w:gridCol w:w="36"/>
        <w:gridCol w:w="36"/>
        <w:gridCol w:w="136"/>
        <w:gridCol w:w="878"/>
        <w:gridCol w:w="86"/>
        <w:gridCol w:w="36"/>
        <w:gridCol w:w="36"/>
        <w:gridCol w:w="36"/>
        <w:gridCol w:w="147"/>
        <w:gridCol w:w="147"/>
        <w:gridCol w:w="147"/>
      </w:tblGrid>
      <w:tr w:rsidR="00B626E7" w14:paraId="20AE13D5" w14:textId="77777777">
        <w:trPr>
          <w:gridAfter w:val="6"/>
        </w:trPr>
        <w:tc>
          <w:tcPr>
            <w:tcW w:w="50" w:type="pct"/>
            <w:shd w:val="clear" w:color="auto" w:fill="auto"/>
          </w:tcPr>
          <w:p w14:paraId="20AE13C0" w14:textId="77777777" w:rsidR="00B626E7" w:rsidRDefault="00B626E7">
            <w:pPr>
              <w:rPr>
                <w:rFonts w:ascii="宋体"/>
              </w:rPr>
            </w:pPr>
          </w:p>
        </w:tc>
        <w:tc>
          <w:tcPr>
            <w:tcW w:w="2639" w:type="pct"/>
            <w:shd w:val="clear" w:color="auto" w:fill="auto"/>
          </w:tcPr>
          <w:p w14:paraId="20AE13C1" w14:textId="77777777" w:rsidR="00B626E7" w:rsidRDefault="00B626E7">
            <w:pPr>
              <w:rPr>
                <w:rFonts w:ascii="宋体"/>
              </w:rPr>
            </w:pPr>
          </w:p>
        </w:tc>
        <w:tc>
          <w:tcPr>
            <w:tcW w:w="50" w:type="pct"/>
            <w:shd w:val="clear" w:color="auto" w:fill="auto"/>
          </w:tcPr>
          <w:p w14:paraId="20AE13C2" w14:textId="77777777" w:rsidR="00B626E7" w:rsidRDefault="00B626E7">
            <w:pPr>
              <w:rPr>
                <w:rFonts w:ascii="宋体"/>
              </w:rPr>
            </w:pPr>
          </w:p>
        </w:tc>
        <w:tc>
          <w:tcPr>
            <w:tcW w:w="5" w:type="pct"/>
            <w:shd w:val="clear" w:color="auto" w:fill="auto"/>
          </w:tcPr>
          <w:p w14:paraId="20AE13C3" w14:textId="77777777" w:rsidR="00B626E7" w:rsidRDefault="00B626E7">
            <w:pPr>
              <w:rPr>
                <w:rFonts w:ascii="宋体"/>
              </w:rPr>
            </w:pPr>
          </w:p>
        </w:tc>
        <w:tc>
          <w:tcPr>
            <w:tcW w:w="24" w:type="pct"/>
            <w:shd w:val="clear" w:color="auto" w:fill="auto"/>
          </w:tcPr>
          <w:p w14:paraId="20AE13C4" w14:textId="77777777" w:rsidR="00B626E7" w:rsidRDefault="00B626E7">
            <w:pPr>
              <w:rPr>
                <w:rFonts w:ascii="宋体"/>
              </w:rPr>
            </w:pPr>
          </w:p>
        </w:tc>
        <w:tc>
          <w:tcPr>
            <w:tcW w:w="5" w:type="pct"/>
            <w:shd w:val="clear" w:color="auto" w:fill="auto"/>
          </w:tcPr>
          <w:p w14:paraId="20AE13C5" w14:textId="77777777" w:rsidR="00B626E7" w:rsidRDefault="00B626E7">
            <w:pPr>
              <w:rPr>
                <w:rFonts w:ascii="宋体"/>
              </w:rPr>
            </w:pPr>
          </w:p>
        </w:tc>
        <w:tc>
          <w:tcPr>
            <w:tcW w:w="50" w:type="pct"/>
            <w:shd w:val="clear" w:color="auto" w:fill="auto"/>
          </w:tcPr>
          <w:p w14:paraId="20AE13C6" w14:textId="77777777" w:rsidR="00B626E7" w:rsidRDefault="00B626E7">
            <w:pPr>
              <w:rPr>
                <w:rFonts w:ascii="宋体"/>
              </w:rPr>
            </w:pPr>
          </w:p>
        </w:tc>
        <w:tc>
          <w:tcPr>
            <w:tcW w:w="619" w:type="pct"/>
            <w:shd w:val="clear" w:color="auto" w:fill="auto"/>
          </w:tcPr>
          <w:p w14:paraId="20AE13C7" w14:textId="77777777" w:rsidR="00B626E7" w:rsidRDefault="00B626E7">
            <w:pPr>
              <w:rPr>
                <w:rFonts w:ascii="宋体"/>
              </w:rPr>
            </w:pPr>
          </w:p>
        </w:tc>
        <w:tc>
          <w:tcPr>
            <w:tcW w:w="50" w:type="pct"/>
            <w:shd w:val="clear" w:color="auto" w:fill="auto"/>
          </w:tcPr>
          <w:p w14:paraId="20AE13C8" w14:textId="77777777" w:rsidR="00B626E7" w:rsidRDefault="00B626E7">
            <w:pPr>
              <w:rPr>
                <w:rFonts w:ascii="宋体"/>
              </w:rPr>
            </w:pPr>
          </w:p>
        </w:tc>
        <w:tc>
          <w:tcPr>
            <w:tcW w:w="5" w:type="pct"/>
            <w:shd w:val="clear" w:color="auto" w:fill="auto"/>
          </w:tcPr>
          <w:p w14:paraId="20AE13C9" w14:textId="77777777" w:rsidR="00B626E7" w:rsidRDefault="00B626E7">
            <w:pPr>
              <w:rPr>
                <w:rFonts w:ascii="宋体"/>
              </w:rPr>
            </w:pPr>
          </w:p>
        </w:tc>
        <w:tc>
          <w:tcPr>
            <w:tcW w:w="24" w:type="pct"/>
            <w:shd w:val="clear" w:color="auto" w:fill="auto"/>
          </w:tcPr>
          <w:p w14:paraId="20AE13CA" w14:textId="77777777" w:rsidR="00B626E7" w:rsidRDefault="00B626E7">
            <w:pPr>
              <w:rPr>
                <w:rFonts w:ascii="宋体"/>
              </w:rPr>
            </w:pPr>
          </w:p>
        </w:tc>
        <w:tc>
          <w:tcPr>
            <w:tcW w:w="5" w:type="pct"/>
            <w:shd w:val="clear" w:color="auto" w:fill="auto"/>
          </w:tcPr>
          <w:p w14:paraId="20AE13CB" w14:textId="77777777" w:rsidR="00B626E7" w:rsidRDefault="00B626E7">
            <w:pPr>
              <w:rPr>
                <w:rFonts w:ascii="宋体"/>
              </w:rPr>
            </w:pPr>
          </w:p>
        </w:tc>
        <w:tc>
          <w:tcPr>
            <w:tcW w:w="50" w:type="pct"/>
            <w:shd w:val="clear" w:color="auto" w:fill="auto"/>
          </w:tcPr>
          <w:p w14:paraId="20AE13CC" w14:textId="77777777" w:rsidR="00B626E7" w:rsidRDefault="00B626E7">
            <w:pPr>
              <w:rPr>
                <w:rFonts w:ascii="宋体"/>
              </w:rPr>
            </w:pPr>
          </w:p>
        </w:tc>
        <w:tc>
          <w:tcPr>
            <w:tcW w:w="619" w:type="pct"/>
            <w:shd w:val="clear" w:color="auto" w:fill="auto"/>
          </w:tcPr>
          <w:p w14:paraId="20AE13CD" w14:textId="77777777" w:rsidR="00B626E7" w:rsidRDefault="00B626E7">
            <w:pPr>
              <w:rPr>
                <w:rFonts w:ascii="宋体"/>
              </w:rPr>
            </w:pPr>
          </w:p>
        </w:tc>
        <w:tc>
          <w:tcPr>
            <w:tcW w:w="50" w:type="pct"/>
            <w:shd w:val="clear" w:color="auto" w:fill="auto"/>
          </w:tcPr>
          <w:p w14:paraId="20AE13CE" w14:textId="77777777" w:rsidR="00B626E7" w:rsidRDefault="00B626E7">
            <w:pPr>
              <w:rPr>
                <w:rFonts w:ascii="宋体"/>
              </w:rPr>
            </w:pPr>
          </w:p>
        </w:tc>
        <w:tc>
          <w:tcPr>
            <w:tcW w:w="5" w:type="pct"/>
            <w:shd w:val="clear" w:color="auto" w:fill="auto"/>
          </w:tcPr>
          <w:p w14:paraId="20AE13CF" w14:textId="77777777" w:rsidR="00B626E7" w:rsidRDefault="00B626E7">
            <w:pPr>
              <w:rPr>
                <w:rFonts w:ascii="宋体"/>
              </w:rPr>
            </w:pPr>
          </w:p>
        </w:tc>
        <w:tc>
          <w:tcPr>
            <w:tcW w:w="24" w:type="pct"/>
            <w:shd w:val="clear" w:color="auto" w:fill="auto"/>
          </w:tcPr>
          <w:p w14:paraId="20AE13D0" w14:textId="77777777" w:rsidR="00B626E7" w:rsidRDefault="00B626E7">
            <w:pPr>
              <w:rPr>
                <w:rFonts w:ascii="宋体"/>
              </w:rPr>
            </w:pPr>
          </w:p>
        </w:tc>
        <w:tc>
          <w:tcPr>
            <w:tcW w:w="5" w:type="pct"/>
            <w:shd w:val="clear" w:color="auto" w:fill="auto"/>
          </w:tcPr>
          <w:p w14:paraId="20AE13D1" w14:textId="77777777" w:rsidR="00B626E7" w:rsidRDefault="00B626E7">
            <w:pPr>
              <w:rPr>
                <w:rFonts w:ascii="宋体"/>
              </w:rPr>
            </w:pPr>
          </w:p>
        </w:tc>
        <w:tc>
          <w:tcPr>
            <w:tcW w:w="50" w:type="pct"/>
            <w:shd w:val="clear" w:color="auto" w:fill="auto"/>
          </w:tcPr>
          <w:p w14:paraId="20AE13D2" w14:textId="77777777" w:rsidR="00B626E7" w:rsidRDefault="00B626E7">
            <w:pPr>
              <w:rPr>
                <w:rFonts w:ascii="宋体"/>
              </w:rPr>
            </w:pPr>
          </w:p>
        </w:tc>
        <w:tc>
          <w:tcPr>
            <w:tcW w:w="619" w:type="pct"/>
            <w:shd w:val="clear" w:color="auto" w:fill="auto"/>
          </w:tcPr>
          <w:p w14:paraId="20AE13D3" w14:textId="77777777" w:rsidR="00B626E7" w:rsidRDefault="00B626E7">
            <w:pPr>
              <w:rPr>
                <w:rFonts w:ascii="宋体"/>
              </w:rPr>
            </w:pPr>
          </w:p>
        </w:tc>
        <w:tc>
          <w:tcPr>
            <w:tcW w:w="50" w:type="pct"/>
            <w:shd w:val="clear" w:color="auto" w:fill="auto"/>
          </w:tcPr>
          <w:p w14:paraId="20AE13D4" w14:textId="77777777" w:rsidR="00B626E7" w:rsidRDefault="00B626E7">
            <w:pPr>
              <w:rPr>
                <w:rFonts w:ascii="宋体"/>
              </w:rPr>
            </w:pPr>
          </w:p>
        </w:tc>
      </w:tr>
      <w:tr w:rsidR="00B626E7" w14:paraId="20AE13DD" w14:textId="77777777">
        <w:tc>
          <w:tcPr>
            <w:tcW w:w="0" w:type="auto"/>
            <w:gridSpan w:val="3"/>
            <w:shd w:val="clear" w:color="auto" w:fill="auto"/>
            <w:tcMar>
              <w:left w:w="20" w:type="dxa"/>
              <w:right w:w="20" w:type="dxa"/>
            </w:tcMar>
            <w:vAlign w:val="bottom"/>
          </w:tcPr>
          <w:p w14:paraId="20AE13D6"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3D7" w14:textId="77777777" w:rsidR="00B626E7" w:rsidRDefault="00B626E7">
            <w:pPr>
              <w:rPr>
                <w:rFonts w:ascii="宋体"/>
              </w:rPr>
            </w:pPr>
          </w:p>
        </w:tc>
        <w:tc>
          <w:tcPr>
            <w:tcW w:w="0" w:type="auto"/>
            <w:gridSpan w:val="9"/>
            <w:shd w:val="clear" w:color="auto" w:fill="auto"/>
            <w:tcMar>
              <w:top w:w="40" w:type="dxa"/>
              <w:left w:w="20" w:type="dxa"/>
              <w:bottom w:w="40" w:type="dxa"/>
              <w:right w:w="20" w:type="dxa"/>
            </w:tcMar>
            <w:vAlign w:val="bottom"/>
          </w:tcPr>
          <w:p w14:paraId="20AE13D8" w14:textId="77777777" w:rsidR="00B626E7" w:rsidRDefault="00175C1D">
            <w:pPr>
              <w:jc w:val="center"/>
              <w:textAlignment w:val="bottom"/>
            </w:pPr>
            <w:r>
              <w:rPr>
                <w:rFonts w:ascii="Arial" w:eastAsia="宋体" w:hAnsi="Arial" w:cs="Arial"/>
                <w:b/>
                <w:bCs/>
                <w:color w:val="333333"/>
                <w:sz w:val="18"/>
                <w:szCs w:val="18"/>
              </w:rPr>
              <w:t>Jun 27, 2020</w:t>
            </w:r>
          </w:p>
        </w:tc>
        <w:tc>
          <w:tcPr>
            <w:tcW w:w="0" w:type="auto"/>
            <w:gridSpan w:val="3"/>
            <w:shd w:val="clear" w:color="auto" w:fill="auto"/>
          </w:tcPr>
          <w:p w14:paraId="20AE13D9" w14:textId="77777777" w:rsidR="00B626E7" w:rsidRDefault="00B626E7">
            <w:pPr>
              <w:rPr>
                <w:rFonts w:ascii="宋体"/>
                <w:vanish/>
              </w:rPr>
            </w:pPr>
          </w:p>
        </w:tc>
        <w:tc>
          <w:tcPr>
            <w:tcW w:w="0" w:type="auto"/>
            <w:gridSpan w:val="3"/>
            <w:shd w:val="clear" w:color="auto" w:fill="auto"/>
          </w:tcPr>
          <w:p w14:paraId="20AE13DA" w14:textId="77777777" w:rsidR="00B626E7" w:rsidRDefault="00B626E7">
            <w:pPr>
              <w:rPr>
                <w:rFonts w:ascii="宋体"/>
                <w:vanish/>
              </w:rPr>
            </w:pPr>
          </w:p>
        </w:tc>
        <w:tc>
          <w:tcPr>
            <w:tcW w:w="0" w:type="auto"/>
            <w:gridSpan w:val="3"/>
            <w:shd w:val="clear" w:color="auto" w:fill="auto"/>
            <w:tcMar>
              <w:left w:w="20" w:type="dxa"/>
              <w:right w:w="20" w:type="dxa"/>
            </w:tcMar>
            <w:vAlign w:val="bottom"/>
          </w:tcPr>
          <w:p w14:paraId="20AE13DB"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bottom"/>
          </w:tcPr>
          <w:p w14:paraId="20AE13DC" w14:textId="77777777" w:rsidR="00B626E7" w:rsidRDefault="00175C1D">
            <w:pPr>
              <w:jc w:val="center"/>
              <w:textAlignment w:val="bottom"/>
            </w:pPr>
            <w:r>
              <w:rPr>
                <w:rFonts w:ascii="Arial" w:eastAsia="宋体" w:hAnsi="Arial" w:cs="Arial"/>
                <w:b/>
                <w:bCs/>
                <w:color w:val="333333"/>
                <w:sz w:val="18"/>
                <w:szCs w:val="18"/>
              </w:rPr>
              <w:t>Dec 28, 2019</w:t>
            </w:r>
          </w:p>
        </w:tc>
      </w:tr>
      <w:tr w:rsidR="00B626E7" w14:paraId="20AE13EB" w14:textId="77777777">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13DE" w14:textId="77777777" w:rsidR="00B626E7" w:rsidRDefault="00175C1D">
            <w:pPr>
              <w:textAlignment w:val="bottom"/>
            </w:pPr>
            <w:r>
              <w:rPr>
                <w:rFonts w:ascii="Arial" w:eastAsia="宋体" w:hAnsi="Arial" w:cs="Arial"/>
                <w:b/>
                <w:bCs/>
                <w:color w:val="333333"/>
                <w:sz w:val="18"/>
                <w:szCs w:val="18"/>
              </w:rPr>
              <w:t>(In Millions)</w:t>
            </w:r>
          </w:p>
        </w:tc>
        <w:tc>
          <w:tcPr>
            <w:tcW w:w="0" w:type="auto"/>
            <w:gridSpan w:val="3"/>
            <w:shd w:val="clear" w:color="auto" w:fill="auto"/>
            <w:tcMar>
              <w:left w:w="20" w:type="dxa"/>
              <w:right w:w="20" w:type="dxa"/>
            </w:tcMar>
            <w:vAlign w:val="bottom"/>
          </w:tcPr>
          <w:p w14:paraId="20AE13DF"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13E0" w14:textId="77777777" w:rsidR="00B626E7" w:rsidRDefault="00175C1D">
            <w:pPr>
              <w:jc w:val="center"/>
              <w:textAlignment w:val="bottom"/>
            </w:pPr>
            <w:r>
              <w:rPr>
                <w:rFonts w:ascii="Arial" w:eastAsia="宋体" w:hAnsi="Arial" w:cs="Arial"/>
                <w:b/>
                <w:bCs/>
                <w:color w:val="333333"/>
                <w:sz w:val="18"/>
                <w:szCs w:val="18"/>
              </w:rPr>
              <w:t>Effective Interest Rate</w:t>
            </w:r>
          </w:p>
        </w:tc>
        <w:tc>
          <w:tcPr>
            <w:tcW w:w="0" w:type="auto"/>
            <w:gridSpan w:val="3"/>
            <w:tcBorders>
              <w:top w:val="single" w:sz="8" w:space="0" w:color="0071C5"/>
            </w:tcBorders>
            <w:shd w:val="clear" w:color="auto" w:fill="auto"/>
            <w:tcMar>
              <w:left w:w="20" w:type="dxa"/>
              <w:right w:w="20" w:type="dxa"/>
            </w:tcMar>
            <w:vAlign w:val="bottom"/>
          </w:tcPr>
          <w:p w14:paraId="20AE13E1"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13E2" w14:textId="77777777" w:rsidR="00B626E7" w:rsidRDefault="00175C1D">
            <w:pPr>
              <w:jc w:val="center"/>
              <w:textAlignment w:val="bottom"/>
            </w:pPr>
            <w:r>
              <w:rPr>
                <w:rFonts w:ascii="Arial" w:eastAsia="宋体" w:hAnsi="Arial" w:cs="Arial"/>
                <w:b/>
                <w:bCs/>
                <w:color w:val="333333"/>
                <w:sz w:val="18"/>
                <w:szCs w:val="18"/>
              </w:rPr>
              <w:t>Amount</w:t>
            </w:r>
          </w:p>
        </w:tc>
        <w:tc>
          <w:tcPr>
            <w:tcW w:w="0" w:type="auto"/>
            <w:gridSpan w:val="3"/>
            <w:shd w:val="clear" w:color="auto" w:fill="auto"/>
            <w:tcMar>
              <w:left w:w="20" w:type="dxa"/>
              <w:right w:w="20" w:type="dxa"/>
            </w:tcMar>
            <w:vAlign w:val="bottom"/>
          </w:tcPr>
          <w:p w14:paraId="20AE13E3"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13E4" w14:textId="77777777" w:rsidR="00B626E7" w:rsidRDefault="00175C1D">
            <w:pPr>
              <w:jc w:val="center"/>
              <w:textAlignment w:val="bottom"/>
            </w:pPr>
            <w:r>
              <w:rPr>
                <w:rFonts w:ascii="Arial" w:eastAsia="宋体" w:hAnsi="Arial" w:cs="Arial"/>
                <w:b/>
                <w:bCs/>
                <w:color w:val="333333"/>
                <w:sz w:val="18"/>
                <w:szCs w:val="18"/>
              </w:rPr>
              <w:t>Amount</w:t>
            </w:r>
          </w:p>
        </w:tc>
        <w:tc>
          <w:tcPr>
            <w:tcW w:w="0" w:type="auto"/>
            <w:shd w:val="clear" w:color="auto" w:fill="auto"/>
          </w:tcPr>
          <w:p w14:paraId="20AE13E5" w14:textId="77777777" w:rsidR="00B626E7" w:rsidRDefault="00B626E7">
            <w:pPr>
              <w:rPr>
                <w:rFonts w:ascii="宋体"/>
              </w:rPr>
            </w:pPr>
          </w:p>
        </w:tc>
        <w:tc>
          <w:tcPr>
            <w:tcW w:w="0" w:type="auto"/>
            <w:shd w:val="clear" w:color="auto" w:fill="auto"/>
          </w:tcPr>
          <w:p w14:paraId="20AE13E6" w14:textId="77777777" w:rsidR="00B626E7" w:rsidRDefault="00B626E7">
            <w:pPr>
              <w:rPr>
                <w:rFonts w:ascii="宋体"/>
              </w:rPr>
            </w:pPr>
          </w:p>
        </w:tc>
        <w:tc>
          <w:tcPr>
            <w:tcW w:w="0" w:type="auto"/>
            <w:shd w:val="clear" w:color="auto" w:fill="auto"/>
          </w:tcPr>
          <w:p w14:paraId="20AE13E7" w14:textId="77777777" w:rsidR="00B626E7" w:rsidRDefault="00B626E7">
            <w:pPr>
              <w:rPr>
                <w:rFonts w:ascii="宋体"/>
              </w:rPr>
            </w:pPr>
          </w:p>
        </w:tc>
        <w:tc>
          <w:tcPr>
            <w:tcW w:w="0" w:type="auto"/>
            <w:shd w:val="clear" w:color="auto" w:fill="auto"/>
          </w:tcPr>
          <w:p w14:paraId="20AE13E8" w14:textId="77777777" w:rsidR="00B626E7" w:rsidRDefault="00B626E7">
            <w:pPr>
              <w:rPr>
                <w:rFonts w:ascii="宋体"/>
              </w:rPr>
            </w:pPr>
          </w:p>
        </w:tc>
        <w:tc>
          <w:tcPr>
            <w:tcW w:w="0" w:type="auto"/>
            <w:shd w:val="clear" w:color="auto" w:fill="auto"/>
          </w:tcPr>
          <w:p w14:paraId="20AE13E9" w14:textId="77777777" w:rsidR="00B626E7" w:rsidRDefault="00B626E7">
            <w:pPr>
              <w:rPr>
                <w:rFonts w:ascii="宋体"/>
              </w:rPr>
            </w:pPr>
          </w:p>
        </w:tc>
        <w:tc>
          <w:tcPr>
            <w:tcW w:w="0" w:type="auto"/>
            <w:shd w:val="clear" w:color="auto" w:fill="auto"/>
          </w:tcPr>
          <w:p w14:paraId="20AE13EA" w14:textId="77777777" w:rsidR="00B626E7" w:rsidRDefault="00B626E7">
            <w:pPr>
              <w:rPr>
                <w:rFonts w:ascii="宋体"/>
              </w:rPr>
            </w:pPr>
          </w:p>
        </w:tc>
      </w:tr>
      <w:tr w:rsidR="00B626E7" w14:paraId="20AE13F9" w14:textId="77777777">
        <w:tc>
          <w:tcPr>
            <w:tcW w:w="0" w:type="auto"/>
            <w:gridSpan w:val="3"/>
            <w:tcBorders>
              <w:top w:val="single" w:sz="8" w:space="0" w:color="0071C5"/>
            </w:tcBorders>
            <w:shd w:val="clear" w:color="auto" w:fill="auto"/>
            <w:tcMar>
              <w:top w:w="40" w:type="dxa"/>
              <w:left w:w="20" w:type="dxa"/>
              <w:bottom w:w="40" w:type="dxa"/>
              <w:right w:w="20" w:type="dxa"/>
            </w:tcMar>
            <w:vAlign w:val="center"/>
          </w:tcPr>
          <w:p w14:paraId="20AE13EC" w14:textId="77777777" w:rsidR="00B626E7" w:rsidRDefault="00175C1D">
            <w:pPr>
              <w:textAlignment w:val="center"/>
            </w:pPr>
            <w:r>
              <w:rPr>
                <w:rFonts w:ascii="Arial" w:eastAsia="宋体" w:hAnsi="Arial" w:cs="Arial"/>
                <w:color w:val="333333"/>
                <w:sz w:val="18"/>
                <w:szCs w:val="18"/>
              </w:rPr>
              <w:t>Floating-rate senior notes:</w:t>
            </w:r>
          </w:p>
        </w:tc>
        <w:tc>
          <w:tcPr>
            <w:tcW w:w="0" w:type="auto"/>
            <w:gridSpan w:val="3"/>
            <w:shd w:val="clear" w:color="auto" w:fill="auto"/>
            <w:tcMar>
              <w:left w:w="20" w:type="dxa"/>
              <w:right w:w="20" w:type="dxa"/>
            </w:tcMar>
            <w:vAlign w:val="bottom"/>
          </w:tcPr>
          <w:p w14:paraId="20AE13ED"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13EE"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3EF"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13F0"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3F1"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13F2" w14:textId="77777777" w:rsidR="00B626E7" w:rsidRDefault="00B626E7">
            <w:pPr>
              <w:rPr>
                <w:rFonts w:ascii="宋体"/>
              </w:rPr>
            </w:pPr>
          </w:p>
        </w:tc>
        <w:tc>
          <w:tcPr>
            <w:tcW w:w="0" w:type="auto"/>
            <w:shd w:val="clear" w:color="auto" w:fill="auto"/>
          </w:tcPr>
          <w:p w14:paraId="20AE13F3" w14:textId="77777777" w:rsidR="00B626E7" w:rsidRDefault="00B626E7">
            <w:pPr>
              <w:rPr>
                <w:rFonts w:ascii="宋体"/>
              </w:rPr>
            </w:pPr>
          </w:p>
        </w:tc>
        <w:tc>
          <w:tcPr>
            <w:tcW w:w="0" w:type="auto"/>
            <w:shd w:val="clear" w:color="auto" w:fill="auto"/>
          </w:tcPr>
          <w:p w14:paraId="20AE13F4" w14:textId="77777777" w:rsidR="00B626E7" w:rsidRDefault="00B626E7">
            <w:pPr>
              <w:rPr>
                <w:rFonts w:ascii="宋体"/>
              </w:rPr>
            </w:pPr>
          </w:p>
        </w:tc>
        <w:tc>
          <w:tcPr>
            <w:tcW w:w="0" w:type="auto"/>
            <w:shd w:val="clear" w:color="auto" w:fill="auto"/>
          </w:tcPr>
          <w:p w14:paraId="20AE13F5" w14:textId="77777777" w:rsidR="00B626E7" w:rsidRDefault="00B626E7">
            <w:pPr>
              <w:rPr>
                <w:rFonts w:ascii="宋体"/>
              </w:rPr>
            </w:pPr>
          </w:p>
        </w:tc>
        <w:tc>
          <w:tcPr>
            <w:tcW w:w="0" w:type="auto"/>
            <w:shd w:val="clear" w:color="auto" w:fill="auto"/>
          </w:tcPr>
          <w:p w14:paraId="20AE13F6" w14:textId="77777777" w:rsidR="00B626E7" w:rsidRDefault="00B626E7">
            <w:pPr>
              <w:rPr>
                <w:rFonts w:ascii="宋体"/>
              </w:rPr>
            </w:pPr>
          </w:p>
        </w:tc>
        <w:tc>
          <w:tcPr>
            <w:tcW w:w="0" w:type="auto"/>
            <w:shd w:val="clear" w:color="auto" w:fill="auto"/>
          </w:tcPr>
          <w:p w14:paraId="20AE13F7" w14:textId="77777777" w:rsidR="00B626E7" w:rsidRDefault="00B626E7">
            <w:pPr>
              <w:rPr>
                <w:rFonts w:ascii="宋体"/>
              </w:rPr>
            </w:pPr>
          </w:p>
        </w:tc>
        <w:tc>
          <w:tcPr>
            <w:tcW w:w="0" w:type="auto"/>
            <w:shd w:val="clear" w:color="auto" w:fill="auto"/>
          </w:tcPr>
          <w:p w14:paraId="20AE13F8" w14:textId="77777777" w:rsidR="00B626E7" w:rsidRDefault="00B626E7">
            <w:pPr>
              <w:rPr>
                <w:rFonts w:ascii="宋体"/>
              </w:rPr>
            </w:pPr>
          </w:p>
        </w:tc>
      </w:tr>
      <w:tr w:rsidR="00B626E7" w14:paraId="20AE140C" w14:textId="77777777">
        <w:tc>
          <w:tcPr>
            <w:tcW w:w="0" w:type="auto"/>
            <w:gridSpan w:val="3"/>
            <w:shd w:val="clear" w:color="auto" w:fill="auto"/>
            <w:tcMar>
              <w:top w:w="40" w:type="dxa"/>
              <w:left w:w="135" w:type="dxa"/>
              <w:bottom w:w="40" w:type="dxa"/>
              <w:right w:w="20" w:type="dxa"/>
            </w:tcMar>
            <w:vAlign w:val="center"/>
          </w:tcPr>
          <w:p w14:paraId="20AE13FA" w14:textId="77777777" w:rsidR="00B626E7" w:rsidRDefault="00175C1D">
            <w:pPr>
              <w:textAlignment w:val="center"/>
            </w:pPr>
            <w:r>
              <w:rPr>
                <w:rFonts w:ascii="Arial" w:eastAsia="宋体" w:hAnsi="Arial" w:cs="Arial"/>
                <w:color w:val="333333"/>
                <w:sz w:val="18"/>
                <w:szCs w:val="18"/>
              </w:rPr>
              <w:t>Three-month LIBOR plus 0.08%, due May 2020</w:t>
            </w:r>
          </w:p>
        </w:tc>
        <w:tc>
          <w:tcPr>
            <w:tcW w:w="0" w:type="auto"/>
            <w:gridSpan w:val="3"/>
            <w:shd w:val="clear" w:color="auto" w:fill="auto"/>
            <w:tcMar>
              <w:left w:w="20" w:type="dxa"/>
              <w:right w:w="20" w:type="dxa"/>
            </w:tcMar>
            <w:vAlign w:val="bottom"/>
          </w:tcPr>
          <w:p w14:paraId="20AE13FB"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3FC" w14:textId="77777777" w:rsidR="00B626E7" w:rsidRDefault="00175C1D">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20AE13FD" w14:textId="77777777" w:rsidR="00B626E7" w:rsidRDefault="00175C1D">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20AE13FE"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13FF" w14:textId="77777777" w:rsidR="00B626E7" w:rsidRDefault="00175C1D">
            <w:pPr>
              <w:textAlignment w:val="bottom"/>
            </w:pPr>
            <w:r>
              <w:rPr>
                <w:rFonts w:ascii="Arial" w:eastAsia="宋体" w:hAnsi="Arial" w:cs="Arial"/>
                <w:color w:val="026DCE"/>
                <w:sz w:val="18"/>
                <w:szCs w:val="18"/>
              </w:rPr>
              <w:t>$</w:t>
            </w:r>
          </w:p>
        </w:tc>
        <w:tc>
          <w:tcPr>
            <w:tcW w:w="0" w:type="auto"/>
            <w:shd w:val="clear" w:color="auto" w:fill="auto"/>
            <w:tcMar>
              <w:top w:w="40" w:type="dxa"/>
              <w:bottom w:w="40" w:type="dxa"/>
              <w:right w:w="0" w:type="dxa"/>
            </w:tcMar>
            <w:vAlign w:val="bottom"/>
          </w:tcPr>
          <w:p w14:paraId="20AE1400" w14:textId="77777777" w:rsidR="00B626E7" w:rsidRDefault="00175C1D">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20AE1401"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402"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1403" w14:textId="77777777" w:rsidR="00B626E7" w:rsidRDefault="00175C1D">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20AE1404" w14:textId="77777777" w:rsidR="00B626E7" w:rsidRDefault="00175C1D">
            <w:pPr>
              <w:jc w:val="right"/>
              <w:textAlignment w:val="bottom"/>
            </w:pPr>
            <w:r>
              <w:rPr>
                <w:rFonts w:ascii="Arial" w:eastAsia="宋体" w:hAnsi="Arial" w:cs="Arial"/>
                <w:color w:val="333333"/>
                <w:sz w:val="18"/>
                <w:szCs w:val="18"/>
              </w:rPr>
              <w:t>700 </w:t>
            </w:r>
          </w:p>
        </w:tc>
        <w:tc>
          <w:tcPr>
            <w:tcW w:w="0" w:type="auto"/>
            <w:shd w:val="clear" w:color="auto" w:fill="auto"/>
            <w:tcMar>
              <w:top w:w="40" w:type="dxa"/>
              <w:bottom w:w="40" w:type="dxa"/>
              <w:right w:w="20" w:type="dxa"/>
            </w:tcMar>
            <w:vAlign w:val="bottom"/>
          </w:tcPr>
          <w:p w14:paraId="20AE1405"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406" w14:textId="77777777" w:rsidR="00B626E7" w:rsidRDefault="00B626E7">
            <w:pPr>
              <w:rPr>
                <w:rFonts w:ascii="宋体"/>
              </w:rPr>
            </w:pPr>
          </w:p>
        </w:tc>
        <w:tc>
          <w:tcPr>
            <w:tcW w:w="0" w:type="auto"/>
            <w:shd w:val="clear" w:color="auto" w:fill="auto"/>
          </w:tcPr>
          <w:p w14:paraId="20AE1407" w14:textId="77777777" w:rsidR="00B626E7" w:rsidRDefault="00B626E7">
            <w:pPr>
              <w:rPr>
                <w:rFonts w:ascii="宋体"/>
              </w:rPr>
            </w:pPr>
          </w:p>
        </w:tc>
        <w:tc>
          <w:tcPr>
            <w:tcW w:w="0" w:type="auto"/>
            <w:shd w:val="clear" w:color="auto" w:fill="auto"/>
          </w:tcPr>
          <w:p w14:paraId="20AE1408" w14:textId="77777777" w:rsidR="00B626E7" w:rsidRDefault="00B626E7">
            <w:pPr>
              <w:rPr>
                <w:rFonts w:ascii="宋体"/>
              </w:rPr>
            </w:pPr>
          </w:p>
        </w:tc>
        <w:tc>
          <w:tcPr>
            <w:tcW w:w="0" w:type="auto"/>
            <w:shd w:val="clear" w:color="auto" w:fill="auto"/>
          </w:tcPr>
          <w:p w14:paraId="20AE1409" w14:textId="77777777" w:rsidR="00B626E7" w:rsidRDefault="00B626E7">
            <w:pPr>
              <w:rPr>
                <w:rFonts w:ascii="宋体"/>
              </w:rPr>
            </w:pPr>
          </w:p>
        </w:tc>
        <w:tc>
          <w:tcPr>
            <w:tcW w:w="0" w:type="auto"/>
            <w:shd w:val="clear" w:color="auto" w:fill="auto"/>
          </w:tcPr>
          <w:p w14:paraId="20AE140A" w14:textId="77777777" w:rsidR="00B626E7" w:rsidRDefault="00B626E7">
            <w:pPr>
              <w:rPr>
                <w:rFonts w:ascii="宋体"/>
              </w:rPr>
            </w:pPr>
          </w:p>
        </w:tc>
        <w:tc>
          <w:tcPr>
            <w:tcW w:w="0" w:type="auto"/>
            <w:shd w:val="clear" w:color="auto" w:fill="auto"/>
          </w:tcPr>
          <w:p w14:paraId="20AE140B" w14:textId="77777777" w:rsidR="00B626E7" w:rsidRDefault="00B626E7">
            <w:pPr>
              <w:rPr>
                <w:rFonts w:ascii="宋体"/>
              </w:rPr>
            </w:pPr>
          </w:p>
        </w:tc>
      </w:tr>
      <w:tr w:rsidR="00B626E7" w14:paraId="20AE141D" w14:textId="77777777">
        <w:tc>
          <w:tcPr>
            <w:tcW w:w="0" w:type="auto"/>
            <w:gridSpan w:val="3"/>
            <w:shd w:val="clear" w:color="auto" w:fill="auto"/>
            <w:tcMar>
              <w:top w:w="40" w:type="dxa"/>
              <w:left w:w="135" w:type="dxa"/>
              <w:bottom w:w="40" w:type="dxa"/>
              <w:right w:w="20" w:type="dxa"/>
            </w:tcMar>
            <w:vAlign w:val="center"/>
          </w:tcPr>
          <w:p w14:paraId="20AE140D" w14:textId="77777777" w:rsidR="00B626E7" w:rsidRDefault="00175C1D">
            <w:pPr>
              <w:textAlignment w:val="center"/>
            </w:pPr>
            <w:r>
              <w:rPr>
                <w:rFonts w:ascii="Arial" w:eastAsia="宋体" w:hAnsi="Arial" w:cs="Arial"/>
                <w:color w:val="333333"/>
                <w:sz w:val="18"/>
                <w:szCs w:val="18"/>
              </w:rPr>
              <w:t>Three-month LIBOR plus 0.35%, due May 2022</w:t>
            </w:r>
          </w:p>
        </w:tc>
        <w:tc>
          <w:tcPr>
            <w:tcW w:w="0" w:type="auto"/>
            <w:gridSpan w:val="3"/>
            <w:shd w:val="clear" w:color="auto" w:fill="auto"/>
            <w:tcMar>
              <w:left w:w="20" w:type="dxa"/>
              <w:right w:w="20" w:type="dxa"/>
            </w:tcMar>
            <w:vAlign w:val="bottom"/>
          </w:tcPr>
          <w:p w14:paraId="20AE140E"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40F" w14:textId="77777777" w:rsidR="00B626E7" w:rsidRDefault="00175C1D">
            <w:pPr>
              <w:jc w:val="right"/>
              <w:textAlignment w:val="bottom"/>
            </w:pPr>
            <w:r>
              <w:rPr>
                <w:rFonts w:ascii="Arial" w:eastAsia="宋体" w:hAnsi="Arial" w:cs="Arial"/>
                <w:color w:val="026DCE"/>
                <w:sz w:val="18"/>
                <w:szCs w:val="18"/>
              </w:rPr>
              <w:t>1.82 </w:t>
            </w:r>
          </w:p>
        </w:tc>
        <w:tc>
          <w:tcPr>
            <w:tcW w:w="0" w:type="auto"/>
            <w:shd w:val="clear" w:color="auto" w:fill="auto"/>
            <w:tcMar>
              <w:top w:w="40" w:type="dxa"/>
              <w:bottom w:w="40" w:type="dxa"/>
              <w:right w:w="20" w:type="dxa"/>
            </w:tcMar>
            <w:vAlign w:val="bottom"/>
          </w:tcPr>
          <w:p w14:paraId="20AE1410" w14:textId="77777777" w:rsidR="00B626E7" w:rsidRDefault="00175C1D">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20AE1411"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412" w14:textId="77777777" w:rsidR="00B626E7" w:rsidRDefault="00175C1D">
            <w:pPr>
              <w:jc w:val="right"/>
              <w:textAlignment w:val="bottom"/>
            </w:pPr>
            <w:r>
              <w:rPr>
                <w:rFonts w:ascii="Arial" w:eastAsia="宋体" w:hAnsi="Arial" w:cs="Arial"/>
                <w:color w:val="026DCE"/>
                <w:sz w:val="18"/>
                <w:szCs w:val="18"/>
              </w:rPr>
              <w:t>800 </w:t>
            </w:r>
          </w:p>
        </w:tc>
        <w:tc>
          <w:tcPr>
            <w:tcW w:w="0" w:type="auto"/>
            <w:shd w:val="clear" w:color="auto" w:fill="auto"/>
            <w:tcMar>
              <w:top w:w="40" w:type="dxa"/>
              <w:bottom w:w="40" w:type="dxa"/>
              <w:right w:w="20" w:type="dxa"/>
            </w:tcMar>
            <w:vAlign w:val="bottom"/>
          </w:tcPr>
          <w:p w14:paraId="20AE1413"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414"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415" w14:textId="77777777" w:rsidR="00B626E7" w:rsidRDefault="00175C1D">
            <w:pPr>
              <w:jc w:val="right"/>
              <w:textAlignment w:val="bottom"/>
            </w:pPr>
            <w:r>
              <w:rPr>
                <w:rFonts w:ascii="Arial" w:eastAsia="宋体" w:hAnsi="Arial" w:cs="Arial"/>
                <w:color w:val="333333"/>
                <w:sz w:val="18"/>
                <w:szCs w:val="18"/>
              </w:rPr>
              <w:t>800 </w:t>
            </w:r>
          </w:p>
        </w:tc>
        <w:tc>
          <w:tcPr>
            <w:tcW w:w="0" w:type="auto"/>
            <w:shd w:val="clear" w:color="auto" w:fill="auto"/>
            <w:tcMar>
              <w:top w:w="40" w:type="dxa"/>
              <w:bottom w:w="40" w:type="dxa"/>
              <w:right w:w="20" w:type="dxa"/>
            </w:tcMar>
            <w:vAlign w:val="bottom"/>
          </w:tcPr>
          <w:p w14:paraId="20AE1416"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417" w14:textId="77777777" w:rsidR="00B626E7" w:rsidRDefault="00B626E7">
            <w:pPr>
              <w:rPr>
                <w:rFonts w:ascii="宋体"/>
              </w:rPr>
            </w:pPr>
          </w:p>
        </w:tc>
        <w:tc>
          <w:tcPr>
            <w:tcW w:w="0" w:type="auto"/>
            <w:shd w:val="clear" w:color="auto" w:fill="auto"/>
          </w:tcPr>
          <w:p w14:paraId="20AE1418" w14:textId="77777777" w:rsidR="00B626E7" w:rsidRDefault="00B626E7">
            <w:pPr>
              <w:rPr>
                <w:rFonts w:ascii="宋体"/>
              </w:rPr>
            </w:pPr>
          </w:p>
        </w:tc>
        <w:tc>
          <w:tcPr>
            <w:tcW w:w="0" w:type="auto"/>
            <w:shd w:val="clear" w:color="auto" w:fill="auto"/>
          </w:tcPr>
          <w:p w14:paraId="20AE1419" w14:textId="77777777" w:rsidR="00B626E7" w:rsidRDefault="00B626E7">
            <w:pPr>
              <w:rPr>
                <w:rFonts w:ascii="宋体"/>
              </w:rPr>
            </w:pPr>
          </w:p>
        </w:tc>
        <w:tc>
          <w:tcPr>
            <w:tcW w:w="0" w:type="auto"/>
            <w:shd w:val="clear" w:color="auto" w:fill="auto"/>
          </w:tcPr>
          <w:p w14:paraId="20AE141A" w14:textId="77777777" w:rsidR="00B626E7" w:rsidRDefault="00B626E7">
            <w:pPr>
              <w:rPr>
                <w:rFonts w:ascii="宋体"/>
              </w:rPr>
            </w:pPr>
          </w:p>
        </w:tc>
        <w:tc>
          <w:tcPr>
            <w:tcW w:w="0" w:type="auto"/>
            <w:shd w:val="clear" w:color="auto" w:fill="auto"/>
          </w:tcPr>
          <w:p w14:paraId="20AE141B" w14:textId="77777777" w:rsidR="00B626E7" w:rsidRDefault="00B626E7">
            <w:pPr>
              <w:rPr>
                <w:rFonts w:ascii="宋体"/>
              </w:rPr>
            </w:pPr>
          </w:p>
        </w:tc>
        <w:tc>
          <w:tcPr>
            <w:tcW w:w="0" w:type="auto"/>
            <w:shd w:val="clear" w:color="auto" w:fill="auto"/>
          </w:tcPr>
          <w:p w14:paraId="20AE141C" w14:textId="77777777" w:rsidR="00B626E7" w:rsidRDefault="00B626E7">
            <w:pPr>
              <w:rPr>
                <w:rFonts w:ascii="宋体"/>
              </w:rPr>
            </w:pPr>
          </w:p>
        </w:tc>
      </w:tr>
      <w:tr w:rsidR="00B626E7" w14:paraId="20AE142B" w14:textId="77777777">
        <w:tc>
          <w:tcPr>
            <w:tcW w:w="0" w:type="auto"/>
            <w:gridSpan w:val="3"/>
            <w:shd w:val="clear" w:color="auto" w:fill="auto"/>
            <w:tcMar>
              <w:top w:w="40" w:type="dxa"/>
              <w:left w:w="20" w:type="dxa"/>
              <w:bottom w:w="40" w:type="dxa"/>
              <w:right w:w="20" w:type="dxa"/>
            </w:tcMar>
            <w:vAlign w:val="center"/>
          </w:tcPr>
          <w:p w14:paraId="20AE141E" w14:textId="77777777" w:rsidR="00B626E7" w:rsidRDefault="00175C1D">
            <w:pPr>
              <w:textAlignment w:val="center"/>
            </w:pPr>
            <w:r>
              <w:rPr>
                <w:rFonts w:ascii="Arial" w:eastAsia="宋体" w:hAnsi="Arial" w:cs="Arial"/>
                <w:color w:val="333333"/>
                <w:sz w:val="18"/>
                <w:szCs w:val="18"/>
              </w:rPr>
              <w:t>Fixed</w:t>
            </w:r>
            <w:r>
              <w:rPr>
                <w:rFonts w:ascii="Arial" w:eastAsia="宋体" w:hAnsi="Arial" w:cs="Arial"/>
                <w:color w:val="333333"/>
                <w:sz w:val="18"/>
                <w:szCs w:val="18"/>
              </w:rPr>
              <w:t>-rate senior notes:</w:t>
            </w:r>
          </w:p>
        </w:tc>
        <w:tc>
          <w:tcPr>
            <w:tcW w:w="0" w:type="auto"/>
            <w:gridSpan w:val="3"/>
            <w:shd w:val="clear" w:color="auto" w:fill="auto"/>
            <w:tcMar>
              <w:left w:w="20" w:type="dxa"/>
              <w:right w:w="20" w:type="dxa"/>
            </w:tcMar>
            <w:vAlign w:val="bottom"/>
          </w:tcPr>
          <w:p w14:paraId="20AE141F"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420"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421"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422"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423"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424" w14:textId="77777777" w:rsidR="00B626E7" w:rsidRDefault="00B626E7">
            <w:pPr>
              <w:rPr>
                <w:rFonts w:ascii="宋体"/>
              </w:rPr>
            </w:pPr>
          </w:p>
        </w:tc>
        <w:tc>
          <w:tcPr>
            <w:tcW w:w="0" w:type="auto"/>
            <w:shd w:val="clear" w:color="auto" w:fill="auto"/>
          </w:tcPr>
          <w:p w14:paraId="20AE1425" w14:textId="77777777" w:rsidR="00B626E7" w:rsidRDefault="00B626E7">
            <w:pPr>
              <w:rPr>
                <w:rFonts w:ascii="宋体"/>
              </w:rPr>
            </w:pPr>
          </w:p>
        </w:tc>
        <w:tc>
          <w:tcPr>
            <w:tcW w:w="0" w:type="auto"/>
            <w:shd w:val="clear" w:color="auto" w:fill="auto"/>
          </w:tcPr>
          <w:p w14:paraId="20AE1426" w14:textId="77777777" w:rsidR="00B626E7" w:rsidRDefault="00B626E7">
            <w:pPr>
              <w:rPr>
                <w:rFonts w:ascii="宋体"/>
              </w:rPr>
            </w:pPr>
          </w:p>
        </w:tc>
        <w:tc>
          <w:tcPr>
            <w:tcW w:w="0" w:type="auto"/>
            <w:shd w:val="clear" w:color="auto" w:fill="auto"/>
          </w:tcPr>
          <w:p w14:paraId="20AE1427" w14:textId="77777777" w:rsidR="00B626E7" w:rsidRDefault="00B626E7">
            <w:pPr>
              <w:rPr>
                <w:rFonts w:ascii="宋体"/>
              </w:rPr>
            </w:pPr>
          </w:p>
        </w:tc>
        <w:tc>
          <w:tcPr>
            <w:tcW w:w="0" w:type="auto"/>
            <w:shd w:val="clear" w:color="auto" w:fill="auto"/>
          </w:tcPr>
          <w:p w14:paraId="20AE1428" w14:textId="77777777" w:rsidR="00B626E7" w:rsidRDefault="00B626E7">
            <w:pPr>
              <w:rPr>
                <w:rFonts w:ascii="宋体"/>
              </w:rPr>
            </w:pPr>
          </w:p>
        </w:tc>
        <w:tc>
          <w:tcPr>
            <w:tcW w:w="0" w:type="auto"/>
            <w:shd w:val="clear" w:color="auto" w:fill="auto"/>
          </w:tcPr>
          <w:p w14:paraId="20AE1429" w14:textId="77777777" w:rsidR="00B626E7" w:rsidRDefault="00B626E7">
            <w:pPr>
              <w:rPr>
                <w:rFonts w:ascii="宋体"/>
              </w:rPr>
            </w:pPr>
          </w:p>
        </w:tc>
        <w:tc>
          <w:tcPr>
            <w:tcW w:w="0" w:type="auto"/>
            <w:shd w:val="clear" w:color="auto" w:fill="auto"/>
          </w:tcPr>
          <w:p w14:paraId="20AE142A" w14:textId="77777777" w:rsidR="00B626E7" w:rsidRDefault="00B626E7">
            <w:pPr>
              <w:rPr>
                <w:rFonts w:ascii="宋体"/>
              </w:rPr>
            </w:pPr>
          </w:p>
        </w:tc>
      </w:tr>
      <w:tr w:rsidR="00B626E7" w14:paraId="20AE143C" w14:textId="77777777">
        <w:tc>
          <w:tcPr>
            <w:tcW w:w="0" w:type="auto"/>
            <w:gridSpan w:val="3"/>
            <w:shd w:val="clear" w:color="auto" w:fill="auto"/>
            <w:tcMar>
              <w:top w:w="40" w:type="dxa"/>
              <w:left w:w="135" w:type="dxa"/>
              <w:bottom w:w="40" w:type="dxa"/>
              <w:right w:w="20" w:type="dxa"/>
            </w:tcMar>
            <w:vAlign w:val="center"/>
          </w:tcPr>
          <w:p w14:paraId="20AE142C" w14:textId="77777777" w:rsidR="00B626E7" w:rsidRDefault="00175C1D">
            <w:pPr>
              <w:textAlignment w:val="center"/>
            </w:pPr>
            <w:r>
              <w:rPr>
                <w:rFonts w:ascii="Arial" w:eastAsia="宋体" w:hAnsi="Arial" w:cs="Arial"/>
                <w:color w:val="333333"/>
                <w:sz w:val="18"/>
                <w:szCs w:val="18"/>
              </w:rPr>
              <w:t>1.85%, due May 2020</w:t>
            </w:r>
          </w:p>
        </w:tc>
        <w:tc>
          <w:tcPr>
            <w:tcW w:w="0" w:type="auto"/>
            <w:gridSpan w:val="3"/>
            <w:shd w:val="clear" w:color="auto" w:fill="auto"/>
            <w:tcMar>
              <w:left w:w="20" w:type="dxa"/>
              <w:right w:w="20" w:type="dxa"/>
            </w:tcMar>
            <w:vAlign w:val="bottom"/>
          </w:tcPr>
          <w:p w14:paraId="20AE142D"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42E" w14:textId="77777777" w:rsidR="00B626E7" w:rsidRDefault="00175C1D">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20AE142F" w14:textId="77777777" w:rsidR="00B626E7" w:rsidRDefault="00175C1D">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20AE1430"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431" w14:textId="77777777" w:rsidR="00B626E7" w:rsidRDefault="00175C1D">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20AE1432"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433"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434" w14:textId="77777777" w:rsidR="00B626E7" w:rsidRDefault="00175C1D">
            <w:pPr>
              <w:jc w:val="right"/>
              <w:textAlignment w:val="bottom"/>
            </w:pPr>
            <w:r>
              <w:rPr>
                <w:rFonts w:ascii="Arial" w:eastAsia="宋体" w:hAnsi="Arial" w:cs="Arial"/>
                <w:color w:val="333333"/>
                <w:sz w:val="18"/>
                <w:szCs w:val="18"/>
              </w:rPr>
              <w:t>1,000 </w:t>
            </w:r>
          </w:p>
        </w:tc>
        <w:tc>
          <w:tcPr>
            <w:tcW w:w="0" w:type="auto"/>
            <w:shd w:val="clear" w:color="auto" w:fill="auto"/>
            <w:tcMar>
              <w:top w:w="40" w:type="dxa"/>
              <w:bottom w:w="40" w:type="dxa"/>
              <w:right w:w="20" w:type="dxa"/>
            </w:tcMar>
            <w:vAlign w:val="bottom"/>
          </w:tcPr>
          <w:p w14:paraId="20AE1435"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436" w14:textId="77777777" w:rsidR="00B626E7" w:rsidRDefault="00B626E7">
            <w:pPr>
              <w:rPr>
                <w:rFonts w:ascii="宋体"/>
              </w:rPr>
            </w:pPr>
          </w:p>
        </w:tc>
        <w:tc>
          <w:tcPr>
            <w:tcW w:w="0" w:type="auto"/>
            <w:shd w:val="clear" w:color="auto" w:fill="auto"/>
          </w:tcPr>
          <w:p w14:paraId="20AE1437" w14:textId="77777777" w:rsidR="00B626E7" w:rsidRDefault="00B626E7">
            <w:pPr>
              <w:rPr>
                <w:rFonts w:ascii="宋体"/>
              </w:rPr>
            </w:pPr>
          </w:p>
        </w:tc>
        <w:tc>
          <w:tcPr>
            <w:tcW w:w="0" w:type="auto"/>
            <w:shd w:val="clear" w:color="auto" w:fill="auto"/>
          </w:tcPr>
          <w:p w14:paraId="20AE1438" w14:textId="77777777" w:rsidR="00B626E7" w:rsidRDefault="00B626E7">
            <w:pPr>
              <w:rPr>
                <w:rFonts w:ascii="宋体"/>
              </w:rPr>
            </w:pPr>
          </w:p>
        </w:tc>
        <w:tc>
          <w:tcPr>
            <w:tcW w:w="0" w:type="auto"/>
            <w:shd w:val="clear" w:color="auto" w:fill="auto"/>
          </w:tcPr>
          <w:p w14:paraId="20AE1439" w14:textId="77777777" w:rsidR="00B626E7" w:rsidRDefault="00B626E7">
            <w:pPr>
              <w:rPr>
                <w:rFonts w:ascii="宋体"/>
              </w:rPr>
            </w:pPr>
          </w:p>
        </w:tc>
        <w:tc>
          <w:tcPr>
            <w:tcW w:w="0" w:type="auto"/>
            <w:shd w:val="clear" w:color="auto" w:fill="auto"/>
          </w:tcPr>
          <w:p w14:paraId="20AE143A" w14:textId="77777777" w:rsidR="00B626E7" w:rsidRDefault="00B626E7">
            <w:pPr>
              <w:rPr>
                <w:rFonts w:ascii="宋体"/>
              </w:rPr>
            </w:pPr>
          </w:p>
        </w:tc>
        <w:tc>
          <w:tcPr>
            <w:tcW w:w="0" w:type="auto"/>
            <w:shd w:val="clear" w:color="auto" w:fill="auto"/>
          </w:tcPr>
          <w:p w14:paraId="20AE143B" w14:textId="77777777" w:rsidR="00B626E7" w:rsidRDefault="00B626E7">
            <w:pPr>
              <w:rPr>
                <w:rFonts w:ascii="宋体"/>
              </w:rPr>
            </w:pPr>
          </w:p>
        </w:tc>
      </w:tr>
      <w:tr w:rsidR="00B626E7" w14:paraId="20AE144D" w14:textId="77777777">
        <w:tc>
          <w:tcPr>
            <w:tcW w:w="0" w:type="auto"/>
            <w:gridSpan w:val="3"/>
            <w:shd w:val="clear" w:color="auto" w:fill="auto"/>
            <w:tcMar>
              <w:top w:w="40" w:type="dxa"/>
              <w:left w:w="135" w:type="dxa"/>
              <w:bottom w:w="40" w:type="dxa"/>
              <w:right w:w="20" w:type="dxa"/>
            </w:tcMar>
            <w:vAlign w:val="center"/>
          </w:tcPr>
          <w:p w14:paraId="20AE143D" w14:textId="77777777" w:rsidR="00B626E7" w:rsidRDefault="00175C1D">
            <w:pPr>
              <w:textAlignment w:val="center"/>
            </w:pPr>
            <w:r>
              <w:rPr>
                <w:rFonts w:ascii="Arial" w:eastAsia="宋体" w:hAnsi="Arial" w:cs="Arial"/>
                <w:color w:val="333333"/>
                <w:sz w:val="18"/>
                <w:szCs w:val="18"/>
              </w:rPr>
              <w:t>2.45%</w:t>
            </w:r>
            <w:r>
              <w:rPr>
                <w:rFonts w:ascii="Arial" w:eastAsia="宋体" w:hAnsi="Arial" w:cs="Arial"/>
                <w:color w:val="333333"/>
                <w:sz w:val="18"/>
                <w:szCs w:val="18"/>
              </w:rPr>
              <w:t>, due July 2020</w:t>
            </w:r>
          </w:p>
        </w:tc>
        <w:tc>
          <w:tcPr>
            <w:tcW w:w="0" w:type="auto"/>
            <w:gridSpan w:val="3"/>
            <w:shd w:val="clear" w:color="auto" w:fill="auto"/>
            <w:tcMar>
              <w:left w:w="20" w:type="dxa"/>
              <w:right w:w="20" w:type="dxa"/>
            </w:tcMar>
            <w:vAlign w:val="bottom"/>
          </w:tcPr>
          <w:p w14:paraId="20AE143E"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43F" w14:textId="77777777" w:rsidR="00B626E7" w:rsidRDefault="00175C1D">
            <w:pPr>
              <w:jc w:val="right"/>
              <w:textAlignment w:val="bottom"/>
            </w:pPr>
            <w:r>
              <w:rPr>
                <w:rFonts w:ascii="Arial" w:eastAsia="宋体" w:hAnsi="Arial" w:cs="Arial"/>
                <w:color w:val="026DCE"/>
                <w:sz w:val="18"/>
                <w:szCs w:val="18"/>
              </w:rPr>
              <w:t>2.48 </w:t>
            </w:r>
          </w:p>
        </w:tc>
        <w:tc>
          <w:tcPr>
            <w:tcW w:w="0" w:type="auto"/>
            <w:shd w:val="clear" w:color="auto" w:fill="auto"/>
            <w:tcMar>
              <w:top w:w="40" w:type="dxa"/>
              <w:bottom w:w="40" w:type="dxa"/>
              <w:right w:w="20" w:type="dxa"/>
            </w:tcMar>
            <w:vAlign w:val="bottom"/>
          </w:tcPr>
          <w:p w14:paraId="20AE1440" w14:textId="77777777" w:rsidR="00B626E7" w:rsidRDefault="00175C1D">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20AE1441"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442" w14:textId="77777777" w:rsidR="00B626E7" w:rsidRDefault="00175C1D">
            <w:pPr>
              <w:jc w:val="right"/>
              <w:textAlignment w:val="bottom"/>
            </w:pPr>
            <w:r>
              <w:rPr>
                <w:rFonts w:ascii="Arial" w:eastAsia="宋体" w:hAnsi="Arial" w:cs="Arial"/>
                <w:color w:val="026DCE"/>
                <w:sz w:val="18"/>
                <w:szCs w:val="18"/>
              </w:rPr>
              <w:t>1,750 </w:t>
            </w:r>
          </w:p>
        </w:tc>
        <w:tc>
          <w:tcPr>
            <w:tcW w:w="0" w:type="auto"/>
            <w:shd w:val="clear" w:color="auto" w:fill="auto"/>
            <w:tcMar>
              <w:top w:w="40" w:type="dxa"/>
              <w:bottom w:w="40" w:type="dxa"/>
              <w:right w:w="20" w:type="dxa"/>
            </w:tcMar>
            <w:vAlign w:val="bottom"/>
          </w:tcPr>
          <w:p w14:paraId="20AE1443"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444"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445" w14:textId="77777777" w:rsidR="00B626E7" w:rsidRDefault="00175C1D">
            <w:pPr>
              <w:jc w:val="right"/>
              <w:textAlignment w:val="bottom"/>
            </w:pPr>
            <w:r>
              <w:rPr>
                <w:rFonts w:ascii="Arial" w:eastAsia="宋体" w:hAnsi="Arial" w:cs="Arial"/>
                <w:color w:val="333333"/>
                <w:sz w:val="18"/>
                <w:szCs w:val="18"/>
              </w:rPr>
              <w:t>1,750 </w:t>
            </w:r>
          </w:p>
        </w:tc>
        <w:tc>
          <w:tcPr>
            <w:tcW w:w="0" w:type="auto"/>
            <w:shd w:val="clear" w:color="auto" w:fill="auto"/>
            <w:tcMar>
              <w:top w:w="40" w:type="dxa"/>
              <w:bottom w:w="40" w:type="dxa"/>
              <w:right w:w="20" w:type="dxa"/>
            </w:tcMar>
            <w:vAlign w:val="bottom"/>
          </w:tcPr>
          <w:p w14:paraId="20AE1446"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447" w14:textId="77777777" w:rsidR="00B626E7" w:rsidRDefault="00B626E7">
            <w:pPr>
              <w:rPr>
                <w:rFonts w:ascii="宋体"/>
              </w:rPr>
            </w:pPr>
          </w:p>
        </w:tc>
        <w:tc>
          <w:tcPr>
            <w:tcW w:w="0" w:type="auto"/>
            <w:shd w:val="clear" w:color="auto" w:fill="auto"/>
          </w:tcPr>
          <w:p w14:paraId="20AE1448" w14:textId="77777777" w:rsidR="00B626E7" w:rsidRDefault="00B626E7">
            <w:pPr>
              <w:rPr>
                <w:rFonts w:ascii="宋体"/>
              </w:rPr>
            </w:pPr>
          </w:p>
        </w:tc>
        <w:tc>
          <w:tcPr>
            <w:tcW w:w="0" w:type="auto"/>
            <w:shd w:val="clear" w:color="auto" w:fill="auto"/>
          </w:tcPr>
          <w:p w14:paraId="20AE1449" w14:textId="77777777" w:rsidR="00B626E7" w:rsidRDefault="00B626E7">
            <w:pPr>
              <w:rPr>
                <w:rFonts w:ascii="宋体"/>
              </w:rPr>
            </w:pPr>
          </w:p>
        </w:tc>
        <w:tc>
          <w:tcPr>
            <w:tcW w:w="0" w:type="auto"/>
            <w:shd w:val="clear" w:color="auto" w:fill="auto"/>
          </w:tcPr>
          <w:p w14:paraId="20AE144A" w14:textId="77777777" w:rsidR="00B626E7" w:rsidRDefault="00B626E7">
            <w:pPr>
              <w:rPr>
                <w:rFonts w:ascii="宋体"/>
              </w:rPr>
            </w:pPr>
          </w:p>
        </w:tc>
        <w:tc>
          <w:tcPr>
            <w:tcW w:w="0" w:type="auto"/>
            <w:shd w:val="clear" w:color="auto" w:fill="auto"/>
          </w:tcPr>
          <w:p w14:paraId="20AE144B" w14:textId="77777777" w:rsidR="00B626E7" w:rsidRDefault="00B626E7">
            <w:pPr>
              <w:rPr>
                <w:rFonts w:ascii="宋体"/>
              </w:rPr>
            </w:pPr>
          </w:p>
        </w:tc>
        <w:tc>
          <w:tcPr>
            <w:tcW w:w="0" w:type="auto"/>
            <w:shd w:val="clear" w:color="auto" w:fill="auto"/>
          </w:tcPr>
          <w:p w14:paraId="20AE144C" w14:textId="77777777" w:rsidR="00B626E7" w:rsidRDefault="00B626E7">
            <w:pPr>
              <w:rPr>
                <w:rFonts w:ascii="宋体"/>
              </w:rPr>
            </w:pPr>
          </w:p>
        </w:tc>
      </w:tr>
      <w:tr w:rsidR="00B626E7" w14:paraId="20AE145E" w14:textId="77777777">
        <w:tc>
          <w:tcPr>
            <w:tcW w:w="0" w:type="auto"/>
            <w:gridSpan w:val="3"/>
            <w:shd w:val="clear" w:color="auto" w:fill="auto"/>
            <w:tcMar>
              <w:top w:w="40" w:type="dxa"/>
              <w:left w:w="135" w:type="dxa"/>
              <w:bottom w:w="40" w:type="dxa"/>
              <w:right w:w="20" w:type="dxa"/>
            </w:tcMar>
            <w:vAlign w:val="center"/>
          </w:tcPr>
          <w:p w14:paraId="20AE144E" w14:textId="77777777" w:rsidR="00B626E7" w:rsidRDefault="00175C1D">
            <w:pPr>
              <w:textAlignment w:val="center"/>
            </w:pPr>
            <w:r>
              <w:rPr>
                <w:rFonts w:ascii="Arial" w:eastAsia="宋体" w:hAnsi="Arial" w:cs="Arial"/>
                <w:color w:val="333333"/>
                <w:sz w:val="18"/>
                <w:szCs w:val="18"/>
              </w:rPr>
              <w:t>1.70%</w:t>
            </w:r>
            <w:r>
              <w:rPr>
                <w:rFonts w:ascii="Arial" w:eastAsia="宋体" w:hAnsi="Arial" w:cs="Arial"/>
                <w:color w:val="333333"/>
                <w:sz w:val="18"/>
                <w:szCs w:val="18"/>
              </w:rPr>
              <w:t>, due May 2021</w:t>
            </w:r>
          </w:p>
        </w:tc>
        <w:tc>
          <w:tcPr>
            <w:tcW w:w="0" w:type="auto"/>
            <w:gridSpan w:val="3"/>
            <w:shd w:val="clear" w:color="auto" w:fill="auto"/>
            <w:tcMar>
              <w:left w:w="20" w:type="dxa"/>
              <w:right w:w="20" w:type="dxa"/>
            </w:tcMar>
            <w:vAlign w:val="bottom"/>
          </w:tcPr>
          <w:p w14:paraId="20AE144F"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450" w14:textId="77777777" w:rsidR="00B626E7" w:rsidRDefault="00175C1D">
            <w:pPr>
              <w:jc w:val="right"/>
              <w:textAlignment w:val="bottom"/>
            </w:pPr>
            <w:r>
              <w:rPr>
                <w:rFonts w:ascii="Arial" w:eastAsia="宋体" w:hAnsi="Arial" w:cs="Arial"/>
                <w:color w:val="026DCE"/>
                <w:sz w:val="18"/>
                <w:szCs w:val="18"/>
              </w:rPr>
              <w:t>1.78 </w:t>
            </w:r>
          </w:p>
        </w:tc>
        <w:tc>
          <w:tcPr>
            <w:tcW w:w="0" w:type="auto"/>
            <w:shd w:val="clear" w:color="auto" w:fill="auto"/>
            <w:tcMar>
              <w:top w:w="40" w:type="dxa"/>
              <w:bottom w:w="40" w:type="dxa"/>
              <w:right w:w="20" w:type="dxa"/>
            </w:tcMar>
            <w:vAlign w:val="bottom"/>
          </w:tcPr>
          <w:p w14:paraId="20AE1451" w14:textId="77777777" w:rsidR="00B626E7" w:rsidRDefault="00175C1D">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20AE1452"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453" w14:textId="77777777" w:rsidR="00B626E7" w:rsidRDefault="00175C1D">
            <w:pPr>
              <w:jc w:val="right"/>
              <w:textAlignment w:val="bottom"/>
            </w:pPr>
            <w:r>
              <w:rPr>
                <w:rFonts w:ascii="Arial" w:eastAsia="宋体" w:hAnsi="Arial" w:cs="Arial"/>
                <w:color w:val="026DCE"/>
                <w:sz w:val="18"/>
                <w:szCs w:val="18"/>
              </w:rPr>
              <w:t>500 </w:t>
            </w:r>
          </w:p>
        </w:tc>
        <w:tc>
          <w:tcPr>
            <w:tcW w:w="0" w:type="auto"/>
            <w:shd w:val="clear" w:color="auto" w:fill="auto"/>
            <w:tcMar>
              <w:top w:w="40" w:type="dxa"/>
              <w:bottom w:w="40" w:type="dxa"/>
              <w:right w:w="20" w:type="dxa"/>
            </w:tcMar>
            <w:vAlign w:val="bottom"/>
          </w:tcPr>
          <w:p w14:paraId="20AE1454"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455"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456" w14:textId="77777777" w:rsidR="00B626E7" w:rsidRDefault="00175C1D">
            <w:pPr>
              <w:jc w:val="right"/>
              <w:textAlignment w:val="bottom"/>
            </w:pPr>
            <w:r>
              <w:rPr>
                <w:rFonts w:ascii="Arial" w:eastAsia="宋体" w:hAnsi="Arial" w:cs="Arial"/>
                <w:color w:val="333333"/>
                <w:sz w:val="18"/>
                <w:szCs w:val="18"/>
              </w:rPr>
              <w:t>500 </w:t>
            </w:r>
          </w:p>
        </w:tc>
        <w:tc>
          <w:tcPr>
            <w:tcW w:w="0" w:type="auto"/>
            <w:shd w:val="clear" w:color="auto" w:fill="auto"/>
            <w:tcMar>
              <w:top w:w="40" w:type="dxa"/>
              <w:bottom w:w="40" w:type="dxa"/>
              <w:right w:w="20" w:type="dxa"/>
            </w:tcMar>
            <w:vAlign w:val="bottom"/>
          </w:tcPr>
          <w:p w14:paraId="20AE1457"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458" w14:textId="77777777" w:rsidR="00B626E7" w:rsidRDefault="00B626E7">
            <w:pPr>
              <w:rPr>
                <w:rFonts w:ascii="宋体"/>
              </w:rPr>
            </w:pPr>
          </w:p>
        </w:tc>
        <w:tc>
          <w:tcPr>
            <w:tcW w:w="0" w:type="auto"/>
            <w:shd w:val="clear" w:color="auto" w:fill="auto"/>
          </w:tcPr>
          <w:p w14:paraId="20AE1459" w14:textId="77777777" w:rsidR="00B626E7" w:rsidRDefault="00B626E7">
            <w:pPr>
              <w:rPr>
                <w:rFonts w:ascii="宋体"/>
              </w:rPr>
            </w:pPr>
          </w:p>
        </w:tc>
        <w:tc>
          <w:tcPr>
            <w:tcW w:w="0" w:type="auto"/>
            <w:shd w:val="clear" w:color="auto" w:fill="auto"/>
          </w:tcPr>
          <w:p w14:paraId="20AE145A" w14:textId="77777777" w:rsidR="00B626E7" w:rsidRDefault="00B626E7">
            <w:pPr>
              <w:rPr>
                <w:rFonts w:ascii="宋体"/>
              </w:rPr>
            </w:pPr>
          </w:p>
        </w:tc>
        <w:tc>
          <w:tcPr>
            <w:tcW w:w="0" w:type="auto"/>
            <w:shd w:val="clear" w:color="auto" w:fill="auto"/>
          </w:tcPr>
          <w:p w14:paraId="20AE145B" w14:textId="77777777" w:rsidR="00B626E7" w:rsidRDefault="00B626E7">
            <w:pPr>
              <w:rPr>
                <w:rFonts w:ascii="宋体"/>
              </w:rPr>
            </w:pPr>
          </w:p>
        </w:tc>
        <w:tc>
          <w:tcPr>
            <w:tcW w:w="0" w:type="auto"/>
            <w:shd w:val="clear" w:color="auto" w:fill="auto"/>
          </w:tcPr>
          <w:p w14:paraId="20AE145C" w14:textId="77777777" w:rsidR="00B626E7" w:rsidRDefault="00B626E7">
            <w:pPr>
              <w:rPr>
                <w:rFonts w:ascii="宋体"/>
              </w:rPr>
            </w:pPr>
          </w:p>
        </w:tc>
        <w:tc>
          <w:tcPr>
            <w:tcW w:w="0" w:type="auto"/>
            <w:shd w:val="clear" w:color="auto" w:fill="auto"/>
          </w:tcPr>
          <w:p w14:paraId="20AE145D" w14:textId="77777777" w:rsidR="00B626E7" w:rsidRDefault="00B626E7">
            <w:pPr>
              <w:rPr>
                <w:rFonts w:ascii="宋体"/>
              </w:rPr>
            </w:pPr>
          </w:p>
        </w:tc>
      </w:tr>
      <w:tr w:rsidR="00B626E7" w14:paraId="20AE146F" w14:textId="77777777">
        <w:tc>
          <w:tcPr>
            <w:tcW w:w="0" w:type="auto"/>
            <w:gridSpan w:val="3"/>
            <w:shd w:val="clear" w:color="auto" w:fill="auto"/>
            <w:tcMar>
              <w:top w:w="40" w:type="dxa"/>
              <w:left w:w="135" w:type="dxa"/>
              <w:bottom w:w="40" w:type="dxa"/>
              <w:right w:w="20" w:type="dxa"/>
            </w:tcMar>
            <w:vAlign w:val="center"/>
          </w:tcPr>
          <w:p w14:paraId="20AE145F" w14:textId="77777777" w:rsidR="00B626E7" w:rsidRDefault="00175C1D">
            <w:pPr>
              <w:textAlignment w:val="center"/>
            </w:pPr>
            <w:r>
              <w:rPr>
                <w:rFonts w:ascii="Arial" w:eastAsia="宋体" w:hAnsi="Arial" w:cs="Arial"/>
                <w:color w:val="333333"/>
                <w:sz w:val="18"/>
                <w:szCs w:val="18"/>
              </w:rPr>
              <w:t>3.30%, due October 2021</w:t>
            </w:r>
          </w:p>
        </w:tc>
        <w:tc>
          <w:tcPr>
            <w:tcW w:w="0" w:type="auto"/>
            <w:gridSpan w:val="3"/>
            <w:shd w:val="clear" w:color="auto" w:fill="auto"/>
            <w:tcMar>
              <w:left w:w="20" w:type="dxa"/>
              <w:right w:w="20" w:type="dxa"/>
            </w:tcMar>
            <w:vAlign w:val="bottom"/>
          </w:tcPr>
          <w:p w14:paraId="20AE1460"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461" w14:textId="77777777" w:rsidR="00B626E7" w:rsidRDefault="00175C1D">
            <w:pPr>
              <w:jc w:val="right"/>
              <w:textAlignment w:val="bottom"/>
            </w:pPr>
            <w:r>
              <w:rPr>
                <w:rFonts w:ascii="Arial" w:eastAsia="宋体" w:hAnsi="Arial" w:cs="Arial"/>
                <w:color w:val="026DCE"/>
                <w:sz w:val="18"/>
                <w:szCs w:val="18"/>
              </w:rPr>
              <w:t>2.98 </w:t>
            </w:r>
          </w:p>
        </w:tc>
        <w:tc>
          <w:tcPr>
            <w:tcW w:w="0" w:type="auto"/>
            <w:shd w:val="clear" w:color="auto" w:fill="auto"/>
            <w:tcMar>
              <w:top w:w="40" w:type="dxa"/>
              <w:bottom w:w="40" w:type="dxa"/>
              <w:right w:w="20" w:type="dxa"/>
            </w:tcMar>
            <w:vAlign w:val="bottom"/>
          </w:tcPr>
          <w:p w14:paraId="20AE1462" w14:textId="77777777" w:rsidR="00B626E7" w:rsidRDefault="00175C1D">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20AE1463"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464" w14:textId="77777777" w:rsidR="00B626E7" w:rsidRDefault="00175C1D">
            <w:pPr>
              <w:jc w:val="right"/>
              <w:textAlignment w:val="bottom"/>
            </w:pPr>
            <w:r>
              <w:rPr>
                <w:rFonts w:ascii="Arial" w:eastAsia="宋体" w:hAnsi="Arial" w:cs="Arial"/>
                <w:color w:val="026DCE"/>
                <w:sz w:val="18"/>
                <w:szCs w:val="18"/>
              </w:rPr>
              <w:t>2,000 </w:t>
            </w:r>
          </w:p>
        </w:tc>
        <w:tc>
          <w:tcPr>
            <w:tcW w:w="0" w:type="auto"/>
            <w:shd w:val="clear" w:color="auto" w:fill="auto"/>
            <w:tcMar>
              <w:top w:w="40" w:type="dxa"/>
              <w:bottom w:w="40" w:type="dxa"/>
              <w:right w:w="20" w:type="dxa"/>
            </w:tcMar>
            <w:vAlign w:val="bottom"/>
          </w:tcPr>
          <w:p w14:paraId="20AE1465"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466"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467" w14:textId="77777777" w:rsidR="00B626E7" w:rsidRDefault="00175C1D">
            <w:pPr>
              <w:jc w:val="right"/>
              <w:textAlignment w:val="bottom"/>
            </w:pPr>
            <w:r>
              <w:rPr>
                <w:rFonts w:ascii="Arial" w:eastAsia="宋体" w:hAnsi="Arial" w:cs="Arial"/>
                <w:color w:val="333333"/>
                <w:sz w:val="18"/>
                <w:szCs w:val="18"/>
              </w:rPr>
              <w:t>2,000 </w:t>
            </w:r>
          </w:p>
        </w:tc>
        <w:tc>
          <w:tcPr>
            <w:tcW w:w="0" w:type="auto"/>
            <w:shd w:val="clear" w:color="auto" w:fill="auto"/>
            <w:tcMar>
              <w:top w:w="40" w:type="dxa"/>
              <w:bottom w:w="40" w:type="dxa"/>
              <w:right w:w="20" w:type="dxa"/>
            </w:tcMar>
            <w:vAlign w:val="bottom"/>
          </w:tcPr>
          <w:p w14:paraId="20AE1468"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469" w14:textId="77777777" w:rsidR="00B626E7" w:rsidRDefault="00B626E7">
            <w:pPr>
              <w:rPr>
                <w:rFonts w:ascii="宋体"/>
              </w:rPr>
            </w:pPr>
          </w:p>
        </w:tc>
        <w:tc>
          <w:tcPr>
            <w:tcW w:w="0" w:type="auto"/>
            <w:shd w:val="clear" w:color="auto" w:fill="auto"/>
          </w:tcPr>
          <w:p w14:paraId="20AE146A" w14:textId="77777777" w:rsidR="00B626E7" w:rsidRDefault="00B626E7">
            <w:pPr>
              <w:rPr>
                <w:rFonts w:ascii="宋体"/>
              </w:rPr>
            </w:pPr>
          </w:p>
        </w:tc>
        <w:tc>
          <w:tcPr>
            <w:tcW w:w="0" w:type="auto"/>
            <w:shd w:val="clear" w:color="auto" w:fill="auto"/>
          </w:tcPr>
          <w:p w14:paraId="20AE146B" w14:textId="77777777" w:rsidR="00B626E7" w:rsidRDefault="00B626E7">
            <w:pPr>
              <w:rPr>
                <w:rFonts w:ascii="宋体"/>
              </w:rPr>
            </w:pPr>
          </w:p>
        </w:tc>
        <w:tc>
          <w:tcPr>
            <w:tcW w:w="0" w:type="auto"/>
            <w:shd w:val="clear" w:color="auto" w:fill="auto"/>
          </w:tcPr>
          <w:p w14:paraId="20AE146C" w14:textId="77777777" w:rsidR="00B626E7" w:rsidRDefault="00B626E7">
            <w:pPr>
              <w:rPr>
                <w:rFonts w:ascii="宋体"/>
              </w:rPr>
            </w:pPr>
          </w:p>
        </w:tc>
        <w:tc>
          <w:tcPr>
            <w:tcW w:w="0" w:type="auto"/>
            <w:shd w:val="clear" w:color="auto" w:fill="auto"/>
          </w:tcPr>
          <w:p w14:paraId="20AE146D" w14:textId="77777777" w:rsidR="00B626E7" w:rsidRDefault="00B626E7">
            <w:pPr>
              <w:rPr>
                <w:rFonts w:ascii="宋体"/>
              </w:rPr>
            </w:pPr>
          </w:p>
        </w:tc>
        <w:tc>
          <w:tcPr>
            <w:tcW w:w="0" w:type="auto"/>
            <w:shd w:val="clear" w:color="auto" w:fill="auto"/>
          </w:tcPr>
          <w:p w14:paraId="20AE146E" w14:textId="77777777" w:rsidR="00B626E7" w:rsidRDefault="00B626E7">
            <w:pPr>
              <w:rPr>
                <w:rFonts w:ascii="宋体"/>
              </w:rPr>
            </w:pPr>
          </w:p>
        </w:tc>
      </w:tr>
      <w:tr w:rsidR="00B626E7" w14:paraId="20AE1480" w14:textId="77777777">
        <w:tc>
          <w:tcPr>
            <w:tcW w:w="0" w:type="auto"/>
            <w:gridSpan w:val="3"/>
            <w:shd w:val="clear" w:color="auto" w:fill="auto"/>
            <w:tcMar>
              <w:top w:w="40" w:type="dxa"/>
              <w:left w:w="135" w:type="dxa"/>
              <w:bottom w:w="40" w:type="dxa"/>
              <w:right w:w="20" w:type="dxa"/>
            </w:tcMar>
            <w:vAlign w:val="center"/>
          </w:tcPr>
          <w:p w14:paraId="20AE1470" w14:textId="77777777" w:rsidR="00B626E7" w:rsidRDefault="00175C1D">
            <w:pPr>
              <w:textAlignment w:val="center"/>
            </w:pPr>
            <w:r>
              <w:rPr>
                <w:rFonts w:ascii="Arial" w:eastAsia="宋体" w:hAnsi="Arial" w:cs="Arial"/>
                <w:color w:val="333333"/>
                <w:sz w:val="18"/>
                <w:szCs w:val="18"/>
              </w:rPr>
              <w:t>2.35%</w:t>
            </w:r>
            <w:r>
              <w:rPr>
                <w:rFonts w:ascii="Arial" w:eastAsia="宋体" w:hAnsi="Arial" w:cs="Arial"/>
                <w:color w:val="333333"/>
                <w:sz w:val="18"/>
                <w:szCs w:val="18"/>
              </w:rPr>
              <w:t>, due May 2022</w:t>
            </w:r>
          </w:p>
        </w:tc>
        <w:tc>
          <w:tcPr>
            <w:tcW w:w="0" w:type="auto"/>
            <w:gridSpan w:val="3"/>
            <w:shd w:val="clear" w:color="auto" w:fill="auto"/>
            <w:tcMar>
              <w:left w:w="20" w:type="dxa"/>
              <w:right w:w="20" w:type="dxa"/>
            </w:tcMar>
            <w:vAlign w:val="bottom"/>
          </w:tcPr>
          <w:p w14:paraId="20AE1471"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472" w14:textId="77777777" w:rsidR="00B626E7" w:rsidRDefault="00175C1D">
            <w:pPr>
              <w:jc w:val="right"/>
              <w:textAlignment w:val="bottom"/>
            </w:pPr>
            <w:r>
              <w:rPr>
                <w:rFonts w:ascii="Arial" w:eastAsia="宋体" w:hAnsi="Arial" w:cs="Arial"/>
                <w:color w:val="026DCE"/>
                <w:sz w:val="18"/>
                <w:szCs w:val="18"/>
              </w:rPr>
              <w:t>1.95 </w:t>
            </w:r>
          </w:p>
        </w:tc>
        <w:tc>
          <w:tcPr>
            <w:tcW w:w="0" w:type="auto"/>
            <w:shd w:val="clear" w:color="auto" w:fill="auto"/>
            <w:tcMar>
              <w:top w:w="40" w:type="dxa"/>
              <w:bottom w:w="40" w:type="dxa"/>
              <w:right w:w="20" w:type="dxa"/>
            </w:tcMar>
            <w:vAlign w:val="bottom"/>
          </w:tcPr>
          <w:p w14:paraId="20AE1473" w14:textId="77777777" w:rsidR="00B626E7" w:rsidRDefault="00175C1D">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20AE1474"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475" w14:textId="77777777" w:rsidR="00B626E7" w:rsidRDefault="00175C1D">
            <w:pPr>
              <w:jc w:val="right"/>
              <w:textAlignment w:val="bottom"/>
            </w:pPr>
            <w:r>
              <w:rPr>
                <w:rFonts w:ascii="Arial" w:eastAsia="宋体" w:hAnsi="Arial" w:cs="Arial"/>
                <w:color w:val="026DCE"/>
                <w:sz w:val="18"/>
                <w:szCs w:val="18"/>
              </w:rPr>
              <w:t>750 </w:t>
            </w:r>
          </w:p>
        </w:tc>
        <w:tc>
          <w:tcPr>
            <w:tcW w:w="0" w:type="auto"/>
            <w:shd w:val="clear" w:color="auto" w:fill="auto"/>
            <w:tcMar>
              <w:top w:w="40" w:type="dxa"/>
              <w:bottom w:w="40" w:type="dxa"/>
              <w:right w:w="20" w:type="dxa"/>
            </w:tcMar>
            <w:vAlign w:val="bottom"/>
          </w:tcPr>
          <w:p w14:paraId="20AE1476"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477"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478" w14:textId="77777777" w:rsidR="00B626E7" w:rsidRDefault="00175C1D">
            <w:pPr>
              <w:jc w:val="right"/>
              <w:textAlignment w:val="bottom"/>
            </w:pPr>
            <w:r>
              <w:rPr>
                <w:rFonts w:ascii="Arial" w:eastAsia="宋体" w:hAnsi="Arial" w:cs="Arial"/>
                <w:color w:val="333333"/>
                <w:sz w:val="18"/>
                <w:szCs w:val="18"/>
              </w:rPr>
              <w:t>750 </w:t>
            </w:r>
          </w:p>
        </w:tc>
        <w:tc>
          <w:tcPr>
            <w:tcW w:w="0" w:type="auto"/>
            <w:shd w:val="clear" w:color="auto" w:fill="auto"/>
            <w:tcMar>
              <w:top w:w="40" w:type="dxa"/>
              <w:bottom w:w="40" w:type="dxa"/>
              <w:right w:w="20" w:type="dxa"/>
            </w:tcMar>
            <w:vAlign w:val="bottom"/>
          </w:tcPr>
          <w:p w14:paraId="20AE1479"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47A" w14:textId="77777777" w:rsidR="00B626E7" w:rsidRDefault="00B626E7">
            <w:pPr>
              <w:rPr>
                <w:rFonts w:ascii="宋体"/>
              </w:rPr>
            </w:pPr>
          </w:p>
        </w:tc>
        <w:tc>
          <w:tcPr>
            <w:tcW w:w="0" w:type="auto"/>
            <w:shd w:val="clear" w:color="auto" w:fill="auto"/>
          </w:tcPr>
          <w:p w14:paraId="20AE147B" w14:textId="77777777" w:rsidR="00B626E7" w:rsidRDefault="00B626E7">
            <w:pPr>
              <w:rPr>
                <w:rFonts w:ascii="宋体"/>
              </w:rPr>
            </w:pPr>
          </w:p>
        </w:tc>
        <w:tc>
          <w:tcPr>
            <w:tcW w:w="0" w:type="auto"/>
            <w:shd w:val="clear" w:color="auto" w:fill="auto"/>
          </w:tcPr>
          <w:p w14:paraId="20AE147C" w14:textId="77777777" w:rsidR="00B626E7" w:rsidRDefault="00B626E7">
            <w:pPr>
              <w:rPr>
                <w:rFonts w:ascii="宋体"/>
              </w:rPr>
            </w:pPr>
          </w:p>
        </w:tc>
        <w:tc>
          <w:tcPr>
            <w:tcW w:w="0" w:type="auto"/>
            <w:shd w:val="clear" w:color="auto" w:fill="auto"/>
          </w:tcPr>
          <w:p w14:paraId="20AE147D" w14:textId="77777777" w:rsidR="00B626E7" w:rsidRDefault="00B626E7">
            <w:pPr>
              <w:rPr>
                <w:rFonts w:ascii="宋体"/>
              </w:rPr>
            </w:pPr>
          </w:p>
        </w:tc>
        <w:tc>
          <w:tcPr>
            <w:tcW w:w="0" w:type="auto"/>
            <w:shd w:val="clear" w:color="auto" w:fill="auto"/>
          </w:tcPr>
          <w:p w14:paraId="20AE147E" w14:textId="77777777" w:rsidR="00B626E7" w:rsidRDefault="00B626E7">
            <w:pPr>
              <w:rPr>
                <w:rFonts w:ascii="宋体"/>
              </w:rPr>
            </w:pPr>
          </w:p>
        </w:tc>
        <w:tc>
          <w:tcPr>
            <w:tcW w:w="0" w:type="auto"/>
            <w:shd w:val="clear" w:color="auto" w:fill="auto"/>
          </w:tcPr>
          <w:p w14:paraId="20AE147F" w14:textId="77777777" w:rsidR="00B626E7" w:rsidRDefault="00B626E7">
            <w:pPr>
              <w:rPr>
                <w:rFonts w:ascii="宋体"/>
              </w:rPr>
            </w:pPr>
          </w:p>
        </w:tc>
      </w:tr>
      <w:tr w:rsidR="00B626E7" w14:paraId="20AE1491" w14:textId="77777777">
        <w:tc>
          <w:tcPr>
            <w:tcW w:w="0" w:type="auto"/>
            <w:gridSpan w:val="3"/>
            <w:shd w:val="clear" w:color="auto" w:fill="auto"/>
            <w:tcMar>
              <w:top w:w="40" w:type="dxa"/>
              <w:left w:w="135" w:type="dxa"/>
              <w:bottom w:w="40" w:type="dxa"/>
              <w:right w:w="20" w:type="dxa"/>
            </w:tcMar>
            <w:vAlign w:val="center"/>
          </w:tcPr>
          <w:p w14:paraId="20AE1481" w14:textId="77777777" w:rsidR="00B626E7" w:rsidRDefault="00175C1D">
            <w:pPr>
              <w:textAlignment w:val="center"/>
            </w:pPr>
            <w:r>
              <w:rPr>
                <w:rFonts w:ascii="Arial" w:eastAsia="宋体" w:hAnsi="Arial" w:cs="Arial"/>
                <w:color w:val="333333"/>
                <w:sz w:val="18"/>
                <w:szCs w:val="18"/>
              </w:rPr>
              <w:t>3.10%</w:t>
            </w:r>
            <w:r>
              <w:rPr>
                <w:rFonts w:ascii="Arial" w:eastAsia="宋体" w:hAnsi="Arial" w:cs="Arial"/>
                <w:color w:val="333333"/>
                <w:sz w:val="18"/>
                <w:szCs w:val="18"/>
              </w:rPr>
              <w:t>, due July 2022</w:t>
            </w:r>
          </w:p>
        </w:tc>
        <w:tc>
          <w:tcPr>
            <w:tcW w:w="0" w:type="auto"/>
            <w:gridSpan w:val="3"/>
            <w:shd w:val="clear" w:color="auto" w:fill="auto"/>
            <w:tcMar>
              <w:left w:w="20" w:type="dxa"/>
              <w:right w:w="20" w:type="dxa"/>
            </w:tcMar>
            <w:vAlign w:val="bottom"/>
          </w:tcPr>
          <w:p w14:paraId="20AE1482"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483" w14:textId="77777777" w:rsidR="00B626E7" w:rsidRDefault="00175C1D">
            <w:pPr>
              <w:jc w:val="right"/>
              <w:textAlignment w:val="bottom"/>
            </w:pPr>
            <w:r>
              <w:rPr>
                <w:rFonts w:ascii="Arial" w:eastAsia="宋体" w:hAnsi="Arial" w:cs="Arial"/>
                <w:color w:val="026DCE"/>
                <w:sz w:val="18"/>
                <w:szCs w:val="18"/>
              </w:rPr>
              <w:t>2.69 </w:t>
            </w:r>
          </w:p>
        </w:tc>
        <w:tc>
          <w:tcPr>
            <w:tcW w:w="0" w:type="auto"/>
            <w:shd w:val="clear" w:color="auto" w:fill="auto"/>
            <w:tcMar>
              <w:top w:w="40" w:type="dxa"/>
              <w:bottom w:w="40" w:type="dxa"/>
              <w:right w:w="20" w:type="dxa"/>
            </w:tcMar>
            <w:vAlign w:val="bottom"/>
          </w:tcPr>
          <w:p w14:paraId="20AE1484" w14:textId="77777777" w:rsidR="00B626E7" w:rsidRDefault="00175C1D">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20AE1485"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486" w14:textId="77777777" w:rsidR="00B626E7" w:rsidRDefault="00175C1D">
            <w:pPr>
              <w:jc w:val="right"/>
              <w:textAlignment w:val="bottom"/>
            </w:pPr>
            <w:r>
              <w:rPr>
                <w:rFonts w:ascii="Arial" w:eastAsia="宋体" w:hAnsi="Arial" w:cs="Arial"/>
                <w:color w:val="026DCE"/>
                <w:sz w:val="18"/>
                <w:szCs w:val="18"/>
              </w:rPr>
              <w:t>1,000 </w:t>
            </w:r>
          </w:p>
        </w:tc>
        <w:tc>
          <w:tcPr>
            <w:tcW w:w="0" w:type="auto"/>
            <w:shd w:val="clear" w:color="auto" w:fill="auto"/>
            <w:tcMar>
              <w:top w:w="40" w:type="dxa"/>
              <w:bottom w:w="40" w:type="dxa"/>
              <w:right w:w="20" w:type="dxa"/>
            </w:tcMar>
            <w:vAlign w:val="bottom"/>
          </w:tcPr>
          <w:p w14:paraId="20AE1487"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488"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489" w14:textId="77777777" w:rsidR="00B626E7" w:rsidRDefault="00175C1D">
            <w:pPr>
              <w:jc w:val="right"/>
              <w:textAlignment w:val="bottom"/>
            </w:pPr>
            <w:r>
              <w:rPr>
                <w:rFonts w:ascii="Arial" w:eastAsia="宋体" w:hAnsi="Arial" w:cs="Arial"/>
                <w:color w:val="333333"/>
                <w:sz w:val="18"/>
                <w:szCs w:val="18"/>
              </w:rPr>
              <w:t>1,000 </w:t>
            </w:r>
          </w:p>
        </w:tc>
        <w:tc>
          <w:tcPr>
            <w:tcW w:w="0" w:type="auto"/>
            <w:shd w:val="clear" w:color="auto" w:fill="auto"/>
            <w:tcMar>
              <w:top w:w="40" w:type="dxa"/>
              <w:bottom w:w="40" w:type="dxa"/>
              <w:right w:w="20" w:type="dxa"/>
            </w:tcMar>
            <w:vAlign w:val="bottom"/>
          </w:tcPr>
          <w:p w14:paraId="20AE148A"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48B" w14:textId="77777777" w:rsidR="00B626E7" w:rsidRDefault="00B626E7">
            <w:pPr>
              <w:rPr>
                <w:rFonts w:ascii="宋体"/>
              </w:rPr>
            </w:pPr>
          </w:p>
        </w:tc>
        <w:tc>
          <w:tcPr>
            <w:tcW w:w="0" w:type="auto"/>
            <w:shd w:val="clear" w:color="auto" w:fill="auto"/>
          </w:tcPr>
          <w:p w14:paraId="20AE148C" w14:textId="77777777" w:rsidR="00B626E7" w:rsidRDefault="00B626E7">
            <w:pPr>
              <w:rPr>
                <w:rFonts w:ascii="宋体"/>
              </w:rPr>
            </w:pPr>
          </w:p>
        </w:tc>
        <w:tc>
          <w:tcPr>
            <w:tcW w:w="0" w:type="auto"/>
            <w:shd w:val="clear" w:color="auto" w:fill="auto"/>
          </w:tcPr>
          <w:p w14:paraId="20AE148D" w14:textId="77777777" w:rsidR="00B626E7" w:rsidRDefault="00B626E7">
            <w:pPr>
              <w:rPr>
                <w:rFonts w:ascii="宋体"/>
              </w:rPr>
            </w:pPr>
          </w:p>
        </w:tc>
        <w:tc>
          <w:tcPr>
            <w:tcW w:w="0" w:type="auto"/>
            <w:shd w:val="clear" w:color="auto" w:fill="auto"/>
          </w:tcPr>
          <w:p w14:paraId="20AE148E" w14:textId="77777777" w:rsidR="00B626E7" w:rsidRDefault="00B626E7">
            <w:pPr>
              <w:rPr>
                <w:rFonts w:ascii="宋体"/>
              </w:rPr>
            </w:pPr>
          </w:p>
        </w:tc>
        <w:tc>
          <w:tcPr>
            <w:tcW w:w="0" w:type="auto"/>
            <w:shd w:val="clear" w:color="auto" w:fill="auto"/>
          </w:tcPr>
          <w:p w14:paraId="20AE148F" w14:textId="77777777" w:rsidR="00B626E7" w:rsidRDefault="00B626E7">
            <w:pPr>
              <w:rPr>
                <w:rFonts w:ascii="宋体"/>
              </w:rPr>
            </w:pPr>
          </w:p>
        </w:tc>
        <w:tc>
          <w:tcPr>
            <w:tcW w:w="0" w:type="auto"/>
            <w:shd w:val="clear" w:color="auto" w:fill="auto"/>
          </w:tcPr>
          <w:p w14:paraId="20AE1490" w14:textId="77777777" w:rsidR="00B626E7" w:rsidRDefault="00B626E7">
            <w:pPr>
              <w:rPr>
                <w:rFonts w:ascii="宋体"/>
              </w:rPr>
            </w:pPr>
          </w:p>
        </w:tc>
      </w:tr>
      <w:tr w:rsidR="00B626E7" w14:paraId="20AE14A2" w14:textId="77777777">
        <w:tc>
          <w:tcPr>
            <w:tcW w:w="0" w:type="auto"/>
            <w:gridSpan w:val="3"/>
            <w:shd w:val="clear" w:color="auto" w:fill="auto"/>
            <w:tcMar>
              <w:top w:w="40" w:type="dxa"/>
              <w:left w:w="135" w:type="dxa"/>
              <w:bottom w:w="40" w:type="dxa"/>
              <w:right w:w="20" w:type="dxa"/>
            </w:tcMar>
            <w:vAlign w:val="center"/>
          </w:tcPr>
          <w:p w14:paraId="20AE1492" w14:textId="77777777" w:rsidR="00B626E7" w:rsidRDefault="00175C1D">
            <w:pPr>
              <w:textAlignment w:val="center"/>
            </w:pPr>
            <w:r>
              <w:rPr>
                <w:rFonts w:ascii="Arial" w:eastAsia="宋体" w:hAnsi="Arial" w:cs="Arial"/>
                <w:color w:val="333333"/>
                <w:sz w:val="18"/>
                <w:szCs w:val="18"/>
              </w:rPr>
              <w:t>4.00%, due December 2022¹</w:t>
            </w:r>
          </w:p>
        </w:tc>
        <w:tc>
          <w:tcPr>
            <w:tcW w:w="0" w:type="auto"/>
            <w:gridSpan w:val="3"/>
            <w:shd w:val="clear" w:color="auto" w:fill="auto"/>
            <w:tcMar>
              <w:left w:w="20" w:type="dxa"/>
              <w:right w:w="20" w:type="dxa"/>
            </w:tcMar>
            <w:vAlign w:val="bottom"/>
          </w:tcPr>
          <w:p w14:paraId="20AE1493"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494" w14:textId="77777777" w:rsidR="00B626E7" w:rsidRDefault="00175C1D">
            <w:pPr>
              <w:jc w:val="right"/>
              <w:textAlignment w:val="bottom"/>
            </w:pPr>
            <w:r>
              <w:rPr>
                <w:rFonts w:ascii="Arial" w:eastAsia="宋体" w:hAnsi="Arial" w:cs="Arial"/>
                <w:color w:val="026DCE"/>
                <w:sz w:val="18"/>
                <w:szCs w:val="18"/>
              </w:rPr>
              <w:t>3.11 </w:t>
            </w:r>
          </w:p>
        </w:tc>
        <w:tc>
          <w:tcPr>
            <w:tcW w:w="0" w:type="auto"/>
            <w:shd w:val="clear" w:color="auto" w:fill="auto"/>
            <w:tcMar>
              <w:top w:w="40" w:type="dxa"/>
              <w:bottom w:w="40" w:type="dxa"/>
              <w:right w:w="20" w:type="dxa"/>
            </w:tcMar>
            <w:vAlign w:val="bottom"/>
          </w:tcPr>
          <w:p w14:paraId="20AE1495" w14:textId="77777777" w:rsidR="00B626E7" w:rsidRDefault="00175C1D">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20AE1496"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497" w14:textId="77777777" w:rsidR="00B626E7" w:rsidRDefault="00175C1D">
            <w:pPr>
              <w:jc w:val="right"/>
              <w:textAlignment w:val="bottom"/>
            </w:pPr>
            <w:r>
              <w:rPr>
                <w:rFonts w:ascii="Arial" w:eastAsia="宋体" w:hAnsi="Arial" w:cs="Arial"/>
                <w:color w:val="026DCE"/>
                <w:sz w:val="18"/>
                <w:szCs w:val="18"/>
              </w:rPr>
              <w:t>379 </w:t>
            </w:r>
          </w:p>
        </w:tc>
        <w:tc>
          <w:tcPr>
            <w:tcW w:w="0" w:type="auto"/>
            <w:shd w:val="clear" w:color="auto" w:fill="auto"/>
            <w:tcMar>
              <w:top w:w="40" w:type="dxa"/>
              <w:bottom w:w="40" w:type="dxa"/>
              <w:right w:w="20" w:type="dxa"/>
            </w:tcMar>
            <w:vAlign w:val="bottom"/>
          </w:tcPr>
          <w:p w14:paraId="20AE1498"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499"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49A" w14:textId="77777777" w:rsidR="00B626E7" w:rsidRDefault="00175C1D">
            <w:pPr>
              <w:jc w:val="right"/>
              <w:textAlignment w:val="bottom"/>
            </w:pPr>
            <w:r>
              <w:rPr>
                <w:rFonts w:ascii="Arial" w:eastAsia="宋体" w:hAnsi="Arial" w:cs="Arial"/>
                <w:color w:val="333333"/>
                <w:sz w:val="18"/>
                <w:szCs w:val="18"/>
              </w:rPr>
              <w:t>382 </w:t>
            </w:r>
          </w:p>
        </w:tc>
        <w:tc>
          <w:tcPr>
            <w:tcW w:w="0" w:type="auto"/>
            <w:shd w:val="clear" w:color="auto" w:fill="auto"/>
            <w:tcMar>
              <w:top w:w="40" w:type="dxa"/>
              <w:bottom w:w="40" w:type="dxa"/>
              <w:right w:w="20" w:type="dxa"/>
            </w:tcMar>
            <w:vAlign w:val="bottom"/>
          </w:tcPr>
          <w:p w14:paraId="20AE149B"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49C" w14:textId="77777777" w:rsidR="00B626E7" w:rsidRDefault="00B626E7">
            <w:pPr>
              <w:rPr>
                <w:rFonts w:ascii="宋体"/>
              </w:rPr>
            </w:pPr>
          </w:p>
        </w:tc>
        <w:tc>
          <w:tcPr>
            <w:tcW w:w="0" w:type="auto"/>
            <w:shd w:val="clear" w:color="auto" w:fill="auto"/>
          </w:tcPr>
          <w:p w14:paraId="20AE149D" w14:textId="77777777" w:rsidR="00B626E7" w:rsidRDefault="00B626E7">
            <w:pPr>
              <w:rPr>
                <w:rFonts w:ascii="宋体"/>
              </w:rPr>
            </w:pPr>
          </w:p>
        </w:tc>
        <w:tc>
          <w:tcPr>
            <w:tcW w:w="0" w:type="auto"/>
            <w:shd w:val="clear" w:color="auto" w:fill="auto"/>
          </w:tcPr>
          <w:p w14:paraId="20AE149E" w14:textId="77777777" w:rsidR="00B626E7" w:rsidRDefault="00B626E7">
            <w:pPr>
              <w:rPr>
                <w:rFonts w:ascii="宋体"/>
              </w:rPr>
            </w:pPr>
          </w:p>
        </w:tc>
        <w:tc>
          <w:tcPr>
            <w:tcW w:w="0" w:type="auto"/>
            <w:shd w:val="clear" w:color="auto" w:fill="auto"/>
          </w:tcPr>
          <w:p w14:paraId="20AE149F" w14:textId="77777777" w:rsidR="00B626E7" w:rsidRDefault="00B626E7">
            <w:pPr>
              <w:rPr>
                <w:rFonts w:ascii="宋体"/>
              </w:rPr>
            </w:pPr>
          </w:p>
        </w:tc>
        <w:tc>
          <w:tcPr>
            <w:tcW w:w="0" w:type="auto"/>
            <w:shd w:val="clear" w:color="auto" w:fill="auto"/>
          </w:tcPr>
          <w:p w14:paraId="20AE14A0" w14:textId="77777777" w:rsidR="00B626E7" w:rsidRDefault="00B626E7">
            <w:pPr>
              <w:rPr>
                <w:rFonts w:ascii="宋体"/>
              </w:rPr>
            </w:pPr>
          </w:p>
        </w:tc>
        <w:tc>
          <w:tcPr>
            <w:tcW w:w="0" w:type="auto"/>
            <w:shd w:val="clear" w:color="auto" w:fill="auto"/>
          </w:tcPr>
          <w:p w14:paraId="20AE14A1" w14:textId="77777777" w:rsidR="00B626E7" w:rsidRDefault="00B626E7">
            <w:pPr>
              <w:rPr>
                <w:rFonts w:ascii="宋体"/>
              </w:rPr>
            </w:pPr>
          </w:p>
        </w:tc>
      </w:tr>
      <w:tr w:rsidR="00B626E7" w14:paraId="20AE14B3" w14:textId="77777777">
        <w:tc>
          <w:tcPr>
            <w:tcW w:w="0" w:type="auto"/>
            <w:gridSpan w:val="3"/>
            <w:shd w:val="clear" w:color="auto" w:fill="auto"/>
            <w:tcMar>
              <w:top w:w="40" w:type="dxa"/>
              <w:left w:w="135" w:type="dxa"/>
              <w:bottom w:w="40" w:type="dxa"/>
              <w:right w:w="20" w:type="dxa"/>
            </w:tcMar>
            <w:vAlign w:val="center"/>
          </w:tcPr>
          <w:p w14:paraId="20AE14A3" w14:textId="77777777" w:rsidR="00B626E7" w:rsidRDefault="00175C1D">
            <w:pPr>
              <w:textAlignment w:val="center"/>
            </w:pPr>
            <w:r>
              <w:rPr>
                <w:rFonts w:ascii="Arial" w:eastAsia="宋体" w:hAnsi="Arial" w:cs="Arial"/>
                <w:color w:val="333333"/>
                <w:sz w:val="18"/>
                <w:szCs w:val="18"/>
              </w:rPr>
              <w:t>2.70%</w:t>
            </w:r>
            <w:r>
              <w:rPr>
                <w:rFonts w:ascii="Arial" w:eastAsia="宋体" w:hAnsi="Arial" w:cs="Arial"/>
                <w:color w:val="333333"/>
                <w:sz w:val="18"/>
                <w:szCs w:val="18"/>
              </w:rPr>
              <w:t>, due December 2022</w:t>
            </w:r>
          </w:p>
        </w:tc>
        <w:tc>
          <w:tcPr>
            <w:tcW w:w="0" w:type="auto"/>
            <w:gridSpan w:val="3"/>
            <w:shd w:val="clear" w:color="auto" w:fill="auto"/>
            <w:tcMar>
              <w:left w:w="20" w:type="dxa"/>
              <w:right w:w="20" w:type="dxa"/>
            </w:tcMar>
            <w:vAlign w:val="bottom"/>
          </w:tcPr>
          <w:p w14:paraId="20AE14A4"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4A5" w14:textId="77777777" w:rsidR="00B626E7" w:rsidRDefault="00175C1D">
            <w:pPr>
              <w:jc w:val="right"/>
              <w:textAlignment w:val="bottom"/>
            </w:pPr>
            <w:r>
              <w:rPr>
                <w:rFonts w:ascii="Arial" w:eastAsia="宋体" w:hAnsi="Arial" w:cs="Arial"/>
                <w:color w:val="026DCE"/>
                <w:sz w:val="18"/>
                <w:szCs w:val="18"/>
              </w:rPr>
              <w:t>2.28 </w:t>
            </w:r>
          </w:p>
        </w:tc>
        <w:tc>
          <w:tcPr>
            <w:tcW w:w="0" w:type="auto"/>
            <w:shd w:val="clear" w:color="auto" w:fill="auto"/>
            <w:tcMar>
              <w:top w:w="40" w:type="dxa"/>
              <w:bottom w:w="40" w:type="dxa"/>
              <w:right w:w="20" w:type="dxa"/>
            </w:tcMar>
            <w:vAlign w:val="bottom"/>
          </w:tcPr>
          <w:p w14:paraId="20AE14A6" w14:textId="77777777" w:rsidR="00B626E7" w:rsidRDefault="00175C1D">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20AE14A7"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4A8" w14:textId="77777777" w:rsidR="00B626E7" w:rsidRDefault="00175C1D">
            <w:pPr>
              <w:jc w:val="right"/>
              <w:textAlignment w:val="bottom"/>
            </w:pPr>
            <w:r>
              <w:rPr>
                <w:rFonts w:ascii="Arial" w:eastAsia="宋体" w:hAnsi="Arial" w:cs="Arial"/>
                <w:color w:val="026DCE"/>
                <w:sz w:val="18"/>
                <w:szCs w:val="18"/>
              </w:rPr>
              <w:t>1,500 </w:t>
            </w:r>
          </w:p>
        </w:tc>
        <w:tc>
          <w:tcPr>
            <w:tcW w:w="0" w:type="auto"/>
            <w:shd w:val="clear" w:color="auto" w:fill="auto"/>
            <w:tcMar>
              <w:top w:w="40" w:type="dxa"/>
              <w:bottom w:w="40" w:type="dxa"/>
              <w:right w:w="20" w:type="dxa"/>
            </w:tcMar>
            <w:vAlign w:val="bottom"/>
          </w:tcPr>
          <w:p w14:paraId="20AE14A9"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4AA"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4AB" w14:textId="77777777" w:rsidR="00B626E7" w:rsidRDefault="00175C1D">
            <w:pPr>
              <w:jc w:val="right"/>
              <w:textAlignment w:val="bottom"/>
            </w:pPr>
            <w:r>
              <w:rPr>
                <w:rFonts w:ascii="Arial" w:eastAsia="宋体" w:hAnsi="Arial" w:cs="Arial"/>
                <w:color w:val="333333"/>
                <w:sz w:val="18"/>
                <w:szCs w:val="18"/>
              </w:rPr>
              <w:t>1,500 </w:t>
            </w:r>
          </w:p>
        </w:tc>
        <w:tc>
          <w:tcPr>
            <w:tcW w:w="0" w:type="auto"/>
            <w:shd w:val="clear" w:color="auto" w:fill="auto"/>
            <w:tcMar>
              <w:top w:w="40" w:type="dxa"/>
              <w:bottom w:w="40" w:type="dxa"/>
              <w:right w:w="20" w:type="dxa"/>
            </w:tcMar>
            <w:vAlign w:val="bottom"/>
          </w:tcPr>
          <w:p w14:paraId="20AE14AC"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4AD" w14:textId="77777777" w:rsidR="00B626E7" w:rsidRDefault="00B626E7">
            <w:pPr>
              <w:rPr>
                <w:rFonts w:ascii="宋体"/>
              </w:rPr>
            </w:pPr>
          </w:p>
        </w:tc>
        <w:tc>
          <w:tcPr>
            <w:tcW w:w="0" w:type="auto"/>
            <w:shd w:val="clear" w:color="auto" w:fill="auto"/>
          </w:tcPr>
          <w:p w14:paraId="20AE14AE" w14:textId="77777777" w:rsidR="00B626E7" w:rsidRDefault="00B626E7">
            <w:pPr>
              <w:rPr>
                <w:rFonts w:ascii="宋体"/>
              </w:rPr>
            </w:pPr>
          </w:p>
        </w:tc>
        <w:tc>
          <w:tcPr>
            <w:tcW w:w="0" w:type="auto"/>
            <w:shd w:val="clear" w:color="auto" w:fill="auto"/>
          </w:tcPr>
          <w:p w14:paraId="20AE14AF" w14:textId="77777777" w:rsidR="00B626E7" w:rsidRDefault="00B626E7">
            <w:pPr>
              <w:rPr>
                <w:rFonts w:ascii="宋体"/>
              </w:rPr>
            </w:pPr>
          </w:p>
        </w:tc>
        <w:tc>
          <w:tcPr>
            <w:tcW w:w="0" w:type="auto"/>
            <w:shd w:val="clear" w:color="auto" w:fill="auto"/>
          </w:tcPr>
          <w:p w14:paraId="20AE14B0" w14:textId="77777777" w:rsidR="00B626E7" w:rsidRDefault="00B626E7">
            <w:pPr>
              <w:rPr>
                <w:rFonts w:ascii="宋体"/>
              </w:rPr>
            </w:pPr>
          </w:p>
        </w:tc>
        <w:tc>
          <w:tcPr>
            <w:tcW w:w="0" w:type="auto"/>
            <w:shd w:val="clear" w:color="auto" w:fill="auto"/>
          </w:tcPr>
          <w:p w14:paraId="20AE14B1" w14:textId="77777777" w:rsidR="00B626E7" w:rsidRDefault="00B626E7">
            <w:pPr>
              <w:rPr>
                <w:rFonts w:ascii="宋体"/>
              </w:rPr>
            </w:pPr>
          </w:p>
        </w:tc>
        <w:tc>
          <w:tcPr>
            <w:tcW w:w="0" w:type="auto"/>
            <w:shd w:val="clear" w:color="auto" w:fill="auto"/>
          </w:tcPr>
          <w:p w14:paraId="20AE14B2" w14:textId="77777777" w:rsidR="00B626E7" w:rsidRDefault="00B626E7">
            <w:pPr>
              <w:rPr>
                <w:rFonts w:ascii="宋体"/>
              </w:rPr>
            </w:pPr>
          </w:p>
        </w:tc>
      </w:tr>
      <w:tr w:rsidR="00B626E7" w14:paraId="20AE14C4" w14:textId="77777777">
        <w:tc>
          <w:tcPr>
            <w:tcW w:w="0" w:type="auto"/>
            <w:gridSpan w:val="3"/>
            <w:shd w:val="clear" w:color="auto" w:fill="auto"/>
            <w:tcMar>
              <w:top w:w="40" w:type="dxa"/>
              <w:left w:w="135" w:type="dxa"/>
              <w:bottom w:w="40" w:type="dxa"/>
              <w:right w:w="20" w:type="dxa"/>
            </w:tcMar>
            <w:vAlign w:val="center"/>
          </w:tcPr>
          <w:p w14:paraId="20AE14B4" w14:textId="77777777" w:rsidR="00B626E7" w:rsidRDefault="00175C1D">
            <w:pPr>
              <w:textAlignment w:val="center"/>
            </w:pPr>
            <w:r>
              <w:rPr>
                <w:rFonts w:ascii="Arial" w:eastAsia="宋体" w:hAnsi="Arial" w:cs="Arial"/>
                <w:color w:val="333333"/>
                <w:sz w:val="18"/>
                <w:szCs w:val="18"/>
              </w:rPr>
              <w:t>4.10%</w:t>
            </w:r>
            <w:r>
              <w:rPr>
                <w:rFonts w:ascii="Arial" w:eastAsia="宋体" w:hAnsi="Arial" w:cs="Arial"/>
                <w:color w:val="333333"/>
                <w:sz w:val="18"/>
                <w:szCs w:val="18"/>
              </w:rPr>
              <w:t>, due November 2023</w:t>
            </w:r>
          </w:p>
        </w:tc>
        <w:tc>
          <w:tcPr>
            <w:tcW w:w="0" w:type="auto"/>
            <w:gridSpan w:val="3"/>
            <w:shd w:val="clear" w:color="auto" w:fill="auto"/>
            <w:tcMar>
              <w:left w:w="20" w:type="dxa"/>
              <w:right w:w="20" w:type="dxa"/>
            </w:tcMar>
            <w:vAlign w:val="bottom"/>
          </w:tcPr>
          <w:p w14:paraId="20AE14B5"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4B6" w14:textId="77777777" w:rsidR="00B626E7" w:rsidRDefault="00175C1D">
            <w:pPr>
              <w:jc w:val="right"/>
              <w:textAlignment w:val="bottom"/>
            </w:pPr>
            <w:r>
              <w:rPr>
                <w:rFonts w:ascii="Arial" w:eastAsia="宋体" w:hAnsi="Arial" w:cs="Arial"/>
                <w:color w:val="026DCE"/>
                <w:sz w:val="18"/>
                <w:szCs w:val="18"/>
              </w:rPr>
              <w:t>3.21 </w:t>
            </w:r>
          </w:p>
        </w:tc>
        <w:tc>
          <w:tcPr>
            <w:tcW w:w="0" w:type="auto"/>
            <w:shd w:val="clear" w:color="auto" w:fill="auto"/>
            <w:tcMar>
              <w:top w:w="40" w:type="dxa"/>
              <w:bottom w:w="40" w:type="dxa"/>
              <w:right w:w="20" w:type="dxa"/>
            </w:tcMar>
            <w:vAlign w:val="bottom"/>
          </w:tcPr>
          <w:p w14:paraId="20AE14B7" w14:textId="77777777" w:rsidR="00B626E7" w:rsidRDefault="00175C1D">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20AE14B8"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4B9" w14:textId="77777777" w:rsidR="00B626E7" w:rsidRDefault="00175C1D">
            <w:pPr>
              <w:jc w:val="right"/>
              <w:textAlignment w:val="bottom"/>
            </w:pPr>
            <w:r>
              <w:rPr>
                <w:rFonts w:ascii="Arial" w:eastAsia="宋体" w:hAnsi="Arial" w:cs="Arial"/>
                <w:color w:val="026DCE"/>
                <w:sz w:val="18"/>
                <w:szCs w:val="18"/>
              </w:rPr>
              <w:t>400 </w:t>
            </w:r>
          </w:p>
        </w:tc>
        <w:tc>
          <w:tcPr>
            <w:tcW w:w="0" w:type="auto"/>
            <w:shd w:val="clear" w:color="auto" w:fill="auto"/>
            <w:tcMar>
              <w:top w:w="40" w:type="dxa"/>
              <w:bottom w:w="40" w:type="dxa"/>
              <w:right w:w="20" w:type="dxa"/>
            </w:tcMar>
            <w:vAlign w:val="bottom"/>
          </w:tcPr>
          <w:p w14:paraId="20AE14BA"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4BB"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4BC" w14:textId="77777777" w:rsidR="00B626E7" w:rsidRDefault="00175C1D">
            <w:pPr>
              <w:jc w:val="right"/>
              <w:textAlignment w:val="bottom"/>
            </w:pPr>
            <w:r>
              <w:rPr>
                <w:rFonts w:ascii="Arial" w:eastAsia="宋体" w:hAnsi="Arial" w:cs="Arial"/>
                <w:color w:val="333333"/>
                <w:sz w:val="18"/>
                <w:szCs w:val="18"/>
              </w:rPr>
              <w:t>400 </w:t>
            </w:r>
          </w:p>
        </w:tc>
        <w:tc>
          <w:tcPr>
            <w:tcW w:w="0" w:type="auto"/>
            <w:shd w:val="clear" w:color="auto" w:fill="auto"/>
            <w:tcMar>
              <w:top w:w="40" w:type="dxa"/>
              <w:bottom w:w="40" w:type="dxa"/>
              <w:right w:w="20" w:type="dxa"/>
            </w:tcMar>
            <w:vAlign w:val="bottom"/>
          </w:tcPr>
          <w:p w14:paraId="20AE14BD"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4BE" w14:textId="77777777" w:rsidR="00B626E7" w:rsidRDefault="00B626E7">
            <w:pPr>
              <w:rPr>
                <w:rFonts w:ascii="宋体"/>
              </w:rPr>
            </w:pPr>
          </w:p>
        </w:tc>
        <w:tc>
          <w:tcPr>
            <w:tcW w:w="0" w:type="auto"/>
            <w:shd w:val="clear" w:color="auto" w:fill="auto"/>
          </w:tcPr>
          <w:p w14:paraId="20AE14BF" w14:textId="77777777" w:rsidR="00B626E7" w:rsidRDefault="00B626E7">
            <w:pPr>
              <w:rPr>
                <w:rFonts w:ascii="宋体"/>
              </w:rPr>
            </w:pPr>
          </w:p>
        </w:tc>
        <w:tc>
          <w:tcPr>
            <w:tcW w:w="0" w:type="auto"/>
            <w:shd w:val="clear" w:color="auto" w:fill="auto"/>
          </w:tcPr>
          <w:p w14:paraId="20AE14C0" w14:textId="77777777" w:rsidR="00B626E7" w:rsidRDefault="00B626E7">
            <w:pPr>
              <w:rPr>
                <w:rFonts w:ascii="宋体"/>
              </w:rPr>
            </w:pPr>
          </w:p>
        </w:tc>
        <w:tc>
          <w:tcPr>
            <w:tcW w:w="0" w:type="auto"/>
            <w:shd w:val="clear" w:color="auto" w:fill="auto"/>
          </w:tcPr>
          <w:p w14:paraId="20AE14C1" w14:textId="77777777" w:rsidR="00B626E7" w:rsidRDefault="00B626E7">
            <w:pPr>
              <w:rPr>
                <w:rFonts w:ascii="宋体"/>
              </w:rPr>
            </w:pPr>
          </w:p>
        </w:tc>
        <w:tc>
          <w:tcPr>
            <w:tcW w:w="0" w:type="auto"/>
            <w:shd w:val="clear" w:color="auto" w:fill="auto"/>
          </w:tcPr>
          <w:p w14:paraId="20AE14C2" w14:textId="77777777" w:rsidR="00B626E7" w:rsidRDefault="00B626E7">
            <w:pPr>
              <w:rPr>
                <w:rFonts w:ascii="宋体"/>
              </w:rPr>
            </w:pPr>
          </w:p>
        </w:tc>
        <w:tc>
          <w:tcPr>
            <w:tcW w:w="0" w:type="auto"/>
            <w:shd w:val="clear" w:color="auto" w:fill="auto"/>
          </w:tcPr>
          <w:p w14:paraId="20AE14C3" w14:textId="77777777" w:rsidR="00B626E7" w:rsidRDefault="00B626E7">
            <w:pPr>
              <w:rPr>
                <w:rFonts w:ascii="宋体"/>
              </w:rPr>
            </w:pPr>
          </w:p>
        </w:tc>
      </w:tr>
      <w:tr w:rsidR="00B626E7" w14:paraId="20AE14D5" w14:textId="77777777">
        <w:tc>
          <w:tcPr>
            <w:tcW w:w="0" w:type="auto"/>
            <w:gridSpan w:val="3"/>
            <w:shd w:val="clear" w:color="auto" w:fill="auto"/>
            <w:tcMar>
              <w:top w:w="40" w:type="dxa"/>
              <w:left w:w="135" w:type="dxa"/>
              <w:bottom w:w="40" w:type="dxa"/>
              <w:right w:w="20" w:type="dxa"/>
            </w:tcMar>
            <w:vAlign w:val="center"/>
          </w:tcPr>
          <w:p w14:paraId="20AE14C5" w14:textId="77777777" w:rsidR="00B626E7" w:rsidRDefault="00175C1D">
            <w:pPr>
              <w:textAlignment w:val="center"/>
            </w:pPr>
            <w:r>
              <w:rPr>
                <w:rFonts w:ascii="Arial" w:eastAsia="宋体" w:hAnsi="Arial" w:cs="Arial"/>
                <w:color w:val="333333"/>
                <w:sz w:val="18"/>
                <w:szCs w:val="18"/>
              </w:rPr>
              <w:t>2.88%</w:t>
            </w:r>
            <w:r>
              <w:rPr>
                <w:rFonts w:ascii="Arial" w:eastAsia="宋体" w:hAnsi="Arial" w:cs="Arial"/>
                <w:color w:val="333333"/>
                <w:sz w:val="18"/>
                <w:szCs w:val="18"/>
              </w:rPr>
              <w:t>, due May 2024</w:t>
            </w:r>
          </w:p>
        </w:tc>
        <w:tc>
          <w:tcPr>
            <w:tcW w:w="0" w:type="auto"/>
            <w:gridSpan w:val="3"/>
            <w:shd w:val="clear" w:color="auto" w:fill="auto"/>
            <w:tcMar>
              <w:left w:w="20" w:type="dxa"/>
              <w:right w:w="20" w:type="dxa"/>
            </w:tcMar>
            <w:vAlign w:val="bottom"/>
          </w:tcPr>
          <w:p w14:paraId="20AE14C6"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4C7" w14:textId="77777777" w:rsidR="00B626E7" w:rsidRDefault="00175C1D">
            <w:pPr>
              <w:jc w:val="right"/>
              <w:textAlignment w:val="bottom"/>
            </w:pPr>
            <w:r>
              <w:rPr>
                <w:rFonts w:ascii="Arial" w:eastAsia="宋体" w:hAnsi="Arial" w:cs="Arial"/>
                <w:color w:val="026DCE"/>
                <w:sz w:val="18"/>
                <w:szCs w:val="18"/>
              </w:rPr>
              <w:t>2.31 </w:t>
            </w:r>
          </w:p>
        </w:tc>
        <w:tc>
          <w:tcPr>
            <w:tcW w:w="0" w:type="auto"/>
            <w:shd w:val="clear" w:color="auto" w:fill="auto"/>
            <w:tcMar>
              <w:top w:w="40" w:type="dxa"/>
              <w:bottom w:w="40" w:type="dxa"/>
              <w:right w:w="20" w:type="dxa"/>
            </w:tcMar>
            <w:vAlign w:val="bottom"/>
          </w:tcPr>
          <w:p w14:paraId="20AE14C8" w14:textId="77777777" w:rsidR="00B626E7" w:rsidRDefault="00175C1D">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20AE14C9"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4CA" w14:textId="77777777" w:rsidR="00B626E7" w:rsidRDefault="00175C1D">
            <w:pPr>
              <w:jc w:val="right"/>
              <w:textAlignment w:val="bottom"/>
            </w:pPr>
            <w:r>
              <w:rPr>
                <w:rFonts w:ascii="Arial" w:eastAsia="宋体" w:hAnsi="Arial" w:cs="Arial"/>
                <w:color w:val="026DCE"/>
                <w:sz w:val="18"/>
                <w:szCs w:val="18"/>
              </w:rPr>
              <w:t>1,250 </w:t>
            </w:r>
          </w:p>
        </w:tc>
        <w:tc>
          <w:tcPr>
            <w:tcW w:w="0" w:type="auto"/>
            <w:shd w:val="clear" w:color="auto" w:fill="auto"/>
            <w:tcMar>
              <w:top w:w="40" w:type="dxa"/>
              <w:bottom w:w="40" w:type="dxa"/>
              <w:right w:w="20" w:type="dxa"/>
            </w:tcMar>
            <w:vAlign w:val="bottom"/>
          </w:tcPr>
          <w:p w14:paraId="20AE14CB"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4CC"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4CD" w14:textId="77777777" w:rsidR="00B626E7" w:rsidRDefault="00175C1D">
            <w:pPr>
              <w:jc w:val="right"/>
              <w:textAlignment w:val="bottom"/>
            </w:pPr>
            <w:r>
              <w:rPr>
                <w:rFonts w:ascii="Arial" w:eastAsia="宋体" w:hAnsi="Arial" w:cs="Arial"/>
                <w:color w:val="333333"/>
                <w:sz w:val="18"/>
                <w:szCs w:val="18"/>
              </w:rPr>
              <w:t>1,250 </w:t>
            </w:r>
          </w:p>
        </w:tc>
        <w:tc>
          <w:tcPr>
            <w:tcW w:w="0" w:type="auto"/>
            <w:shd w:val="clear" w:color="auto" w:fill="auto"/>
            <w:tcMar>
              <w:top w:w="40" w:type="dxa"/>
              <w:bottom w:w="40" w:type="dxa"/>
              <w:right w:w="20" w:type="dxa"/>
            </w:tcMar>
            <w:vAlign w:val="bottom"/>
          </w:tcPr>
          <w:p w14:paraId="20AE14CE"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4CF" w14:textId="77777777" w:rsidR="00B626E7" w:rsidRDefault="00B626E7">
            <w:pPr>
              <w:rPr>
                <w:rFonts w:ascii="宋体"/>
              </w:rPr>
            </w:pPr>
          </w:p>
        </w:tc>
        <w:tc>
          <w:tcPr>
            <w:tcW w:w="0" w:type="auto"/>
            <w:shd w:val="clear" w:color="auto" w:fill="auto"/>
          </w:tcPr>
          <w:p w14:paraId="20AE14D0" w14:textId="77777777" w:rsidR="00B626E7" w:rsidRDefault="00B626E7">
            <w:pPr>
              <w:rPr>
                <w:rFonts w:ascii="宋体"/>
              </w:rPr>
            </w:pPr>
          </w:p>
        </w:tc>
        <w:tc>
          <w:tcPr>
            <w:tcW w:w="0" w:type="auto"/>
            <w:shd w:val="clear" w:color="auto" w:fill="auto"/>
          </w:tcPr>
          <w:p w14:paraId="20AE14D1" w14:textId="77777777" w:rsidR="00B626E7" w:rsidRDefault="00B626E7">
            <w:pPr>
              <w:rPr>
                <w:rFonts w:ascii="宋体"/>
              </w:rPr>
            </w:pPr>
          </w:p>
        </w:tc>
        <w:tc>
          <w:tcPr>
            <w:tcW w:w="0" w:type="auto"/>
            <w:shd w:val="clear" w:color="auto" w:fill="auto"/>
          </w:tcPr>
          <w:p w14:paraId="20AE14D2" w14:textId="77777777" w:rsidR="00B626E7" w:rsidRDefault="00B626E7">
            <w:pPr>
              <w:rPr>
                <w:rFonts w:ascii="宋体"/>
              </w:rPr>
            </w:pPr>
          </w:p>
        </w:tc>
        <w:tc>
          <w:tcPr>
            <w:tcW w:w="0" w:type="auto"/>
            <w:shd w:val="clear" w:color="auto" w:fill="auto"/>
          </w:tcPr>
          <w:p w14:paraId="20AE14D3" w14:textId="77777777" w:rsidR="00B626E7" w:rsidRDefault="00B626E7">
            <w:pPr>
              <w:rPr>
                <w:rFonts w:ascii="宋体"/>
              </w:rPr>
            </w:pPr>
          </w:p>
        </w:tc>
        <w:tc>
          <w:tcPr>
            <w:tcW w:w="0" w:type="auto"/>
            <w:shd w:val="clear" w:color="auto" w:fill="auto"/>
          </w:tcPr>
          <w:p w14:paraId="20AE14D4" w14:textId="77777777" w:rsidR="00B626E7" w:rsidRDefault="00B626E7">
            <w:pPr>
              <w:rPr>
                <w:rFonts w:ascii="宋体"/>
              </w:rPr>
            </w:pPr>
          </w:p>
        </w:tc>
      </w:tr>
      <w:tr w:rsidR="00B626E7" w14:paraId="20AE14E6" w14:textId="77777777">
        <w:tc>
          <w:tcPr>
            <w:tcW w:w="0" w:type="auto"/>
            <w:gridSpan w:val="3"/>
            <w:shd w:val="clear" w:color="auto" w:fill="auto"/>
            <w:tcMar>
              <w:top w:w="40" w:type="dxa"/>
              <w:left w:w="135" w:type="dxa"/>
              <w:bottom w:w="40" w:type="dxa"/>
              <w:right w:w="20" w:type="dxa"/>
            </w:tcMar>
            <w:vAlign w:val="center"/>
          </w:tcPr>
          <w:p w14:paraId="20AE14D6" w14:textId="77777777" w:rsidR="00B626E7" w:rsidRDefault="00175C1D">
            <w:pPr>
              <w:textAlignment w:val="center"/>
            </w:pPr>
            <w:r>
              <w:rPr>
                <w:rFonts w:ascii="Arial" w:eastAsia="宋体" w:hAnsi="Arial" w:cs="Arial"/>
                <w:color w:val="333333"/>
                <w:sz w:val="18"/>
                <w:szCs w:val="18"/>
              </w:rPr>
              <w:t>2.70%, due June 2024</w:t>
            </w:r>
          </w:p>
        </w:tc>
        <w:tc>
          <w:tcPr>
            <w:tcW w:w="0" w:type="auto"/>
            <w:gridSpan w:val="3"/>
            <w:shd w:val="clear" w:color="auto" w:fill="auto"/>
            <w:tcMar>
              <w:left w:w="20" w:type="dxa"/>
              <w:right w:w="20" w:type="dxa"/>
            </w:tcMar>
            <w:vAlign w:val="bottom"/>
          </w:tcPr>
          <w:p w14:paraId="20AE14D7"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4D8" w14:textId="77777777" w:rsidR="00B626E7" w:rsidRDefault="00175C1D">
            <w:pPr>
              <w:jc w:val="right"/>
              <w:textAlignment w:val="bottom"/>
            </w:pPr>
            <w:r>
              <w:rPr>
                <w:rFonts w:ascii="Arial" w:eastAsia="宋体" w:hAnsi="Arial" w:cs="Arial"/>
                <w:color w:val="026DCE"/>
                <w:sz w:val="18"/>
                <w:szCs w:val="18"/>
              </w:rPr>
              <w:t>2.13 </w:t>
            </w:r>
          </w:p>
        </w:tc>
        <w:tc>
          <w:tcPr>
            <w:tcW w:w="0" w:type="auto"/>
            <w:shd w:val="clear" w:color="auto" w:fill="auto"/>
            <w:tcMar>
              <w:top w:w="40" w:type="dxa"/>
              <w:bottom w:w="40" w:type="dxa"/>
              <w:right w:w="20" w:type="dxa"/>
            </w:tcMar>
            <w:vAlign w:val="bottom"/>
          </w:tcPr>
          <w:p w14:paraId="20AE14D9" w14:textId="77777777" w:rsidR="00B626E7" w:rsidRDefault="00175C1D">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20AE14DA"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4DB" w14:textId="77777777" w:rsidR="00B626E7" w:rsidRDefault="00175C1D">
            <w:pPr>
              <w:jc w:val="right"/>
              <w:textAlignment w:val="bottom"/>
            </w:pPr>
            <w:r>
              <w:rPr>
                <w:rFonts w:ascii="Arial" w:eastAsia="宋体" w:hAnsi="Arial" w:cs="Arial"/>
                <w:color w:val="026DCE"/>
                <w:sz w:val="18"/>
                <w:szCs w:val="18"/>
              </w:rPr>
              <w:t>600 </w:t>
            </w:r>
          </w:p>
        </w:tc>
        <w:tc>
          <w:tcPr>
            <w:tcW w:w="0" w:type="auto"/>
            <w:shd w:val="clear" w:color="auto" w:fill="auto"/>
            <w:tcMar>
              <w:top w:w="40" w:type="dxa"/>
              <w:bottom w:w="40" w:type="dxa"/>
              <w:right w:w="20" w:type="dxa"/>
            </w:tcMar>
            <w:vAlign w:val="bottom"/>
          </w:tcPr>
          <w:p w14:paraId="20AE14DC"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4DD"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4DE" w14:textId="77777777" w:rsidR="00B626E7" w:rsidRDefault="00175C1D">
            <w:pPr>
              <w:jc w:val="right"/>
              <w:textAlignment w:val="bottom"/>
            </w:pPr>
            <w:r>
              <w:rPr>
                <w:rFonts w:ascii="Arial" w:eastAsia="宋体" w:hAnsi="Arial" w:cs="Arial"/>
                <w:color w:val="333333"/>
                <w:sz w:val="18"/>
                <w:szCs w:val="18"/>
              </w:rPr>
              <w:t>600 </w:t>
            </w:r>
          </w:p>
        </w:tc>
        <w:tc>
          <w:tcPr>
            <w:tcW w:w="0" w:type="auto"/>
            <w:shd w:val="clear" w:color="auto" w:fill="auto"/>
            <w:tcMar>
              <w:top w:w="40" w:type="dxa"/>
              <w:bottom w:w="40" w:type="dxa"/>
              <w:right w:w="20" w:type="dxa"/>
            </w:tcMar>
            <w:vAlign w:val="bottom"/>
          </w:tcPr>
          <w:p w14:paraId="20AE14DF"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4E0" w14:textId="77777777" w:rsidR="00B626E7" w:rsidRDefault="00B626E7">
            <w:pPr>
              <w:rPr>
                <w:rFonts w:ascii="宋体"/>
              </w:rPr>
            </w:pPr>
          </w:p>
        </w:tc>
        <w:tc>
          <w:tcPr>
            <w:tcW w:w="0" w:type="auto"/>
            <w:shd w:val="clear" w:color="auto" w:fill="auto"/>
          </w:tcPr>
          <w:p w14:paraId="20AE14E1" w14:textId="77777777" w:rsidR="00B626E7" w:rsidRDefault="00B626E7">
            <w:pPr>
              <w:rPr>
                <w:rFonts w:ascii="宋体"/>
              </w:rPr>
            </w:pPr>
          </w:p>
        </w:tc>
        <w:tc>
          <w:tcPr>
            <w:tcW w:w="0" w:type="auto"/>
            <w:shd w:val="clear" w:color="auto" w:fill="auto"/>
          </w:tcPr>
          <w:p w14:paraId="20AE14E2" w14:textId="77777777" w:rsidR="00B626E7" w:rsidRDefault="00B626E7">
            <w:pPr>
              <w:rPr>
                <w:rFonts w:ascii="宋体"/>
              </w:rPr>
            </w:pPr>
          </w:p>
        </w:tc>
        <w:tc>
          <w:tcPr>
            <w:tcW w:w="0" w:type="auto"/>
            <w:shd w:val="clear" w:color="auto" w:fill="auto"/>
          </w:tcPr>
          <w:p w14:paraId="20AE14E3" w14:textId="77777777" w:rsidR="00B626E7" w:rsidRDefault="00B626E7">
            <w:pPr>
              <w:rPr>
                <w:rFonts w:ascii="宋体"/>
              </w:rPr>
            </w:pPr>
          </w:p>
        </w:tc>
        <w:tc>
          <w:tcPr>
            <w:tcW w:w="0" w:type="auto"/>
            <w:shd w:val="clear" w:color="auto" w:fill="auto"/>
          </w:tcPr>
          <w:p w14:paraId="20AE14E4" w14:textId="77777777" w:rsidR="00B626E7" w:rsidRDefault="00B626E7">
            <w:pPr>
              <w:rPr>
                <w:rFonts w:ascii="宋体"/>
              </w:rPr>
            </w:pPr>
          </w:p>
        </w:tc>
        <w:tc>
          <w:tcPr>
            <w:tcW w:w="0" w:type="auto"/>
            <w:shd w:val="clear" w:color="auto" w:fill="auto"/>
          </w:tcPr>
          <w:p w14:paraId="20AE14E5" w14:textId="77777777" w:rsidR="00B626E7" w:rsidRDefault="00B626E7">
            <w:pPr>
              <w:rPr>
                <w:rFonts w:ascii="宋体"/>
              </w:rPr>
            </w:pPr>
          </w:p>
        </w:tc>
      </w:tr>
      <w:tr w:rsidR="00B626E7" w14:paraId="20AE14F7" w14:textId="77777777">
        <w:tc>
          <w:tcPr>
            <w:tcW w:w="0" w:type="auto"/>
            <w:gridSpan w:val="3"/>
            <w:shd w:val="clear" w:color="auto" w:fill="auto"/>
            <w:tcMar>
              <w:top w:w="40" w:type="dxa"/>
              <w:left w:w="135" w:type="dxa"/>
              <w:bottom w:w="40" w:type="dxa"/>
              <w:right w:w="20" w:type="dxa"/>
            </w:tcMar>
            <w:vAlign w:val="center"/>
          </w:tcPr>
          <w:p w14:paraId="20AE14E7" w14:textId="77777777" w:rsidR="00B626E7" w:rsidRDefault="00175C1D">
            <w:pPr>
              <w:textAlignment w:val="center"/>
            </w:pPr>
            <w:r>
              <w:rPr>
                <w:rFonts w:ascii="Arial" w:eastAsia="宋体" w:hAnsi="Arial" w:cs="Arial"/>
                <w:color w:val="333333"/>
                <w:sz w:val="18"/>
                <w:szCs w:val="18"/>
              </w:rPr>
              <w:t>3.40%</w:t>
            </w:r>
            <w:r>
              <w:rPr>
                <w:rFonts w:ascii="Arial" w:eastAsia="宋体" w:hAnsi="Arial" w:cs="Arial"/>
                <w:color w:val="333333"/>
                <w:sz w:val="18"/>
                <w:szCs w:val="18"/>
              </w:rPr>
              <w:t>, due March 2025</w:t>
            </w:r>
          </w:p>
        </w:tc>
        <w:tc>
          <w:tcPr>
            <w:tcW w:w="0" w:type="auto"/>
            <w:gridSpan w:val="3"/>
            <w:shd w:val="clear" w:color="auto" w:fill="auto"/>
            <w:tcMar>
              <w:left w:w="20" w:type="dxa"/>
              <w:right w:w="20" w:type="dxa"/>
            </w:tcMar>
            <w:vAlign w:val="bottom"/>
          </w:tcPr>
          <w:p w14:paraId="20AE14E8"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4E9" w14:textId="77777777" w:rsidR="00B626E7" w:rsidRDefault="00175C1D">
            <w:pPr>
              <w:jc w:val="right"/>
              <w:textAlignment w:val="bottom"/>
            </w:pPr>
            <w:r>
              <w:rPr>
                <w:rFonts w:ascii="Arial" w:eastAsia="宋体" w:hAnsi="Arial" w:cs="Arial"/>
                <w:color w:val="026DCE"/>
                <w:sz w:val="18"/>
                <w:szCs w:val="18"/>
              </w:rPr>
              <w:t>3.46 </w:t>
            </w:r>
          </w:p>
        </w:tc>
        <w:tc>
          <w:tcPr>
            <w:tcW w:w="0" w:type="auto"/>
            <w:shd w:val="clear" w:color="auto" w:fill="auto"/>
            <w:tcMar>
              <w:top w:w="40" w:type="dxa"/>
              <w:bottom w:w="40" w:type="dxa"/>
              <w:right w:w="20" w:type="dxa"/>
            </w:tcMar>
            <w:vAlign w:val="bottom"/>
          </w:tcPr>
          <w:p w14:paraId="20AE14EA" w14:textId="77777777" w:rsidR="00B626E7" w:rsidRDefault="00175C1D">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20AE14EB"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4EC" w14:textId="77777777" w:rsidR="00B626E7" w:rsidRDefault="00175C1D">
            <w:pPr>
              <w:jc w:val="right"/>
              <w:textAlignment w:val="bottom"/>
            </w:pPr>
            <w:r>
              <w:rPr>
                <w:rFonts w:ascii="Arial" w:eastAsia="宋体" w:hAnsi="Arial" w:cs="Arial"/>
                <w:color w:val="026DCE"/>
                <w:sz w:val="18"/>
                <w:szCs w:val="18"/>
              </w:rPr>
              <w:t>1,500 </w:t>
            </w:r>
          </w:p>
        </w:tc>
        <w:tc>
          <w:tcPr>
            <w:tcW w:w="0" w:type="auto"/>
            <w:shd w:val="clear" w:color="auto" w:fill="auto"/>
            <w:tcMar>
              <w:top w:w="40" w:type="dxa"/>
              <w:bottom w:w="40" w:type="dxa"/>
              <w:right w:w="20" w:type="dxa"/>
            </w:tcMar>
            <w:vAlign w:val="bottom"/>
          </w:tcPr>
          <w:p w14:paraId="20AE14ED"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4EE"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4EF"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14F0"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4F1" w14:textId="77777777" w:rsidR="00B626E7" w:rsidRDefault="00B626E7">
            <w:pPr>
              <w:rPr>
                <w:rFonts w:ascii="宋体"/>
              </w:rPr>
            </w:pPr>
          </w:p>
        </w:tc>
        <w:tc>
          <w:tcPr>
            <w:tcW w:w="0" w:type="auto"/>
            <w:shd w:val="clear" w:color="auto" w:fill="auto"/>
          </w:tcPr>
          <w:p w14:paraId="20AE14F2" w14:textId="77777777" w:rsidR="00B626E7" w:rsidRDefault="00B626E7">
            <w:pPr>
              <w:rPr>
                <w:rFonts w:ascii="宋体"/>
              </w:rPr>
            </w:pPr>
          </w:p>
        </w:tc>
        <w:tc>
          <w:tcPr>
            <w:tcW w:w="0" w:type="auto"/>
            <w:shd w:val="clear" w:color="auto" w:fill="auto"/>
          </w:tcPr>
          <w:p w14:paraId="20AE14F3" w14:textId="77777777" w:rsidR="00B626E7" w:rsidRDefault="00B626E7">
            <w:pPr>
              <w:rPr>
                <w:rFonts w:ascii="宋体"/>
              </w:rPr>
            </w:pPr>
          </w:p>
        </w:tc>
        <w:tc>
          <w:tcPr>
            <w:tcW w:w="0" w:type="auto"/>
            <w:shd w:val="clear" w:color="auto" w:fill="auto"/>
          </w:tcPr>
          <w:p w14:paraId="20AE14F4" w14:textId="77777777" w:rsidR="00B626E7" w:rsidRDefault="00B626E7">
            <w:pPr>
              <w:rPr>
                <w:rFonts w:ascii="宋体"/>
              </w:rPr>
            </w:pPr>
          </w:p>
        </w:tc>
        <w:tc>
          <w:tcPr>
            <w:tcW w:w="0" w:type="auto"/>
            <w:shd w:val="clear" w:color="auto" w:fill="auto"/>
          </w:tcPr>
          <w:p w14:paraId="20AE14F5" w14:textId="77777777" w:rsidR="00B626E7" w:rsidRDefault="00B626E7">
            <w:pPr>
              <w:rPr>
                <w:rFonts w:ascii="宋体"/>
              </w:rPr>
            </w:pPr>
          </w:p>
        </w:tc>
        <w:tc>
          <w:tcPr>
            <w:tcW w:w="0" w:type="auto"/>
            <w:shd w:val="clear" w:color="auto" w:fill="auto"/>
          </w:tcPr>
          <w:p w14:paraId="20AE14F6" w14:textId="77777777" w:rsidR="00B626E7" w:rsidRDefault="00B626E7">
            <w:pPr>
              <w:rPr>
                <w:rFonts w:ascii="宋体"/>
              </w:rPr>
            </w:pPr>
          </w:p>
        </w:tc>
      </w:tr>
      <w:tr w:rsidR="00B626E7" w14:paraId="20AE1508" w14:textId="77777777">
        <w:tc>
          <w:tcPr>
            <w:tcW w:w="0" w:type="auto"/>
            <w:gridSpan w:val="3"/>
            <w:shd w:val="clear" w:color="auto" w:fill="auto"/>
            <w:tcMar>
              <w:top w:w="40" w:type="dxa"/>
              <w:left w:w="135" w:type="dxa"/>
              <w:bottom w:w="40" w:type="dxa"/>
              <w:right w:w="20" w:type="dxa"/>
            </w:tcMar>
            <w:vAlign w:val="center"/>
          </w:tcPr>
          <w:p w14:paraId="20AE14F8" w14:textId="77777777" w:rsidR="00B626E7" w:rsidRDefault="00175C1D">
            <w:pPr>
              <w:textAlignment w:val="center"/>
            </w:pPr>
            <w:r>
              <w:rPr>
                <w:rFonts w:ascii="Arial" w:eastAsia="宋体" w:hAnsi="Arial" w:cs="Arial"/>
                <w:color w:val="333333"/>
                <w:sz w:val="18"/>
                <w:szCs w:val="18"/>
              </w:rPr>
              <w:t>3.70%</w:t>
            </w:r>
            <w:r>
              <w:rPr>
                <w:rFonts w:ascii="Arial" w:eastAsia="宋体" w:hAnsi="Arial" w:cs="Arial"/>
                <w:color w:val="333333"/>
                <w:sz w:val="18"/>
                <w:szCs w:val="18"/>
              </w:rPr>
              <w:t>, due July 2025</w:t>
            </w:r>
          </w:p>
        </w:tc>
        <w:tc>
          <w:tcPr>
            <w:tcW w:w="0" w:type="auto"/>
            <w:gridSpan w:val="3"/>
            <w:shd w:val="clear" w:color="auto" w:fill="auto"/>
            <w:tcMar>
              <w:left w:w="20" w:type="dxa"/>
              <w:right w:w="20" w:type="dxa"/>
            </w:tcMar>
            <w:vAlign w:val="bottom"/>
          </w:tcPr>
          <w:p w14:paraId="20AE14F9"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4FA" w14:textId="77777777" w:rsidR="00B626E7" w:rsidRDefault="00175C1D">
            <w:pPr>
              <w:jc w:val="right"/>
              <w:textAlignment w:val="bottom"/>
            </w:pPr>
            <w:r>
              <w:rPr>
                <w:rFonts w:ascii="Arial" w:eastAsia="宋体" w:hAnsi="Arial" w:cs="Arial"/>
                <w:color w:val="026DCE"/>
                <w:sz w:val="18"/>
                <w:szCs w:val="18"/>
              </w:rPr>
              <w:t>3.48 </w:t>
            </w:r>
          </w:p>
        </w:tc>
        <w:tc>
          <w:tcPr>
            <w:tcW w:w="0" w:type="auto"/>
            <w:shd w:val="clear" w:color="auto" w:fill="auto"/>
            <w:tcMar>
              <w:top w:w="40" w:type="dxa"/>
              <w:bottom w:w="40" w:type="dxa"/>
              <w:right w:w="20" w:type="dxa"/>
            </w:tcMar>
            <w:vAlign w:val="bottom"/>
          </w:tcPr>
          <w:p w14:paraId="20AE14FB" w14:textId="77777777" w:rsidR="00B626E7" w:rsidRDefault="00175C1D">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20AE14FC"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4FD" w14:textId="77777777" w:rsidR="00B626E7" w:rsidRDefault="00175C1D">
            <w:pPr>
              <w:jc w:val="right"/>
              <w:textAlignment w:val="bottom"/>
            </w:pPr>
            <w:r>
              <w:rPr>
                <w:rFonts w:ascii="Arial" w:eastAsia="宋体" w:hAnsi="Arial" w:cs="Arial"/>
                <w:color w:val="026DCE"/>
                <w:sz w:val="18"/>
                <w:szCs w:val="18"/>
              </w:rPr>
              <w:t>2,250 </w:t>
            </w:r>
          </w:p>
        </w:tc>
        <w:tc>
          <w:tcPr>
            <w:tcW w:w="0" w:type="auto"/>
            <w:shd w:val="clear" w:color="auto" w:fill="auto"/>
            <w:tcMar>
              <w:top w:w="40" w:type="dxa"/>
              <w:bottom w:w="40" w:type="dxa"/>
              <w:right w:w="20" w:type="dxa"/>
            </w:tcMar>
            <w:vAlign w:val="bottom"/>
          </w:tcPr>
          <w:p w14:paraId="20AE14FE"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4FF"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500" w14:textId="77777777" w:rsidR="00B626E7" w:rsidRDefault="00175C1D">
            <w:pPr>
              <w:jc w:val="right"/>
              <w:textAlignment w:val="bottom"/>
            </w:pPr>
            <w:r>
              <w:rPr>
                <w:rFonts w:ascii="Arial" w:eastAsia="宋体" w:hAnsi="Arial" w:cs="Arial"/>
                <w:color w:val="333333"/>
                <w:sz w:val="18"/>
                <w:szCs w:val="18"/>
              </w:rPr>
              <w:t>2,250 </w:t>
            </w:r>
          </w:p>
        </w:tc>
        <w:tc>
          <w:tcPr>
            <w:tcW w:w="0" w:type="auto"/>
            <w:shd w:val="clear" w:color="auto" w:fill="auto"/>
            <w:tcMar>
              <w:top w:w="40" w:type="dxa"/>
              <w:bottom w:w="40" w:type="dxa"/>
              <w:right w:w="20" w:type="dxa"/>
            </w:tcMar>
            <w:vAlign w:val="bottom"/>
          </w:tcPr>
          <w:p w14:paraId="20AE1501"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502" w14:textId="77777777" w:rsidR="00B626E7" w:rsidRDefault="00B626E7">
            <w:pPr>
              <w:rPr>
                <w:rFonts w:ascii="宋体"/>
              </w:rPr>
            </w:pPr>
          </w:p>
        </w:tc>
        <w:tc>
          <w:tcPr>
            <w:tcW w:w="0" w:type="auto"/>
            <w:shd w:val="clear" w:color="auto" w:fill="auto"/>
          </w:tcPr>
          <w:p w14:paraId="20AE1503" w14:textId="77777777" w:rsidR="00B626E7" w:rsidRDefault="00B626E7">
            <w:pPr>
              <w:rPr>
                <w:rFonts w:ascii="宋体"/>
              </w:rPr>
            </w:pPr>
          </w:p>
        </w:tc>
        <w:tc>
          <w:tcPr>
            <w:tcW w:w="0" w:type="auto"/>
            <w:shd w:val="clear" w:color="auto" w:fill="auto"/>
          </w:tcPr>
          <w:p w14:paraId="20AE1504" w14:textId="77777777" w:rsidR="00B626E7" w:rsidRDefault="00B626E7">
            <w:pPr>
              <w:rPr>
                <w:rFonts w:ascii="宋体"/>
              </w:rPr>
            </w:pPr>
          </w:p>
        </w:tc>
        <w:tc>
          <w:tcPr>
            <w:tcW w:w="0" w:type="auto"/>
            <w:shd w:val="clear" w:color="auto" w:fill="auto"/>
          </w:tcPr>
          <w:p w14:paraId="20AE1505" w14:textId="77777777" w:rsidR="00B626E7" w:rsidRDefault="00B626E7">
            <w:pPr>
              <w:rPr>
                <w:rFonts w:ascii="宋体"/>
              </w:rPr>
            </w:pPr>
          </w:p>
        </w:tc>
        <w:tc>
          <w:tcPr>
            <w:tcW w:w="0" w:type="auto"/>
            <w:shd w:val="clear" w:color="auto" w:fill="auto"/>
          </w:tcPr>
          <w:p w14:paraId="20AE1506" w14:textId="77777777" w:rsidR="00B626E7" w:rsidRDefault="00B626E7">
            <w:pPr>
              <w:rPr>
                <w:rFonts w:ascii="宋体"/>
              </w:rPr>
            </w:pPr>
          </w:p>
        </w:tc>
        <w:tc>
          <w:tcPr>
            <w:tcW w:w="0" w:type="auto"/>
            <w:shd w:val="clear" w:color="auto" w:fill="auto"/>
          </w:tcPr>
          <w:p w14:paraId="20AE1507" w14:textId="77777777" w:rsidR="00B626E7" w:rsidRDefault="00B626E7">
            <w:pPr>
              <w:rPr>
                <w:rFonts w:ascii="宋体"/>
              </w:rPr>
            </w:pPr>
          </w:p>
        </w:tc>
      </w:tr>
      <w:tr w:rsidR="00B626E7" w14:paraId="20AE1519" w14:textId="77777777">
        <w:tc>
          <w:tcPr>
            <w:tcW w:w="0" w:type="auto"/>
            <w:gridSpan w:val="3"/>
            <w:shd w:val="clear" w:color="auto" w:fill="auto"/>
            <w:tcMar>
              <w:top w:w="40" w:type="dxa"/>
              <w:left w:w="135" w:type="dxa"/>
              <w:bottom w:w="40" w:type="dxa"/>
              <w:right w:w="20" w:type="dxa"/>
            </w:tcMar>
            <w:vAlign w:val="center"/>
          </w:tcPr>
          <w:p w14:paraId="20AE1509" w14:textId="77777777" w:rsidR="00B626E7" w:rsidRDefault="00175C1D">
            <w:pPr>
              <w:textAlignment w:val="center"/>
            </w:pPr>
            <w:r>
              <w:rPr>
                <w:rFonts w:ascii="Arial" w:eastAsia="宋体" w:hAnsi="Arial" w:cs="Arial"/>
                <w:color w:val="333333"/>
                <w:sz w:val="18"/>
                <w:szCs w:val="18"/>
              </w:rPr>
              <w:t>2.60%</w:t>
            </w:r>
            <w:r>
              <w:rPr>
                <w:rFonts w:ascii="Arial" w:eastAsia="宋体" w:hAnsi="Arial" w:cs="Arial"/>
                <w:color w:val="333333"/>
                <w:sz w:val="18"/>
                <w:szCs w:val="18"/>
              </w:rPr>
              <w:t>, due May 2026</w:t>
            </w:r>
          </w:p>
        </w:tc>
        <w:tc>
          <w:tcPr>
            <w:tcW w:w="0" w:type="auto"/>
            <w:gridSpan w:val="3"/>
            <w:shd w:val="clear" w:color="auto" w:fill="auto"/>
            <w:tcMar>
              <w:left w:w="20" w:type="dxa"/>
              <w:right w:w="20" w:type="dxa"/>
            </w:tcMar>
            <w:vAlign w:val="bottom"/>
          </w:tcPr>
          <w:p w14:paraId="20AE150A"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50B" w14:textId="77777777" w:rsidR="00B626E7" w:rsidRDefault="00175C1D">
            <w:pPr>
              <w:jc w:val="right"/>
              <w:textAlignment w:val="bottom"/>
            </w:pPr>
            <w:r>
              <w:rPr>
                <w:rFonts w:ascii="Arial" w:eastAsia="宋体" w:hAnsi="Arial" w:cs="Arial"/>
                <w:color w:val="026DCE"/>
                <w:sz w:val="18"/>
                <w:szCs w:val="18"/>
              </w:rPr>
              <w:t>1.94 </w:t>
            </w:r>
          </w:p>
        </w:tc>
        <w:tc>
          <w:tcPr>
            <w:tcW w:w="0" w:type="auto"/>
            <w:shd w:val="clear" w:color="auto" w:fill="auto"/>
            <w:tcMar>
              <w:top w:w="40" w:type="dxa"/>
              <w:bottom w:w="40" w:type="dxa"/>
              <w:right w:w="20" w:type="dxa"/>
            </w:tcMar>
            <w:vAlign w:val="bottom"/>
          </w:tcPr>
          <w:p w14:paraId="20AE150C" w14:textId="77777777" w:rsidR="00B626E7" w:rsidRDefault="00175C1D">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20AE150D"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50E" w14:textId="77777777" w:rsidR="00B626E7" w:rsidRDefault="00175C1D">
            <w:pPr>
              <w:jc w:val="right"/>
              <w:textAlignment w:val="bottom"/>
            </w:pPr>
            <w:r>
              <w:rPr>
                <w:rFonts w:ascii="Arial" w:eastAsia="宋体" w:hAnsi="Arial" w:cs="Arial"/>
                <w:color w:val="026DCE"/>
                <w:sz w:val="18"/>
                <w:szCs w:val="18"/>
              </w:rPr>
              <w:t>1,000 </w:t>
            </w:r>
          </w:p>
        </w:tc>
        <w:tc>
          <w:tcPr>
            <w:tcW w:w="0" w:type="auto"/>
            <w:shd w:val="clear" w:color="auto" w:fill="auto"/>
            <w:tcMar>
              <w:top w:w="40" w:type="dxa"/>
              <w:bottom w:w="40" w:type="dxa"/>
              <w:right w:w="20" w:type="dxa"/>
            </w:tcMar>
            <w:vAlign w:val="bottom"/>
          </w:tcPr>
          <w:p w14:paraId="20AE150F"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510"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511" w14:textId="77777777" w:rsidR="00B626E7" w:rsidRDefault="00175C1D">
            <w:pPr>
              <w:jc w:val="right"/>
              <w:textAlignment w:val="bottom"/>
            </w:pPr>
            <w:r>
              <w:rPr>
                <w:rFonts w:ascii="Arial" w:eastAsia="宋体" w:hAnsi="Arial" w:cs="Arial"/>
                <w:color w:val="333333"/>
                <w:sz w:val="18"/>
                <w:szCs w:val="18"/>
              </w:rPr>
              <w:t>1,000 </w:t>
            </w:r>
          </w:p>
        </w:tc>
        <w:tc>
          <w:tcPr>
            <w:tcW w:w="0" w:type="auto"/>
            <w:shd w:val="clear" w:color="auto" w:fill="auto"/>
            <w:tcMar>
              <w:top w:w="40" w:type="dxa"/>
              <w:bottom w:w="40" w:type="dxa"/>
              <w:right w:w="20" w:type="dxa"/>
            </w:tcMar>
            <w:vAlign w:val="bottom"/>
          </w:tcPr>
          <w:p w14:paraId="20AE1512"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513" w14:textId="77777777" w:rsidR="00B626E7" w:rsidRDefault="00B626E7">
            <w:pPr>
              <w:rPr>
                <w:rFonts w:ascii="宋体"/>
              </w:rPr>
            </w:pPr>
          </w:p>
        </w:tc>
        <w:tc>
          <w:tcPr>
            <w:tcW w:w="0" w:type="auto"/>
            <w:shd w:val="clear" w:color="auto" w:fill="auto"/>
          </w:tcPr>
          <w:p w14:paraId="20AE1514" w14:textId="77777777" w:rsidR="00B626E7" w:rsidRDefault="00B626E7">
            <w:pPr>
              <w:rPr>
                <w:rFonts w:ascii="宋体"/>
              </w:rPr>
            </w:pPr>
          </w:p>
        </w:tc>
        <w:tc>
          <w:tcPr>
            <w:tcW w:w="0" w:type="auto"/>
            <w:shd w:val="clear" w:color="auto" w:fill="auto"/>
          </w:tcPr>
          <w:p w14:paraId="20AE1515" w14:textId="77777777" w:rsidR="00B626E7" w:rsidRDefault="00B626E7">
            <w:pPr>
              <w:rPr>
                <w:rFonts w:ascii="宋体"/>
              </w:rPr>
            </w:pPr>
          </w:p>
        </w:tc>
        <w:tc>
          <w:tcPr>
            <w:tcW w:w="0" w:type="auto"/>
            <w:shd w:val="clear" w:color="auto" w:fill="auto"/>
          </w:tcPr>
          <w:p w14:paraId="20AE1516" w14:textId="77777777" w:rsidR="00B626E7" w:rsidRDefault="00B626E7">
            <w:pPr>
              <w:rPr>
                <w:rFonts w:ascii="宋体"/>
              </w:rPr>
            </w:pPr>
          </w:p>
        </w:tc>
        <w:tc>
          <w:tcPr>
            <w:tcW w:w="0" w:type="auto"/>
            <w:shd w:val="clear" w:color="auto" w:fill="auto"/>
          </w:tcPr>
          <w:p w14:paraId="20AE1517" w14:textId="77777777" w:rsidR="00B626E7" w:rsidRDefault="00B626E7">
            <w:pPr>
              <w:rPr>
                <w:rFonts w:ascii="宋体"/>
              </w:rPr>
            </w:pPr>
          </w:p>
        </w:tc>
        <w:tc>
          <w:tcPr>
            <w:tcW w:w="0" w:type="auto"/>
            <w:shd w:val="clear" w:color="auto" w:fill="auto"/>
          </w:tcPr>
          <w:p w14:paraId="20AE1518" w14:textId="77777777" w:rsidR="00B626E7" w:rsidRDefault="00B626E7">
            <w:pPr>
              <w:rPr>
                <w:rFonts w:ascii="宋体"/>
              </w:rPr>
            </w:pPr>
          </w:p>
        </w:tc>
      </w:tr>
      <w:tr w:rsidR="00B626E7" w14:paraId="20AE152A" w14:textId="77777777">
        <w:tc>
          <w:tcPr>
            <w:tcW w:w="0" w:type="auto"/>
            <w:gridSpan w:val="3"/>
            <w:shd w:val="clear" w:color="auto" w:fill="auto"/>
            <w:tcMar>
              <w:top w:w="40" w:type="dxa"/>
              <w:left w:w="135" w:type="dxa"/>
              <w:bottom w:w="40" w:type="dxa"/>
              <w:right w:w="20" w:type="dxa"/>
            </w:tcMar>
            <w:vAlign w:val="center"/>
          </w:tcPr>
          <w:p w14:paraId="20AE151A" w14:textId="77777777" w:rsidR="00B626E7" w:rsidRDefault="00175C1D">
            <w:pPr>
              <w:textAlignment w:val="center"/>
            </w:pPr>
            <w:r>
              <w:rPr>
                <w:rFonts w:ascii="Arial" w:eastAsia="宋体" w:hAnsi="Arial" w:cs="Arial"/>
                <w:color w:val="333333"/>
                <w:sz w:val="18"/>
                <w:szCs w:val="18"/>
              </w:rPr>
              <w:t>3.75%</w:t>
            </w:r>
            <w:r>
              <w:rPr>
                <w:rFonts w:ascii="Arial" w:eastAsia="宋体" w:hAnsi="Arial" w:cs="Arial"/>
                <w:color w:val="333333"/>
                <w:sz w:val="18"/>
                <w:szCs w:val="18"/>
              </w:rPr>
              <w:t>, due March 2027</w:t>
            </w:r>
          </w:p>
        </w:tc>
        <w:tc>
          <w:tcPr>
            <w:tcW w:w="0" w:type="auto"/>
            <w:gridSpan w:val="3"/>
            <w:shd w:val="clear" w:color="auto" w:fill="auto"/>
            <w:tcMar>
              <w:left w:w="20" w:type="dxa"/>
              <w:right w:w="20" w:type="dxa"/>
            </w:tcMar>
            <w:vAlign w:val="bottom"/>
          </w:tcPr>
          <w:p w14:paraId="20AE151B"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51C" w14:textId="77777777" w:rsidR="00B626E7" w:rsidRDefault="00175C1D">
            <w:pPr>
              <w:jc w:val="right"/>
              <w:textAlignment w:val="bottom"/>
            </w:pPr>
            <w:r>
              <w:rPr>
                <w:rFonts w:ascii="Arial" w:eastAsia="宋体" w:hAnsi="Arial" w:cs="Arial"/>
                <w:color w:val="026DCE"/>
                <w:sz w:val="18"/>
                <w:szCs w:val="18"/>
              </w:rPr>
              <w:t>3.80 </w:t>
            </w:r>
          </w:p>
        </w:tc>
        <w:tc>
          <w:tcPr>
            <w:tcW w:w="0" w:type="auto"/>
            <w:shd w:val="clear" w:color="auto" w:fill="auto"/>
            <w:tcMar>
              <w:top w:w="40" w:type="dxa"/>
              <w:bottom w:w="40" w:type="dxa"/>
              <w:right w:w="20" w:type="dxa"/>
            </w:tcMar>
            <w:vAlign w:val="bottom"/>
          </w:tcPr>
          <w:p w14:paraId="20AE151D" w14:textId="77777777" w:rsidR="00B626E7" w:rsidRDefault="00175C1D">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20AE151E"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51F" w14:textId="77777777" w:rsidR="00B626E7" w:rsidRDefault="00175C1D">
            <w:pPr>
              <w:jc w:val="right"/>
              <w:textAlignment w:val="bottom"/>
            </w:pPr>
            <w:r>
              <w:rPr>
                <w:rFonts w:ascii="Arial" w:eastAsia="宋体" w:hAnsi="Arial" w:cs="Arial"/>
                <w:color w:val="026DCE"/>
                <w:sz w:val="18"/>
                <w:szCs w:val="18"/>
              </w:rPr>
              <w:t>1,000 </w:t>
            </w:r>
          </w:p>
        </w:tc>
        <w:tc>
          <w:tcPr>
            <w:tcW w:w="0" w:type="auto"/>
            <w:shd w:val="clear" w:color="auto" w:fill="auto"/>
            <w:tcMar>
              <w:top w:w="40" w:type="dxa"/>
              <w:bottom w:w="40" w:type="dxa"/>
              <w:right w:w="20" w:type="dxa"/>
            </w:tcMar>
            <w:vAlign w:val="bottom"/>
          </w:tcPr>
          <w:p w14:paraId="20AE1520"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521"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522"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1523"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524" w14:textId="77777777" w:rsidR="00B626E7" w:rsidRDefault="00B626E7">
            <w:pPr>
              <w:rPr>
                <w:rFonts w:ascii="宋体"/>
              </w:rPr>
            </w:pPr>
          </w:p>
        </w:tc>
        <w:tc>
          <w:tcPr>
            <w:tcW w:w="0" w:type="auto"/>
            <w:shd w:val="clear" w:color="auto" w:fill="auto"/>
          </w:tcPr>
          <w:p w14:paraId="20AE1525" w14:textId="77777777" w:rsidR="00B626E7" w:rsidRDefault="00B626E7">
            <w:pPr>
              <w:rPr>
                <w:rFonts w:ascii="宋体"/>
              </w:rPr>
            </w:pPr>
          </w:p>
        </w:tc>
        <w:tc>
          <w:tcPr>
            <w:tcW w:w="0" w:type="auto"/>
            <w:shd w:val="clear" w:color="auto" w:fill="auto"/>
          </w:tcPr>
          <w:p w14:paraId="20AE1526" w14:textId="77777777" w:rsidR="00B626E7" w:rsidRDefault="00B626E7">
            <w:pPr>
              <w:rPr>
                <w:rFonts w:ascii="宋体"/>
              </w:rPr>
            </w:pPr>
          </w:p>
        </w:tc>
        <w:tc>
          <w:tcPr>
            <w:tcW w:w="0" w:type="auto"/>
            <w:shd w:val="clear" w:color="auto" w:fill="auto"/>
          </w:tcPr>
          <w:p w14:paraId="20AE1527" w14:textId="77777777" w:rsidR="00B626E7" w:rsidRDefault="00B626E7">
            <w:pPr>
              <w:rPr>
                <w:rFonts w:ascii="宋体"/>
              </w:rPr>
            </w:pPr>
          </w:p>
        </w:tc>
        <w:tc>
          <w:tcPr>
            <w:tcW w:w="0" w:type="auto"/>
            <w:shd w:val="clear" w:color="auto" w:fill="auto"/>
          </w:tcPr>
          <w:p w14:paraId="20AE1528" w14:textId="77777777" w:rsidR="00B626E7" w:rsidRDefault="00B626E7">
            <w:pPr>
              <w:rPr>
                <w:rFonts w:ascii="宋体"/>
              </w:rPr>
            </w:pPr>
          </w:p>
        </w:tc>
        <w:tc>
          <w:tcPr>
            <w:tcW w:w="0" w:type="auto"/>
            <w:shd w:val="clear" w:color="auto" w:fill="auto"/>
          </w:tcPr>
          <w:p w14:paraId="20AE1529" w14:textId="77777777" w:rsidR="00B626E7" w:rsidRDefault="00B626E7">
            <w:pPr>
              <w:rPr>
                <w:rFonts w:ascii="宋体"/>
              </w:rPr>
            </w:pPr>
          </w:p>
        </w:tc>
      </w:tr>
      <w:tr w:rsidR="00B626E7" w14:paraId="20AE153B" w14:textId="77777777">
        <w:tc>
          <w:tcPr>
            <w:tcW w:w="0" w:type="auto"/>
            <w:gridSpan w:val="3"/>
            <w:shd w:val="clear" w:color="auto" w:fill="auto"/>
            <w:tcMar>
              <w:top w:w="40" w:type="dxa"/>
              <w:left w:w="135" w:type="dxa"/>
              <w:bottom w:w="40" w:type="dxa"/>
              <w:right w:w="20" w:type="dxa"/>
            </w:tcMar>
            <w:vAlign w:val="center"/>
          </w:tcPr>
          <w:p w14:paraId="20AE152B" w14:textId="77777777" w:rsidR="00B626E7" w:rsidRDefault="00175C1D">
            <w:pPr>
              <w:textAlignment w:val="center"/>
            </w:pPr>
            <w:r>
              <w:rPr>
                <w:rFonts w:ascii="Arial" w:eastAsia="宋体" w:hAnsi="Arial" w:cs="Arial"/>
                <w:color w:val="333333"/>
                <w:sz w:val="18"/>
                <w:szCs w:val="18"/>
              </w:rPr>
              <w:t>3.15%</w:t>
            </w:r>
            <w:r>
              <w:rPr>
                <w:rFonts w:ascii="Arial" w:eastAsia="宋体" w:hAnsi="Arial" w:cs="Arial"/>
                <w:color w:val="333333"/>
                <w:sz w:val="18"/>
                <w:szCs w:val="18"/>
              </w:rPr>
              <w:t>, due May 2027</w:t>
            </w:r>
          </w:p>
        </w:tc>
        <w:tc>
          <w:tcPr>
            <w:tcW w:w="0" w:type="auto"/>
            <w:gridSpan w:val="3"/>
            <w:shd w:val="clear" w:color="auto" w:fill="auto"/>
            <w:tcMar>
              <w:left w:w="20" w:type="dxa"/>
              <w:right w:w="20" w:type="dxa"/>
            </w:tcMar>
            <w:vAlign w:val="bottom"/>
          </w:tcPr>
          <w:p w14:paraId="20AE152C"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52D" w14:textId="77777777" w:rsidR="00B626E7" w:rsidRDefault="00175C1D">
            <w:pPr>
              <w:jc w:val="right"/>
              <w:textAlignment w:val="bottom"/>
            </w:pPr>
            <w:r>
              <w:rPr>
                <w:rFonts w:ascii="Arial" w:eastAsia="宋体" w:hAnsi="Arial" w:cs="Arial"/>
                <w:color w:val="026DCE"/>
                <w:sz w:val="18"/>
                <w:szCs w:val="18"/>
              </w:rPr>
              <w:t>2.48 </w:t>
            </w:r>
          </w:p>
        </w:tc>
        <w:tc>
          <w:tcPr>
            <w:tcW w:w="0" w:type="auto"/>
            <w:shd w:val="clear" w:color="auto" w:fill="auto"/>
            <w:tcMar>
              <w:top w:w="40" w:type="dxa"/>
              <w:bottom w:w="40" w:type="dxa"/>
              <w:right w:w="20" w:type="dxa"/>
            </w:tcMar>
            <w:vAlign w:val="bottom"/>
          </w:tcPr>
          <w:p w14:paraId="20AE152E" w14:textId="77777777" w:rsidR="00B626E7" w:rsidRDefault="00175C1D">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20AE152F"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530" w14:textId="77777777" w:rsidR="00B626E7" w:rsidRDefault="00175C1D">
            <w:pPr>
              <w:jc w:val="right"/>
              <w:textAlignment w:val="bottom"/>
            </w:pPr>
            <w:r>
              <w:rPr>
                <w:rFonts w:ascii="Arial" w:eastAsia="宋体" w:hAnsi="Arial" w:cs="Arial"/>
                <w:color w:val="026DCE"/>
                <w:sz w:val="18"/>
                <w:szCs w:val="18"/>
              </w:rPr>
              <w:t>1,000 </w:t>
            </w:r>
          </w:p>
        </w:tc>
        <w:tc>
          <w:tcPr>
            <w:tcW w:w="0" w:type="auto"/>
            <w:shd w:val="clear" w:color="auto" w:fill="auto"/>
            <w:tcMar>
              <w:top w:w="40" w:type="dxa"/>
              <w:bottom w:w="40" w:type="dxa"/>
              <w:right w:w="20" w:type="dxa"/>
            </w:tcMar>
            <w:vAlign w:val="bottom"/>
          </w:tcPr>
          <w:p w14:paraId="20AE1531"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532"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533" w14:textId="77777777" w:rsidR="00B626E7" w:rsidRDefault="00175C1D">
            <w:pPr>
              <w:jc w:val="right"/>
              <w:textAlignment w:val="bottom"/>
            </w:pPr>
            <w:r>
              <w:rPr>
                <w:rFonts w:ascii="Arial" w:eastAsia="宋体" w:hAnsi="Arial" w:cs="Arial"/>
                <w:color w:val="333333"/>
                <w:sz w:val="18"/>
                <w:szCs w:val="18"/>
              </w:rPr>
              <w:t>1,000 </w:t>
            </w:r>
          </w:p>
        </w:tc>
        <w:tc>
          <w:tcPr>
            <w:tcW w:w="0" w:type="auto"/>
            <w:shd w:val="clear" w:color="auto" w:fill="auto"/>
            <w:tcMar>
              <w:top w:w="40" w:type="dxa"/>
              <w:bottom w:w="40" w:type="dxa"/>
              <w:right w:w="20" w:type="dxa"/>
            </w:tcMar>
            <w:vAlign w:val="bottom"/>
          </w:tcPr>
          <w:p w14:paraId="20AE1534"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535" w14:textId="77777777" w:rsidR="00B626E7" w:rsidRDefault="00B626E7">
            <w:pPr>
              <w:rPr>
                <w:rFonts w:ascii="宋体"/>
              </w:rPr>
            </w:pPr>
          </w:p>
        </w:tc>
        <w:tc>
          <w:tcPr>
            <w:tcW w:w="0" w:type="auto"/>
            <w:shd w:val="clear" w:color="auto" w:fill="auto"/>
          </w:tcPr>
          <w:p w14:paraId="20AE1536" w14:textId="77777777" w:rsidR="00B626E7" w:rsidRDefault="00B626E7">
            <w:pPr>
              <w:rPr>
                <w:rFonts w:ascii="宋体"/>
              </w:rPr>
            </w:pPr>
          </w:p>
        </w:tc>
        <w:tc>
          <w:tcPr>
            <w:tcW w:w="0" w:type="auto"/>
            <w:shd w:val="clear" w:color="auto" w:fill="auto"/>
          </w:tcPr>
          <w:p w14:paraId="20AE1537" w14:textId="77777777" w:rsidR="00B626E7" w:rsidRDefault="00B626E7">
            <w:pPr>
              <w:rPr>
                <w:rFonts w:ascii="宋体"/>
              </w:rPr>
            </w:pPr>
          </w:p>
        </w:tc>
        <w:tc>
          <w:tcPr>
            <w:tcW w:w="0" w:type="auto"/>
            <w:shd w:val="clear" w:color="auto" w:fill="auto"/>
          </w:tcPr>
          <w:p w14:paraId="20AE1538" w14:textId="77777777" w:rsidR="00B626E7" w:rsidRDefault="00B626E7">
            <w:pPr>
              <w:rPr>
                <w:rFonts w:ascii="宋体"/>
              </w:rPr>
            </w:pPr>
          </w:p>
        </w:tc>
        <w:tc>
          <w:tcPr>
            <w:tcW w:w="0" w:type="auto"/>
            <w:shd w:val="clear" w:color="auto" w:fill="auto"/>
          </w:tcPr>
          <w:p w14:paraId="20AE1539" w14:textId="77777777" w:rsidR="00B626E7" w:rsidRDefault="00B626E7">
            <w:pPr>
              <w:rPr>
                <w:rFonts w:ascii="宋体"/>
              </w:rPr>
            </w:pPr>
          </w:p>
        </w:tc>
        <w:tc>
          <w:tcPr>
            <w:tcW w:w="0" w:type="auto"/>
            <w:shd w:val="clear" w:color="auto" w:fill="auto"/>
          </w:tcPr>
          <w:p w14:paraId="20AE153A" w14:textId="77777777" w:rsidR="00B626E7" w:rsidRDefault="00B626E7">
            <w:pPr>
              <w:rPr>
                <w:rFonts w:ascii="宋体"/>
              </w:rPr>
            </w:pPr>
          </w:p>
        </w:tc>
      </w:tr>
      <w:tr w:rsidR="00B626E7" w14:paraId="20AE154C" w14:textId="77777777">
        <w:tc>
          <w:tcPr>
            <w:tcW w:w="0" w:type="auto"/>
            <w:gridSpan w:val="3"/>
            <w:shd w:val="clear" w:color="auto" w:fill="auto"/>
            <w:tcMar>
              <w:top w:w="40" w:type="dxa"/>
              <w:left w:w="135" w:type="dxa"/>
              <w:bottom w:w="40" w:type="dxa"/>
              <w:right w:w="20" w:type="dxa"/>
            </w:tcMar>
            <w:vAlign w:val="center"/>
          </w:tcPr>
          <w:p w14:paraId="20AE153C" w14:textId="77777777" w:rsidR="00B626E7" w:rsidRDefault="00175C1D">
            <w:pPr>
              <w:textAlignment w:val="center"/>
            </w:pPr>
            <w:r>
              <w:rPr>
                <w:rFonts w:ascii="Arial" w:eastAsia="宋体" w:hAnsi="Arial" w:cs="Arial"/>
                <w:color w:val="333333"/>
                <w:sz w:val="18"/>
                <w:szCs w:val="18"/>
              </w:rPr>
              <w:t>2.45%</w:t>
            </w:r>
            <w:r>
              <w:rPr>
                <w:rFonts w:ascii="Arial" w:eastAsia="宋体" w:hAnsi="Arial" w:cs="Arial"/>
                <w:color w:val="333333"/>
                <w:sz w:val="18"/>
                <w:szCs w:val="18"/>
              </w:rPr>
              <w:t>, due November 2029</w:t>
            </w:r>
          </w:p>
        </w:tc>
        <w:tc>
          <w:tcPr>
            <w:tcW w:w="0" w:type="auto"/>
            <w:gridSpan w:val="3"/>
            <w:shd w:val="clear" w:color="auto" w:fill="auto"/>
            <w:tcMar>
              <w:left w:w="20" w:type="dxa"/>
              <w:right w:w="20" w:type="dxa"/>
            </w:tcMar>
            <w:vAlign w:val="bottom"/>
          </w:tcPr>
          <w:p w14:paraId="20AE153D"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53E" w14:textId="77777777" w:rsidR="00B626E7" w:rsidRDefault="00175C1D">
            <w:pPr>
              <w:jc w:val="right"/>
              <w:textAlignment w:val="bottom"/>
            </w:pPr>
            <w:r>
              <w:rPr>
                <w:rFonts w:ascii="Arial" w:eastAsia="宋体" w:hAnsi="Arial" w:cs="Arial"/>
                <w:color w:val="026DCE"/>
                <w:sz w:val="18"/>
                <w:szCs w:val="18"/>
              </w:rPr>
              <w:t>2.39 </w:t>
            </w:r>
          </w:p>
        </w:tc>
        <w:tc>
          <w:tcPr>
            <w:tcW w:w="0" w:type="auto"/>
            <w:shd w:val="clear" w:color="auto" w:fill="auto"/>
            <w:tcMar>
              <w:top w:w="40" w:type="dxa"/>
              <w:bottom w:w="40" w:type="dxa"/>
              <w:right w:w="20" w:type="dxa"/>
            </w:tcMar>
            <w:vAlign w:val="bottom"/>
          </w:tcPr>
          <w:p w14:paraId="20AE153F" w14:textId="77777777" w:rsidR="00B626E7" w:rsidRDefault="00175C1D">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20AE1540"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541" w14:textId="77777777" w:rsidR="00B626E7" w:rsidRDefault="00175C1D">
            <w:pPr>
              <w:jc w:val="right"/>
              <w:textAlignment w:val="bottom"/>
            </w:pPr>
            <w:r>
              <w:rPr>
                <w:rFonts w:ascii="Arial" w:eastAsia="宋体" w:hAnsi="Arial" w:cs="Arial"/>
                <w:color w:val="026DCE"/>
                <w:sz w:val="18"/>
                <w:szCs w:val="18"/>
              </w:rPr>
              <w:t>2,000 </w:t>
            </w:r>
          </w:p>
        </w:tc>
        <w:tc>
          <w:tcPr>
            <w:tcW w:w="0" w:type="auto"/>
            <w:shd w:val="clear" w:color="auto" w:fill="auto"/>
            <w:tcMar>
              <w:top w:w="40" w:type="dxa"/>
              <w:bottom w:w="40" w:type="dxa"/>
              <w:right w:w="20" w:type="dxa"/>
            </w:tcMar>
            <w:vAlign w:val="bottom"/>
          </w:tcPr>
          <w:p w14:paraId="20AE1542"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543"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544" w14:textId="77777777" w:rsidR="00B626E7" w:rsidRDefault="00175C1D">
            <w:pPr>
              <w:jc w:val="right"/>
              <w:textAlignment w:val="bottom"/>
            </w:pPr>
            <w:r>
              <w:rPr>
                <w:rFonts w:ascii="Arial" w:eastAsia="宋体" w:hAnsi="Arial" w:cs="Arial"/>
                <w:color w:val="333333"/>
                <w:sz w:val="18"/>
                <w:szCs w:val="18"/>
              </w:rPr>
              <w:t>1,250 </w:t>
            </w:r>
          </w:p>
        </w:tc>
        <w:tc>
          <w:tcPr>
            <w:tcW w:w="0" w:type="auto"/>
            <w:shd w:val="clear" w:color="auto" w:fill="auto"/>
            <w:tcMar>
              <w:top w:w="40" w:type="dxa"/>
              <w:bottom w:w="40" w:type="dxa"/>
              <w:right w:w="20" w:type="dxa"/>
            </w:tcMar>
            <w:vAlign w:val="bottom"/>
          </w:tcPr>
          <w:p w14:paraId="20AE1545"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546" w14:textId="77777777" w:rsidR="00B626E7" w:rsidRDefault="00B626E7">
            <w:pPr>
              <w:rPr>
                <w:rFonts w:ascii="宋体"/>
              </w:rPr>
            </w:pPr>
          </w:p>
        </w:tc>
        <w:tc>
          <w:tcPr>
            <w:tcW w:w="0" w:type="auto"/>
            <w:shd w:val="clear" w:color="auto" w:fill="auto"/>
          </w:tcPr>
          <w:p w14:paraId="20AE1547" w14:textId="77777777" w:rsidR="00B626E7" w:rsidRDefault="00B626E7">
            <w:pPr>
              <w:rPr>
                <w:rFonts w:ascii="宋体"/>
              </w:rPr>
            </w:pPr>
          </w:p>
        </w:tc>
        <w:tc>
          <w:tcPr>
            <w:tcW w:w="0" w:type="auto"/>
            <w:shd w:val="clear" w:color="auto" w:fill="auto"/>
          </w:tcPr>
          <w:p w14:paraId="20AE1548" w14:textId="77777777" w:rsidR="00B626E7" w:rsidRDefault="00B626E7">
            <w:pPr>
              <w:rPr>
                <w:rFonts w:ascii="宋体"/>
              </w:rPr>
            </w:pPr>
          </w:p>
        </w:tc>
        <w:tc>
          <w:tcPr>
            <w:tcW w:w="0" w:type="auto"/>
            <w:shd w:val="clear" w:color="auto" w:fill="auto"/>
          </w:tcPr>
          <w:p w14:paraId="20AE1549" w14:textId="77777777" w:rsidR="00B626E7" w:rsidRDefault="00B626E7">
            <w:pPr>
              <w:rPr>
                <w:rFonts w:ascii="宋体"/>
              </w:rPr>
            </w:pPr>
          </w:p>
        </w:tc>
        <w:tc>
          <w:tcPr>
            <w:tcW w:w="0" w:type="auto"/>
            <w:shd w:val="clear" w:color="auto" w:fill="auto"/>
          </w:tcPr>
          <w:p w14:paraId="20AE154A" w14:textId="77777777" w:rsidR="00B626E7" w:rsidRDefault="00B626E7">
            <w:pPr>
              <w:rPr>
                <w:rFonts w:ascii="宋体"/>
              </w:rPr>
            </w:pPr>
          </w:p>
        </w:tc>
        <w:tc>
          <w:tcPr>
            <w:tcW w:w="0" w:type="auto"/>
            <w:shd w:val="clear" w:color="auto" w:fill="auto"/>
          </w:tcPr>
          <w:p w14:paraId="20AE154B" w14:textId="77777777" w:rsidR="00B626E7" w:rsidRDefault="00B626E7">
            <w:pPr>
              <w:rPr>
                <w:rFonts w:ascii="宋体"/>
              </w:rPr>
            </w:pPr>
          </w:p>
        </w:tc>
      </w:tr>
      <w:tr w:rsidR="00B626E7" w14:paraId="20AE155D" w14:textId="77777777">
        <w:tc>
          <w:tcPr>
            <w:tcW w:w="0" w:type="auto"/>
            <w:gridSpan w:val="3"/>
            <w:shd w:val="clear" w:color="auto" w:fill="auto"/>
            <w:tcMar>
              <w:top w:w="40" w:type="dxa"/>
              <w:left w:w="135" w:type="dxa"/>
              <w:bottom w:w="40" w:type="dxa"/>
              <w:right w:w="20" w:type="dxa"/>
            </w:tcMar>
            <w:vAlign w:val="center"/>
          </w:tcPr>
          <w:p w14:paraId="20AE154D" w14:textId="77777777" w:rsidR="00B626E7" w:rsidRDefault="00175C1D">
            <w:pPr>
              <w:textAlignment w:val="center"/>
            </w:pPr>
            <w:r>
              <w:rPr>
                <w:rFonts w:ascii="Arial" w:eastAsia="宋体" w:hAnsi="Arial" w:cs="Arial"/>
                <w:color w:val="333333"/>
                <w:sz w:val="18"/>
                <w:szCs w:val="18"/>
              </w:rPr>
              <w:t>3.90%, due March 2030</w:t>
            </w:r>
          </w:p>
        </w:tc>
        <w:tc>
          <w:tcPr>
            <w:tcW w:w="0" w:type="auto"/>
            <w:gridSpan w:val="3"/>
            <w:shd w:val="clear" w:color="auto" w:fill="auto"/>
            <w:tcMar>
              <w:left w:w="20" w:type="dxa"/>
              <w:right w:w="20" w:type="dxa"/>
            </w:tcMar>
            <w:vAlign w:val="bottom"/>
          </w:tcPr>
          <w:p w14:paraId="20AE154E"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54F" w14:textId="77777777" w:rsidR="00B626E7" w:rsidRDefault="00175C1D">
            <w:pPr>
              <w:jc w:val="right"/>
              <w:textAlignment w:val="bottom"/>
            </w:pPr>
            <w:r>
              <w:rPr>
                <w:rFonts w:ascii="Arial" w:eastAsia="宋体" w:hAnsi="Arial" w:cs="Arial"/>
                <w:color w:val="026DCE"/>
                <w:sz w:val="18"/>
                <w:szCs w:val="18"/>
              </w:rPr>
              <w:t>3.94 </w:t>
            </w:r>
          </w:p>
        </w:tc>
        <w:tc>
          <w:tcPr>
            <w:tcW w:w="0" w:type="auto"/>
            <w:shd w:val="clear" w:color="auto" w:fill="auto"/>
            <w:tcMar>
              <w:top w:w="40" w:type="dxa"/>
              <w:bottom w:w="40" w:type="dxa"/>
              <w:right w:w="20" w:type="dxa"/>
            </w:tcMar>
            <w:vAlign w:val="bottom"/>
          </w:tcPr>
          <w:p w14:paraId="20AE1550" w14:textId="77777777" w:rsidR="00B626E7" w:rsidRDefault="00175C1D">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20AE1551"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552" w14:textId="77777777" w:rsidR="00B626E7" w:rsidRDefault="00175C1D">
            <w:pPr>
              <w:jc w:val="right"/>
              <w:textAlignment w:val="bottom"/>
            </w:pPr>
            <w:r>
              <w:rPr>
                <w:rFonts w:ascii="Arial" w:eastAsia="宋体" w:hAnsi="Arial" w:cs="Arial"/>
                <w:color w:val="026DCE"/>
                <w:sz w:val="18"/>
                <w:szCs w:val="18"/>
              </w:rPr>
              <w:t>1,500 </w:t>
            </w:r>
          </w:p>
        </w:tc>
        <w:tc>
          <w:tcPr>
            <w:tcW w:w="0" w:type="auto"/>
            <w:shd w:val="clear" w:color="auto" w:fill="auto"/>
            <w:tcMar>
              <w:top w:w="40" w:type="dxa"/>
              <w:bottom w:w="40" w:type="dxa"/>
              <w:right w:w="20" w:type="dxa"/>
            </w:tcMar>
            <w:vAlign w:val="bottom"/>
          </w:tcPr>
          <w:p w14:paraId="20AE1553"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554"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555"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1556"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557" w14:textId="77777777" w:rsidR="00B626E7" w:rsidRDefault="00B626E7">
            <w:pPr>
              <w:rPr>
                <w:rFonts w:ascii="宋体"/>
              </w:rPr>
            </w:pPr>
          </w:p>
        </w:tc>
        <w:tc>
          <w:tcPr>
            <w:tcW w:w="0" w:type="auto"/>
            <w:shd w:val="clear" w:color="auto" w:fill="auto"/>
          </w:tcPr>
          <w:p w14:paraId="20AE1558" w14:textId="77777777" w:rsidR="00B626E7" w:rsidRDefault="00B626E7">
            <w:pPr>
              <w:rPr>
                <w:rFonts w:ascii="宋体"/>
              </w:rPr>
            </w:pPr>
          </w:p>
        </w:tc>
        <w:tc>
          <w:tcPr>
            <w:tcW w:w="0" w:type="auto"/>
            <w:shd w:val="clear" w:color="auto" w:fill="auto"/>
          </w:tcPr>
          <w:p w14:paraId="20AE1559" w14:textId="77777777" w:rsidR="00B626E7" w:rsidRDefault="00B626E7">
            <w:pPr>
              <w:rPr>
                <w:rFonts w:ascii="宋体"/>
              </w:rPr>
            </w:pPr>
          </w:p>
        </w:tc>
        <w:tc>
          <w:tcPr>
            <w:tcW w:w="0" w:type="auto"/>
            <w:shd w:val="clear" w:color="auto" w:fill="auto"/>
          </w:tcPr>
          <w:p w14:paraId="20AE155A" w14:textId="77777777" w:rsidR="00B626E7" w:rsidRDefault="00B626E7">
            <w:pPr>
              <w:rPr>
                <w:rFonts w:ascii="宋体"/>
              </w:rPr>
            </w:pPr>
          </w:p>
        </w:tc>
        <w:tc>
          <w:tcPr>
            <w:tcW w:w="0" w:type="auto"/>
            <w:shd w:val="clear" w:color="auto" w:fill="auto"/>
          </w:tcPr>
          <w:p w14:paraId="20AE155B" w14:textId="77777777" w:rsidR="00B626E7" w:rsidRDefault="00B626E7">
            <w:pPr>
              <w:rPr>
                <w:rFonts w:ascii="宋体"/>
              </w:rPr>
            </w:pPr>
          </w:p>
        </w:tc>
        <w:tc>
          <w:tcPr>
            <w:tcW w:w="0" w:type="auto"/>
            <w:shd w:val="clear" w:color="auto" w:fill="auto"/>
          </w:tcPr>
          <w:p w14:paraId="20AE155C" w14:textId="77777777" w:rsidR="00B626E7" w:rsidRDefault="00B626E7">
            <w:pPr>
              <w:rPr>
                <w:rFonts w:ascii="宋体"/>
              </w:rPr>
            </w:pPr>
          </w:p>
        </w:tc>
      </w:tr>
      <w:tr w:rsidR="00B626E7" w14:paraId="20AE156E" w14:textId="77777777">
        <w:tc>
          <w:tcPr>
            <w:tcW w:w="0" w:type="auto"/>
            <w:gridSpan w:val="3"/>
            <w:shd w:val="clear" w:color="auto" w:fill="auto"/>
            <w:tcMar>
              <w:top w:w="40" w:type="dxa"/>
              <w:left w:w="135" w:type="dxa"/>
              <w:bottom w:w="40" w:type="dxa"/>
              <w:right w:w="20" w:type="dxa"/>
            </w:tcMar>
            <w:vAlign w:val="center"/>
          </w:tcPr>
          <w:p w14:paraId="20AE155E" w14:textId="77777777" w:rsidR="00B626E7" w:rsidRDefault="00175C1D">
            <w:pPr>
              <w:textAlignment w:val="center"/>
            </w:pPr>
            <w:r>
              <w:rPr>
                <w:rFonts w:ascii="Arial" w:eastAsia="宋体" w:hAnsi="Arial" w:cs="Arial"/>
                <w:color w:val="333333"/>
                <w:sz w:val="18"/>
                <w:szCs w:val="18"/>
              </w:rPr>
              <w:t>4.00%</w:t>
            </w:r>
            <w:r>
              <w:rPr>
                <w:rFonts w:ascii="Arial" w:eastAsia="宋体" w:hAnsi="Arial" w:cs="Arial"/>
                <w:color w:val="333333"/>
                <w:sz w:val="18"/>
                <w:szCs w:val="18"/>
              </w:rPr>
              <w:t>, due December 2032</w:t>
            </w:r>
          </w:p>
        </w:tc>
        <w:tc>
          <w:tcPr>
            <w:tcW w:w="0" w:type="auto"/>
            <w:gridSpan w:val="3"/>
            <w:shd w:val="clear" w:color="auto" w:fill="auto"/>
            <w:tcMar>
              <w:left w:w="20" w:type="dxa"/>
              <w:right w:w="20" w:type="dxa"/>
            </w:tcMar>
            <w:vAlign w:val="bottom"/>
          </w:tcPr>
          <w:p w14:paraId="20AE155F"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560" w14:textId="77777777" w:rsidR="00B626E7" w:rsidRDefault="00175C1D">
            <w:pPr>
              <w:jc w:val="right"/>
              <w:textAlignment w:val="bottom"/>
            </w:pPr>
            <w:r>
              <w:rPr>
                <w:rFonts w:ascii="Arial" w:eastAsia="宋体" w:hAnsi="Arial" w:cs="Arial"/>
                <w:color w:val="026DCE"/>
                <w:sz w:val="18"/>
                <w:szCs w:val="18"/>
              </w:rPr>
              <w:t>2.30 </w:t>
            </w:r>
          </w:p>
        </w:tc>
        <w:tc>
          <w:tcPr>
            <w:tcW w:w="0" w:type="auto"/>
            <w:shd w:val="clear" w:color="auto" w:fill="auto"/>
            <w:tcMar>
              <w:top w:w="40" w:type="dxa"/>
              <w:bottom w:w="40" w:type="dxa"/>
              <w:right w:w="20" w:type="dxa"/>
            </w:tcMar>
            <w:vAlign w:val="bottom"/>
          </w:tcPr>
          <w:p w14:paraId="20AE1561" w14:textId="77777777" w:rsidR="00B626E7" w:rsidRDefault="00175C1D">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20AE1562"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563" w14:textId="77777777" w:rsidR="00B626E7" w:rsidRDefault="00175C1D">
            <w:pPr>
              <w:jc w:val="right"/>
              <w:textAlignment w:val="bottom"/>
            </w:pPr>
            <w:r>
              <w:rPr>
                <w:rFonts w:ascii="Arial" w:eastAsia="宋体" w:hAnsi="Arial" w:cs="Arial"/>
                <w:color w:val="026DCE"/>
                <w:sz w:val="18"/>
                <w:szCs w:val="18"/>
              </w:rPr>
              <w:t>750 </w:t>
            </w:r>
          </w:p>
        </w:tc>
        <w:tc>
          <w:tcPr>
            <w:tcW w:w="0" w:type="auto"/>
            <w:shd w:val="clear" w:color="auto" w:fill="auto"/>
            <w:tcMar>
              <w:top w:w="40" w:type="dxa"/>
              <w:bottom w:w="40" w:type="dxa"/>
              <w:right w:w="20" w:type="dxa"/>
            </w:tcMar>
            <w:vAlign w:val="bottom"/>
          </w:tcPr>
          <w:p w14:paraId="20AE1564"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565"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566" w14:textId="77777777" w:rsidR="00B626E7" w:rsidRDefault="00175C1D">
            <w:pPr>
              <w:jc w:val="right"/>
              <w:textAlignment w:val="bottom"/>
            </w:pPr>
            <w:r>
              <w:rPr>
                <w:rFonts w:ascii="Arial" w:eastAsia="宋体" w:hAnsi="Arial" w:cs="Arial"/>
                <w:color w:val="333333"/>
                <w:sz w:val="18"/>
                <w:szCs w:val="18"/>
              </w:rPr>
              <w:t>750 </w:t>
            </w:r>
          </w:p>
        </w:tc>
        <w:tc>
          <w:tcPr>
            <w:tcW w:w="0" w:type="auto"/>
            <w:shd w:val="clear" w:color="auto" w:fill="auto"/>
            <w:tcMar>
              <w:top w:w="40" w:type="dxa"/>
              <w:bottom w:w="40" w:type="dxa"/>
              <w:right w:w="20" w:type="dxa"/>
            </w:tcMar>
            <w:vAlign w:val="bottom"/>
          </w:tcPr>
          <w:p w14:paraId="20AE1567"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568" w14:textId="77777777" w:rsidR="00B626E7" w:rsidRDefault="00B626E7">
            <w:pPr>
              <w:rPr>
                <w:rFonts w:ascii="宋体"/>
              </w:rPr>
            </w:pPr>
          </w:p>
        </w:tc>
        <w:tc>
          <w:tcPr>
            <w:tcW w:w="0" w:type="auto"/>
            <w:shd w:val="clear" w:color="auto" w:fill="auto"/>
          </w:tcPr>
          <w:p w14:paraId="20AE1569" w14:textId="77777777" w:rsidR="00B626E7" w:rsidRDefault="00B626E7">
            <w:pPr>
              <w:rPr>
                <w:rFonts w:ascii="宋体"/>
              </w:rPr>
            </w:pPr>
          </w:p>
        </w:tc>
        <w:tc>
          <w:tcPr>
            <w:tcW w:w="0" w:type="auto"/>
            <w:shd w:val="clear" w:color="auto" w:fill="auto"/>
          </w:tcPr>
          <w:p w14:paraId="20AE156A" w14:textId="77777777" w:rsidR="00B626E7" w:rsidRDefault="00B626E7">
            <w:pPr>
              <w:rPr>
                <w:rFonts w:ascii="宋体"/>
              </w:rPr>
            </w:pPr>
          </w:p>
        </w:tc>
        <w:tc>
          <w:tcPr>
            <w:tcW w:w="0" w:type="auto"/>
            <w:shd w:val="clear" w:color="auto" w:fill="auto"/>
          </w:tcPr>
          <w:p w14:paraId="20AE156B" w14:textId="77777777" w:rsidR="00B626E7" w:rsidRDefault="00B626E7">
            <w:pPr>
              <w:rPr>
                <w:rFonts w:ascii="宋体"/>
              </w:rPr>
            </w:pPr>
          </w:p>
        </w:tc>
        <w:tc>
          <w:tcPr>
            <w:tcW w:w="0" w:type="auto"/>
            <w:shd w:val="clear" w:color="auto" w:fill="auto"/>
          </w:tcPr>
          <w:p w14:paraId="20AE156C" w14:textId="77777777" w:rsidR="00B626E7" w:rsidRDefault="00B626E7">
            <w:pPr>
              <w:rPr>
                <w:rFonts w:ascii="宋体"/>
              </w:rPr>
            </w:pPr>
          </w:p>
        </w:tc>
        <w:tc>
          <w:tcPr>
            <w:tcW w:w="0" w:type="auto"/>
            <w:shd w:val="clear" w:color="auto" w:fill="auto"/>
          </w:tcPr>
          <w:p w14:paraId="20AE156D" w14:textId="77777777" w:rsidR="00B626E7" w:rsidRDefault="00B626E7">
            <w:pPr>
              <w:rPr>
                <w:rFonts w:ascii="宋体"/>
              </w:rPr>
            </w:pPr>
          </w:p>
        </w:tc>
      </w:tr>
      <w:tr w:rsidR="00B626E7" w14:paraId="20AE157F" w14:textId="77777777">
        <w:tc>
          <w:tcPr>
            <w:tcW w:w="0" w:type="auto"/>
            <w:gridSpan w:val="3"/>
            <w:shd w:val="clear" w:color="auto" w:fill="auto"/>
            <w:tcMar>
              <w:top w:w="40" w:type="dxa"/>
              <w:left w:w="135" w:type="dxa"/>
              <w:bottom w:w="40" w:type="dxa"/>
              <w:right w:w="20" w:type="dxa"/>
            </w:tcMar>
            <w:vAlign w:val="center"/>
          </w:tcPr>
          <w:p w14:paraId="20AE156F" w14:textId="77777777" w:rsidR="00B626E7" w:rsidRDefault="00175C1D">
            <w:pPr>
              <w:textAlignment w:val="center"/>
            </w:pPr>
            <w:r>
              <w:rPr>
                <w:rFonts w:ascii="Arial" w:eastAsia="宋体" w:hAnsi="Arial" w:cs="Arial"/>
                <w:color w:val="333333"/>
                <w:sz w:val="18"/>
                <w:szCs w:val="18"/>
              </w:rPr>
              <w:t>4.60%</w:t>
            </w:r>
            <w:r>
              <w:rPr>
                <w:rFonts w:ascii="Arial" w:eastAsia="宋体" w:hAnsi="Arial" w:cs="Arial"/>
                <w:color w:val="333333"/>
                <w:sz w:val="18"/>
                <w:szCs w:val="18"/>
              </w:rPr>
              <w:t>, due March 2040</w:t>
            </w:r>
          </w:p>
        </w:tc>
        <w:tc>
          <w:tcPr>
            <w:tcW w:w="0" w:type="auto"/>
            <w:gridSpan w:val="3"/>
            <w:shd w:val="clear" w:color="auto" w:fill="auto"/>
            <w:tcMar>
              <w:left w:w="20" w:type="dxa"/>
              <w:right w:w="20" w:type="dxa"/>
            </w:tcMar>
            <w:vAlign w:val="bottom"/>
          </w:tcPr>
          <w:p w14:paraId="20AE1570"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571" w14:textId="77777777" w:rsidR="00B626E7" w:rsidRDefault="00175C1D">
            <w:pPr>
              <w:jc w:val="right"/>
              <w:textAlignment w:val="bottom"/>
            </w:pPr>
            <w:r>
              <w:rPr>
                <w:rFonts w:ascii="Arial" w:eastAsia="宋体" w:hAnsi="Arial" w:cs="Arial"/>
                <w:color w:val="026DCE"/>
                <w:sz w:val="18"/>
                <w:szCs w:val="18"/>
              </w:rPr>
              <w:t>4.62 </w:t>
            </w:r>
          </w:p>
        </w:tc>
        <w:tc>
          <w:tcPr>
            <w:tcW w:w="0" w:type="auto"/>
            <w:shd w:val="clear" w:color="auto" w:fill="auto"/>
            <w:tcMar>
              <w:top w:w="40" w:type="dxa"/>
              <w:bottom w:w="40" w:type="dxa"/>
              <w:right w:w="20" w:type="dxa"/>
            </w:tcMar>
            <w:vAlign w:val="bottom"/>
          </w:tcPr>
          <w:p w14:paraId="20AE1572" w14:textId="77777777" w:rsidR="00B626E7" w:rsidRDefault="00175C1D">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20AE1573"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574" w14:textId="77777777" w:rsidR="00B626E7" w:rsidRDefault="00175C1D">
            <w:pPr>
              <w:jc w:val="right"/>
              <w:textAlignment w:val="bottom"/>
            </w:pPr>
            <w:r>
              <w:rPr>
                <w:rFonts w:ascii="Arial" w:eastAsia="宋体" w:hAnsi="Arial" w:cs="Arial"/>
                <w:color w:val="026DCE"/>
                <w:sz w:val="18"/>
                <w:szCs w:val="18"/>
              </w:rPr>
              <w:t>750 </w:t>
            </w:r>
          </w:p>
        </w:tc>
        <w:tc>
          <w:tcPr>
            <w:tcW w:w="0" w:type="auto"/>
            <w:shd w:val="clear" w:color="auto" w:fill="auto"/>
            <w:tcMar>
              <w:top w:w="40" w:type="dxa"/>
              <w:bottom w:w="40" w:type="dxa"/>
              <w:right w:w="20" w:type="dxa"/>
            </w:tcMar>
            <w:vAlign w:val="bottom"/>
          </w:tcPr>
          <w:p w14:paraId="20AE1575"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576"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577"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1578"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579" w14:textId="77777777" w:rsidR="00B626E7" w:rsidRDefault="00B626E7">
            <w:pPr>
              <w:rPr>
                <w:rFonts w:ascii="宋体"/>
              </w:rPr>
            </w:pPr>
          </w:p>
        </w:tc>
        <w:tc>
          <w:tcPr>
            <w:tcW w:w="0" w:type="auto"/>
            <w:shd w:val="clear" w:color="auto" w:fill="auto"/>
          </w:tcPr>
          <w:p w14:paraId="20AE157A" w14:textId="77777777" w:rsidR="00B626E7" w:rsidRDefault="00B626E7">
            <w:pPr>
              <w:rPr>
                <w:rFonts w:ascii="宋体"/>
              </w:rPr>
            </w:pPr>
          </w:p>
        </w:tc>
        <w:tc>
          <w:tcPr>
            <w:tcW w:w="0" w:type="auto"/>
            <w:shd w:val="clear" w:color="auto" w:fill="auto"/>
          </w:tcPr>
          <w:p w14:paraId="20AE157B" w14:textId="77777777" w:rsidR="00B626E7" w:rsidRDefault="00B626E7">
            <w:pPr>
              <w:rPr>
                <w:rFonts w:ascii="宋体"/>
              </w:rPr>
            </w:pPr>
          </w:p>
        </w:tc>
        <w:tc>
          <w:tcPr>
            <w:tcW w:w="0" w:type="auto"/>
            <w:shd w:val="clear" w:color="auto" w:fill="auto"/>
          </w:tcPr>
          <w:p w14:paraId="20AE157C" w14:textId="77777777" w:rsidR="00B626E7" w:rsidRDefault="00B626E7">
            <w:pPr>
              <w:rPr>
                <w:rFonts w:ascii="宋体"/>
              </w:rPr>
            </w:pPr>
          </w:p>
        </w:tc>
        <w:tc>
          <w:tcPr>
            <w:tcW w:w="0" w:type="auto"/>
            <w:shd w:val="clear" w:color="auto" w:fill="auto"/>
          </w:tcPr>
          <w:p w14:paraId="20AE157D" w14:textId="77777777" w:rsidR="00B626E7" w:rsidRDefault="00B626E7">
            <w:pPr>
              <w:rPr>
                <w:rFonts w:ascii="宋体"/>
              </w:rPr>
            </w:pPr>
          </w:p>
        </w:tc>
        <w:tc>
          <w:tcPr>
            <w:tcW w:w="0" w:type="auto"/>
            <w:shd w:val="clear" w:color="auto" w:fill="auto"/>
          </w:tcPr>
          <w:p w14:paraId="20AE157E" w14:textId="77777777" w:rsidR="00B626E7" w:rsidRDefault="00B626E7">
            <w:pPr>
              <w:rPr>
                <w:rFonts w:ascii="宋体"/>
              </w:rPr>
            </w:pPr>
          </w:p>
        </w:tc>
      </w:tr>
      <w:tr w:rsidR="00B626E7" w14:paraId="20AE1590" w14:textId="77777777">
        <w:tc>
          <w:tcPr>
            <w:tcW w:w="0" w:type="auto"/>
            <w:gridSpan w:val="3"/>
            <w:shd w:val="clear" w:color="auto" w:fill="auto"/>
            <w:tcMar>
              <w:top w:w="40" w:type="dxa"/>
              <w:left w:w="135" w:type="dxa"/>
              <w:bottom w:w="40" w:type="dxa"/>
              <w:right w:w="20" w:type="dxa"/>
            </w:tcMar>
            <w:vAlign w:val="center"/>
          </w:tcPr>
          <w:p w14:paraId="20AE1580" w14:textId="77777777" w:rsidR="00B626E7" w:rsidRDefault="00175C1D">
            <w:pPr>
              <w:textAlignment w:val="center"/>
            </w:pPr>
            <w:r>
              <w:rPr>
                <w:rFonts w:ascii="Arial" w:eastAsia="宋体" w:hAnsi="Arial" w:cs="Arial"/>
                <w:color w:val="333333"/>
                <w:sz w:val="18"/>
                <w:szCs w:val="18"/>
              </w:rPr>
              <w:t>4.80%</w:t>
            </w:r>
            <w:r>
              <w:rPr>
                <w:rFonts w:ascii="Arial" w:eastAsia="宋体" w:hAnsi="Arial" w:cs="Arial"/>
                <w:color w:val="333333"/>
                <w:sz w:val="18"/>
                <w:szCs w:val="18"/>
              </w:rPr>
              <w:t>, due October 2041</w:t>
            </w:r>
          </w:p>
        </w:tc>
        <w:tc>
          <w:tcPr>
            <w:tcW w:w="0" w:type="auto"/>
            <w:gridSpan w:val="3"/>
            <w:shd w:val="clear" w:color="auto" w:fill="auto"/>
            <w:tcMar>
              <w:left w:w="20" w:type="dxa"/>
              <w:right w:w="20" w:type="dxa"/>
            </w:tcMar>
            <w:vAlign w:val="bottom"/>
          </w:tcPr>
          <w:p w14:paraId="20AE1581"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582" w14:textId="77777777" w:rsidR="00B626E7" w:rsidRDefault="00175C1D">
            <w:pPr>
              <w:jc w:val="right"/>
              <w:textAlignment w:val="bottom"/>
            </w:pPr>
            <w:r>
              <w:rPr>
                <w:rFonts w:ascii="Arial" w:eastAsia="宋体" w:hAnsi="Arial" w:cs="Arial"/>
                <w:color w:val="026DCE"/>
                <w:sz w:val="18"/>
                <w:szCs w:val="18"/>
              </w:rPr>
              <w:t>3.53 </w:t>
            </w:r>
          </w:p>
        </w:tc>
        <w:tc>
          <w:tcPr>
            <w:tcW w:w="0" w:type="auto"/>
            <w:shd w:val="clear" w:color="auto" w:fill="auto"/>
            <w:tcMar>
              <w:top w:w="40" w:type="dxa"/>
              <w:bottom w:w="40" w:type="dxa"/>
              <w:right w:w="20" w:type="dxa"/>
            </w:tcMar>
            <w:vAlign w:val="bottom"/>
          </w:tcPr>
          <w:p w14:paraId="20AE1583" w14:textId="77777777" w:rsidR="00B626E7" w:rsidRDefault="00175C1D">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20AE1584"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585" w14:textId="77777777" w:rsidR="00B626E7" w:rsidRDefault="00175C1D">
            <w:pPr>
              <w:jc w:val="right"/>
              <w:textAlignment w:val="bottom"/>
            </w:pPr>
            <w:r>
              <w:rPr>
                <w:rFonts w:ascii="Arial" w:eastAsia="宋体" w:hAnsi="Arial" w:cs="Arial"/>
                <w:color w:val="026DCE"/>
                <w:sz w:val="18"/>
                <w:szCs w:val="18"/>
              </w:rPr>
              <w:t>802 </w:t>
            </w:r>
          </w:p>
        </w:tc>
        <w:tc>
          <w:tcPr>
            <w:tcW w:w="0" w:type="auto"/>
            <w:shd w:val="clear" w:color="auto" w:fill="auto"/>
            <w:tcMar>
              <w:top w:w="40" w:type="dxa"/>
              <w:bottom w:w="40" w:type="dxa"/>
              <w:right w:w="20" w:type="dxa"/>
            </w:tcMar>
            <w:vAlign w:val="bottom"/>
          </w:tcPr>
          <w:p w14:paraId="20AE1586"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587"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588" w14:textId="77777777" w:rsidR="00B626E7" w:rsidRDefault="00175C1D">
            <w:pPr>
              <w:jc w:val="right"/>
              <w:textAlignment w:val="bottom"/>
            </w:pPr>
            <w:r>
              <w:rPr>
                <w:rFonts w:ascii="Arial" w:eastAsia="宋体" w:hAnsi="Arial" w:cs="Arial"/>
                <w:color w:val="333333"/>
                <w:sz w:val="18"/>
                <w:szCs w:val="18"/>
              </w:rPr>
              <w:t>802 </w:t>
            </w:r>
          </w:p>
        </w:tc>
        <w:tc>
          <w:tcPr>
            <w:tcW w:w="0" w:type="auto"/>
            <w:shd w:val="clear" w:color="auto" w:fill="auto"/>
            <w:tcMar>
              <w:top w:w="40" w:type="dxa"/>
              <w:bottom w:w="40" w:type="dxa"/>
              <w:right w:w="20" w:type="dxa"/>
            </w:tcMar>
            <w:vAlign w:val="bottom"/>
          </w:tcPr>
          <w:p w14:paraId="20AE1589"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58A" w14:textId="77777777" w:rsidR="00B626E7" w:rsidRDefault="00B626E7">
            <w:pPr>
              <w:rPr>
                <w:rFonts w:ascii="宋体"/>
              </w:rPr>
            </w:pPr>
          </w:p>
        </w:tc>
        <w:tc>
          <w:tcPr>
            <w:tcW w:w="0" w:type="auto"/>
            <w:shd w:val="clear" w:color="auto" w:fill="auto"/>
          </w:tcPr>
          <w:p w14:paraId="20AE158B" w14:textId="77777777" w:rsidR="00B626E7" w:rsidRDefault="00B626E7">
            <w:pPr>
              <w:rPr>
                <w:rFonts w:ascii="宋体"/>
              </w:rPr>
            </w:pPr>
          </w:p>
        </w:tc>
        <w:tc>
          <w:tcPr>
            <w:tcW w:w="0" w:type="auto"/>
            <w:shd w:val="clear" w:color="auto" w:fill="auto"/>
          </w:tcPr>
          <w:p w14:paraId="20AE158C" w14:textId="77777777" w:rsidR="00B626E7" w:rsidRDefault="00B626E7">
            <w:pPr>
              <w:rPr>
                <w:rFonts w:ascii="宋体"/>
              </w:rPr>
            </w:pPr>
          </w:p>
        </w:tc>
        <w:tc>
          <w:tcPr>
            <w:tcW w:w="0" w:type="auto"/>
            <w:shd w:val="clear" w:color="auto" w:fill="auto"/>
          </w:tcPr>
          <w:p w14:paraId="20AE158D" w14:textId="77777777" w:rsidR="00B626E7" w:rsidRDefault="00B626E7">
            <w:pPr>
              <w:rPr>
                <w:rFonts w:ascii="宋体"/>
              </w:rPr>
            </w:pPr>
          </w:p>
        </w:tc>
        <w:tc>
          <w:tcPr>
            <w:tcW w:w="0" w:type="auto"/>
            <w:shd w:val="clear" w:color="auto" w:fill="auto"/>
          </w:tcPr>
          <w:p w14:paraId="20AE158E" w14:textId="77777777" w:rsidR="00B626E7" w:rsidRDefault="00B626E7">
            <w:pPr>
              <w:rPr>
                <w:rFonts w:ascii="宋体"/>
              </w:rPr>
            </w:pPr>
          </w:p>
        </w:tc>
        <w:tc>
          <w:tcPr>
            <w:tcW w:w="0" w:type="auto"/>
            <w:shd w:val="clear" w:color="auto" w:fill="auto"/>
          </w:tcPr>
          <w:p w14:paraId="20AE158F" w14:textId="77777777" w:rsidR="00B626E7" w:rsidRDefault="00B626E7">
            <w:pPr>
              <w:rPr>
                <w:rFonts w:ascii="宋体"/>
              </w:rPr>
            </w:pPr>
          </w:p>
        </w:tc>
      </w:tr>
      <w:tr w:rsidR="00B626E7" w14:paraId="20AE15A1" w14:textId="77777777">
        <w:tc>
          <w:tcPr>
            <w:tcW w:w="0" w:type="auto"/>
            <w:gridSpan w:val="3"/>
            <w:shd w:val="clear" w:color="auto" w:fill="auto"/>
            <w:tcMar>
              <w:top w:w="40" w:type="dxa"/>
              <w:left w:w="135" w:type="dxa"/>
              <w:bottom w:w="40" w:type="dxa"/>
              <w:right w:w="20" w:type="dxa"/>
            </w:tcMar>
            <w:vAlign w:val="center"/>
          </w:tcPr>
          <w:p w14:paraId="20AE1591" w14:textId="77777777" w:rsidR="00B626E7" w:rsidRDefault="00175C1D">
            <w:pPr>
              <w:textAlignment w:val="center"/>
            </w:pPr>
            <w:r>
              <w:rPr>
                <w:rFonts w:ascii="Arial" w:eastAsia="宋体" w:hAnsi="Arial" w:cs="Arial"/>
                <w:color w:val="333333"/>
                <w:sz w:val="18"/>
                <w:szCs w:val="18"/>
              </w:rPr>
              <w:t>4.25%, due December 2042</w:t>
            </w:r>
          </w:p>
        </w:tc>
        <w:tc>
          <w:tcPr>
            <w:tcW w:w="0" w:type="auto"/>
            <w:gridSpan w:val="3"/>
            <w:shd w:val="clear" w:color="auto" w:fill="auto"/>
            <w:tcMar>
              <w:left w:w="20" w:type="dxa"/>
              <w:right w:w="20" w:type="dxa"/>
            </w:tcMar>
            <w:vAlign w:val="bottom"/>
          </w:tcPr>
          <w:p w14:paraId="20AE1592"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593" w14:textId="77777777" w:rsidR="00B626E7" w:rsidRDefault="00175C1D">
            <w:pPr>
              <w:jc w:val="right"/>
              <w:textAlignment w:val="bottom"/>
            </w:pPr>
            <w:r>
              <w:rPr>
                <w:rFonts w:ascii="Arial" w:eastAsia="宋体" w:hAnsi="Arial" w:cs="Arial"/>
                <w:color w:val="026DCE"/>
                <w:sz w:val="18"/>
                <w:szCs w:val="18"/>
              </w:rPr>
              <w:t>2.48 </w:t>
            </w:r>
          </w:p>
        </w:tc>
        <w:tc>
          <w:tcPr>
            <w:tcW w:w="0" w:type="auto"/>
            <w:shd w:val="clear" w:color="auto" w:fill="auto"/>
            <w:tcMar>
              <w:top w:w="40" w:type="dxa"/>
              <w:bottom w:w="40" w:type="dxa"/>
              <w:right w:w="20" w:type="dxa"/>
            </w:tcMar>
            <w:vAlign w:val="bottom"/>
          </w:tcPr>
          <w:p w14:paraId="20AE1594" w14:textId="77777777" w:rsidR="00B626E7" w:rsidRDefault="00175C1D">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20AE1595"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596" w14:textId="77777777" w:rsidR="00B626E7" w:rsidRDefault="00175C1D">
            <w:pPr>
              <w:jc w:val="right"/>
              <w:textAlignment w:val="bottom"/>
            </w:pPr>
            <w:r>
              <w:rPr>
                <w:rFonts w:ascii="Arial" w:eastAsia="宋体" w:hAnsi="Arial" w:cs="Arial"/>
                <w:color w:val="026DCE"/>
                <w:sz w:val="18"/>
                <w:szCs w:val="18"/>
              </w:rPr>
              <w:t>567 </w:t>
            </w:r>
          </w:p>
        </w:tc>
        <w:tc>
          <w:tcPr>
            <w:tcW w:w="0" w:type="auto"/>
            <w:shd w:val="clear" w:color="auto" w:fill="auto"/>
            <w:tcMar>
              <w:top w:w="40" w:type="dxa"/>
              <w:bottom w:w="40" w:type="dxa"/>
              <w:right w:w="20" w:type="dxa"/>
            </w:tcMar>
            <w:vAlign w:val="bottom"/>
          </w:tcPr>
          <w:p w14:paraId="20AE1597"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598"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599" w14:textId="77777777" w:rsidR="00B626E7" w:rsidRDefault="00175C1D">
            <w:pPr>
              <w:jc w:val="right"/>
              <w:textAlignment w:val="bottom"/>
            </w:pPr>
            <w:r>
              <w:rPr>
                <w:rFonts w:ascii="Arial" w:eastAsia="宋体" w:hAnsi="Arial" w:cs="Arial"/>
                <w:color w:val="333333"/>
                <w:sz w:val="18"/>
                <w:szCs w:val="18"/>
              </w:rPr>
              <w:t>567 </w:t>
            </w:r>
          </w:p>
        </w:tc>
        <w:tc>
          <w:tcPr>
            <w:tcW w:w="0" w:type="auto"/>
            <w:shd w:val="clear" w:color="auto" w:fill="auto"/>
            <w:tcMar>
              <w:top w:w="40" w:type="dxa"/>
              <w:bottom w:w="40" w:type="dxa"/>
              <w:right w:w="20" w:type="dxa"/>
            </w:tcMar>
            <w:vAlign w:val="bottom"/>
          </w:tcPr>
          <w:p w14:paraId="20AE159A"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59B" w14:textId="77777777" w:rsidR="00B626E7" w:rsidRDefault="00B626E7">
            <w:pPr>
              <w:rPr>
                <w:rFonts w:ascii="宋体"/>
              </w:rPr>
            </w:pPr>
          </w:p>
        </w:tc>
        <w:tc>
          <w:tcPr>
            <w:tcW w:w="0" w:type="auto"/>
            <w:shd w:val="clear" w:color="auto" w:fill="auto"/>
          </w:tcPr>
          <w:p w14:paraId="20AE159C" w14:textId="77777777" w:rsidR="00B626E7" w:rsidRDefault="00B626E7">
            <w:pPr>
              <w:rPr>
                <w:rFonts w:ascii="宋体"/>
              </w:rPr>
            </w:pPr>
          </w:p>
        </w:tc>
        <w:tc>
          <w:tcPr>
            <w:tcW w:w="0" w:type="auto"/>
            <w:shd w:val="clear" w:color="auto" w:fill="auto"/>
          </w:tcPr>
          <w:p w14:paraId="20AE159D" w14:textId="77777777" w:rsidR="00B626E7" w:rsidRDefault="00B626E7">
            <w:pPr>
              <w:rPr>
                <w:rFonts w:ascii="宋体"/>
              </w:rPr>
            </w:pPr>
          </w:p>
        </w:tc>
        <w:tc>
          <w:tcPr>
            <w:tcW w:w="0" w:type="auto"/>
            <w:shd w:val="clear" w:color="auto" w:fill="auto"/>
          </w:tcPr>
          <w:p w14:paraId="20AE159E" w14:textId="77777777" w:rsidR="00B626E7" w:rsidRDefault="00B626E7">
            <w:pPr>
              <w:rPr>
                <w:rFonts w:ascii="宋体"/>
              </w:rPr>
            </w:pPr>
          </w:p>
        </w:tc>
        <w:tc>
          <w:tcPr>
            <w:tcW w:w="0" w:type="auto"/>
            <w:shd w:val="clear" w:color="auto" w:fill="auto"/>
          </w:tcPr>
          <w:p w14:paraId="20AE159F" w14:textId="77777777" w:rsidR="00B626E7" w:rsidRDefault="00B626E7">
            <w:pPr>
              <w:rPr>
                <w:rFonts w:ascii="宋体"/>
              </w:rPr>
            </w:pPr>
          </w:p>
        </w:tc>
        <w:tc>
          <w:tcPr>
            <w:tcW w:w="0" w:type="auto"/>
            <w:shd w:val="clear" w:color="auto" w:fill="auto"/>
          </w:tcPr>
          <w:p w14:paraId="20AE15A0" w14:textId="77777777" w:rsidR="00B626E7" w:rsidRDefault="00B626E7">
            <w:pPr>
              <w:rPr>
                <w:rFonts w:ascii="宋体"/>
              </w:rPr>
            </w:pPr>
          </w:p>
        </w:tc>
      </w:tr>
      <w:tr w:rsidR="00B626E7" w14:paraId="20AE15B2" w14:textId="77777777">
        <w:tc>
          <w:tcPr>
            <w:tcW w:w="0" w:type="auto"/>
            <w:gridSpan w:val="3"/>
            <w:shd w:val="clear" w:color="auto" w:fill="auto"/>
            <w:tcMar>
              <w:top w:w="40" w:type="dxa"/>
              <w:left w:w="135" w:type="dxa"/>
              <w:bottom w:w="40" w:type="dxa"/>
              <w:right w:w="20" w:type="dxa"/>
            </w:tcMar>
            <w:vAlign w:val="center"/>
          </w:tcPr>
          <w:p w14:paraId="20AE15A2" w14:textId="77777777" w:rsidR="00B626E7" w:rsidRDefault="00175C1D">
            <w:pPr>
              <w:textAlignment w:val="center"/>
            </w:pPr>
            <w:r>
              <w:rPr>
                <w:rFonts w:ascii="Arial" w:eastAsia="宋体" w:hAnsi="Arial" w:cs="Arial"/>
                <w:color w:val="333333"/>
                <w:sz w:val="18"/>
                <w:szCs w:val="18"/>
              </w:rPr>
              <w:t>4.90%</w:t>
            </w:r>
            <w:r>
              <w:rPr>
                <w:rFonts w:ascii="Arial" w:eastAsia="宋体" w:hAnsi="Arial" w:cs="Arial"/>
                <w:color w:val="333333"/>
                <w:sz w:val="18"/>
                <w:szCs w:val="18"/>
              </w:rPr>
              <w:t>, due July 2045</w:t>
            </w:r>
          </w:p>
        </w:tc>
        <w:tc>
          <w:tcPr>
            <w:tcW w:w="0" w:type="auto"/>
            <w:gridSpan w:val="3"/>
            <w:shd w:val="clear" w:color="auto" w:fill="auto"/>
            <w:tcMar>
              <w:left w:w="20" w:type="dxa"/>
              <w:right w:w="20" w:type="dxa"/>
            </w:tcMar>
            <w:vAlign w:val="bottom"/>
          </w:tcPr>
          <w:p w14:paraId="20AE15A3"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5A4" w14:textId="77777777" w:rsidR="00B626E7" w:rsidRDefault="00175C1D">
            <w:pPr>
              <w:jc w:val="right"/>
              <w:textAlignment w:val="bottom"/>
            </w:pPr>
            <w:r>
              <w:rPr>
                <w:rFonts w:ascii="Arial" w:eastAsia="宋体" w:hAnsi="Arial" w:cs="Arial"/>
                <w:color w:val="026DCE"/>
                <w:sz w:val="18"/>
                <w:szCs w:val="18"/>
              </w:rPr>
              <w:t>3.45 </w:t>
            </w:r>
          </w:p>
        </w:tc>
        <w:tc>
          <w:tcPr>
            <w:tcW w:w="0" w:type="auto"/>
            <w:shd w:val="clear" w:color="auto" w:fill="auto"/>
            <w:tcMar>
              <w:top w:w="40" w:type="dxa"/>
              <w:bottom w:w="40" w:type="dxa"/>
              <w:right w:w="20" w:type="dxa"/>
            </w:tcMar>
            <w:vAlign w:val="bottom"/>
          </w:tcPr>
          <w:p w14:paraId="20AE15A5" w14:textId="77777777" w:rsidR="00B626E7" w:rsidRDefault="00175C1D">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20AE15A6"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5A7" w14:textId="77777777" w:rsidR="00B626E7" w:rsidRDefault="00175C1D">
            <w:pPr>
              <w:jc w:val="right"/>
              <w:textAlignment w:val="bottom"/>
            </w:pPr>
            <w:r>
              <w:rPr>
                <w:rFonts w:ascii="Arial" w:eastAsia="宋体" w:hAnsi="Arial" w:cs="Arial"/>
                <w:color w:val="026DCE"/>
                <w:sz w:val="18"/>
                <w:szCs w:val="18"/>
              </w:rPr>
              <w:t>772 </w:t>
            </w:r>
          </w:p>
        </w:tc>
        <w:tc>
          <w:tcPr>
            <w:tcW w:w="0" w:type="auto"/>
            <w:shd w:val="clear" w:color="auto" w:fill="auto"/>
            <w:tcMar>
              <w:top w:w="40" w:type="dxa"/>
              <w:bottom w:w="40" w:type="dxa"/>
              <w:right w:w="20" w:type="dxa"/>
            </w:tcMar>
            <w:vAlign w:val="bottom"/>
          </w:tcPr>
          <w:p w14:paraId="20AE15A8"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5A9"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5AA" w14:textId="77777777" w:rsidR="00B626E7" w:rsidRDefault="00175C1D">
            <w:pPr>
              <w:jc w:val="right"/>
              <w:textAlignment w:val="bottom"/>
            </w:pPr>
            <w:r>
              <w:rPr>
                <w:rFonts w:ascii="Arial" w:eastAsia="宋体" w:hAnsi="Arial" w:cs="Arial"/>
                <w:color w:val="333333"/>
                <w:sz w:val="18"/>
                <w:szCs w:val="18"/>
              </w:rPr>
              <w:t>772 </w:t>
            </w:r>
          </w:p>
        </w:tc>
        <w:tc>
          <w:tcPr>
            <w:tcW w:w="0" w:type="auto"/>
            <w:shd w:val="clear" w:color="auto" w:fill="auto"/>
            <w:tcMar>
              <w:top w:w="40" w:type="dxa"/>
              <w:bottom w:w="40" w:type="dxa"/>
              <w:right w:w="20" w:type="dxa"/>
            </w:tcMar>
            <w:vAlign w:val="bottom"/>
          </w:tcPr>
          <w:p w14:paraId="20AE15AB"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5AC" w14:textId="77777777" w:rsidR="00B626E7" w:rsidRDefault="00B626E7">
            <w:pPr>
              <w:rPr>
                <w:rFonts w:ascii="宋体"/>
              </w:rPr>
            </w:pPr>
          </w:p>
        </w:tc>
        <w:tc>
          <w:tcPr>
            <w:tcW w:w="0" w:type="auto"/>
            <w:shd w:val="clear" w:color="auto" w:fill="auto"/>
          </w:tcPr>
          <w:p w14:paraId="20AE15AD" w14:textId="77777777" w:rsidR="00B626E7" w:rsidRDefault="00B626E7">
            <w:pPr>
              <w:rPr>
                <w:rFonts w:ascii="宋体"/>
              </w:rPr>
            </w:pPr>
          </w:p>
        </w:tc>
        <w:tc>
          <w:tcPr>
            <w:tcW w:w="0" w:type="auto"/>
            <w:shd w:val="clear" w:color="auto" w:fill="auto"/>
          </w:tcPr>
          <w:p w14:paraId="20AE15AE" w14:textId="77777777" w:rsidR="00B626E7" w:rsidRDefault="00B626E7">
            <w:pPr>
              <w:rPr>
                <w:rFonts w:ascii="宋体"/>
              </w:rPr>
            </w:pPr>
          </w:p>
        </w:tc>
        <w:tc>
          <w:tcPr>
            <w:tcW w:w="0" w:type="auto"/>
            <w:shd w:val="clear" w:color="auto" w:fill="auto"/>
          </w:tcPr>
          <w:p w14:paraId="20AE15AF" w14:textId="77777777" w:rsidR="00B626E7" w:rsidRDefault="00B626E7">
            <w:pPr>
              <w:rPr>
                <w:rFonts w:ascii="宋体"/>
              </w:rPr>
            </w:pPr>
          </w:p>
        </w:tc>
        <w:tc>
          <w:tcPr>
            <w:tcW w:w="0" w:type="auto"/>
            <w:shd w:val="clear" w:color="auto" w:fill="auto"/>
          </w:tcPr>
          <w:p w14:paraId="20AE15B0" w14:textId="77777777" w:rsidR="00B626E7" w:rsidRDefault="00B626E7">
            <w:pPr>
              <w:rPr>
                <w:rFonts w:ascii="宋体"/>
              </w:rPr>
            </w:pPr>
          </w:p>
        </w:tc>
        <w:tc>
          <w:tcPr>
            <w:tcW w:w="0" w:type="auto"/>
            <w:shd w:val="clear" w:color="auto" w:fill="auto"/>
          </w:tcPr>
          <w:p w14:paraId="20AE15B1" w14:textId="77777777" w:rsidR="00B626E7" w:rsidRDefault="00B626E7">
            <w:pPr>
              <w:rPr>
                <w:rFonts w:ascii="宋体"/>
              </w:rPr>
            </w:pPr>
          </w:p>
        </w:tc>
      </w:tr>
      <w:tr w:rsidR="00B626E7" w14:paraId="20AE15C3" w14:textId="77777777">
        <w:tc>
          <w:tcPr>
            <w:tcW w:w="0" w:type="auto"/>
            <w:gridSpan w:val="3"/>
            <w:shd w:val="clear" w:color="auto" w:fill="auto"/>
            <w:tcMar>
              <w:top w:w="40" w:type="dxa"/>
              <w:left w:w="135" w:type="dxa"/>
              <w:bottom w:w="40" w:type="dxa"/>
              <w:right w:w="20" w:type="dxa"/>
            </w:tcMar>
            <w:vAlign w:val="center"/>
          </w:tcPr>
          <w:p w14:paraId="20AE15B3" w14:textId="77777777" w:rsidR="00B626E7" w:rsidRDefault="00175C1D">
            <w:pPr>
              <w:textAlignment w:val="center"/>
            </w:pPr>
            <w:r>
              <w:rPr>
                <w:rFonts w:ascii="Arial" w:eastAsia="宋体" w:hAnsi="Arial" w:cs="Arial"/>
                <w:color w:val="333333"/>
                <w:sz w:val="18"/>
                <w:szCs w:val="18"/>
              </w:rPr>
              <w:t>4.10%</w:t>
            </w:r>
            <w:r>
              <w:rPr>
                <w:rFonts w:ascii="Arial" w:eastAsia="宋体" w:hAnsi="Arial" w:cs="Arial"/>
                <w:color w:val="333333"/>
                <w:sz w:val="18"/>
                <w:szCs w:val="18"/>
              </w:rPr>
              <w:t>, due May 2046</w:t>
            </w:r>
          </w:p>
        </w:tc>
        <w:tc>
          <w:tcPr>
            <w:tcW w:w="0" w:type="auto"/>
            <w:gridSpan w:val="3"/>
            <w:shd w:val="clear" w:color="auto" w:fill="auto"/>
            <w:tcMar>
              <w:left w:w="20" w:type="dxa"/>
              <w:right w:w="20" w:type="dxa"/>
            </w:tcMar>
            <w:vAlign w:val="bottom"/>
          </w:tcPr>
          <w:p w14:paraId="20AE15B4"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5B5" w14:textId="77777777" w:rsidR="00B626E7" w:rsidRDefault="00175C1D">
            <w:pPr>
              <w:jc w:val="right"/>
              <w:textAlignment w:val="bottom"/>
            </w:pPr>
            <w:r>
              <w:rPr>
                <w:rFonts w:ascii="Arial" w:eastAsia="宋体" w:hAnsi="Arial" w:cs="Arial"/>
                <w:color w:val="026DCE"/>
                <w:sz w:val="18"/>
                <w:szCs w:val="18"/>
              </w:rPr>
              <w:t>2.76 </w:t>
            </w:r>
          </w:p>
        </w:tc>
        <w:tc>
          <w:tcPr>
            <w:tcW w:w="0" w:type="auto"/>
            <w:shd w:val="clear" w:color="auto" w:fill="auto"/>
            <w:tcMar>
              <w:top w:w="40" w:type="dxa"/>
              <w:bottom w:w="40" w:type="dxa"/>
              <w:right w:w="20" w:type="dxa"/>
            </w:tcMar>
            <w:vAlign w:val="bottom"/>
          </w:tcPr>
          <w:p w14:paraId="20AE15B6" w14:textId="77777777" w:rsidR="00B626E7" w:rsidRDefault="00175C1D">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20AE15B7"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5B8" w14:textId="77777777" w:rsidR="00B626E7" w:rsidRDefault="00175C1D">
            <w:pPr>
              <w:jc w:val="right"/>
              <w:textAlignment w:val="bottom"/>
            </w:pPr>
            <w:r>
              <w:rPr>
                <w:rFonts w:ascii="Arial" w:eastAsia="宋体" w:hAnsi="Arial" w:cs="Arial"/>
                <w:color w:val="026DCE"/>
                <w:sz w:val="18"/>
                <w:szCs w:val="18"/>
              </w:rPr>
              <w:t>1,250 </w:t>
            </w:r>
          </w:p>
        </w:tc>
        <w:tc>
          <w:tcPr>
            <w:tcW w:w="0" w:type="auto"/>
            <w:shd w:val="clear" w:color="auto" w:fill="auto"/>
            <w:tcMar>
              <w:top w:w="40" w:type="dxa"/>
              <w:bottom w:w="40" w:type="dxa"/>
              <w:right w:w="20" w:type="dxa"/>
            </w:tcMar>
            <w:vAlign w:val="bottom"/>
          </w:tcPr>
          <w:p w14:paraId="20AE15B9"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5BA"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5BB" w14:textId="77777777" w:rsidR="00B626E7" w:rsidRDefault="00175C1D">
            <w:pPr>
              <w:jc w:val="right"/>
              <w:textAlignment w:val="bottom"/>
            </w:pPr>
            <w:r>
              <w:rPr>
                <w:rFonts w:ascii="Arial" w:eastAsia="宋体" w:hAnsi="Arial" w:cs="Arial"/>
                <w:color w:val="333333"/>
                <w:sz w:val="18"/>
                <w:szCs w:val="18"/>
              </w:rPr>
              <w:t>1,250 </w:t>
            </w:r>
          </w:p>
        </w:tc>
        <w:tc>
          <w:tcPr>
            <w:tcW w:w="0" w:type="auto"/>
            <w:shd w:val="clear" w:color="auto" w:fill="auto"/>
            <w:tcMar>
              <w:top w:w="40" w:type="dxa"/>
              <w:bottom w:w="40" w:type="dxa"/>
              <w:right w:w="20" w:type="dxa"/>
            </w:tcMar>
            <w:vAlign w:val="bottom"/>
          </w:tcPr>
          <w:p w14:paraId="20AE15BC"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5BD" w14:textId="77777777" w:rsidR="00B626E7" w:rsidRDefault="00B626E7">
            <w:pPr>
              <w:rPr>
                <w:rFonts w:ascii="宋体"/>
              </w:rPr>
            </w:pPr>
          </w:p>
        </w:tc>
        <w:tc>
          <w:tcPr>
            <w:tcW w:w="0" w:type="auto"/>
            <w:shd w:val="clear" w:color="auto" w:fill="auto"/>
          </w:tcPr>
          <w:p w14:paraId="20AE15BE" w14:textId="77777777" w:rsidR="00B626E7" w:rsidRDefault="00B626E7">
            <w:pPr>
              <w:rPr>
                <w:rFonts w:ascii="宋体"/>
              </w:rPr>
            </w:pPr>
          </w:p>
        </w:tc>
        <w:tc>
          <w:tcPr>
            <w:tcW w:w="0" w:type="auto"/>
            <w:shd w:val="clear" w:color="auto" w:fill="auto"/>
          </w:tcPr>
          <w:p w14:paraId="20AE15BF" w14:textId="77777777" w:rsidR="00B626E7" w:rsidRDefault="00B626E7">
            <w:pPr>
              <w:rPr>
                <w:rFonts w:ascii="宋体"/>
              </w:rPr>
            </w:pPr>
          </w:p>
        </w:tc>
        <w:tc>
          <w:tcPr>
            <w:tcW w:w="0" w:type="auto"/>
            <w:shd w:val="clear" w:color="auto" w:fill="auto"/>
          </w:tcPr>
          <w:p w14:paraId="20AE15C0" w14:textId="77777777" w:rsidR="00B626E7" w:rsidRDefault="00B626E7">
            <w:pPr>
              <w:rPr>
                <w:rFonts w:ascii="宋体"/>
              </w:rPr>
            </w:pPr>
          </w:p>
        </w:tc>
        <w:tc>
          <w:tcPr>
            <w:tcW w:w="0" w:type="auto"/>
            <w:shd w:val="clear" w:color="auto" w:fill="auto"/>
          </w:tcPr>
          <w:p w14:paraId="20AE15C1" w14:textId="77777777" w:rsidR="00B626E7" w:rsidRDefault="00B626E7">
            <w:pPr>
              <w:rPr>
                <w:rFonts w:ascii="宋体"/>
              </w:rPr>
            </w:pPr>
          </w:p>
        </w:tc>
        <w:tc>
          <w:tcPr>
            <w:tcW w:w="0" w:type="auto"/>
            <w:shd w:val="clear" w:color="auto" w:fill="auto"/>
          </w:tcPr>
          <w:p w14:paraId="20AE15C2" w14:textId="77777777" w:rsidR="00B626E7" w:rsidRDefault="00B626E7">
            <w:pPr>
              <w:rPr>
                <w:rFonts w:ascii="宋体"/>
              </w:rPr>
            </w:pPr>
          </w:p>
        </w:tc>
      </w:tr>
      <w:tr w:rsidR="00B626E7" w14:paraId="20AE15D4" w14:textId="77777777">
        <w:tc>
          <w:tcPr>
            <w:tcW w:w="0" w:type="auto"/>
            <w:gridSpan w:val="3"/>
            <w:shd w:val="clear" w:color="auto" w:fill="auto"/>
            <w:tcMar>
              <w:top w:w="40" w:type="dxa"/>
              <w:left w:w="135" w:type="dxa"/>
              <w:bottom w:w="40" w:type="dxa"/>
              <w:right w:w="20" w:type="dxa"/>
            </w:tcMar>
            <w:vAlign w:val="center"/>
          </w:tcPr>
          <w:p w14:paraId="20AE15C4" w14:textId="77777777" w:rsidR="00B626E7" w:rsidRDefault="00175C1D">
            <w:pPr>
              <w:textAlignment w:val="center"/>
            </w:pPr>
            <w:r>
              <w:rPr>
                <w:rFonts w:ascii="Arial" w:eastAsia="宋体" w:hAnsi="Arial" w:cs="Arial"/>
                <w:color w:val="333333"/>
                <w:sz w:val="18"/>
                <w:szCs w:val="18"/>
              </w:rPr>
              <w:t>4.10%, due May 2047</w:t>
            </w:r>
          </w:p>
        </w:tc>
        <w:tc>
          <w:tcPr>
            <w:tcW w:w="0" w:type="auto"/>
            <w:gridSpan w:val="3"/>
            <w:shd w:val="clear" w:color="auto" w:fill="auto"/>
            <w:tcMar>
              <w:left w:w="20" w:type="dxa"/>
              <w:right w:w="20" w:type="dxa"/>
            </w:tcMar>
            <w:vAlign w:val="bottom"/>
          </w:tcPr>
          <w:p w14:paraId="20AE15C5"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5C6" w14:textId="77777777" w:rsidR="00B626E7" w:rsidRDefault="00175C1D">
            <w:pPr>
              <w:jc w:val="right"/>
              <w:textAlignment w:val="bottom"/>
            </w:pPr>
            <w:r>
              <w:rPr>
                <w:rFonts w:ascii="Arial" w:eastAsia="宋体" w:hAnsi="Arial" w:cs="Arial"/>
                <w:color w:val="026DCE"/>
                <w:sz w:val="18"/>
                <w:szCs w:val="18"/>
              </w:rPr>
              <w:t>2.63 </w:t>
            </w:r>
          </w:p>
        </w:tc>
        <w:tc>
          <w:tcPr>
            <w:tcW w:w="0" w:type="auto"/>
            <w:shd w:val="clear" w:color="auto" w:fill="auto"/>
            <w:tcMar>
              <w:top w:w="40" w:type="dxa"/>
              <w:bottom w:w="40" w:type="dxa"/>
              <w:right w:w="20" w:type="dxa"/>
            </w:tcMar>
            <w:vAlign w:val="bottom"/>
          </w:tcPr>
          <w:p w14:paraId="20AE15C7" w14:textId="77777777" w:rsidR="00B626E7" w:rsidRDefault="00175C1D">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20AE15C8"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5C9" w14:textId="77777777" w:rsidR="00B626E7" w:rsidRDefault="00175C1D">
            <w:pPr>
              <w:jc w:val="right"/>
              <w:textAlignment w:val="bottom"/>
            </w:pPr>
            <w:r>
              <w:rPr>
                <w:rFonts w:ascii="Arial" w:eastAsia="宋体" w:hAnsi="Arial" w:cs="Arial"/>
                <w:color w:val="026DCE"/>
                <w:sz w:val="18"/>
                <w:szCs w:val="18"/>
              </w:rPr>
              <w:t>1,000 </w:t>
            </w:r>
          </w:p>
        </w:tc>
        <w:tc>
          <w:tcPr>
            <w:tcW w:w="0" w:type="auto"/>
            <w:shd w:val="clear" w:color="auto" w:fill="auto"/>
            <w:tcMar>
              <w:top w:w="40" w:type="dxa"/>
              <w:bottom w:w="40" w:type="dxa"/>
              <w:right w:w="20" w:type="dxa"/>
            </w:tcMar>
            <w:vAlign w:val="bottom"/>
          </w:tcPr>
          <w:p w14:paraId="20AE15CA"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5CB"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5CC" w14:textId="77777777" w:rsidR="00B626E7" w:rsidRDefault="00175C1D">
            <w:pPr>
              <w:jc w:val="right"/>
              <w:textAlignment w:val="bottom"/>
            </w:pPr>
            <w:r>
              <w:rPr>
                <w:rFonts w:ascii="Arial" w:eastAsia="宋体" w:hAnsi="Arial" w:cs="Arial"/>
                <w:color w:val="333333"/>
                <w:sz w:val="18"/>
                <w:szCs w:val="18"/>
              </w:rPr>
              <w:t>1,000 </w:t>
            </w:r>
          </w:p>
        </w:tc>
        <w:tc>
          <w:tcPr>
            <w:tcW w:w="0" w:type="auto"/>
            <w:shd w:val="clear" w:color="auto" w:fill="auto"/>
            <w:tcMar>
              <w:top w:w="40" w:type="dxa"/>
              <w:bottom w:w="40" w:type="dxa"/>
              <w:right w:w="20" w:type="dxa"/>
            </w:tcMar>
            <w:vAlign w:val="bottom"/>
          </w:tcPr>
          <w:p w14:paraId="20AE15CD"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5CE" w14:textId="77777777" w:rsidR="00B626E7" w:rsidRDefault="00B626E7">
            <w:pPr>
              <w:rPr>
                <w:rFonts w:ascii="宋体"/>
              </w:rPr>
            </w:pPr>
          </w:p>
        </w:tc>
        <w:tc>
          <w:tcPr>
            <w:tcW w:w="0" w:type="auto"/>
            <w:shd w:val="clear" w:color="auto" w:fill="auto"/>
          </w:tcPr>
          <w:p w14:paraId="20AE15CF" w14:textId="77777777" w:rsidR="00B626E7" w:rsidRDefault="00B626E7">
            <w:pPr>
              <w:rPr>
                <w:rFonts w:ascii="宋体"/>
              </w:rPr>
            </w:pPr>
          </w:p>
        </w:tc>
        <w:tc>
          <w:tcPr>
            <w:tcW w:w="0" w:type="auto"/>
            <w:shd w:val="clear" w:color="auto" w:fill="auto"/>
          </w:tcPr>
          <w:p w14:paraId="20AE15D0" w14:textId="77777777" w:rsidR="00B626E7" w:rsidRDefault="00B626E7">
            <w:pPr>
              <w:rPr>
                <w:rFonts w:ascii="宋体"/>
              </w:rPr>
            </w:pPr>
          </w:p>
        </w:tc>
        <w:tc>
          <w:tcPr>
            <w:tcW w:w="0" w:type="auto"/>
            <w:shd w:val="clear" w:color="auto" w:fill="auto"/>
          </w:tcPr>
          <w:p w14:paraId="20AE15D1" w14:textId="77777777" w:rsidR="00B626E7" w:rsidRDefault="00B626E7">
            <w:pPr>
              <w:rPr>
                <w:rFonts w:ascii="宋体"/>
              </w:rPr>
            </w:pPr>
          </w:p>
        </w:tc>
        <w:tc>
          <w:tcPr>
            <w:tcW w:w="0" w:type="auto"/>
            <w:shd w:val="clear" w:color="auto" w:fill="auto"/>
          </w:tcPr>
          <w:p w14:paraId="20AE15D2" w14:textId="77777777" w:rsidR="00B626E7" w:rsidRDefault="00B626E7">
            <w:pPr>
              <w:rPr>
                <w:rFonts w:ascii="宋体"/>
              </w:rPr>
            </w:pPr>
          </w:p>
        </w:tc>
        <w:tc>
          <w:tcPr>
            <w:tcW w:w="0" w:type="auto"/>
            <w:shd w:val="clear" w:color="auto" w:fill="auto"/>
          </w:tcPr>
          <w:p w14:paraId="20AE15D3" w14:textId="77777777" w:rsidR="00B626E7" w:rsidRDefault="00B626E7">
            <w:pPr>
              <w:rPr>
                <w:rFonts w:ascii="宋体"/>
              </w:rPr>
            </w:pPr>
          </w:p>
        </w:tc>
      </w:tr>
      <w:tr w:rsidR="00B626E7" w14:paraId="20AE15E5" w14:textId="77777777">
        <w:tc>
          <w:tcPr>
            <w:tcW w:w="0" w:type="auto"/>
            <w:gridSpan w:val="3"/>
            <w:shd w:val="clear" w:color="auto" w:fill="auto"/>
            <w:tcMar>
              <w:top w:w="40" w:type="dxa"/>
              <w:left w:w="135" w:type="dxa"/>
              <w:bottom w:w="40" w:type="dxa"/>
              <w:right w:w="20" w:type="dxa"/>
            </w:tcMar>
            <w:vAlign w:val="center"/>
          </w:tcPr>
          <w:p w14:paraId="20AE15D5" w14:textId="77777777" w:rsidR="00B626E7" w:rsidRDefault="00175C1D">
            <w:pPr>
              <w:textAlignment w:val="center"/>
            </w:pPr>
            <w:r>
              <w:rPr>
                <w:rFonts w:ascii="Arial" w:eastAsia="宋体" w:hAnsi="Arial" w:cs="Arial"/>
                <w:color w:val="333333"/>
                <w:sz w:val="18"/>
                <w:szCs w:val="18"/>
              </w:rPr>
              <w:t>4.10%</w:t>
            </w:r>
            <w:r>
              <w:rPr>
                <w:rFonts w:ascii="Arial" w:eastAsia="宋体" w:hAnsi="Arial" w:cs="Arial"/>
                <w:color w:val="333333"/>
                <w:sz w:val="18"/>
                <w:szCs w:val="18"/>
              </w:rPr>
              <w:t>, due August 2047</w:t>
            </w:r>
          </w:p>
        </w:tc>
        <w:tc>
          <w:tcPr>
            <w:tcW w:w="0" w:type="auto"/>
            <w:gridSpan w:val="3"/>
            <w:shd w:val="clear" w:color="auto" w:fill="auto"/>
            <w:tcMar>
              <w:left w:w="20" w:type="dxa"/>
              <w:right w:w="20" w:type="dxa"/>
            </w:tcMar>
            <w:vAlign w:val="bottom"/>
          </w:tcPr>
          <w:p w14:paraId="20AE15D6"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5D7" w14:textId="77777777" w:rsidR="00B626E7" w:rsidRDefault="00175C1D">
            <w:pPr>
              <w:jc w:val="right"/>
              <w:textAlignment w:val="bottom"/>
            </w:pPr>
            <w:r>
              <w:rPr>
                <w:rFonts w:ascii="Arial" w:eastAsia="宋体" w:hAnsi="Arial" w:cs="Arial"/>
                <w:color w:val="026DCE"/>
                <w:sz w:val="18"/>
                <w:szCs w:val="18"/>
              </w:rPr>
              <w:t>2.20 </w:t>
            </w:r>
          </w:p>
        </w:tc>
        <w:tc>
          <w:tcPr>
            <w:tcW w:w="0" w:type="auto"/>
            <w:shd w:val="clear" w:color="auto" w:fill="auto"/>
            <w:tcMar>
              <w:top w:w="40" w:type="dxa"/>
              <w:bottom w:w="40" w:type="dxa"/>
              <w:right w:w="20" w:type="dxa"/>
            </w:tcMar>
            <w:vAlign w:val="bottom"/>
          </w:tcPr>
          <w:p w14:paraId="20AE15D8" w14:textId="77777777" w:rsidR="00B626E7" w:rsidRDefault="00175C1D">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20AE15D9"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5DA" w14:textId="77777777" w:rsidR="00B626E7" w:rsidRDefault="00175C1D">
            <w:pPr>
              <w:jc w:val="right"/>
              <w:textAlignment w:val="bottom"/>
            </w:pPr>
            <w:r>
              <w:rPr>
                <w:rFonts w:ascii="Arial" w:eastAsia="宋体" w:hAnsi="Arial" w:cs="Arial"/>
                <w:color w:val="026DCE"/>
                <w:sz w:val="18"/>
                <w:szCs w:val="18"/>
              </w:rPr>
              <w:t>640 </w:t>
            </w:r>
          </w:p>
        </w:tc>
        <w:tc>
          <w:tcPr>
            <w:tcW w:w="0" w:type="auto"/>
            <w:shd w:val="clear" w:color="auto" w:fill="auto"/>
            <w:tcMar>
              <w:top w:w="40" w:type="dxa"/>
              <w:bottom w:w="40" w:type="dxa"/>
              <w:right w:w="20" w:type="dxa"/>
            </w:tcMar>
            <w:vAlign w:val="bottom"/>
          </w:tcPr>
          <w:p w14:paraId="20AE15DB"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5DC"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5DD" w14:textId="77777777" w:rsidR="00B626E7" w:rsidRDefault="00175C1D">
            <w:pPr>
              <w:jc w:val="right"/>
              <w:textAlignment w:val="bottom"/>
            </w:pPr>
            <w:r>
              <w:rPr>
                <w:rFonts w:ascii="Arial" w:eastAsia="宋体" w:hAnsi="Arial" w:cs="Arial"/>
                <w:color w:val="333333"/>
                <w:sz w:val="18"/>
                <w:szCs w:val="18"/>
              </w:rPr>
              <w:t>640 </w:t>
            </w:r>
          </w:p>
        </w:tc>
        <w:tc>
          <w:tcPr>
            <w:tcW w:w="0" w:type="auto"/>
            <w:shd w:val="clear" w:color="auto" w:fill="auto"/>
            <w:tcMar>
              <w:top w:w="40" w:type="dxa"/>
              <w:bottom w:w="40" w:type="dxa"/>
              <w:right w:w="20" w:type="dxa"/>
            </w:tcMar>
            <w:vAlign w:val="bottom"/>
          </w:tcPr>
          <w:p w14:paraId="20AE15DE"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5DF" w14:textId="77777777" w:rsidR="00B626E7" w:rsidRDefault="00B626E7">
            <w:pPr>
              <w:rPr>
                <w:rFonts w:ascii="宋体"/>
              </w:rPr>
            </w:pPr>
          </w:p>
        </w:tc>
        <w:tc>
          <w:tcPr>
            <w:tcW w:w="0" w:type="auto"/>
            <w:shd w:val="clear" w:color="auto" w:fill="auto"/>
          </w:tcPr>
          <w:p w14:paraId="20AE15E0" w14:textId="77777777" w:rsidR="00B626E7" w:rsidRDefault="00B626E7">
            <w:pPr>
              <w:rPr>
                <w:rFonts w:ascii="宋体"/>
              </w:rPr>
            </w:pPr>
          </w:p>
        </w:tc>
        <w:tc>
          <w:tcPr>
            <w:tcW w:w="0" w:type="auto"/>
            <w:shd w:val="clear" w:color="auto" w:fill="auto"/>
          </w:tcPr>
          <w:p w14:paraId="20AE15E1" w14:textId="77777777" w:rsidR="00B626E7" w:rsidRDefault="00B626E7">
            <w:pPr>
              <w:rPr>
                <w:rFonts w:ascii="宋体"/>
              </w:rPr>
            </w:pPr>
          </w:p>
        </w:tc>
        <w:tc>
          <w:tcPr>
            <w:tcW w:w="0" w:type="auto"/>
            <w:shd w:val="clear" w:color="auto" w:fill="auto"/>
          </w:tcPr>
          <w:p w14:paraId="20AE15E2" w14:textId="77777777" w:rsidR="00B626E7" w:rsidRDefault="00B626E7">
            <w:pPr>
              <w:rPr>
                <w:rFonts w:ascii="宋体"/>
              </w:rPr>
            </w:pPr>
          </w:p>
        </w:tc>
        <w:tc>
          <w:tcPr>
            <w:tcW w:w="0" w:type="auto"/>
            <w:shd w:val="clear" w:color="auto" w:fill="auto"/>
          </w:tcPr>
          <w:p w14:paraId="20AE15E3" w14:textId="77777777" w:rsidR="00B626E7" w:rsidRDefault="00B626E7">
            <w:pPr>
              <w:rPr>
                <w:rFonts w:ascii="宋体"/>
              </w:rPr>
            </w:pPr>
          </w:p>
        </w:tc>
        <w:tc>
          <w:tcPr>
            <w:tcW w:w="0" w:type="auto"/>
            <w:shd w:val="clear" w:color="auto" w:fill="auto"/>
          </w:tcPr>
          <w:p w14:paraId="20AE15E4" w14:textId="77777777" w:rsidR="00B626E7" w:rsidRDefault="00B626E7">
            <w:pPr>
              <w:rPr>
                <w:rFonts w:ascii="宋体"/>
              </w:rPr>
            </w:pPr>
          </w:p>
        </w:tc>
      </w:tr>
      <w:tr w:rsidR="00B626E7" w14:paraId="20AE15F6" w14:textId="77777777">
        <w:tc>
          <w:tcPr>
            <w:tcW w:w="0" w:type="auto"/>
            <w:gridSpan w:val="3"/>
            <w:shd w:val="clear" w:color="auto" w:fill="auto"/>
            <w:tcMar>
              <w:top w:w="40" w:type="dxa"/>
              <w:left w:w="135" w:type="dxa"/>
              <w:bottom w:w="40" w:type="dxa"/>
              <w:right w:w="20" w:type="dxa"/>
            </w:tcMar>
            <w:vAlign w:val="center"/>
          </w:tcPr>
          <w:p w14:paraId="20AE15E6" w14:textId="77777777" w:rsidR="00B626E7" w:rsidRDefault="00175C1D">
            <w:pPr>
              <w:textAlignment w:val="center"/>
            </w:pPr>
            <w:r>
              <w:rPr>
                <w:rFonts w:ascii="Arial" w:eastAsia="宋体" w:hAnsi="Arial" w:cs="Arial"/>
                <w:color w:val="333333"/>
                <w:sz w:val="18"/>
                <w:szCs w:val="18"/>
              </w:rPr>
              <w:t>3.73%</w:t>
            </w:r>
            <w:r>
              <w:rPr>
                <w:rFonts w:ascii="Arial" w:eastAsia="宋体" w:hAnsi="Arial" w:cs="Arial"/>
                <w:color w:val="333333"/>
                <w:sz w:val="18"/>
                <w:szCs w:val="18"/>
              </w:rPr>
              <w:t>, due December 2047</w:t>
            </w:r>
          </w:p>
        </w:tc>
        <w:tc>
          <w:tcPr>
            <w:tcW w:w="0" w:type="auto"/>
            <w:gridSpan w:val="3"/>
            <w:shd w:val="clear" w:color="auto" w:fill="auto"/>
            <w:tcMar>
              <w:left w:w="20" w:type="dxa"/>
              <w:right w:w="20" w:type="dxa"/>
            </w:tcMar>
            <w:vAlign w:val="bottom"/>
          </w:tcPr>
          <w:p w14:paraId="20AE15E7"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5E8" w14:textId="77777777" w:rsidR="00B626E7" w:rsidRDefault="00175C1D">
            <w:pPr>
              <w:jc w:val="right"/>
              <w:textAlignment w:val="bottom"/>
            </w:pPr>
            <w:r>
              <w:rPr>
                <w:rFonts w:ascii="Arial" w:eastAsia="宋体" w:hAnsi="Arial" w:cs="Arial"/>
                <w:color w:val="026DCE"/>
                <w:sz w:val="18"/>
                <w:szCs w:val="18"/>
              </w:rPr>
              <w:t>2.89 </w:t>
            </w:r>
          </w:p>
        </w:tc>
        <w:tc>
          <w:tcPr>
            <w:tcW w:w="0" w:type="auto"/>
            <w:shd w:val="clear" w:color="auto" w:fill="auto"/>
            <w:tcMar>
              <w:top w:w="40" w:type="dxa"/>
              <w:bottom w:w="40" w:type="dxa"/>
              <w:right w:w="20" w:type="dxa"/>
            </w:tcMar>
            <w:vAlign w:val="bottom"/>
          </w:tcPr>
          <w:p w14:paraId="20AE15E9" w14:textId="77777777" w:rsidR="00B626E7" w:rsidRDefault="00175C1D">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20AE15EA"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5EB" w14:textId="77777777" w:rsidR="00B626E7" w:rsidRDefault="00175C1D">
            <w:pPr>
              <w:jc w:val="right"/>
              <w:textAlignment w:val="bottom"/>
            </w:pPr>
            <w:r>
              <w:rPr>
                <w:rFonts w:ascii="Arial" w:eastAsia="宋体" w:hAnsi="Arial" w:cs="Arial"/>
                <w:color w:val="026DCE"/>
                <w:sz w:val="18"/>
                <w:szCs w:val="18"/>
              </w:rPr>
              <w:t>1,967 </w:t>
            </w:r>
          </w:p>
        </w:tc>
        <w:tc>
          <w:tcPr>
            <w:tcW w:w="0" w:type="auto"/>
            <w:shd w:val="clear" w:color="auto" w:fill="auto"/>
            <w:tcMar>
              <w:top w:w="40" w:type="dxa"/>
              <w:bottom w:w="40" w:type="dxa"/>
              <w:right w:w="20" w:type="dxa"/>
            </w:tcMar>
            <w:vAlign w:val="bottom"/>
          </w:tcPr>
          <w:p w14:paraId="20AE15EC"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5ED"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5EE" w14:textId="77777777" w:rsidR="00B626E7" w:rsidRDefault="00175C1D">
            <w:pPr>
              <w:jc w:val="right"/>
              <w:textAlignment w:val="bottom"/>
            </w:pPr>
            <w:r>
              <w:rPr>
                <w:rFonts w:ascii="Arial" w:eastAsia="宋体" w:hAnsi="Arial" w:cs="Arial"/>
                <w:color w:val="333333"/>
                <w:sz w:val="18"/>
                <w:szCs w:val="18"/>
              </w:rPr>
              <w:t>1,967 </w:t>
            </w:r>
          </w:p>
        </w:tc>
        <w:tc>
          <w:tcPr>
            <w:tcW w:w="0" w:type="auto"/>
            <w:shd w:val="clear" w:color="auto" w:fill="auto"/>
            <w:tcMar>
              <w:top w:w="40" w:type="dxa"/>
              <w:bottom w:w="40" w:type="dxa"/>
              <w:right w:w="20" w:type="dxa"/>
            </w:tcMar>
            <w:vAlign w:val="bottom"/>
          </w:tcPr>
          <w:p w14:paraId="20AE15EF"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5F0" w14:textId="77777777" w:rsidR="00B626E7" w:rsidRDefault="00B626E7">
            <w:pPr>
              <w:rPr>
                <w:rFonts w:ascii="宋体"/>
              </w:rPr>
            </w:pPr>
          </w:p>
        </w:tc>
        <w:tc>
          <w:tcPr>
            <w:tcW w:w="0" w:type="auto"/>
            <w:shd w:val="clear" w:color="auto" w:fill="auto"/>
          </w:tcPr>
          <w:p w14:paraId="20AE15F1" w14:textId="77777777" w:rsidR="00B626E7" w:rsidRDefault="00B626E7">
            <w:pPr>
              <w:rPr>
                <w:rFonts w:ascii="宋体"/>
              </w:rPr>
            </w:pPr>
          </w:p>
        </w:tc>
        <w:tc>
          <w:tcPr>
            <w:tcW w:w="0" w:type="auto"/>
            <w:shd w:val="clear" w:color="auto" w:fill="auto"/>
          </w:tcPr>
          <w:p w14:paraId="20AE15F2" w14:textId="77777777" w:rsidR="00B626E7" w:rsidRDefault="00B626E7">
            <w:pPr>
              <w:rPr>
                <w:rFonts w:ascii="宋体"/>
              </w:rPr>
            </w:pPr>
          </w:p>
        </w:tc>
        <w:tc>
          <w:tcPr>
            <w:tcW w:w="0" w:type="auto"/>
            <w:shd w:val="clear" w:color="auto" w:fill="auto"/>
          </w:tcPr>
          <w:p w14:paraId="20AE15F3" w14:textId="77777777" w:rsidR="00B626E7" w:rsidRDefault="00B626E7">
            <w:pPr>
              <w:rPr>
                <w:rFonts w:ascii="宋体"/>
              </w:rPr>
            </w:pPr>
          </w:p>
        </w:tc>
        <w:tc>
          <w:tcPr>
            <w:tcW w:w="0" w:type="auto"/>
            <w:shd w:val="clear" w:color="auto" w:fill="auto"/>
          </w:tcPr>
          <w:p w14:paraId="20AE15F4" w14:textId="77777777" w:rsidR="00B626E7" w:rsidRDefault="00B626E7">
            <w:pPr>
              <w:rPr>
                <w:rFonts w:ascii="宋体"/>
              </w:rPr>
            </w:pPr>
          </w:p>
        </w:tc>
        <w:tc>
          <w:tcPr>
            <w:tcW w:w="0" w:type="auto"/>
            <w:shd w:val="clear" w:color="auto" w:fill="auto"/>
          </w:tcPr>
          <w:p w14:paraId="20AE15F5" w14:textId="77777777" w:rsidR="00B626E7" w:rsidRDefault="00B626E7">
            <w:pPr>
              <w:rPr>
                <w:rFonts w:ascii="宋体"/>
              </w:rPr>
            </w:pPr>
          </w:p>
        </w:tc>
      </w:tr>
      <w:tr w:rsidR="00B626E7" w14:paraId="20AE1607" w14:textId="77777777">
        <w:tc>
          <w:tcPr>
            <w:tcW w:w="0" w:type="auto"/>
            <w:gridSpan w:val="3"/>
            <w:shd w:val="clear" w:color="auto" w:fill="auto"/>
            <w:tcMar>
              <w:top w:w="40" w:type="dxa"/>
              <w:left w:w="135" w:type="dxa"/>
              <w:bottom w:w="40" w:type="dxa"/>
              <w:right w:w="20" w:type="dxa"/>
            </w:tcMar>
            <w:vAlign w:val="center"/>
          </w:tcPr>
          <w:p w14:paraId="20AE15F7" w14:textId="77777777" w:rsidR="00B626E7" w:rsidRDefault="00175C1D">
            <w:pPr>
              <w:textAlignment w:val="center"/>
            </w:pPr>
            <w:r>
              <w:rPr>
                <w:rFonts w:ascii="Arial" w:eastAsia="宋体" w:hAnsi="Arial" w:cs="Arial"/>
                <w:color w:val="333333"/>
                <w:sz w:val="18"/>
                <w:szCs w:val="18"/>
              </w:rPr>
              <w:t>3.25%, due November 2049</w:t>
            </w:r>
          </w:p>
        </w:tc>
        <w:tc>
          <w:tcPr>
            <w:tcW w:w="0" w:type="auto"/>
            <w:gridSpan w:val="3"/>
            <w:shd w:val="clear" w:color="auto" w:fill="auto"/>
            <w:tcMar>
              <w:left w:w="20" w:type="dxa"/>
              <w:right w:w="20" w:type="dxa"/>
            </w:tcMar>
            <w:vAlign w:val="bottom"/>
          </w:tcPr>
          <w:p w14:paraId="20AE15F8"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5F9" w14:textId="77777777" w:rsidR="00B626E7" w:rsidRDefault="00175C1D">
            <w:pPr>
              <w:jc w:val="right"/>
              <w:textAlignment w:val="bottom"/>
            </w:pPr>
            <w:r>
              <w:rPr>
                <w:rFonts w:ascii="Arial" w:eastAsia="宋体" w:hAnsi="Arial" w:cs="Arial"/>
                <w:color w:val="026DCE"/>
                <w:sz w:val="18"/>
                <w:szCs w:val="18"/>
              </w:rPr>
              <w:t>3.19 </w:t>
            </w:r>
          </w:p>
        </w:tc>
        <w:tc>
          <w:tcPr>
            <w:tcW w:w="0" w:type="auto"/>
            <w:shd w:val="clear" w:color="auto" w:fill="auto"/>
            <w:tcMar>
              <w:top w:w="40" w:type="dxa"/>
              <w:bottom w:w="40" w:type="dxa"/>
              <w:right w:w="20" w:type="dxa"/>
            </w:tcMar>
            <w:vAlign w:val="bottom"/>
          </w:tcPr>
          <w:p w14:paraId="20AE15FA" w14:textId="77777777" w:rsidR="00B626E7" w:rsidRDefault="00175C1D">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20AE15FB"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5FC" w14:textId="77777777" w:rsidR="00B626E7" w:rsidRDefault="00175C1D">
            <w:pPr>
              <w:jc w:val="right"/>
              <w:textAlignment w:val="bottom"/>
            </w:pPr>
            <w:r>
              <w:rPr>
                <w:rFonts w:ascii="Arial" w:eastAsia="宋体" w:hAnsi="Arial" w:cs="Arial"/>
                <w:color w:val="026DCE"/>
                <w:sz w:val="18"/>
                <w:szCs w:val="18"/>
              </w:rPr>
              <w:t>2,000 </w:t>
            </w:r>
          </w:p>
        </w:tc>
        <w:tc>
          <w:tcPr>
            <w:tcW w:w="0" w:type="auto"/>
            <w:shd w:val="clear" w:color="auto" w:fill="auto"/>
            <w:tcMar>
              <w:top w:w="40" w:type="dxa"/>
              <w:bottom w:w="40" w:type="dxa"/>
              <w:right w:w="20" w:type="dxa"/>
            </w:tcMar>
            <w:vAlign w:val="bottom"/>
          </w:tcPr>
          <w:p w14:paraId="20AE15FD"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5FE"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5FF" w14:textId="77777777" w:rsidR="00B626E7" w:rsidRDefault="00175C1D">
            <w:pPr>
              <w:jc w:val="right"/>
              <w:textAlignment w:val="bottom"/>
            </w:pPr>
            <w:r>
              <w:rPr>
                <w:rFonts w:ascii="Arial" w:eastAsia="宋体" w:hAnsi="Arial" w:cs="Arial"/>
                <w:color w:val="333333"/>
                <w:sz w:val="18"/>
                <w:szCs w:val="18"/>
              </w:rPr>
              <w:t>1,500 </w:t>
            </w:r>
          </w:p>
        </w:tc>
        <w:tc>
          <w:tcPr>
            <w:tcW w:w="0" w:type="auto"/>
            <w:shd w:val="clear" w:color="auto" w:fill="auto"/>
            <w:tcMar>
              <w:top w:w="40" w:type="dxa"/>
              <w:bottom w:w="40" w:type="dxa"/>
              <w:right w:w="20" w:type="dxa"/>
            </w:tcMar>
            <w:vAlign w:val="bottom"/>
          </w:tcPr>
          <w:p w14:paraId="20AE1600"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601" w14:textId="77777777" w:rsidR="00B626E7" w:rsidRDefault="00B626E7">
            <w:pPr>
              <w:rPr>
                <w:rFonts w:ascii="宋体"/>
              </w:rPr>
            </w:pPr>
          </w:p>
        </w:tc>
        <w:tc>
          <w:tcPr>
            <w:tcW w:w="0" w:type="auto"/>
            <w:shd w:val="clear" w:color="auto" w:fill="auto"/>
          </w:tcPr>
          <w:p w14:paraId="20AE1602" w14:textId="77777777" w:rsidR="00B626E7" w:rsidRDefault="00B626E7">
            <w:pPr>
              <w:rPr>
                <w:rFonts w:ascii="宋体"/>
              </w:rPr>
            </w:pPr>
          </w:p>
        </w:tc>
        <w:tc>
          <w:tcPr>
            <w:tcW w:w="0" w:type="auto"/>
            <w:shd w:val="clear" w:color="auto" w:fill="auto"/>
          </w:tcPr>
          <w:p w14:paraId="20AE1603" w14:textId="77777777" w:rsidR="00B626E7" w:rsidRDefault="00B626E7">
            <w:pPr>
              <w:rPr>
                <w:rFonts w:ascii="宋体"/>
              </w:rPr>
            </w:pPr>
          </w:p>
        </w:tc>
        <w:tc>
          <w:tcPr>
            <w:tcW w:w="0" w:type="auto"/>
            <w:shd w:val="clear" w:color="auto" w:fill="auto"/>
          </w:tcPr>
          <w:p w14:paraId="20AE1604" w14:textId="77777777" w:rsidR="00B626E7" w:rsidRDefault="00B626E7">
            <w:pPr>
              <w:rPr>
                <w:rFonts w:ascii="宋体"/>
              </w:rPr>
            </w:pPr>
          </w:p>
        </w:tc>
        <w:tc>
          <w:tcPr>
            <w:tcW w:w="0" w:type="auto"/>
            <w:shd w:val="clear" w:color="auto" w:fill="auto"/>
          </w:tcPr>
          <w:p w14:paraId="20AE1605" w14:textId="77777777" w:rsidR="00B626E7" w:rsidRDefault="00B626E7">
            <w:pPr>
              <w:rPr>
                <w:rFonts w:ascii="宋体"/>
              </w:rPr>
            </w:pPr>
          </w:p>
        </w:tc>
        <w:tc>
          <w:tcPr>
            <w:tcW w:w="0" w:type="auto"/>
            <w:shd w:val="clear" w:color="auto" w:fill="auto"/>
          </w:tcPr>
          <w:p w14:paraId="20AE1606" w14:textId="77777777" w:rsidR="00B626E7" w:rsidRDefault="00B626E7">
            <w:pPr>
              <w:rPr>
                <w:rFonts w:ascii="宋体"/>
              </w:rPr>
            </w:pPr>
          </w:p>
        </w:tc>
      </w:tr>
      <w:tr w:rsidR="00B626E7" w14:paraId="20AE1618" w14:textId="77777777">
        <w:tc>
          <w:tcPr>
            <w:tcW w:w="0" w:type="auto"/>
            <w:gridSpan w:val="3"/>
            <w:shd w:val="clear" w:color="auto" w:fill="auto"/>
            <w:tcMar>
              <w:top w:w="40" w:type="dxa"/>
              <w:left w:w="135" w:type="dxa"/>
              <w:bottom w:w="40" w:type="dxa"/>
              <w:right w:w="20" w:type="dxa"/>
            </w:tcMar>
            <w:vAlign w:val="center"/>
          </w:tcPr>
          <w:p w14:paraId="20AE1608" w14:textId="77777777" w:rsidR="00B626E7" w:rsidRDefault="00175C1D">
            <w:pPr>
              <w:textAlignment w:val="center"/>
            </w:pPr>
            <w:r>
              <w:rPr>
                <w:rFonts w:ascii="Arial" w:eastAsia="宋体" w:hAnsi="Arial" w:cs="Arial"/>
                <w:color w:val="333333"/>
                <w:sz w:val="18"/>
                <w:szCs w:val="18"/>
              </w:rPr>
              <w:t>4.75%, due March 2050</w:t>
            </w:r>
          </w:p>
        </w:tc>
        <w:tc>
          <w:tcPr>
            <w:tcW w:w="0" w:type="auto"/>
            <w:gridSpan w:val="3"/>
            <w:shd w:val="clear" w:color="auto" w:fill="auto"/>
            <w:tcMar>
              <w:left w:w="20" w:type="dxa"/>
              <w:right w:w="20" w:type="dxa"/>
            </w:tcMar>
            <w:vAlign w:val="bottom"/>
          </w:tcPr>
          <w:p w14:paraId="20AE1609"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60A" w14:textId="77777777" w:rsidR="00B626E7" w:rsidRDefault="00175C1D">
            <w:pPr>
              <w:jc w:val="right"/>
              <w:textAlignment w:val="bottom"/>
            </w:pPr>
            <w:r>
              <w:rPr>
                <w:rFonts w:ascii="Arial" w:eastAsia="宋体" w:hAnsi="Arial" w:cs="Arial"/>
                <w:color w:val="026DCE"/>
                <w:sz w:val="18"/>
                <w:szCs w:val="18"/>
              </w:rPr>
              <w:t>4.76 </w:t>
            </w:r>
          </w:p>
        </w:tc>
        <w:tc>
          <w:tcPr>
            <w:tcW w:w="0" w:type="auto"/>
            <w:shd w:val="clear" w:color="auto" w:fill="auto"/>
            <w:tcMar>
              <w:top w:w="40" w:type="dxa"/>
              <w:bottom w:w="40" w:type="dxa"/>
              <w:right w:w="20" w:type="dxa"/>
            </w:tcMar>
            <w:vAlign w:val="bottom"/>
          </w:tcPr>
          <w:p w14:paraId="20AE160B" w14:textId="77777777" w:rsidR="00B626E7" w:rsidRDefault="00175C1D">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20AE160C"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60D" w14:textId="77777777" w:rsidR="00B626E7" w:rsidRDefault="00175C1D">
            <w:pPr>
              <w:jc w:val="right"/>
              <w:textAlignment w:val="bottom"/>
            </w:pPr>
            <w:r>
              <w:rPr>
                <w:rFonts w:ascii="Arial" w:eastAsia="宋体" w:hAnsi="Arial" w:cs="Arial"/>
                <w:color w:val="026DCE"/>
                <w:sz w:val="18"/>
                <w:szCs w:val="18"/>
              </w:rPr>
              <w:t>2,250 </w:t>
            </w:r>
          </w:p>
        </w:tc>
        <w:tc>
          <w:tcPr>
            <w:tcW w:w="0" w:type="auto"/>
            <w:shd w:val="clear" w:color="auto" w:fill="auto"/>
            <w:tcMar>
              <w:top w:w="40" w:type="dxa"/>
              <w:bottom w:w="40" w:type="dxa"/>
              <w:right w:w="20" w:type="dxa"/>
            </w:tcMar>
            <w:vAlign w:val="bottom"/>
          </w:tcPr>
          <w:p w14:paraId="20AE160E"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60F"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610"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1611"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612" w14:textId="77777777" w:rsidR="00B626E7" w:rsidRDefault="00B626E7">
            <w:pPr>
              <w:rPr>
                <w:rFonts w:ascii="宋体"/>
              </w:rPr>
            </w:pPr>
          </w:p>
        </w:tc>
        <w:tc>
          <w:tcPr>
            <w:tcW w:w="0" w:type="auto"/>
            <w:shd w:val="clear" w:color="auto" w:fill="auto"/>
          </w:tcPr>
          <w:p w14:paraId="20AE1613" w14:textId="77777777" w:rsidR="00B626E7" w:rsidRDefault="00B626E7">
            <w:pPr>
              <w:rPr>
                <w:rFonts w:ascii="宋体"/>
              </w:rPr>
            </w:pPr>
          </w:p>
        </w:tc>
        <w:tc>
          <w:tcPr>
            <w:tcW w:w="0" w:type="auto"/>
            <w:shd w:val="clear" w:color="auto" w:fill="auto"/>
          </w:tcPr>
          <w:p w14:paraId="20AE1614" w14:textId="77777777" w:rsidR="00B626E7" w:rsidRDefault="00B626E7">
            <w:pPr>
              <w:rPr>
                <w:rFonts w:ascii="宋体"/>
              </w:rPr>
            </w:pPr>
          </w:p>
        </w:tc>
        <w:tc>
          <w:tcPr>
            <w:tcW w:w="0" w:type="auto"/>
            <w:shd w:val="clear" w:color="auto" w:fill="auto"/>
          </w:tcPr>
          <w:p w14:paraId="20AE1615" w14:textId="77777777" w:rsidR="00B626E7" w:rsidRDefault="00B626E7">
            <w:pPr>
              <w:rPr>
                <w:rFonts w:ascii="宋体"/>
              </w:rPr>
            </w:pPr>
          </w:p>
        </w:tc>
        <w:tc>
          <w:tcPr>
            <w:tcW w:w="0" w:type="auto"/>
            <w:shd w:val="clear" w:color="auto" w:fill="auto"/>
          </w:tcPr>
          <w:p w14:paraId="20AE1616" w14:textId="77777777" w:rsidR="00B626E7" w:rsidRDefault="00B626E7">
            <w:pPr>
              <w:rPr>
                <w:rFonts w:ascii="宋体"/>
              </w:rPr>
            </w:pPr>
          </w:p>
        </w:tc>
        <w:tc>
          <w:tcPr>
            <w:tcW w:w="0" w:type="auto"/>
            <w:shd w:val="clear" w:color="auto" w:fill="auto"/>
          </w:tcPr>
          <w:p w14:paraId="20AE1617" w14:textId="77777777" w:rsidR="00B626E7" w:rsidRDefault="00B626E7">
            <w:pPr>
              <w:rPr>
                <w:rFonts w:ascii="宋体"/>
              </w:rPr>
            </w:pPr>
          </w:p>
        </w:tc>
      </w:tr>
      <w:tr w:rsidR="00B626E7" w14:paraId="20AE1629" w14:textId="77777777">
        <w:tc>
          <w:tcPr>
            <w:tcW w:w="0" w:type="auto"/>
            <w:gridSpan w:val="3"/>
            <w:shd w:val="clear" w:color="auto" w:fill="auto"/>
            <w:tcMar>
              <w:top w:w="40" w:type="dxa"/>
              <w:left w:w="135" w:type="dxa"/>
              <w:bottom w:w="40" w:type="dxa"/>
              <w:right w:w="20" w:type="dxa"/>
            </w:tcMar>
            <w:vAlign w:val="center"/>
          </w:tcPr>
          <w:p w14:paraId="20AE1619" w14:textId="77777777" w:rsidR="00B626E7" w:rsidRDefault="00175C1D">
            <w:pPr>
              <w:textAlignment w:val="center"/>
            </w:pPr>
            <w:r>
              <w:rPr>
                <w:rFonts w:ascii="Arial" w:eastAsia="宋体" w:hAnsi="Arial" w:cs="Arial"/>
                <w:color w:val="333333"/>
                <w:sz w:val="18"/>
                <w:szCs w:val="18"/>
              </w:rPr>
              <w:t>3.10%</w:t>
            </w:r>
            <w:r>
              <w:rPr>
                <w:rFonts w:ascii="Arial" w:eastAsia="宋体" w:hAnsi="Arial" w:cs="Arial"/>
                <w:color w:val="333333"/>
                <w:sz w:val="18"/>
                <w:szCs w:val="18"/>
              </w:rPr>
              <w:t>, due February 2060</w:t>
            </w:r>
          </w:p>
        </w:tc>
        <w:tc>
          <w:tcPr>
            <w:tcW w:w="0" w:type="auto"/>
            <w:gridSpan w:val="3"/>
            <w:shd w:val="clear" w:color="auto" w:fill="auto"/>
            <w:tcMar>
              <w:left w:w="20" w:type="dxa"/>
              <w:right w:w="20" w:type="dxa"/>
            </w:tcMar>
            <w:vAlign w:val="bottom"/>
          </w:tcPr>
          <w:p w14:paraId="20AE161A"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61B" w14:textId="77777777" w:rsidR="00B626E7" w:rsidRDefault="00175C1D">
            <w:pPr>
              <w:jc w:val="right"/>
              <w:textAlignment w:val="bottom"/>
            </w:pPr>
            <w:r>
              <w:rPr>
                <w:rFonts w:ascii="Arial" w:eastAsia="宋体" w:hAnsi="Arial" w:cs="Arial"/>
                <w:color w:val="026DCE"/>
                <w:sz w:val="18"/>
                <w:szCs w:val="18"/>
              </w:rPr>
              <w:t>3.12 </w:t>
            </w:r>
          </w:p>
        </w:tc>
        <w:tc>
          <w:tcPr>
            <w:tcW w:w="0" w:type="auto"/>
            <w:shd w:val="clear" w:color="auto" w:fill="auto"/>
            <w:tcMar>
              <w:top w:w="40" w:type="dxa"/>
              <w:bottom w:w="40" w:type="dxa"/>
              <w:right w:w="20" w:type="dxa"/>
            </w:tcMar>
            <w:vAlign w:val="bottom"/>
          </w:tcPr>
          <w:p w14:paraId="20AE161C" w14:textId="77777777" w:rsidR="00B626E7" w:rsidRDefault="00175C1D">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20AE161D"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61E" w14:textId="77777777" w:rsidR="00B626E7" w:rsidRDefault="00175C1D">
            <w:pPr>
              <w:jc w:val="right"/>
              <w:textAlignment w:val="bottom"/>
            </w:pPr>
            <w:r>
              <w:rPr>
                <w:rFonts w:ascii="Arial" w:eastAsia="宋体" w:hAnsi="Arial" w:cs="Arial"/>
                <w:color w:val="026DCE"/>
                <w:sz w:val="18"/>
                <w:szCs w:val="18"/>
              </w:rPr>
              <w:t>1,000 </w:t>
            </w:r>
          </w:p>
        </w:tc>
        <w:tc>
          <w:tcPr>
            <w:tcW w:w="0" w:type="auto"/>
            <w:shd w:val="clear" w:color="auto" w:fill="auto"/>
            <w:tcMar>
              <w:top w:w="40" w:type="dxa"/>
              <w:bottom w:w="40" w:type="dxa"/>
              <w:right w:w="20" w:type="dxa"/>
            </w:tcMar>
            <w:vAlign w:val="bottom"/>
          </w:tcPr>
          <w:p w14:paraId="20AE161F"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620"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621"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1622"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623" w14:textId="77777777" w:rsidR="00B626E7" w:rsidRDefault="00B626E7">
            <w:pPr>
              <w:rPr>
                <w:rFonts w:ascii="宋体"/>
              </w:rPr>
            </w:pPr>
          </w:p>
        </w:tc>
        <w:tc>
          <w:tcPr>
            <w:tcW w:w="0" w:type="auto"/>
            <w:shd w:val="clear" w:color="auto" w:fill="auto"/>
          </w:tcPr>
          <w:p w14:paraId="20AE1624" w14:textId="77777777" w:rsidR="00B626E7" w:rsidRDefault="00B626E7">
            <w:pPr>
              <w:rPr>
                <w:rFonts w:ascii="宋体"/>
              </w:rPr>
            </w:pPr>
          </w:p>
        </w:tc>
        <w:tc>
          <w:tcPr>
            <w:tcW w:w="0" w:type="auto"/>
            <w:shd w:val="clear" w:color="auto" w:fill="auto"/>
          </w:tcPr>
          <w:p w14:paraId="20AE1625" w14:textId="77777777" w:rsidR="00B626E7" w:rsidRDefault="00B626E7">
            <w:pPr>
              <w:rPr>
                <w:rFonts w:ascii="宋体"/>
              </w:rPr>
            </w:pPr>
          </w:p>
        </w:tc>
        <w:tc>
          <w:tcPr>
            <w:tcW w:w="0" w:type="auto"/>
            <w:shd w:val="clear" w:color="auto" w:fill="auto"/>
          </w:tcPr>
          <w:p w14:paraId="20AE1626" w14:textId="77777777" w:rsidR="00B626E7" w:rsidRDefault="00B626E7">
            <w:pPr>
              <w:rPr>
                <w:rFonts w:ascii="宋体"/>
              </w:rPr>
            </w:pPr>
          </w:p>
        </w:tc>
        <w:tc>
          <w:tcPr>
            <w:tcW w:w="0" w:type="auto"/>
            <w:shd w:val="clear" w:color="auto" w:fill="auto"/>
          </w:tcPr>
          <w:p w14:paraId="20AE1627" w14:textId="77777777" w:rsidR="00B626E7" w:rsidRDefault="00B626E7">
            <w:pPr>
              <w:rPr>
                <w:rFonts w:ascii="宋体"/>
              </w:rPr>
            </w:pPr>
          </w:p>
        </w:tc>
        <w:tc>
          <w:tcPr>
            <w:tcW w:w="0" w:type="auto"/>
            <w:shd w:val="clear" w:color="auto" w:fill="auto"/>
          </w:tcPr>
          <w:p w14:paraId="20AE1628" w14:textId="77777777" w:rsidR="00B626E7" w:rsidRDefault="00B626E7">
            <w:pPr>
              <w:rPr>
                <w:rFonts w:ascii="宋体"/>
              </w:rPr>
            </w:pPr>
          </w:p>
        </w:tc>
      </w:tr>
      <w:tr w:rsidR="00B626E7" w14:paraId="20AE163A" w14:textId="77777777">
        <w:tc>
          <w:tcPr>
            <w:tcW w:w="0" w:type="auto"/>
            <w:gridSpan w:val="3"/>
            <w:shd w:val="clear" w:color="auto" w:fill="auto"/>
            <w:tcMar>
              <w:top w:w="40" w:type="dxa"/>
              <w:left w:w="135" w:type="dxa"/>
              <w:bottom w:w="40" w:type="dxa"/>
              <w:right w:w="20" w:type="dxa"/>
            </w:tcMar>
            <w:vAlign w:val="center"/>
          </w:tcPr>
          <w:p w14:paraId="20AE162A" w14:textId="77777777" w:rsidR="00B626E7" w:rsidRDefault="00175C1D">
            <w:pPr>
              <w:textAlignment w:val="center"/>
            </w:pPr>
            <w:r>
              <w:rPr>
                <w:rFonts w:ascii="Arial" w:eastAsia="宋体" w:hAnsi="Arial" w:cs="Arial"/>
                <w:color w:val="333333"/>
                <w:sz w:val="18"/>
                <w:szCs w:val="18"/>
              </w:rPr>
              <w:t>4.95%</w:t>
            </w:r>
            <w:r>
              <w:rPr>
                <w:rFonts w:ascii="Arial" w:eastAsia="宋体" w:hAnsi="Arial" w:cs="Arial"/>
                <w:color w:val="333333"/>
                <w:sz w:val="18"/>
                <w:szCs w:val="18"/>
              </w:rPr>
              <w:t>, due March 2060</w:t>
            </w:r>
          </w:p>
        </w:tc>
        <w:tc>
          <w:tcPr>
            <w:tcW w:w="0" w:type="auto"/>
            <w:gridSpan w:val="3"/>
            <w:shd w:val="clear" w:color="auto" w:fill="auto"/>
            <w:tcMar>
              <w:left w:w="20" w:type="dxa"/>
              <w:right w:w="20" w:type="dxa"/>
            </w:tcMar>
            <w:vAlign w:val="bottom"/>
          </w:tcPr>
          <w:p w14:paraId="20AE162B"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62C" w14:textId="77777777" w:rsidR="00B626E7" w:rsidRDefault="00175C1D">
            <w:pPr>
              <w:jc w:val="right"/>
              <w:textAlignment w:val="bottom"/>
            </w:pPr>
            <w:r>
              <w:rPr>
                <w:rFonts w:ascii="Arial" w:eastAsia="宋体" w:hAnsi="Arial" w:cs="Arial"/>
                <w:color w:val="026DCE"/>
                <w:sz w:val="18"/>
                <w:szCs w:val="18"/>
              </w:rPr>
              <w:t>5.00 </w:t>
            </w:r>
          </w:p>
        </w:tc>
        <w:tc>
          <w:tcPr>
            <w:tcW w:w="0" w:type="auto"/>
            <w:shd w:val="clear" w:color="auto" w:fill="auto"/>
            <w:tcMar>
              <w:top w:w="40" w:type="dxa"/>
              <w:bottom w:w="40" w:type="dxa"/>
              <w:right w:w="20" w:type="dxa"/>
            </w:tcMar>
            <w:vAlign w:val="bottom"/>
          </w:tcPr>
          <w:p w14:paraId="20AE162D" w14:textId="77777777" w:rsidR="00B626E7" w:rsidRDefault="00175C1D">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20AE162E"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62F" w14:textId="77777777" w:rsidR="00B626E7" w:rsidRDefault="00175C1D">
            <w:pPr>
              <w:jc w:val="right"/>
              <w:textAlignment w:val="bottom"/>
            </w:pPr>
            <w:r>
              <w:rPr>
                <w:rFonts w:ascii="Arial" w:eastAsia="宋体" w:hAnsi="Arial" w:cs="Arial"/>
                <w:color w:val="026DCE"/>
                <w:sz w:val="18"/>
                <w:szCs w:val="18"/>
              </w:rPr>
              <w:t>1,000 </w:t>
            </w:r>
          </w:p>
        </w:tc>
        <w:tc>
          <w:tcPr>
            <w:tcW w:w="0" w:type="auto"/>
            <w:shd w:val="clear" w:color="auto" w:fill="auto"/>
            <w:tcMar>
              <w:top w:w="40" w:type="dxa"/>
              <w:bottom w:w="40" w:type="dxa"/>
              <w:right w:w="20" w:type="dxa"/>
            </w:tcMar>
            <w:vAlign w:val="bottom"/>
          </w:tcPr>
          <w:p w14:paraId="20AE1630"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631"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632"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1633"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634" w14:textId="77777777" w:rsidR="00B626E7" w:rsidRDefault="00B626E7">
            <w:pPr>
              <w:rPr>
                <w:rFonts w:ascii="宋体"/>
              </w:rPr>
            </w:pPr>
          </w:p>
        </w:tc>
        <w:tc>
          <w:tcPr>
            <w:tcW w:w="0" w:type="auto"/>
            <w:shd w:val="clear" w:color="auto" w:fill="auto"/>
          </w:tcPr>
          <w:p w14:paraId="20AE1635" w14:textId="77777777" w:rsidR="00B626E7" w:rsidRDefault="00B626E7">
            <w:pPr>
              <w:rPr>
                <w:rFonts w:ascii="宋体"/>
              </w:rPr>
            </w:pPr>
          </w:p>
        </w:tc>
        <w:tc>
          <w:tcPr>
            <w:tcW w:w="0" w:type="auto"/>
            <w:shd w:val="clear" w:color="auto" w:fill="auto"/>
          </w:tcPr>
          <w:p w14:paraId="20AE1636" w14:textId="77777777" w:rsidR="00B626E7" w:rsidRDefault="00B626E7">
            <w:pPr>
              <w:rPr>
                <w:rFonts w:ascii="宋体"/>
              </w:rPr>
            </w:pPr>
          </w:p>
        </w:tc>
        <w:tc>
          <w:tcPr>
            <w:tcW w:w="0" w:type="auto"/>
            <w:shd w:val="clear" w:color="auto" w:fill="auto"/>
          </w:tcPr>
          <w:p w14:paraId="20AE1637" w14:textId="77777777" w:rsidR="00B626E7" w:rsidRDefault="00B626E7">
            <w:pPr>
              <w:rPr>
                <w:rFonts w:ascii="宋体"/>
              </w:rPr>
            </w:pPr>
          </w:p>
        </w:tc>
        <w:tc>
          <w:tcPr>
            <w:tcW w:w="0" w:type="auto"/>
            <w:shd w:val="clear" w:color="auto" w:fill="auto"/>
          </w:tcPr>
          <w:p w14:paraId="20AE1638" w14:textId="77777777" w:rsidR="00B626E7" w:rsidRDefault="00B626E7">
            <w:pPr>
              <w:rPr>
                <w:rFonts w:ascii="宋体"/>
              </w:rPr>
            </w:pPr>
          </w:p>
        </w:tc>
        <w:tc>
          <w:tcPr>
            <w:tcW w:w="0" w:type="auto"/>
            <w:shd w:val="clear" w:color="auto" w:fill="auto"/>
          </w:tcPr>
          <w:p w14:paraId="20AE1639" w14:textId="77777777" w:rsidR="00B626E7" w:rsidRDefault="00B626E7">
            <w:pPr>
              <w:rPr>
                <w:rFonts w:ascii="宋体"/>
              </w:rPr>
            </w:pPr>
          </w:p>
        </w:tc>
      </w:tr>
      <w:tr w:rsidR="00B626E7" w14:paraId="20AE1648" w14:textId="77777777">
        <w:tc>
          <w:tcPr>
            <w:tcW w:w="0" w:type="auto"/>
            <w:gridSpan w:val="3"/>
            <w:shd w:val="clear" w:color="auto" w:fill="auto"/>
            <w:tcMar>
              <w:top w:w="40" w:type="dxa"/>
              <w:left w:w="20" w:type="dxa"/>
              <w:bottom w:w="40" w:type="dxa"/>
              <w:right w:w="20" w:type="dxa"/>
            </w:tcMar>
            <w:vAlign w:val="center"/>
          </w:tcPr>
          <w:p w14:paraId="20AE163B" w14:textId="77777777" w:rsidR="00B626E7" w:rsidRDefault="00175C1D">
            <w:pPr>
              <w:textAlignment w:val="center"/>
            </w:pPr>
            <w:r>
              <w:rPr>
                <w:rFonts w:ascii="Arial" w:eastAsia="宋体" w:hAnsi="Arial" w:cs="Arial"/>
                <w:color w:val="333333"/>
                <w:sz w:val="18"/>
                <w:szCs w:val="18"/>
              </w:rPr>
              <w:t>Orego</w:t>
            </w:r>
            <w:r>
              <w:rPr>
                <w:rFonts w:ascii="Arial" w:eastAsia="宋体" w:hAnsi="Arial" w:cs="Arial"/>
                <w:color w:val="333333"/>
                <w:sz w:val="18"/>
                <w:szCs w:val="18"/>
              </w:rPr>
              <w:t>n and Arizona bonds:</w:t>
            </w:r>
          </w:p>
        </w:tc>
        <w:tc>
          <w:tcPr>
            <w:tcW w:w="0" w:type="auto"/>
            <w:gridSpan w:val="3"/>
            <w:shd w:val="clear" w:color="auto" w:fill="auto"/>
            <w:tcMar>
              <w:left w:w="20" w:type="dxa"/>
              <w:right w:w="20" w:type="dxa"/>
            </w:tcMar>
            <w:vAlign w:val="bottom"/>
          </w:tcPr>
          <w:p w14:paraId="20AE163C"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63D"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63E"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63F" w14:textId="77777777" w:rsidR="00B626E7" w:rsidRDefault="00B626E7">
            <w:pPr>
              <w:jc w:val="right"/>
              <w:rPr>
                <w:rFonts w:ascii="宋体"/>
              </w:rPr>
            </w:pPr>
          </w:p>
        </w:tc>
        <w:tc>
          <w:tcPr>
            <w:tcW w:w="0" w:type="auto"/>
            <w:gridSpan w:val="3"/>
            <w:shd w:val="clear" w:color="auto" w:fill="auto"/>
            <w:tcMar>
              <w:left w:w="20" w:type="dxa"/>
              <w:right w:w="20" w:type="dxa"/>
            </w:tcMar>
            <w:vAlign w:val="bottom"/>
          </w:tcPr>
          <w:p w14:paraId="20AE1640"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641" w14:textId="77777777" w:rsidR="00B626E7" w:rsidRDefault="00B626E7">
            <w:pPr>
              <w:rPr>
                <w:rFonts w:ascii="宋体"/>
              </w:rPr>
            </w:pPr>
          </w:p>
        </w:tc>
        <w:tc>
          <w:tcPr>
            <w:tcW w:w="0" w:type="auto"/>
            <w:shd w:val="clear" w:color="auto" w:fill="auto"/>
          </w:tcPr>
          <w:p w14:paraId="20AE1642" w14:textId="77777777" w:rsidR="00B626E7" w:rsidRDefault="00B626E7">
            <w:pPr>
              <w:rPr>
                <w:rFonts w:ascii="宋体"/>
              </w:rPr>
            </w:pPr>
          </w:p>
        </w:tc>
        <w:tc>
          <w:tcPr>
            <w:tcW w:w="0" w:type="auto"/>
            <w:shd w:val="clear" w:color="auto" w:fill="auto"/>
          </w:tcPr>
          <w:p w14:paraId="20AE1643" w14:textId="77777777" w:rsidR="00B626E7" w:rsidRDefault="00B626E7">
            <w:pPr>
              <w:rPr>
                <w:rFonts w:ascii="宋体"/>
              </w:rPr>
            </w:pPr>
          </w:p>
        </w:tc>
        <w:tc>
          <w:tcPr>
            <w:tcW w:w="0" w:type="auto"/>
            <w:shd w:val="clear" w:color="auto" w:fill="auto"/>
          </w:tcPr>
          <w:p w14:paraId="20AE1644" w14:textId="77777777" w:rsidR="00B626E7" w:rsidRDefault="00B626E7">
            <w:pPr>
              <w:rPr>
                <w:rFonts w:ascii="宋体"/>
              </w:rPr>
            </w:pPr>
          </w:p>
        </w:tc>
        <w:tc>
          <w:tcPr>
            <w:tcW w:w="0" w:type="auto"/>
            <w:shd w:val="clear" w:color="auto" w:fill="auto"/>
          </w:tcPr>
          <w:p w14:paraId="20AE1645" w14:textId="77777777" w:rsidR="00B626E7" w:rsidRDefault="00B626E7">
            <w:pPr>
              <w:rPr>
                <w:rFonts w:ascii="宋体"/>
              </w:rPr>
            </w:pPr>
          </w:p>
        </w:tc>
        <w:tc>
          <w:tcPr>
            <w:tcW w:w="0" w:type="auto"/>
            <w:shd w:val="clear" w:color="auto" w:fill="auto"/>
          </w:tcPr>
          <w:p w14:paraId="20AE1646" w14:textId="77777777" w:rsidR="00B626E7" w:rsidRDefault="00B626E7">
            <w:pPr>
              <w:rPr>
                <w:rFonts w:ascii="宋体"/>
              </w:rPr>
            </w:pPr>
          </w:p>
        </w:tc>
        <w:tc>
          <w:tcPr>
            <w:tcW w:w="0" w:type="auto"/>
            <w:shd w:val="clear" w:color="auto" w:fill="auto"/>
          </w:tcPr>
          <w:p w14:paraId="20AE1647" w14:textId="77777777" w:rsidR="00B626E7" w:rsidRDefault="00B626E7">
            <w:pPr>
              <w:rPr>
                <w:rFonts w:ascii="宋体"/>
              </w:rPr>
            </w:pPr>
          </w:p>
        </w:tc>
      </w:tr>
      <w:tr w:rsidR="00B626E7" w14:paraId="20AE1659" w14:textId="77777777">
        <w:tc>
          <w:tcPr>
            <w:tcW w:w="0" w:type="auto"/>
            <w:gridSpan w:val="3"/>
            <w:shd w:val="clear" w:color="auto" w:fill="auto"/>
            <w:tcMar>
              <w:top w:w="40" w:type="dxa"/>
              <w:left w:w="20" w:type="dxa"/>
              <w:bottom w:w="40" w:type="dxa"/>
              <w:right w:w="20" w:type="dxa"/>
            </w:tcMar>
            <w:vAlign w:val="center"/>
          </w:tcPr>
          <w:p w14:paraId="20AE1649" w14:textId="77777777" w:rsidR="00B626E7" w:rsidRDefault="00175C1D">
            <w:pPr>
              <w:spacing w:after="180"/>
              <w:textAlignment w:val="center"/>
            </w:pPr>
            <w:r>
              <w:rPr>
                <w:rFonts w:ascii="Arial" w:eastAsia="宋体" w:hAnsi="Arial" w:cs="Arial"/>
                <w:color w:val="333333"/>
                <w:sz w:val="18"/>
                <w:szCs w:val="18"/>
              </w:rPr>
              <w:t>2.40%-2.70%, due December 2035 - 2040</w:t>
            </w:r>
          </w:p>
        </w:tc>
        <w:tc>
          <w:tcPr>
            <w:tcW w:w="0" w:type="auto"/>
            <w:gridSpan w:val="3"/>
            <w:shd w:val="clear" w:color="auto" w:fill="auto"/>
            <w:tcMar>
              <w:left w:w="20" w:type="dxa"/>
              <w:right w:w="20" w:type="dxa"/>
            </w:tcMar>
            <w:vAlign w:val="bottom"/>
          </w:tcPr>
          <w:p w14:paraId="20AE164A"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64B" w14:textId="77777777" w:rsidR="00B626E7" w:rsidRDefault="00175C1D">
            <w:pPr>
              <w:jc w:val="right"/>
              <w:textAlignment w:val="bottom"/>
            </w:pPr>
            <w:r>
              <w:rPr>
                <w:rFonts w:ascii="Arial" w:eastAsia="宋体" w:hAnsi="Arial" w:cs="Arial"/>
                <w:color w:val="026DCE"/>
                <w:sz w:val="18"/>
                <w:szCs w:val="18"/>
              </w:rPr>
              <w:t>2.49 </w:t>
            </w:r>
          </w:p>
        </w:tc>
        <w:tc>
          <w:tcPr>
            <w:tcW w:w="0" w:type="auto"/>
            <w:shd w:val="clear" w:color="auto" w:fill="auto"/>
            <w:tcMar>
              <w:top w:w="40" w:type="dxa"/>
              <w:bottom w:w="40" w:type="dxa"/>
              <w:right w:w="20" w:type="dxa"/>
            </w:tcMar>
            <w:vAlign w:val="bottom"/>
          </w:tcPr>
          <w:p w14:paraId="20AE164C" w14:textId="77777777" w:rsidR="00B626E7" w:rsidRDefault="00175C1D">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20AE164D"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64E" w14:textId="77777777" w:rsidR="00B626E7" w:rsidRDefault="00175C1D">
            <w:pPr>
              <w:jc w:val="right"/>
              <w:textAlignment w:val="bottom"/>
            </w:pPr>
            <w:r>
              <w:rPr>
                <w:rFonts w:ascii="Arial" w:eastAsia="宋体" w:hAnsi="Arial" w:cs="Arial"/>
                <w:color w:val="026DCE"/>
                <w:sz w:val="18"/>
                <w:szCs w:val="18"/>
              </w:rPr>
              <w:t>423 </w:t>
            </w:r>
          </w:p>
        </w:tc>
        <w:tc>
          <w:tcPr>
            <w:tcW w:w="0" w:type="auto"/>
            <w:shd w:val="clear" w:color="auto" w:fill="auto"/>
            <w:tcMar>
              <w:top w:w="40" w:type="dxa"/>
              <w:bottom w:w="40" w:type="dxa"/>
              <w:right w:w="20" w:type="dxa"/>
            </w:tcMar>
            <w:vAlign w:val="bottom"/>
          </w:tcPr>
          <w:p w14:paraId="20AE164F"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650"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651" w14:textId="77777777" w:rsidR="00B626E7" w:rsidRDefault="00175C1D">
            <w:pPr>
              <w:jc w:val="right"/>
              <w:textAlignment w:val="bottom"/>
            </w:pPr>
            <w:r>
              <w:rPr>
                <w:rFonts w:ascii="Arial" w:eastAsia="宋体" w:hAnsi="Arial" w:cs="Arial"/>
                <w:color w:val="333333"/>
                <w:sz w:val="18"/>
                <w:szCs w:val="18"/>
              </w:rPr>
              <w:t>423 </w:t>
            </w:r>
          </w:p>
        </w:tc>
        <w:tc>
          <w:tcPr>
            <w:tcW w:w="0" w:type="auto"/>
            <w:shd w:val="clear" w:color="auto" w:fill="auto"/>
            <w:tcMar>
              <w:top w:w="40" w:type="dxa"/>
              <w:bottom w:w="40" w:type="dxa"/>
              <w:right w:w="20" w:type="dxa"/>
            </w:tcMar>
            <w:vAlign w:val="bottom"/>
          </w:tcPr>
          <w:p w14:paraId="20AE1652"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653" w14:textId="77777777" w:rsidR="00B626E7" w:rsidRDefault="00B626E7">
            <w:pPr>
              <w:rPr>
                <w:rFonts w:ascii="宋体"/>
              </w:rPr>
            </w:pPr>
          </w:p>
        </w:tc>
        <w:tc>
          <w:tcPr>
            <w:tcW w:w="0" w:type="auto"/>
            <w:shd w:val="clear" w:color="auto" w:fill="auto"/>
          </w:tcPr>
          <w:p w14:paraId="20AE1654" w14:textId="77777777" w:rsidR="00B626E7" w:rsidRDefault="00B626E7">
            <w:pPr>
              <w:rPr>
                <w:rFonts w:ascii="宋体"/>
              </w:rPr>
            </w:pPr>
          </w:p>
        </w:tc>
        <w:tc>
          <w:tcPr>
            <w:tcW w:w="0" w:type="auto"/>
            <w:shd w:val="clear" w:color="auto" w:fill="auto"/>
          </w:tcPr>
          <w:p w14:paraId="20AE1655" w14:textId="77777777" w:rsidR="00B626E7" w:rsidRDefault="00B626E7">
            <w:pPr>
              <w:rPr>
                <w:rFonts w:ascii="宋体"/>
              </w:rPr>
            </w:pPr>
          </w:p>
        </w:tc>
        <w:tc>
          <w:tcPr>
            <w:tcW w:w="0" w:type="auto"/>
            <w:shd w:val="clear" w:color="auto" w:fill="auto"/>
          </w:tcPr>
          <w:p w14:paraId="20AE1656" w14:textId="77777777" w:rsidR="00B626E7" w:rsidRDefault="00B626E7">
            <w:pPr>
              <w:rPr>
                <w:rFonts w:ascii="宋体"/>
              </w:rPr>
            </w:pPr>
          </w:p>
        </w:tc>
        <w:tc>
          <w:tcPr>
            <w:tcW w:w="0" w:type="auto"/>
            <w:shd w:val="clear" w:color="auto" w:fill="auto"/>
          </w:tcPr>
          <w:p w14:paraId="20AE1657" w14:textId="77777777" w:rsidR="00B626E7" w:rsidRDefault="00B626E7">
            <w:pPr>
              <w:rPr>
                <w:rFonts w:ascii="宋体"/>
              </w:rPr>
            </w:pPr>
          </w:p>
        </w:tc>
        <w:tc>
          <w:tcPr>
            <w:tcW w:w="0" w:type="auto"/>
            <w:shd w:val="clear" w:color="auto" w:fill="auto"/>
          </w:tcPr>
          <w:p w14:paraId="20AE1658" w14:textId="77777777" w:rsidR="00B626E7" w:rsidRDefault="00B626E7">
            <w:pPr>
              <w:rPr>
                <w:rFonts w:ascii="宋体"/>
              </w:rPr>
            </w:pPr>
          </w:p>
        </w:tc>
      </w:tr>
      <w:tr w:rsidR="00B626E7" w14:paraId="20AE166A" w14:textId="77777777">
        <w:tc>
          <w:tcPr>
            <w:tcW w:w="0" w:type="auto"/>
            <w:gridSpan w:val="3"/>
            <w:shd w:val="clear" w:color="auto" w:fill="auto"/>
            <w:tcMar>
              <w:top w:w="40" w:type="dxa"/>
              <w:left w:w="135" w:type="dxa"/>
              <w:bottom w:w="40" w:type="dxa"/>
              <w:right w:w="20" w:type="dxa"/>
            </w:tcMar>
            <w:vAlign w:val="center"/>
          </w:tcPr>
          <w:p w14:paraId="20AE165A" w14:textId="77777777" w:rsidR="00B626E7" w:rsidRDefault="00175C1D">
            <w:pPr>
              <w:textAlignment w:val="center"/>
            </w:pPr>
            <w:r>
              <w:rPr>
                <w:rFonts w:ascii="Arial" w:eastAsia="宋体" w:hAnsi="Arial" w:cs="Arial"/>
                <w:color w:val="333333"/>
                <w:sz w:val="18"/>
                <w:szCs w:val="18"/>
              </w:rPr>
              <w:t>5.00%, due</w:t>
            </w:r>
            <w:r>
              <w:rPr>
                <w:rFonts w:ascii="Arial" w:eastAsia="宋体" w:hAnsi="Arial" w:cs="Arial"/>
                <w:color w:val="333333"/>
                <w:sz w:val="18"/>
                <w:szCs w:val="18"/>
              </w:rPr>
              <w:t xml:space="preserve"> March 2049</w:t>
            </w:r>
          </w:p>
        </w:tc>
        <w:tc>
          <w:tcPr>
            <w:tcW w:w="0" w:type="auto"/>
            <w:gridSpan w:val="3"/>
            <w:shd w:val="clear" w:color="auto" w:fill="auto"/>
            <w:tcMar>
              <w:left w:w="20" w:type="dxa"/>
              <w:right w:w="20" w:type="dxa"/>
            </w:tcMar>
            <w:vAlign w:val="bottom"/>
          </w:tcPr>
          <w:p w14:paraId="20AE165B"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65C" w14:textId="77777777" w:rsidR="00B626E7" w:rsidRDefault="00175C1D">
            <w:pPr>
              <w:jc w:val="right"/>
              <w:textAlignment w:val="bottom"/>
            </w:pPr>
            <w:r>
              <w:rPr>
                <w:rFonts w:ascii="Arial" w:eastAsia="宋体" w:hAnsi="Arial" w:cs="Arial"/>
                <w:color w:val="026DCE"/>
                <w:sz w:val="18"/>
                <w:szCs w:val="18"/>
              </w:rPr>
              <w:t>2.12 </w:t>
            </w:r>
          </w:p>
        </w:tc>
        <w:tc>
          <w:tcPr>
            <w:tcW w:w="0" w:type="auto"/>
            <w:shd w:val="clear" w:color="auto" w:fill="auto"/>
            <w:tcMar>
              <w:top w:w="40" w:type="dxa"/>
              <w:bottom w:w="40" w:type="dxa"/>
              <w:right w:w="20" w:type="dxa"/>
            </w:tcMar>
            <w:vAlign w:val="bottom"/>
          </w:tcPr>
          <w:p w14:paraId="20AE165D" w14:textId="77777777" w:rsidR="00B626E7" w:rsidRDefault="00175C1D">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20AE165E"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65F" w14:textId="77777777" w:rsidR="00B626E7" w:rsidRDefault="00175C1D">
            <w:pPr>
              <w:jc w:val="right"/>
              <w:textAlignment w:val="bottom"/>
            </w:pPr>
            <w:r>
              <w:rPr>
                <w:rFonts w:ascii="Arial" w:eastAsia="宋体" w:hAnsi="Arial" w:cs="Arial"/>
                <w:color w:val="026DCE"/>
                <w:sz w:val="18"/>
                <w:szCs w:val="18"/>
              </w:rPr>
              <w:t>138 </w:t>
            </w:r>
          </w:p>
        </w:tc>
        <w:tc>
          <w:tcPr>
            <w:tcW w:w="0" w:type="auto"/>
            <w:shd w:val="clear" w:color="auto" w:fill="auto"/>
            <w:tcMar>
              <w:top w:w="40" w:type="dxa"/>
              <w:bottom w:w="40" w:type="dxa"/>
              <w:right w:w="20" w:type="dxa"/>
            </w:tcMar>
            <w:vAlign w:val="bottom"/>
          </w:tcPr>
          <w:p w14:paraId="20AE1660"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661"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662" w14:textId="77777777" w:rsidR="00B626E7" w:rsidRDefault="00175C1D">
            <w:pPr>
              <w:jc w:val="right"/>
              <w:textAlignment w:val="bottom"/>
            </w:pPr>
            <w:r>
              <w:rPr>
                <w:rFonts w:ascii="Arial" w:eastAsia="宋体" w:hAnsi="Arial" w:cs="Arial"/>
                <w:color w:val="333333"/>
                <w:sz w:val="18"/>
                <w:szCs w:val="18"/>
              </w:rPr>
              <w:t>138 </w:t>
            </w:r>
          </w:p>
        </w:tc>
        <w:tc>
          <w:tcPr>
            <w:tcW w:w="0" w:type="auto"/>
            <w:shd w:val="clear" w:color="auto" w:fill="auto"/>
            <w:tcMar>
              <w:top w:w="40" w:type="dxa"/>
              <w:bottom w:w="40" w:type="dxa"/>
              <w:right w:w="20" w:type="dxa"/>
            </w:tcMar>
            <w:vAlign w:val="bottom"/>
          </w:tcPr>
          <w:p w14:paraId="20AE1663"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664" w14:textId="77777777" w:rsidR="00B626E7" w:rsidRDefault="00B626E7">
            <w:pPr>
              <w:rPr>
                <w:rFonts w:ascii="宋体"/>
              </w:rPr>
            </w:pPr>
          </w:p>
        </w:tc>
        <w:tc>
          <w:tcPr>
            <w:tcW w:w="0" w:type="auto"/>
            <w:shd w:val="clear" w:color="auto" w:fill="auto"/>
          </w:tcPr>
          <w:p w14:paraId="20AE1665" w14:textId="77777777" w:rsidR="00B626E7" w:rsidRDefault="00B626E7">
            <w:pPr>
              <w:rPr>
                <w:rFonts w:ascii="宋体"/>
              </w:rPr>
            </w:pPr>
          </w:p>
        </w:tc>
        <w:tc>
          <w:tcPr>
            <w:tcW w:w="0" w:type="auto"/>
            <w:shd w:val="clear" w:color="auto" w:fill="auto"/>
          </w:tcPr>
          <w:p w14:paraId="20AE1666" w14:textId="77777777" w:rsidR="00B626E7" w:rsidRDefault="00B626E7">
            <w:pPr>
              <w:rPr>
                <w:rFonts w:ascii="宋体"/>
              </w:rPr>
            </w:pPr>
          </w:p>
        </w:tc>
        <w:tc>
          <w:tcPr>
            <w:tcW w:w="0" w:type="auto"/>
            <w:shd w:val="clear" w:color="auto" w:fill="auto"/>
          </w:tcPr>
          <w:p w14:paraId="20AE1667" w14:textId="77777777" w:rsidR="00B626E7" w:rsidRDefault="00B626E7">
            <w:pPr>
              <w:rPr>
                <w:rFonts w:ascii="宋体"/>
              </w:rPr>
            </w:pPr>
          </w:p>
        </w:tc>
        <w:tc>
          <w:tcPr>
            <w:tcW w:w="0" w:type="auto"/>
            <w:shd w:val="clear" w:color="auto" w:fill="auto"/>
          </w:tcPr>
          <w:p w14:paraId="20AE1668" w14:textId="77777777" w:rsidR="00B626E7" w:rsidRDefault="00B626E7">
            <w:pPr>
              <w:rPr>
                <w:rFonts w:ascii="宋体"/>
              </w:rPr>
            </w:pPr>
          </w:p>
        </w:tc>
        <w:tc>
          <w:tcPr>
            <w:tcW w:w="0" w:type="auto"/>
            <w:shd w:val="clear" w:color="auto" w:fill="auto"/>
          </w:tcPr>
          <w:p w14:paraId="20AE1669" w14:textId="77777777" w:rsidR="00B626E7" w:rsidRDefault="00B626E7">
            <w:pPr>
              <w:rPr>
                <w:rFonts w:ascii="宋体"/>
              </w:rPr>
            </w:pPr>
          </w:p>
        </w:tc>
      </w:tr>
      <w:tr w:rsidR="00B626E7" w14:paraId="20AE167B" w14:textId="77777777">
        <w:tc>
          <w:tcPr>
            <w:tcW w:w="0" w:type="auto"/>
            <w:gridSpan w:val="3"/>
            <w:shd w:val="clear" w:color="auto" w:fill="auto"/>
            <w:tcMar>
              <w:top w:w="40" w:type="dxa"/>
              <w:left w:w="135" w:type="dxa"/>
              <w:bottom w:w="40" w:type="dxa"/>
              <w:right w:w="20" w:type="dxa"/>
            </w:tcMar>
            <w:vAlign w:val="center"/>
          </w:tcPr>
          <w:p w14:paraId="20AE166B" w14:textId="77777777" w:rsidR="00B626E7" w:rsidRDefault="00175C1D">
            <w:pPr>
              <w:textAlignment w:val="center"/>
            </w:pPr>
            <w:r>
              <w:rPr>
                <w:rFonts w:ascii="Arial" w:eastAsia="宋体" w:hAnsi="Arial" w:cs="Arial"/>
                <w:color w:val="333333"/>
                <w:sz w:val="18"/>
                <w:szCs w:val="18"/>
              </w:rPr>
              <w:t>5.00%</w:t>
            </w:r>
            <w:r>
              <w:rPr>
                <w:rFonts w:ascii="Arial" w:eastAsia="宋体" w:hAnsi="Arial" w:cs="Arial"/>
                <w:color w:val="333333"/>
                <w:sz w:val="18"/>
                <w:szCs w:val="18"/>
              </w:rPr>
              <w:t>, due June 2049</w:t>
            </w:r>
          </w:p>
        </w:tc>
        <w:tc>
          <w:tcPr>
            <w:tcW w:w="0" w:type="auto"/>
            <w:gridSpan w:val="3"/>
            <w:shd w:val="clear" w:color="auto" w:fill="auto"/>
            <w:tcMar>
              <w:left w:w="20" w:type="dxa"/>
              <w:right w:w="20" w:type="dxa"/>
            </w:tcMar>
            <w:vAlign w:val="bottom"/>
          </w:tcPr>
          <w:p w14:paraId="20AE166C"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66D" w14:textId="77777777" w:rsidR="00B626E7" w:rsidRDefault="00175C1D">
            <w:pPr>
              <w:jc w:val="right"/>
              <w:textAlignment w:val="bottom"/>
            </w:pPr>
            <w:r>
              <w:rPr>
                <w:rFonts w:ascii="Arial" w:eastAsia="宋体" w:hAnsi="Arial" w:cs="Arial"/>
                <w:color w:val="026DCE"/>
                <w:sz w:val="18"/>
                <w:szCs w:val="18"/>
              </w:rPr>
              <w:t>2.15 </w:t>
            </w:r>
          </w:p>
        </w:tc>
        <w:tc>
          <w:tcPr>
            <w:tcW w:w="0" w:type="auto"/>
            <w:shd w:val="clear" w:color="auto" w:fill="auto"/>
            <w:tcMar>
              <w:top w:w="40" w:type="dxa"/>
              <w:bottom w:w="40" w:type="dxa"/>
              <w:right w:w="20" w:type="dxa"/>
            </w:tcMar>
            <w:vAlign w:val="bottom"/>
          </w:tcPr>
          <w:p w14:paraId="20AE166E" w14:textId="77777777" w:rsidR="00B626E7" w:rsidRDefault="00175C1D">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20AE166F"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670" w14:textId="77777777" w:rsidR="00B626E7" w:rsidRDefault="00175C1D">
            <w:pPr>
              <w:jc w:val="right"/>
              <w:textAlignment w:val="bottom"/>
            </w:pPr>
            <w:r>
              <w:rPr>
                <w:rFonts w:ascii="Arial" w:eastAsia="宋体" w:hAnsi="Arial" w:cs="Arial"/>
                <w:color w:val="026DCE"/>
                <w:sz w:val="18"/>
                <w:szCs w:val="18"/>
              </w:rPr>
              <w:t>438 </w:t>
            </w:r>
          </w:p>
        </w:tc>
        <w:tc>
          <w:tcPr>
            <w:tcW w:w="0" w:type="auto"/>
            <w:shd w:val="clear" w:color="auto" w:fill="auto"/>
            <w:tcMar>
              <w:top w:w="40" w:type="dxa"/>
              <w:bottom w:w="40" w:type="dxa"/>
              <w:right w:w="20" w:type="dxa"/>
            </w:tcMar>
            <w:vAlign w:val="bottom"/>
          </w:tcPr>
          <w:p w14:paraId="20AE1671"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672"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673" w14:textId="77777777" w:rsidR="00B626E7" w:rsidRDefault="00175C1D">
            <w:pPr>
              <w:jc w:val="right"/>
              <w:textAlignment w:val="bottom"/>
            </w:pPr>
            <w:r>
              <w:rPr>
                <w:rFonts w:ascii="Arial" w:eastAsia="宋体" w:hAnsi="Arial" w:cs="Arial"/>
                <w:color w:val="333333"/>
                <w:sz w:val="18"/>
                <w:szCs w:val="18"/>
              </w:rPr>
              <w:t>438 </w:t>
            </w:r>
          </w:p>
        </w:tc>
        <w:tc>
          <w:tcPr>
            <w:tcW w:w="0" w:type="auto"/>
            <w:shd w:val="clear" w:color="auto" w:fill="auto"/>
            <w:tcMar>
              <w:top w:w="40" w:type="dxa"/>
              <w:bottom w:w="40" w:type="dxa"/>
              <w:right w:w="20" w:type="dxa"/>
            </w:tcMar>
            <w:vAlign w:val="bottom"/>
          </w:tcPr>
          <w:p w14:paraId="20AE1674"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675" w14:textId="77777777" w:rsidR="00B626E7" w:rsidRDefault="00B626E7">
            <w:pPr>
              <w:rPr>
                <w:rFonts w:ascii="宋体"/>
              </w:rPr>
            </w:pPr>
          </w:p>
        </w:tc>
        <w:tc>
          <w:tcPr>
            <w:tcW w:w="0" w:type="auto"/>
            <w:shd w:val="clear" w:color="auto" w:fill="auto"/>
          </w:tcPr>
          <w:p w14:paraId="20AE1676" w14:textId="77777777" w:rsidR="00B626E7" w:rsidRDefault="00B626E7">
            <w:pPr>
              <w:rPr>
                <w:rFonts w:ascii="宋体"/>
              </w:rPr>
            </w:pPr>
          </w:p>
        </w:tc>
        <w:tc>
          <w:tcPr>
            <w:tcW w:w="0" w:type="auto"/>
            <w:shd w:val="clear" w:color="auto" w:fill="auto"/>
          </w:tcPr>
          <w:p w14:paraId="20AE1677" w14:textId="77777777" w:rsidR="00B626E7" w:rsidRDefault="00B626E7">
            <w:pPr>
              <w:rPr>
                <w:rFonts w:ascii="宋体"/>
              </w:rPr>
            </w:pPr>
          </w:p>
        </w:tc>
        <w:tc>
          <w:tcPr>
            <w:tcW w:w="0" w:type="auto"/>
            <w:shd w:val="clear" w:color="auto" w:fill="auto"/>
          </w:tcPr>
          <w:p w14:paraId="20AE1678" w14:textId="77777777" w:rsidR="00B626E7" w:rsidRDefault="00B626E7">
            <w:pPr>
              <w:rPr>
                <w:rFonts w:ascii="宋体"/>
              </w:rPr>
            </w:pPr>
          </w:p>
        </w:tc>
        <w:tc>
          <w:tcPr>
            <w:tcW w:w="0" w:type="auto"/>
            <w:shd w:val="clear" w:color="auto" w:fill="auto"/>
          </w:tcPr>
          <w:p w14:paraId="20AE1679" w14:textId="77777777" w:rsidR="00B626E7" w:rsidRDefault="00B626E7">
            <w:pPr>
              <w:rPr>
                <w:rFonts w:ascii="宋体"/>
              </w:rPr>
            </w:pPr>
          </w:p>
        </w:tc>
        <w:tc>
          <w:tcPr>
            <w:tcW w:w="0" w:type="auto"/>
            <w:shd w:val="clear" w:color="auto" w:fill="auto"/>
          </w:tcPr>
          <w:p w14:paraId="20AE167A" w14:textId="77777777" w:rsidR="00B626E7" w:rsidRDefault="00B626E7">
            <w:pPr>
              <w:rPr>
                <w:rFonts w:ascii="宋体"/>
              </w:rPr>
            </w:pPr>
          </w:p>
        </w:tc>
      </w:tr>
      <w:tr w:rsidR="00B626E7" w14:paraId="20AE1689" w14:textId="77777777">
        <w:tc>
          <w:tcPr>
            <w:tcW w:w="0" w:type="auto"/>
            <w:gridSpan w:val="3"/>
            <w:shd w:val="clear" w:color="auto" w:fill="auto"/>
            <w:tcMar>
              <w:top w:w="40" w:type="dxa"/>
              <w:left w:w="20" w:type="dxa"/>
              <w:bottom w:w="40" w:type="dxa"/>
              <w:right w:w="20" w:type="dxa"/>
            </w:tcMar>
            <w:vAlign w:val="center"/>
          </w:tcPr>
          <w:p w14:paraId="20AE167C" w14:textId="77777777" w:rsidR="00B626E7" w:rsidRDefault="00175C1D">
            <w:pPr>
              <w:textAlignment w:val="center"/>
            </w:pPr>
            <w:r>
              <w:rPr>
                <w:rFonts w:ascii="Arial" w:eastAsia="宋体" w:hAnsi="Arial" w:cs="Arial"/>
                <w:color w:val="333333"/>
                <w:sz w:val="18"/>
                <w:szCs w:val="18"/>
              </w:rPr>
              <w:t>Junior Subordinated Convertible Debentures:</w:t>
            </w:r>
          </w:p>
        </w:tc>
        <w:tc>
          <w:tcPr>
            <w:tcW w:w="0" w:type="auto"/>
            <w:gridSpan w:val="3"/>
            <w:shd w:val="clear" w:color="auto" w:fill="auto"/>
            <w:tcMar>
              <w:left w:w="20" w:type="dxa"/>
              <w:right w:w="20" w:type="dxa"/>
            </w:tcMar>
            <w:vAlign w:val="bottom"/>
          </w:tcPr>
          <w:p w14:paraId="20AE167D"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67E"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67F"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680"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681"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682" w14:textId="77777777" w:rsidR="00B626E7" w:rsidRDefault="00B626E7">
            <w:pPr>
              <w:rPr>
                <w:rFonts w:ascii="宋体"/>
              </w:rPr>
            </w:pPr>
          </w:p>
        </w:tc>
        <w:tc>
          <w:tcPr>
            <w:tcW w:w="0" w:type="auto"/>
            <w:shd w:val="clear" w:color="auto" w:fill="auto"/>
          </w:tcPr>
          <w:p w14:paraId="20AE1683" w14:textId="77777777" w:rsidR="00B626E7" w:rsidRDefault="00B626E7">
            <w:pPr>
              <w:rPr>
                <w:rFonts w:ascii="宋体"/>
              </w:rPr>
            </w:pPr>
          </w:p>
        </w:tc>
        <w:tc>
          <w:tcPr>
            <w:tcW w:w="0" w:type="auto"/>
            <w:shd w:val="clear" w:color="auto" w:fill="auto"/>
          </w:tcPr>
          <w:p w14:paraId="20AE1684" w14:textId="77777777" w:rsidR="00B626E7" w:rsidRDefault="00B626E7">
            <w:pPr>
              <w:rPr>
                <w:rFonts w:ascii="宋体"/>
              </w:rPr>
            </w:pPr>
          </w:p>
        </w:tc>
        <w:tc>
          <w:tcPr>
            <w:tcW w:w="0" w:type="auto"/>
            <w:shd w:val="clear" w:color="auto" w:fill="auto"/>
          </w:tcPr>
          <w:p w14:paraId="20AE1685" w14:textId="77777777" w:rsidR="00B626E7" w:rsidRDefault="00B626E7">
            <w:pPr>
              <w:rPr>
                <w:rFonts w:ascii="宋体"/>
              </w:rPr>
            </w:pPr>
          </w:p>
        </w:tc>
        <w:tc>
          <w:tcPr>
            <w:tcW w:w="0" w:type="auto"/>
            <w:shd w:val="clear" w:color="auto" w:fill="auto"/>
          </w:tcPr>
          <w:p w14:paraId="20AE1686" w14:textId="77777777" w:rsidR="00B626E7" w:rsidRDefault="00B626E7">
            <w:pPr>
              <w:rPr>
                <w:rFonts w:ascii="宋体"/>
              </w:rPr>
            </w:pPr>
          </w:p>
        </w:tc>
        <w:tc>
          <w:tcPr>
            <w:tcW w:w="0" w:type="auto"/>
            <w:shd w:val="clear" w:color="auto" w:fill="auto"/>
          </w:tcPr>
          <w:p w14:paraId="20AE1687" w14:textId="77777777" w:rsidR="00B626E7" w:rsidRDefault="00B626E7">
            <w:pPr>
              <w:rPr>
                <w:rFonts w:ascii="宋体"/>
              </w:rPr>
            </w:pPr>
          </w:p>
        </w:tc>
        <w:tc>
          <w:tcPr>
            <w:tcW w:w="0" w:type="auto"/>
            <w:shd w:val="clear" w:color="auto" w:fill="auto"/>
          </w:tcPr>
          <w:p w14:paraId="20AE1688" w14:textId="77777777" w:rsidR="00B626E7" w:rsidRDefault="00B626E7">
            <w:pPr>
              <w:rPr>
                <w:rFonts w:ascii="宋体"/>
              </w:rPr>
            </w:pPr>
          </w:p>
        </w:tc>
      </w:tr>
      <w:tr w:rsidR="00B626E7" w14:paraId="20AE169A" w14:textId="77777777">
        <w:tc>
          <w:tcPr>
            <w:tcW w:w="0" w:type="auto"/>
            <w:gridSpan w:val="3"/>
            <w:shd w:val="clear" w:color="auto" w:fill="auto"/>
            <w:tcMar>
              <w:top w:w="40" w:type="dxa"/>
              <w:left w:w="135" w:type="dxa"/>
              <w:bottom w:w="40" w:type="dxa"/>
              <w:right w:w="20" w:type="dxa"/>
            </w:tcMar>
            <w:vAlign w:val="center"/>
          </w:tcPr>
          <w:p w14:paraId="20AE168A" w14:textId="77777777" w:rsidR="00B626E7" w:rsidRDefault="00175C1D">
            <w:pPr>
              <w:textAlignment w:val="center"/>
            </w:pPr>
            <w:r>
              <w:rPr>
                <w:rFonts w:ascii="Arial" w:eastAsia="宋体" w:hAnsi="Arial" w:cs="Arial"/>
                <w:color w:val="333333"/>
                <w:sz w:val="18"/>
                <w:szCs w:val="18"/>
              </w:rPr>
              <w:t>3.25%, due August 2039</w:t>
            </w:r>
          </w:p>
        </w:tc>
        <w:tc>
          <w:tcPr>
            <w:tcW w:w="0" w:type="auto"/>
            <w:gridSpan w:val="3"/>
            <w:shd w:val="clear" w:color="auto" w:fill="auto"/>
            <w:tcMar>
              <w:left w:w="20" w:type="dxa"/>
              <w:right w:w="20" w:type="dxa"/>
            </w:tcMar>
            <w:vAlign w:val="bottom"/>
          </w:tcPr>
          <w:p w14:paraId="20AE168B"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68C" w14:textId="77777777" w:rsidR="00B626E7" w:rsidRDefault="00175C1D">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20AE168D"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68E"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68F" w14:textId="77777777" w:rsidR="00B626E7" w:rsidRDefault="00175C1D">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20AE1690"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691"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692" w14:textId="77777777" w:rsidR="00B626E7" w:rsidRDefault="00175C1D">
            <w:pPr>
              <w:jc w:val="right"/>
              <w:textAlignment w:val="bottom"/>
            </w:pPr>
            <w:r>
              <w:rPr>
                <w:rFonts w:ascii="Arial" w:eastAsia="宋体" w:hAnsi="Arial" w:cs="Arial"/>
                <w:color w:val="333333"/>
                <w:sz w:val="18"/>
                <w:szCs w:val="18"/>
              </w:rPr>
              <w:t>372 </w:t>
            </w:r>
          </w:p>
        </w:tc>
        <w:tc>
          <w:tcPr>
            <w:tcW w:w="0" w:type="auto"/>
            <w:shd w:val="clear" w:color="auto" w:fill="auto"/>
            <w:tcMar>
              <w:top w:w="40" w:type="dxa"/>
              <w:bottom w:w="40" w:type="dxa"/>
              <w:right w:w="20" w:type="dxa"/>
            </w:tcMar>
            <w:vAlign w:val="bottom"/>
          </w:tcPr>
          <w:p w14:paraId="20AE1693"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694" w14:textId="77777777" w:rsidR="00B626E7" w:rsidRDefault="00B626E7">
            <w:pPr>
              <w:rPr>
                <w:rFonts w:ascii="宋体"/>
              </w:rPr>
            </w:pPr>
          </w:p>
        </w:tc>
        <w:tc>
          <w:tcPr>
            <w:tcW w:w="0" w:type="auto"/>
            <w:shd w:val="clear" w:color="auto" w:fill="auto"/>
          </w:tcPr>
          <w:p w14:paraId="20AE1695" w14:textId="77777777" w:rsidR="00B626E7" w:rsidRDefault="00B626E7">
            <w:pPr>
              <w:rPr>
                <w:rFonts w:ascii="宋体"/>
              </w:rPr>
            </w:pPr>
          </w:p>
        </w:tc>
        <w:tc>
          <w:tcPr>
            <w:tcW w:w="0" w:type="auto"/>
            <w:shd w:val="clear" w:color="auto" w:fill="auto"/>
          </w:tcPr>
          <w:p w14:paraId="20AE1696" w14:textId="77777777" w:rsidR="00B626E7" w:rsidRDefault="00B626E7">
            <w:pPr>
              <w:rPr>
                <w:rFonts w:ascii="宋体"/>
              </w:rPr>
            </w:pPr>
          </w:p>
        </w:tc>
        <w:tc>
          <w:tcPr>
            <w:tcW w:w="0" w:type="auto"/>
            <w:shd w:val="clear" w:color="auto" w:fill="auto"/>
          </w:tcPr>
          <w:p w14:paraId="20AE1697" w14:textId="77777777" w:rsidR="00B626E7" w:rsidRDefault="00B626E7">
            <w:pPr>
              <w:rPr>
                <w:rFonts w:ascii="宋体"/>
              </w:rPr>
            </w:pPr>
          </w:p>
        </w:tc>
        <w:tc>
          <w:tcPr>
            <w:tcW w:w="0" w:type="auto"/>
            <w:shd w:val="clear" w:color="auto" w:fill="auto"/>
          </w:tcPr>
          <w:p w14:paraId="20AE1698" w14:textId="77777777" w:rsidR="00B626E7" w:rsidRDefault="00B626E7">
            <w:pPr>
              <w:rPr>
                <w:rFonts w:ascii="宋体"/>
              </w:rPr>
            </w:pPr>
          </w:p>
        </w:tc>
        <w:tc>
          <w:tcPr>
            <w:tcW w:w="0" w:type="auto"/>
            <w:shd w:val="clear" w:color="auto" w:fill="auto"/>
          </w:tcPr>
          <w:p w14:paraId="20AE1699" w14:textId="77777777" w:rsidR="00B626E7" w:rsidRDefault="00B626E7">
            <w:pPr>
              <w:rPr>
                <w:rFonts w:ascii="宋体"/>
              </w:rPr>
            </w:pPr>
          </w:p>
        </w:tc>
      </w:tr>
      <w:tr w:rsidR="00B626E7" w14:paraId="20AE16AA" w14:textId="77777777">
        <w:tc>
          <w:tcPr>
            <w:tcW w:w="0" w:type="auto"/>
            <w:gridSpan w:val="3"/>
            <w:shd w:val="clear" w:color="auto" w:fill="auto"/>
            <w:tcMar>
              <w:top w:w="40" w:type="dxa"/>
              <w:left w:w="20" w:type="dxa"/>
              <w:bottom w:w="40" w:type="dxa"/>
              <w:right w:w="20" w:type="dxa"/>
            </w:tcMar>
            <w:vAlign w:val="center"/>
          </w:tcPr>
          <w:p w14:paraId="20AE169B" w14:textId="77777777" w:rsidR="00B626E7" w:rsidRDefault="00175C1D">
            <w:pPr>
              <w:textAlignment w:val="center"/>
            </w:pPr>
            <w:r>
              <w:rPr>
                <w:rFonts w:ascii="Arial" w:eastAsia="宋体" w:hAnsi="Arial" w:cs="Arial"/>
                <w:b/>
                <w:bCs/>
                <w:color w:val="333333"/>
                <w:sz w:val="18"/>
                <w:szCs w:val="18"/>
              </w:rPr>
              <w:t>Total</w:t>
            </w:r>
            <w:r>
              <w:rPr>
                <w:rFonts w:ascii="Arial" w:eastAsia="宋体" w:hAnsi="Arial" w:cs="Arial"/>
                <w:b/>
                <w:bCs/>
                <w:color w:val="333333"/>
                <w:sz w:val="18"/>
                <w:szCs w:val="18"/>
              </w:rPr>
              <w:t xml:space="preserve"> Senior Notes and Other Borrowings</w:t>
            </w:r>
          </w:p>
        </w:tc>
        <w:tc>
          <w:tcPr>
            <w:tcW w:w="0" w:type="auto"/>
            <w:gridSpan w:val="3"/>
            <w:shd w:val="clear" w:color="auto" w:fill="auto"/>
            <w:tcMar>
              <w:left w:w="20" w:type="dxa"/>
              <w:right w:w="20" w:type="dxa"/>
            </w:tcMar>
            <w:vAlign w:val="bottom"/>
          </w:tcPr>
          <w:p w14:paraId="20AE169C"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69D"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69E"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169F" w14:textId="77777777" w:rsidR="00B626E7" w:rsidRDefault="00175C1D">
            <w:pPr>
              <w:jc w:val="right"/>
              <w:textAlignment w:val="bottom"/>
            </w:pPr>
            <w:r>
              <w:rPr>
                <w:rFonts w:ascii="Arial" w:eastAsia="宋体" w:hAnsi="Arial" w:cs="Arial"/>
                <w:b/>
                <w:bCs/>
                <w:color w:val="026DCE"/>
                <w:sz w:val="18"/>
                <w:szCs w:val="18"/>
              </w:rPr>
              <w:t>36,926 </w:t>
            </w:r>
          </w:p>
        </w:tc>
        <w:tc>
          <w:tcPr>
            <w:tcW w:w="0" w:type="auto"/>
            <w:tcBorders>
              <w:top w:val="single" w:sz="8" w:space="0" w:color="333333"/>
            </w:tcBorders>
            <w:shd w:val="clear" w:color="auto" w:fill="auto"/>
            <w:tcMar>
              <w:top w:w="40" w:type="dxa"/>
              <w:bottom w:w="40" w:type="dxa"/>
              <w:right w:w="20" w:type="dxa"/>
            </w:tcMar>
            <w:vAlign w:val="bottom"/>
          </w:tcPr>
          <w:p w14:paraId="20AE16A0"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16A1"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16A2" w14:textId="77777777" w:rsidR="00B626E7" w:rsidRDefault="00175C1D">
            <w:pPr>
              <w:jc w:val="right"/>
              <w:textAlignment w:val="bottom"/>
            </w:pPr>
            <w:r>
              <w:rPr>
                <w:rFonts w:ascii="Arial" w:eastAsia="宋体" w:hAnsi="Arial" w:cs="Arial"/>
                <w:b/>
                <w:bCs/>
                <w:color w:val="333333"/>
                <w:sz w:val="18"/>
                <w:szCs w:val="18"/>
              </w:rPr>
              <w:t>28,751 </w:t>
            </w:r>
          </w:p>
        </w:tc>
        <w:tc>
          <w:tcPr>
            <w:tcW w:w="0" w:type="auto"/>
            <w:tcBorders>
              <w:top w:val="single" w:sz="8" w:space="0" w:color="333333"/>
            </w:tcBorders>
            <w:shd w:val="clear" w:color="auto" w:fill="auto"/>
            <w:tcMar>
              <w:top w:w="40" w:type="dxa"/>
              <w:bottom w:w="40" w:type="dxa"/>
              <w:right w:w="20" w:type="dxa"/>
            </w:tcMar>
            <w:vAlign w:val="bottom"/>
          </w:tcPr>
          <w:p w14:paraId="20AE16A3"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E16A4" w14:textId="77777777" w:rsidR="00B626E7" w:rsidRDefault="00B626E7">
            <w:pPr>
              <w:rPr>
                <w:rFonts w:ascii="宋体"/>
              </w:rPr>
            </w:pPr>
          </w:p>
        </w:tc>
        <w:tc>
          <w:tcPr>
            <w:tcW w:w="0" w:type="auto"/>
            <w:shd w:val="clear" w:color="auto" w:fill="auto"/>
          </w:tcPr>
          <w:p w14:paraId="20AE16A5" w14:textId="77777777" w:rsidR="00B626E7" w:rsidRDefault="00B626E7">
            <w:pPr>
              <w:rPr>
                <w:rFonts w:ascii="宋体"/>
              </w:rPr>
            </w:pPr>
          </w:p>
        </w:tc>
        <w:tc>
          <w:tcPr>
            <w:tcW w:w="0" w:type="auto"/>
            <w:shd w:val="clear" w:color="auto" w:fill="auto"/>
          </w:tcPr>
          <w:p w14:paraId="20AE16A6" w14:textId="77777777" w:rsidR="00B626E7" w:rsidRDefault="00B626E7">
            <w:pPr>
              <w:rPr>
                <w:rFonts w:ascii="宋体"/>
              </w:rPr>
            </w:pPr>
          </w:p>
        </w:tc>
        <w:tc>
          <w:tcPr>
            <w:tcW w:w="0" w:type="auto"/>
            <w:shd w:val="clear" w:color="auto" w:fill="auto"/>
          </w:tcPr>
          <w:p w14:paraId="20AE16A7" w14:textId="77777777" w:rsidR="00B626E7" w:rsidRDefault="00B626E7">
            <w:pPr>
              <w:rPr>
                <w:rFonts w:ascii="宋体"/>
              </w:rPr>
            </w:pPr>
          </w:p>
        </w:tc>
        <w:tc>
          <w:tcPr>
            <w:tcW w:w="0" w:type="auto"/>
            <w:shd w:val="clear" w:color="auto" w:fill="auto"/>
          </w:tcPr>
          <w:p w14:paraId="20AE16A8" w14:textId="77777777" w:rsidR="00B626E7" w:rsidRDefault="00B626E7">
            <w:pPr>
              <w:rPr>
                <w:rFonts w:ascii="宋体"/>
              </w:rPr>
            </w:pPr>
          </w:p>
        </w:tc>
        <w:tc>
          <w:tcPr>
            <w:tcW w:w="0" w:type="auto"/>
            <w:shd w:val="clear" w:color="auto" w:fill="auto"/>
          </w:tcPr>
          <w:p w14:paraId="20AE16A9" w14:textId="77777777" w:rsidR="00B626E7" w:rsidRDefault="00B626E7">
            <w:pPr>
              <w:rPr>
                <w:rFonts w:ascii="宋体"/>
              </w:rPr>
            </w:pPr>
          </w:p>
        </w:tc>
      </w:tr>
      <w:tr w:rsidR="00B626E7" w14:paraId="20AE16BA" w14:textId="77777777">
        <w:tc>
          <w:tcPr>
            <w:tcW w:w="0" w:type="auto"/>
            <w:gridSpan w:val="3"/>
            <w:shd w:val="clear" w:color="auto" w:fill="auto"/>
            <w:tcMar>
              <w:top w:w="40" w:type="dxa"/>
              <w:left w:w="20" w:type="dxa"/>
              <w:bottom w:w="40" w:type="dxa"/>
              <w:right w:w="20" w:type="dxa"/>
            </w:tcMar>
            <w:vAlign w:val="center"/>
          </w:tcPr>
          <w:p w14:paraId="20AE16AB" w14:textId="77777777" w:rsidR="00B626E7" w:rsidRDefault="00175C1D">
            <w:pPr>
              <w:textAlignment w:val="center"/>
            </w:pPr>
            <w:r>
              <w:rPr>
                <w:rFonts w:ascii="Arial" w:eastAsia="宋体" w:hAnsi="Arial" w:cs="Arial"/>
                <w:color w:val="333333"/>
                <w:sz w:val="18"/>
                <w:szCs w:val="18"/>
              </w:rPr>
              <w:t>Unamortized Premium/Discount and Issuance Costs</w:t>
            </w:r>
          </w:p>
        </w:tc>
        <w:tc>
          <w:tcPr>
            <w:tcW w:w="0" w:type="auto"/>
            <w:gridSpan w:val="3"/>
            <w:shd w:val="clear" w:color="auto" w:fill="auto"/>
            <w:tcMar>
              <w:left w:w="20" w:type="dxa"/>
              <w:right w:w="20" w:type="dxa"/>
            </w:tcMar>
            <w:vAlign w:val="bottom"/>
          </w:tcPr>
          <w:p w14:paraId="20AE16AC"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6AD"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6AE"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16AF" w14:textId="77777777" w:rsidR="00B626E7" w:rsidRDefault="00175C1D">
            <w:pPr>
              <w:jc w:val="right"/>
              <w:textAlignment w:val="bottom"/>
            </w:pPr>
            <w:r>
              <w:rPr>
                <w:rFonts w:ascii="Arial" w:eastAsia="宋体" w:hAnsi="Arial" w:cs="Arial"/>
                <w:color w:val="026DCE"/>
                <w:sz w:val="18"/>
                <w:szCs w:val="18"/>
              </w:rPr>
              <w:t>(375)</w:t>
            </w:r>
          </w:p>
        </w:tc>
        <w:tc>
          <w:tcPr>
            <w:tcW w:w="0" w:type="auto"/>
            <w:tcBorders>
              <w:top w:val="single" w:sz="8" w:space="0" w:color="333333"/>
            </w:tcBorders>
            <w:shd w:val="clear" w:color="auto" w:fill="auto"/>
            <w:tcMar>
              <w:top w:w="40" w:type="dxa"/>
              <w:bottom w:w="40" w:type="dxa"/>
              <w:right w:w="20" w:type="dxa"/>
            </w:tcMar>
            <w:vAlign w:val="bottom"/>
          </w:tcPr>
          <w:p w14:paraId="20AE16B0"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6B1"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16B2" w14:textId="77777777" w:rsidR="00B626E7" w:rsidRDefault="00175C1D">
            <w:pPr>
              <w:jc w:val="right"/>
              <w:textAlignment w:val="bottom"/>
            </w:pPr>
            <w:r>
              <w:rPr>
                <w:rFonts w:ascii="Arial" w:eastAsia="宋体" w:hAnsi="Arial" w:cs="Arial"/>
                <w:color w:val="333333"/>
                <w:sz w:val="18"/>
                <w:szCs w:val="18"/>
              </w:rPr>
              <w:t>(529)</w:t>
            </w:r>
          </w:p>
        </w:tc>
        <w:tc>
          <w:tcPr>
            <w:tcW w:w="0" w:type="auto"/>
            <w:tcBorders>
              <w:top w:val="single" w:sz="8" w:space="0" w:color="333333"/>
            </w:tcBorders>
            <w:shd w:val="clear" w:color="auto" w:fill="auto"/>
            <w:tcMar>
              <w:top w:w="40" w:type="dxa"/>
              <w:bottom w:w="40" w:type="dxa"/>
              <w:right w:w="20" w:type="dxa"/>
            </w:tcMar>
            <w:vAlign w:val="bottom"/>
          </w:tcPr>
          <w:p w14:paraId="20AE16B3"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6B4" w14:textId="77777777" w:rsidR="00B626E7" w:rsidRDefault="00B626E7">
            <w:pPr>
              <w:rPr>
                <w:rFonts w:ascii="宋体"/>
              </w:rPr>
            </w:pPr>
          </w:p>
        </w:tc>
        <w:tc>
          <w:tcPr>
            <w:tcW w:w="0" w:type="auto"/>
            <w:shd w:val="clear" w:color="auto" w:fill="auto"/>
          </w:tcPr>
          <w:p w14:paraId="20AE16B5" w14:textId="77777777" w:rsidR="00B626E7" w:rsidRDefault="00B626E7">
            <w:pPr>
              <w:rPr>
                <w:rFonts w:ascii="宋体"/>
              </w:rPr>
            </w:pPr>
          </w:p>
        </w:tc>
        <w:tc>
          <w:tcPr>
            <w:tcW w:w="0" w:type="auto"/>
            <w:shd w:val="clear" w:color="auto" w:fill="auto"/>
          </w:tcPr>
          <w:p w14:paraId="20AE16B6" w14:textId="77777777" w:rsidR="00B626E7" w:rsidRDefault="00B626E7">
            <w:pPr>
              <w:rPr>
                <w:rFonts w:ascii="宋体"/>
              </w:rPr>
            </w:pPr>
          </w:p>
        </w:tc>
        <w:tc>
          <w:tcPr>
            <w:tcW w:w="0" w:type="auto"/>
            <w:shd w:val="clear" w:color="auto" w:fill="auto"/>
          </w:tcPr>
          <w:p w14:paraId="20AE16B7" w14:textId="77777777" w:rsidR="00B626E7" w:rsidRDefault="00B626E7">
            <w:pPr>
              <w:rPr>
                <w:rFonts w:ascii="宋体"/>
              </w:rPr>
            </w:pPr>
          </w:p>
        </w:tc>
        <w:tc>
          <w:tcPr>
            <w:tcW w:w="0" w:type="auto"/>
            <w:shd w:val="clear" w:color="auto" w:fill="auto"/>
          </w:tcPr>
          <w:p w14:paraId="20AE16B8" w14:textId="77777777" w:rsidR="00B626E7" w:rsidRDefault="00B626E7">
            <w:pPr>
              <w:rPr>
                <w:rFonts w:ascii="宋体"/>
              </w:rPr>
            </w:pPr>
          </w:p>
        </w:tc>
        <w:tc>
          <w:tcPr>
            <w:tcW w:w="0" w:type="auto"/>
            <w:shd w:val="clear" w:color="auto" w:fill="auto"/>
          </w:tcPr>
          <w:p w14:paraId="20AE16B9" w14:textId="77777777" w:rsidR="00B626E7" w:rsidRDefault="00B626E7">
            <w:pPr>
              <w:rPr>
                <w:rFonts w:ascii="宋体"/>
              </w:rPr>
            </w:pPr>
          </w:p>
        </w:tc>
      </w:tr>
      <w:tr w:rsidR="00B626E7" w14:paraId="20AE16CA" w14:textId="77777777">
        <w:tc>
          <w:tcPr>
            <w:tcW w:w="0" w:type="auto"/>
            <w:gridSpan w:val="3"/>
            <w:shd w:val="clear" w:color="auto" w:fill="auto"/>
            <w:tcMar>
              <w:top w:w="40" w:type="dxa"/>
              <w:left w:w="20" w:type="dxa"/>
              <w:bottom w:w="40" w:type="dxa"/>
              <w:right w:w="20" w:type="dxa"/>
            </w:tcMar>
            <w:vAlign w:val="center"/>
          </w:tcPr>
          <w:p w14:paraId="20AE16BB" w14:textId="77777777" w:rsidR="00B626E7" w:rsidRDefault="00175C1D">
            <w:pPr>
              <w:textAlignment w:val="center"/>
            </w:pPr>
            <w:r>
              <w:rPr>
                <w:rFonts w:ascii="Arial" w:eastAsia="宋体" w:hAnsi="Arial" w:cs="Arial"/>
                <w:color w:val="333333"/>
                <w:sz w:val="18"/>
                <w:szCs w:val="18"/>
              </w:rPr>
              <w:t>Hedge Accounting Fair Value Adjustments</w:t>
            </w:r>
          </w:p>
        </w:tc>
        <w:tc>
          <w:tcPr>
            <w:tcW w:w="0" w:type="auto"/>
            <w:gridSpan w:val="3"/>
            <w:shd w:val="clear" w:color="auto" w:fill="auto"/>
            <w:tcMar>
              <w:left w:w="20" w:type="dxa"/>
              <w:right w:w="20" w:type="dxa"/>
            </w:tcMar>
            <w:vAlign w:val="bottom"/>
          </w:tcPr>
          <w:p w14:paraId="20AE16BC"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6BD"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6BE"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6BF" w14:textId="77777777" w:rsidR="00B626E7" w:rsidRDefault="00175C1D">
            <w:pPr>
              <w:jc w:val="right"/>
              <w:textAlignment w:val="bottom"/>
            </w:pPr>
            <w:r>
              <w:rPr>
                <w:rFonts w:ascii="Arial" w:eastAsia="宋体" w:hAnsi="Arial" w:cs="Arial"/>
                <w:color w:val="026DCE"/>
                <w:sz w:val="18"/>
                <w:szCs w:val="18"/>
              </w:rPr>
              <w:t>1,796 </w:t>
            </w:r>
          </w:p>
        </w:tc>
        <w:tc>
          <w:tcPr>
            <w:tcW w:w="0" w:type="auto"/>
            <w:shd w:val="clear" w:color="auto" w:fill="auto"/>
            <w:tcMar>
              <w:top w:w="40" w:type="dxa"/>
              <w:bottom w:w="40" w:type="dxa"/>
              <w:right w:w="20" w:type="dxa"/>
            </w:tcMar>
            <w:vAlign w:val="bottom"/>
          </w:tcPr>
          <w:p w14:paraId="20AE16C0"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6C1"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6C2" w14:textId="77777777" w:rsidR="00B626E7" w:rsidRDefault="00175C1D">
            <w:pPr>
              <w:jc w:val="right"/>
              <w:textAlignment w:val="bottom"/>
            </w:pPr>
            <w:r>
              <w:rPr>
                <w:rFonts w:ascii="Arial" w:eastAsia="宋体" w:hAnsi="Arial" w:cs="Arial"/>
                <w:color w:val="333333"/>
                <w:sz w:val="18"/>
                <w:szCs w:val="18"/>
              </w:rPr>
              <w:t>781 </w:t>
            </w:r>
          </w:p>
        </w:tc>
        <w:tc>
          <w:tcPr>
            <w:tcW w:w="0" w:type="auto"/>
            <w:shd w:val="clear" w:color="auto" w:fill="auto"/>
            <w:tcMar>
              <w:top w:w="40" w:type="dxa"/>
              <w:bottom w:w="40" w:type="dxa"/>
              <w:right w:w="20" w:type="dxa"/>
            </w:tcMar>
            <w:vAlign w:val="bottom"/>
          </w:tcPr>
          <w:p w14:paraId="20AE16C3"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6C4" w14:textId="77777777" w:rsidR="00B626E7" w:rsidRDefault="00B626E7">
            <w:pPr>
              <w:rPr>
                <w:rFonts w:ascii="宋体"/>
              </w:rPr>
            </w:pPr>
          </w:p>
        </w:tc>
        <w:tc>
          <w:tcPr>
            <w:tcW w:w="0" w:type="auto"/>
            <w:shd w:val="clear" w:color="auto" w:fill="auto"/>
          </w:tcPr>
          <w:p w14:paraId="20AE16C5" w14:textId="77777777" w:rsidR="00B626E7" w:rsidRDefault="00B626E7">
            <w:pPr>
              <w:rPr>
                <w:rFonts w:ascii="宋体"/>
              </w:rPr>
            </w:pPr>
          </w:p>
        </w:tc>
        <w:tc>
          <w:tcPr>
            <w:tcW w:w="0" w:type="auto"/>
            <w:shd w:val="clear" w:color="auto" w:fill="auto"/>
          </w:tcPr>
          <w:p w14:paraId="20AE16C6" w14:textId="77777777" w:rsidR="00B626E7" w:rsidRDefault="00B626E7">
            <w:pPr>
              <w:rPr>
                <w:rFonts w:ascii="宋体"/>
              </w:rPr>
            </w:pPr>
          </w:p>
        </w:tc>
        <w:tc>
          <w:tcPr>
            <w:tcW w:w="0" w:type="auto"/>
            <w:shd w:val="clear" w:color="auto" w:fill="auto"/>
          </w:tcPr>
          <w:p w14:paraId="20AE16C7" w14:textId="77777777" w:rsidR="00B626E7" w:rsidRDefault="00B626E7">
            <w:pPr>
              <w:rPr>
                <w:rFonts w:ascii="宋体"/>
              </w:rPr>
            </w:pPr>
          </w:p>
        </w:tc>
        <w:tc>
          <w:tcPr>
            <w:tcW w:w="0" w:type="auto"/>
            <w:shd w:val="clear" w:color="auto" w:fill="auto"/>
          </w:tcPr>
          <w:p w14:paraId="20AE16C8" w14:textId="77777777" w:rsidR="00B626E7" w:rsidRDefault="00B626E7">
            <w:pPr>
              <w:rPr>
                <w:rFonts w:ascii="宋体"/>
              </w:rPr>
            </w:pPr>
          </w:p>
        </w:tc>
        <w:tc>
          <w:tcPr>
            <w:tcW w:w="0" w:type="auto"/>
            <w:shd w:val="clear" w:color="auto" w:fill="auto"/>
          </w:tcPr>
          <w:p w14:paraId="20AE16C9" w14:textId="77777777" w:rsidR="00B626E7" w:rsidRDefault="00B626E7">
            <w:pPr>
              <w:rPr>
                <w:rFonts w:ascii="宋体"/>
              </w:rPr>
            </w:pPr>
          </w:p>
        </w:tc>
      </w:tr>
      <w:tr w:rsidR="00B626E7" w14:paraId="20AE16DA" w14:textId="77777777">
        <w:tc>
          <w:tcPr>
            <w:tcW w:w="0" w:type="auto"/>
            <w:gridSpan w:val="3"/>
            <w:shd w:val="clear" w:color="auto" w:fill="auto"/>
            <w:tcMar>
              <w:top w:w="40" w:type="dxa"/>
              <w:left w:w="20" w:type="dxa"/>
              <w:bottom w:w="40" w:type="dxa"/>
              <w:right w:w="20" w:type="dxa"/>
            </w:tcMar>
            <w:vAlign w:val="center"/>
          </w:tcPr>
          <w:p w14:paraId="20AE16CB" w14:textId="77777777" w:rsidR="00B626E7" w:rsidRDefault="00175C1D">
            <w:pPr>
              <w:textAlignment w:val="center"/>
            </w:pPr>
            <w:r>
              <w:rPr>
                <w:rFonts w:ascii="Arial" w:eastAsia="宋体" w:hAnsi="Arial" w:cs="Arial"/>
                <w:b/>
                <w:bCs/>
                <w:color w:val="333333"/>
                <w:sz w:val="18"/>
                <w:szCs w:val="18"/>
              </w:rPr>
              <w:t>Long-term debt</w:t>
            </w:r>
          </w:p>
        </w:tc>
        <w:tc>
          <w:tcPr>
            <w:tcW w:w="0" w:type="auto"/>
            <w:gridSpan w:val="3"/>
            <w:shd w:val="clear" w:color="auto" w:fill="auto"/>
            <w:tcMar>
              <w:left w:w="20" w:type="dxa"/>
              <w:right w:w="20" w:type="dxa"/>
            </w:tcMar>
            <w:vAlign w:val="bottom"/>
          </w:tcPr>
          <w:p w14:paraId="20AE16CC"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6CD"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6CE"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16CF" w14:textId="77777777" w:rsidR="00B626E7" w:rsidRDefault="00175C1D">
            <w:pPr>
              <w:jc w:val="right"/>
              <w:textAlignment w:val="bottom"/>
            </w:pPr>
            <w:r>
              <w:rPr>
                <w:rFonts w:ascii="Arial" w:eastAsia="宋体" w:hAnsi="Arial" w:cs="Arial"/>
                <w:b/>
                <w:bCs/>
                <w:color w:val="026DCE"/>
                <w:sz w:val="18"/>
                <w:szCs w:val="18"/>
              </w:rPr>
              <w:t>38,347 </w:t>
            </w:r>
          </w:p>
        </w:tc>
        <w:tc>
          <w:tcPr>
            <w:tcW w:w="0" w:type="auto"/>
            <w:tcBorders>
              <w:top w:val="single" w:sz="8" w:space="0" w:color="333333"/>
            </w:tcBorders>
            <w:shd w:val="clear" w:color="auto" w:fill="auto"/>
            <w:tcMar>
              <w:top w:w="40" w:type="dxa"/>
              <w:bottom w:w="40" w:type="dxa"/>
              <w:right w:w="20" w:type="dxa"/>
            </w:tcMar>
            <w:vAlign w:val="bottom"/>
          </w:tcPr>
          <w:p w14:paraId="20AE16D0"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16D1"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16D2" w14:textId="77777777" w:rsidR="00B626E7" w:rsidRDefault="00175C1D">
            <w:pPr>
              <w:jc w:val="right"/>
              <w:textAlignment w:val="bottom"/>
            </w:pPr>
            <w:r>
              <w:rPr>
                <w:rFonts w:ascii="Arial" w:eastAsia="宋体" w:hAnsi="Arial" w:cs="Arial"/>
                <w:b/>
                <w:bCs/>
                <w:color w:val="333333"/>
                <w:sz w:val="18"/>
                <w:szCs w:val="18"/>
              </w:rPr>
              <w:t>29,003 </w:t>
            </w:r>
          </w:p>
        </w:tc>
        <w:tc>
          <w:tcPr>
            <w:tcW w:w="0" w:type="auto"/>
            <w:tcBorders>
              <w:top w:val="single" w:sz="8" w:space="0" w:color="333333"/>
            </w:tcBorders>
            <w:shd w:val="clear" w:color="auto" w:fill="auto"/>
            <w:tcMar>
              <w:top w:w="40" w:type="dxa"/>
              <w:bottom w:w="40" w:type="dxa"/>
              <w:right w:w="20" w:type="dxa"/>
            </w:tcMar>
            <w:vAlign w:val="bottom"/>
          </w:tcPr>
          <w:p w14:paraId="20AE16D3"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E16D4" w14:textId="77777777" w:rsidR="00B626E7" w:rsidRDefault="00B626E7">
            <w:pPr>
              <w:rPr>
                <w:rFonts w:ascii="宋体"/>
              </w:rPr>
            </w:pPr>
          </w:p>
        </w:tc>
        <w:tc>
          <w:tcPr>
            <w:tcW w:w="0" w:type="auto"/>
            <w:shd w:val="clear" w:color="auto" w:fill="auto"/>
          </w:tcPr>
          <w:p w14:paraId="20AE16D5" w14:textId="77777777" w:rsidR="00B626E7" w:rsidRDefault="00B626E7">
            <w:pPr>
              <w:rPr>
                <w:rFonts w:ascii="宋体"/>
              </w:rPr>
            </w:pPr>
          </w:p>
        </w:tc>
        <w:tc>
          <w:tcPr>
            <w:tcW w:w="0" w:type="auto"/>
            <w:shd w:val="clear" w:color="auto" w:fill="auto"/>
          </w:tcPr>
          <w:p w14:paraId="20AE16D6" w14:textId="77777777" w:rsidR="00B626E7" w:rsidRDefault="00B626E7">
            <w:pPr>
              <w:rPr>
                <w:rFonts w:ascii="宋体"/>
              </w:rPr>
            </w:pPr>
          </w:p>
        </w:tc>
        <w:tc>
          <w:tcPr>
            <w:tcW w:w="0" w:type="auto"/>
            <w:shd w:val="clear" w:color="auto" w:fill="auto"/>
          </w:tcPr>
          <w:p w14:paraId="20AE16D7" w14:textId="77777777" w:rsidR="00B626E7" w:rsidRDefault="00B626E7">
            <w:pPr>
              <w:rPr>
                <w:rFonts w:ascii="宋体"/>
              </w:rPr>
            </w:pPr>
          </w:p>
        </w:tc>
        <w:tc>
          <w:tcPr>
            <w:tcW w:w="0" w:type="auto"/>
            <w:shd w:val="clear" w:color="auto" w:fill="auto"/>
          </w:tcPr>
          <w:p w14:paraId="20AE16D8" w14:textId="77777777" w:rsidR="00B626E7" w:rsidRDefault="00B626E7">
            <w:pPr>
              <w:rPr>
                <w:rFonts w:ascii="宋体"/>
              </w:rPr>
            </w:pPr>
          </w:p>
        </w:tc>
        <w:tc>
          <w:tcPr>
            <w:tcW w:w="0" w:type="auto"/>
            <w:shd w:val="clear" w:color="auto" w:fill="auto"/>
          </w:tcPr>
          <w:p w14:paraId="20AE16D9" w14:textId="77777777" w:rsidR="00B626E7" w:rsidRDefault="00B626E7">
            <w:pPr>
              <w:rPr>
                <w:rFonts w:ascii="宋体"/>
              </w:rPr>
            </w:pPr>
          </w:p>
        </w:tc>
      </w:tr>
      <w:tr w:rsidR="00B626E7" w14:paraId="20AE16EA" w14:textId="77777777">
        <w:tc>
          <w:tcPr>
            <w:tcW w:w="0" w:type="auto"/>
            <w:gridSpan w:val="3"/>
            <w:shd w:val="clear" w:color="auto" w:fill="auto"/>
            <w:tcMar>
              <w:top w:w="40" w:type="dxa"/>
              <w:left w:w="20" w:type="dxa"/>
              <w:bottom w:w="40" w:type="dxa"/>
              <w:right w:w="20" w:type="dxa"/>
            </w:tcMar>
            <w:vAlign w:val="center"/>
          </w:tcPr>
          <w:p w14:paraId="20AE16DB" w14:textId="77777777" w:rsidR="00B626E7" w:rsidRDefault="00175C1D">
            <w:pPr>
              <w:textAlignment w:val="center"/>
            </w:pPr>
            <w:r>
              <w:rPr>
                <w:rFonts w:ascii="Arial" w:eastAsia="宋体" w:hAnsi="Arial" w:cs="Arial"/>
                <w:color w:val="333333"/>
                <w:sz w:val="18"/>
                <w:szCs w:val="18"/>
              </w:rPr>
              <w:t>Current portion of long-term debt</w:t>
            </w:r>
          </w:p>
        </w:tc>
        <w:tc>
          <w:tcPr>
            <w:tcW w:w="0" w:type="auto"/>
            <w:gridSpan w:val="3"/>
            <w:shd w:val="clear" w:color="auto" w:fill="auto"/>
            <w:tcMar>
              <w:left w:w="20" w:type="dxa"/>
              <w:right w:w="20" w:type="dxa"/>
            </w:tcMar>
            <w:vAlign w:val="bottom"/>
          </w:tcPr>
          <w:p w14:paraId="20AE16DC"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6DD"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6DE"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16DF" w14:textId="77777777" w:rsidR="00B626E7" w:rsidRDefault="00175C1D">
            <w:pPr>
              <w:jc w:val="right"/>
              <w:textAlignment w:val="bottom"/>
            </w:pPr>
            <w:r>
              <w:rPr>
                <w:rFonts w:ascii="Arial" w:eastAsia="宋体" w:hAnsi="Arial" w:cs="Arial"/>
                <w:color w:val="026DCE"/>
                <w:sz w:val="18"/>
                <w:szCs w:val="18"/>
              </w:rPr>
              <w:t>(2,254)</w:t>
            </w:r>
          </w:p>
        </w:tc>
        <w:tc>
          <w:tcPr>
            <w:tcW w:w="0" w:type="auto"/>
            <w:tcBorders>
              <w:top w:val="single" w:sz="8" w:space="0" w:color="333333"/>
            </w:tcBorders>
            <w:shd w:val="clear" w:color="auto" w:fill="auto"/>
            <w:tcMar>
              <w:top w:w="40" w:type="dxa"/>
              <w:bottom w:w="40" w:type="dxa"/>
              <w:right w:w="20" w:type="dxa"/>
            </w:tcMar>
            <w:vAlign w:val="bottom"/>
          </w:tcPr>
          <w:p w14:paraId="20AE16E0"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6E1"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16E2" w14:textId="77777777" w:rsidR="00B626E7" w:rsidRDefault="00175C1D">
            <w:pPr>
              <w:jc w:val="right"/>
              <w:textAlignment w:val="bottom"/>
            </w:pPr>
            <w:r>
              <w:rPr>
                <w:rFonts w:ascii="Arial" w:eastAsia="宋体" w:hAnsi="Arial" w:cs="Arial"/>
                <w:color w:val="333333"/>
                <w:sz w:val="18"/>
                <w:szCs w:val="18"/>
              </w:rPr>
              <w:t>(3,695)</w:t>
            </w:r>
          </w:p>
        </w:tc>
        <w:tc>
          <w:tcPr>
            <w:tcW w:w="0" w:type="auto"/>
            <w:tcBorders>
              <w:top w:val="single" w:sz="8" w:space="0" w:color="333333"/>
            </w:tcBorders>
            <w:shd w:val="clear" w:color="auto" w:fill="auto"/>
            <w:tcMar>
              <w:top w:w="40" w:type="dxa"/>
              <w:bottom w:w="40" w:type="dxa"/>
              <w:right w:w="20" w:type="dxa"/>
            </w:tcMar>
            <w:vAlign w:val="bottom"/>
          </w:tcPr>
          <w:p w14:paraId="20AE16E3"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6E4" w14:textId="77777777" w:rsidR="00B626E7" w:rsidRDefault="00B626E7">
            <w:pPr>
              <w:rPr>
                <w:rFonts w:ascii="宋体"/>
              </w:rPr>
            </w:pPr>
          </w:p>
        </w:tc>
        <w:tc>
          <w:tcPr>
            <w:tcW w:w="0" w:type="auto"/>
            <w:shd w:val="clear" w:color="auto" w:fill="auto"/>
          </w:tcPr>
          <w:p w14:paraId="20AE16E5" w14:textId="77777777" w:rsidR="00B626E7" w:rsidRDefault="00B626E7">
            <w:pPr>
              <w:rPr>
                <w:rFonts w:ascii="宋体"/>
              </w:rPr>
            </w:pPr>
          </w:p>
        </w:tc>
        <w:tc>
          <w:tcPr>
            <w:tcW w:w="0" w:type="auto"/>
            <w:shd w:val="clear" w:color="auto" w:fill="auto"/>
          </w:tcPr>
          <w:p w14:paraId="20AE16E6" w14:textId="77777777" w:rsidR="00B626E7" w:rsidRDefault="00B626E7">
            <w:pPr>
              <w:rPr>
                <w:rFonts w:ascii="宋体"/>
              </w:rPr>
            </w:pPr>
          </w:p>
        </w:tc>
        <w:tc>
          <w:tcPr>
            <w:tcW w:w="0" w:type="auto"/>
            <w:shd w:val="clear" w:color="auto" w:fill="auto"/>
          </w:tcPr>
          <w:p w14:paraId="20AE16E7" w14:textId="77777777" w:rsidR="00B626E7" w:rsidRDefault="00B626E7">
            <w:pPr>
              <w:rPr>
                <w:rFonts w:ascii="宋体"/>
              </w:rPr>
            </w:pPr>
          </w:p>
        </w:tc>
        <w:tc>
          <w:tcPr>
            <w:tcW w:w="0" w:type="auto"/>
            <w:shd w:val="clear" w:color="auto" w:fill="auto"/>
          </w:tcPr>
          <w:p w14:paraId="20AE16E8" w14:textId="77777777" w:rsidR="00B626E7" w:rsidRDefault="00B626E7">
            <w:pPr>
              <w:rPr>
                <w:rFonts w:ascii="宋体"/>
              </w:rPr>
            </w:pPr>
          </w:p>
        </w:tc>
        <w:tc>
          <w:tcPr>
            <w:tcW w:w="0" w:type="auto"/>
            <w:shd w:val="clear" w:color="auto" w:fill="auto"/>
          </w:tcPr>
          <w:p w14:paraId="20AE16E9" w14:textId="77777777" w:rsidR="00B626E7" w:rsidRDefault="00B626E7">
            <w:pPr>
              <w:rPr>
                <w:rFonts w:ascii="宋体"/>
              </w:rPr>
            </w:pPr>
          </w:p>
        </w:tc>
      </w:tr>
      <w:tr w:rsidR="00B626E7" w14:paraId="20AE16F8" w14:textId="77777777">
        <w:trPr>
          <w:hidden/>
        </w:trPr>
        <w:tc>
          <w:tcPr>
            <w:tcW w:w="0" w:type="auto"/>
            <w:gridSpan w:val="3"/>
            <w:shd w:val="clear" w:color="auto" w:fill="auto"/>
          </w:tcPr>
          <w:p w14:paraId="20AE16EB" w14:textId="77777777" w:rsidR="00B626E7" w:rsidRDefault="00B626E7">
            <w:pPr>
              <w:rPr>
                <w:rFonts w:ascii="宋体"/>
                <w:vanish/>
              </w:rPr>
            </w:pPr>
          </w:p>
        </w:tc>
        <w:tc>
          <w:tcPr>
            <w:tcW w:w="0" w:type="auto"/>
            <w:gridSpan w:val="3"/>
            <w:shd w:val="clear" w:color="auto" w:fill="auto"/>
          </w:tcPr>
          <w:p w14:paraId="20AE16EC" w14:textId="77777777" w:rsidR="00B626E7" w:rsidRDefault="00B626E7">
            <w:pPr>
              <w:rPr>
                <w:rFonts w:ascii="宋体"/>
                <w:vanish/>
              </w:rPr>
            </w:pPr>
          </w:p>
        </w:tc>
        <w:tc>
          <w:tcPr>
            <w:tcW w:w="0" w:type="auto"/>
            <w:gridSpan w:val="3"/>
            <w:shd w:val="clear" w:color="auto" w:fill="auto"/>
          </w:tcPr>
          <w:p w14:paraId="20AE16ED" w14:textId="77777777" w:rsidR="00B626E7" w:rsidRDefault="00B626E7">
            <w:pPr>
              <w:rPr>
                <w:rFonts w:ascii="宋体"/>
                <w:vanish/>
              </w:rPr>
            </w:pPr>
          </w:p>
        </w:tc>
        <w:tc>
          <w:tcPr>
            <w:tcW w:w="0" w:type="auto"/>
            <w:gridSpan w:val="3"/>
            <w:shd w:val="clear" w:color="auto" w:fill="auto"/>
          </w:tcPr>
          <w:p w14:paraId="20AE16EE" w14:textId="77777777" w:rsidR="00B626E7" w:rsidRDefault="00B626E7">
            <w:pPr>
              <w:rPr>
                <w:rFonts w:ascii="宋体"/>
                <w:vanish/>
              </w:rPr>
            </w:pPr>
          </w:p>
        </w:tc>
        <w:tc>
          <w:tcPr>
            <w:tcW w:w="0" w:type="auto"/>
            <w:gridSpan w:val="3"/>
            <w:shd w:val="clear" w:color="auto" w:fill="auto"/>
          </w:tcPr>
          <w:p w14:paraId="20AE16EF" w14:textId="77777777" w:rsidR="00B626E7" w:rsidRDefault="00B626E7">
            <w:pPr>
              <w:rPr>
                <w:rFonts w:ascii="宋体"/>
                <w:vanish/>
              </w:rPr>
            </w:pPr>
          </w:p>
        </w:tc>
        <w:tc>
          <w:tcPr>
            <w:tcW w:w="0" w:type="auto"/>
            <w:gridSpan w:val="3"/>
            <w:shd w:val="clear" w:color="auto" w:fill="auto"/>
          </w:tcPr>
          <w:p w14:paraId="20AE16F0" w14:textId="77777777" w:rsidR="00B626E7" w:rsidRDefault="00B626E7">
            <w:pPr>
              <w:rPr>
                <w:rFonts w:ascii="宋体"/>
                <w:vanish/>
              </w:rPr>
            </w:pPr>
          </w:p>
        </w:tc>
        <w:tc>
          <w:tcPr>
            <w:tcW w:w="0" w:type="auto"/>
            <w:gridSpan w:val="3"/>
            <w:shd w:val="clear" w:color="auto" w:fill="auto"/>
          </w:tcPr>
          <w:p w14:paraId="20AE16F1" w14:textId="77777777" w:rsidR="00B626E7" w:rsidRDefault="00B626E7">
            <w:pPr>
              <w:rPr>
                <w:rFonts w:ascii="宋体"/>
                <w:vanish/>
              </w:rPr>
            </w:pPr>
          </w:p>
        </w:tc>
        <w:tc>
          <w:tcPr>
            <w:tcW w:w="0" w:type="auto"/>
            <w:shd w:val="clear" w:color="auto" w:fill="auto"/>
          </w:tcPr>
          <w:p w14:paraId="20AE16F2" w14:textId="77777777" w:rsidR="00B626E7" w:rsidRDefault="00B626E7">
            <w:pPr>
              <w:rPr>
                <w:rFonts w:ascii="宋体"/>
              </w:rPr>
            </w:pPr>
          </w:p>
        </w:tc>
        <w:tc>
          <w:tcPr>
            <w:tcW w:w="0" w:type="auto"/>
            <w:shd w:val="clear" w:color="auto" w:fill="auto"/>
          </w:tcPr>
          <w:p w14:paraId="20AE16F3" w14:textId="77777777" w:rsidR="00B626E7" w:rsidRDefault="00B626E7">
            <w:pPr>
              <w:rPr>
                <w:rFonts w:ascii="宋体"/>
              </w:rPr>
            </w:pPr>
          </w:p>
        </w:tc>
        <w:tc>
          <w:tcPr>
            <w:tcW w:w="0" w:type="auto"/>
            <w:shd w:val="clear" w:color="auto" w:fill="auto"/>
          </w:tcPr>
          <w:p w14:paraId="20AE16F4" w14:textId="77777777" w:rsidR="00B626E7" w:rsidRDefault="00B626E7">
            <w:pPr>
              <w:rPr>
                <w:rFonts w:ascii="宋体"/>
              </w:rPr>
            </w:pPr>
          </w:p>
        </w:tc>
        <w:tc>
          <w:tcPr>
            <w:tcW w:w="0" w:type="auto"/>
            <w:shd w:val="clear" w:color="auto" w:fill="auto"/>
          </w:tcPr>
          <w:p w14:paraId="20AE16F5" w14:textId="77777777" w:rsidR="00B626E7" w:rsidRDefault="00B626E7">
            <w:pPr>
              <w:rPr>
                <w:rFonts w:ascii="宋体"/>
              </w:rPr>
            </w:pPr>
          </w:p>
        </w:tc>
        <w:tc>
          <w:tcPr>
            <w:tcW w:w="0" w:type="auto"/>
            <w:shd w:val="clear" w:color="auto" w:fill="auto"/>
          </w:tcPr>
          <w:p w14:paraId="20AE16F6" w14:textId="77777777" w:rsidR="00B626E7" w:rsidRDefault="00B626E7">
            <w:pPr>
              <w:rPr>
                <w:rFonts w:ascii="宋体"/>
              </w:rPr>
            </w:pPr>
          </w:p>
        </w:tc>
        <w:tc>
          <w:tcPr>
            <w:tcW w:w="0" w:type="auto"/>
            <w:shd w:val="clear" w:color="auto" w:fill="auto"/>
          </w:tcPr>
          <w:p w14:paraId="20AE16F7" w14:textId="77777777" w:rsidR="00B626E7" w:rsidRDefault="00B626E7">
            <w:pPr>
              <w:rPr>
                <w:rFonts w:ascii="宋体"/>
              </w:rPr>
            </w:pPr>
          </w:p>
        </w:tc>
      </w:tr>
      <w:tr w:rsidR="00B626E7" w14:paraId="20AE170A" w14:textId="77777777">
        <w:tc>
          <w:tcPr>
            <w:tcW w:w="0" w:type="auto"/>
            <w:gridSpan w:val="3"/>
            <w:shd w:val="clear" w:color="auto" w:fill="auto"/>
            <w:tcMar>
              <w:top w:w="40" w:type="dxa"/>
              <w:left w:w="20" w:type="dxa"/>
              <w:bottom w:w="40" w:type="dxa"/>
              <w:right w:w="20" w:type="dxa"/>
            </w:tcMar>
            <w:vAlign w:val="center"/>
          </w:tcPr>
          <w:p w14:paraId="20AE16F9" w14:textId="77777777" w:rsidR="00B626E7" w:rsidRDefault="00175C1D">
            <w:pPr>
              <w:textAlignment w:val="center"/>
            </w:pPr>
            <w:r>
              <w:rPr>
                <w:rFonts w:ascii="Arial" w:eastAsia="宋体" w:hAnsi="Arial" w:cs="Arial"/>
                <w:b/>
                <w:bCs/>
                <w:color w:val="333333"/>
                <w:sz w:val="18"/>
                <w:szCs w:val="18"/>
              </w:rPr>
              <w:t>Total long-term debt</w:t>
            </w:r>
          </w:p>
        </w:tc>
        <w:tc>
          <w:tcPr>
            <w:tcW w:w="0" w:type="auto"/>
            <w:gridSpan w:val="3"/>
            <w:shd w:val="clear" w:color="auto" w:fill="auto"/>
            <w:tcMar>
              <w:left w:w="20" w:type="dxa"/>
              <w:right w:w="20" w:type="dxa"/>
            </w:tcMar>
            <w:vAlign w:val="bottom"/>
          </w:tcPr>
          <w:p w14:paraId="20AE16FA"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6FB"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6FC" w14:textId="77777777" w:rsidR="00B626E7" w:rsidRDefault="00B626E7">
            <w:pPr>
              <w:rPr>
                <w:rFonts w:ascii="宋体"/>
              </w:rPr>
            </w:pPr>
          </w:p>
        </w:tc>
        <w:tc>
          <w:tcPr>
            <w:tcW w:w="0" w:type="auto"/>
            <w:tcBorders>
              <w:bottom w:val="double" w:sz="6" w:space="0" w:color="333333"/>
            </w:tcBorders>
            <w:shd w:val="clear" w:color="auto" w:fill="auto"/>
            <w:tcMar>
              <w:top w:w="40" w:type="dxa"/>
              <w:left w:w="20" w:type="dxa"/>
              <w:bottom w:w="40" w:type="dxa"/>
            </w:tcMar>
            <w:vAlign w:val="bottom"/>
          </w:tcPr>
          <w:p w14:paraId="20AE16FD" w14:textId="77777777" w:rsidR="00B626E7" w:rsidRDefault="00175C1D">
            <w:pPr>
              <w:textAlignment w:val="bottom"/>
            </w:pPr>
            <w:r>
              <w:rPr>
                <w:rFonts w:ascii="Arial" w:eastAsia="宋体" w:hAnsi="Arial" w:cs="Arial"/>
                <w:b/>
                <w:bCs/>
                <w:color w:val="026DCE"/>
                <w:sz w:val="18"/>
                <w:szCs w:val="18"/>
              </w:rPr>
              <w:t>$</w:t>
            </w:r>
          </w:p>
        </w:tc>
        <w:tc>
          <w:tcPr>
            <w:tcW w:w="0" w:type="auto"/>
            <w:tcBorders>
              <w:bottom w:val="double" w:sz="6" w:space="0" w:color="333333"/>
            </w:tcBorders>
            <w:shd w:val="clear" w:color="auto" w:fill="auto"/>
            <w:tcMar>
              <w:top w:w="40" w:type="dxa"/>
              <w:bottom w:w="40" w:type="dxa"/>
              <w:right w:w="0" w:type="dxa"/>
            </w:tcMar>
            <w:vAlign w:val="bottom"/>
          </w:tcPr>
          <w:p w14:paraId="20AE16FE" w14:textId="77777777" w:rsidR="00B626E7" w:rsidRDefault="00175C1D">
            <w:pPr>
              <w:jc w:val="right"/>
              <w:textAlignment w:val="bottom"/>
            </w:pPr>
            <w:r>
              <w:rPr>
                <w:rFonts w:ascii="Arial" w:eastAsia="宋体" w:hAnsi="Arial" w:cs="Arial"/>
                <w:b/>
                <w:bCs/>
                <w:color w:val="026DCE"/>
                <w:sz w:val="18"/>
                <w:szCs w:val="18"/>
              </w:rPr>
              <w:t>36,093 </w:t>
            </w:r>
          </w:p>
        </w:tc>
        <w:tc>
          <w:tcPr>
            <w:tcW w:w="0" w:type="auto"/>
            <w:tcBorders>
              <w:bottom w:val="double" w:sz="6" w:space="0" w:color="333333"/>
            </w:tcBorders>
            <w:shd w:val="clear" w:color="auto" w:fill="auto"/>
            <w:tcMar>
              <w:top w:w="40" w:type="dxa"/>
              <w:bottom w:w="40" w:type="dxa"/>
              <w:right w:w="20" w:type="dxa"/>
            </w:tcMar>
            <w:vAlign w:val="bottom"/>
          </w:tcPr>
          <w:p w14:paraId="20AE16FF"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1700" w14:textId="77777777" w:rsidR="00B626E7" w:rsidRDefault="00B626E7">
            <w:pPr>
              <w:rPr>
                <w:rFonts w:ascii="宋体"/>
              </w:rPr>
            </w:pPr>
          </w:p>
        </w:tc>
        <w:tc>
          <w:tcPr>
            <w:tcW w:w="0" w:type="auto"/>
            <w:tcBorders>
              <w:bottom w:val="double" w:sz="6" w:space="0" w:color="333333"/>
            </w:tcBorders>
            <w:shd w:val="clear" w:color="auto" w:fill="auto"/>
            <w:tcMar>
              <w:top w:w="40" w:type="dxa"/>
              <w:left w:w="20" w:type="dxa"/>
              <w:bottom w:w="40" w:type="dxa"/>
            </w:tcMar>
            <w:vAlign w:val="bottom"/>
          </w:tcPr>
          <w:p w14:paraId="20AE1701" w14:textId="77777777" w:rsidR="00B626E7" w:rsidRDefault="00175C1D">
            <w:pPr>
              <w:textAlignment w:val="bottom"/>
            </w:pPr>
            <w:r>
              <w:rPr>
                <w:rFonts w:ascii="Arial" w:eastAsia="宋体" w:hAnsi="Arial" w:cs="Arial"/>
                <w:b/>
                <w:bCs/>
                <w:color w:val="333333"/>
                <w:sz w:val="18"/>
                <w:szCs w:val="18"/>
              </w:rPr>
              <w:t>$</w:t>
            </w:r>
          </w:p>
        </w:tc>
        <w:tc>
          <w:tcPr>
            <w:tcW w:w="0" w:type="auto"/>
            <w:tcBorders>
              <w:bottom w:val="double" w:sz="6" w:space="0" w:color="333333"/>
            </w:tcBorders>
            <w:shd w:val="clear" w:color="auto" w:fill="auto"/>
            <w:tcMar>
              <w:top w:w="40" w:type="dxa"/>
              <w:bottom w:w="40" w:type="dxa"/>
              <w:right w:w="0" w:type="dxa"/>
            </w:tcMar>
            <w:vAlign w:val="bottom"/>
          </w:tcPr>
          <w:p w14:paraId="20AE1702" w14:textId="77777777" w:rsidR="00B626E7" w:rsidRDefault="00175C1D">
            <w:pPr>
              <w:jc w:val="right"/>
              <w:textAlignment w:val="bottom"/>
            </w:pPr>
            <w:r>
              <w:rPr>
                <w:rFonts w:ascii="Arial" w:eastAsia="宋体" w:hAnsi="Arial" w:cs="Arial"/>
                <w:b/>
                <w:bCs/>
                <w:color w:val="333333"/>
                <w:sz w:val="18"/>
                <w:szCs w:val="18"/>
              </w:rPr>
              <w:t>25,308 </w:t>
            </w:r>
          </w:p>
        </w:tc>
        <w:tc>
          <w:tcPr>
            <w:tcW w:w="0" w:type="auto"/>
            <w:tcBorders>
              <w:bottom w:val="double" w:sz="6" w:space="0" w:color="333333"/>
            </w:tcBorders>
            <w:shd w:val="clear" w:color="auto" w:fill="auto"/>
            <w:tcMar>
              <w:top w:w="40" w:type="dxa"/>
              <w:bottom w:w="40" w:type="dxa"/>
              <w:right w:w="20" w:type="dxa"/>
            </w:tcMar>
            <w:vAlign w:val="bottom"/>
          </w:tcPr>
          <w:p w14:paraId="20AE1703"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E1704" w14:textId="77777777" w:rsidR="00B626E7" w:rsidRDefault="00B626E7">
            <w:pPr>
              <w:rPr>
                <w:rFonts w:ascii="宋体"/>
              </w:rPr>
            </w:pPr>
          </w:p>
        </w:tc>
        <w:tc>
          <w:tcPr>
            <w:tcW w:w="0" w:type="auto"/>
            <w:shd w:val="clear" w:color="auto" w:fill="auto"/>
          </w:tcPr>
          <w:p w14:paraId="20AE1705" w14:textId="77777777" w:rsidR="00B626E7" w:rsidRDefault="00B626E7">
            <w:pPr>
              <w:rPr>
                <w:rFonts w:ascii="宋体"/>
              </w:rPr>
            </w:pPr>
          </w:p>
        </w:tc>
        <w:tc>
          <w:tcPr>
            <w:tcW w:w="0" w:type="auto"/>
            <w:shd w:val="clear" w:color="auto" w:fill="auto"/>
          </w:tcPr>
          <w:p w14:paraId="20AE1706" w14:textId="77777777" w:rsidR="00B626E7" w:rsidRDefault="00B626E7">
            <w:pPr>
              <w:rPr>
                <w:rFonts w:ascii="宋体"/>
              </w:rPr>
            </w:pPr>
          </w:p>
        </w:tc>
        <w:tc>
          <w:tcPr>
            <w:tcW w:w="0" w:type="auto"/>
            <w:shd w:val="clear" w:color="auto" w:fill="auto"/>
          </w:tcPr>
          <w:p w14:paraId="20AE1707" w14:textId="77777777" w:rsidR="00B626E7" w:rsidRDefault="00B626E7">
            <w:pPr>
              <w:rPr>
                <w:rFonts w:ascii="宋体"/>
              </w:rPr>
            </w:pPr>
          </w:p>
        </w:tc>
        <w:tc>
          <w:tcPr>
            <w:tcW w:w="0" w:type="auto"/>
            <w:shd w:val="clear" w:color="auto" w:fill="auto"/>
          </w:tcPr>
          <w:p w14:paraId="20AE1708" w14:textId="77777777" w:rsidR="00B626E7" w:rsidRDefault="00B626E7">
            <w:pPr>
              <w:rPr>
                <w:rFonts w:ascii="宋体"/>
              </w:rPr>
            </w:pPr>
          </w:p>
        </w:tc>
        <w:tc>
          <w:tcPr>
            <w:tcW w:w="0" w:type="auto"/>
            <w:shd w:val="clear" w:color="auto" w:fill="auto"/>
          </w:tcPr>
          <w:p w14:paraId="20AE1709" w14:textId="77777777" w:rsidR="00B626E7" w:rsidRDefault="00B626E7">
            <w:pPr>
              <w:rPr>
                <w:rFonts w:ascii="宋体"/>
              </w:rPr>
            </w:pPr>
          </w:p>
        </w:tc>
      </w:tr>
    </w:tbl>
    <w:p w14:paraId="20AE170B" w14:textId="77777777" w:rsidR="00B626E7" w:rsidRDefault="00175C1D">
      <w:pPr>
        <w:spacing w:after="180"/>
        <w:ind w:hanging="180"/>
      </w:pPr>
      <w:r>
        <w:rPr>
          <w:rFonts w:ascii="Arial" w:eastAsia="宋体" w:hAnsi="Arial" w:cs="Arial"/>
          <w:i/>
          <w:iCs/>
          <w:color w:val="333333"/>
          <w:sz w:val="10"/>
          <w:szCs w:val="10"/>
        </w:rPr>
        <w:t>1 </w:t>
      </w:r>
      <w:r>
        <w:rPr>
          <w:rFonts w:ascii="Arial" w:eastAsia="宋体" w:hAnsi="Arial" w:cs="Arial"/>
          <w:i/>
          <w:iCs/>
          <w:color w:val="333333"/>
          <w:sz w:val="16"/>
          <w:szCs w:val="16"/>
        </w:rPr>
        <w:t>To m</w:t>
      </w:r>
      <w:r>
        <w:rPr>
          <w:rFonts w:ascii="Arial" w:eastAsia="宋体" w:hAnsi="Arial" w:cs="Arial"/>
          <w:i/>
          <w:iCs/>
          <w:color w:val="333333"/>
          <w:sz w:val="16"/>
          <w:szCs w:val="16"/>
        </w:rPr>
        <w:t>anage foreign currency risk associated with the Australian-dollar-denominated notes issued in 2015, we entered into currency interest rate swaps with an aggregate notional amount of $396 million, which effectively converted these notes to U.S.-dollar-denom</w:t>
      </w:r>
      <w:r>
        <w:rPr>
          <w:rFonts w:ascii="Arial" w:eastAsia="宋体" w:hAnsi="Arial" w:cs="Arial"/>
          <w:i/>
          <w:iCs/>
          <w:color w:val="333333"/>
          <w:sz w:val="16"/>
          <w:szCs w:val="16"/>
        </w:rPr>
        <w:t xml:space="preserve">inated notes. For further discussion on our currency interest rate swaps, see "Note 12: Derivative Financial Instruments." </w:t>
      </w:r>
    </w:p>
    <w:p w14:paraId="20AE170C" w14:textId="77777777" w:rsidR="00B626E7" w:rsidRDefault="00B626E7">
      <w:pPr>
        <w:spacing w:after="180"/>
      </w:pPr>
    </w:p>
    <w:p w14:paraId="20AE170D" w14:textId="77777777" w:rsidR="00B626E7" w:rsidRDefault="00B626E7">
      <w:pPr>
        <w:spacing w:after="180"/>
      </w:pPr>
    </w:p>
    <w:p w14:paraId="20AE170E" w14:textId="77777777" w:rsidR="00B626E7" w:rsidRDefault="00B626E7">
      <w:pPr>
        <w:spacing w:after="180"/>
      </w:pPr>
    </w:p>
    <w:p w14:paraId="20AE170F" w14:textId="77777777" w:rsidR="00B626E7" w:rsidRDefault="00B626E7">
      <w:pPr>
        <w:spacing w:after="180"/>
      </w:pPr>
    </w:p>
    <w:p w14:paraId="20AE1710" w14:textId="77777777" w:rsidR="00B626E7" w:rsidRDefault="00B626E7">
      <w:pPr>
        <w:spacing w:after="180"/>
      </w:pPr>
    </w:p>
    <w:p w14:paraId="20AE1711" w14:textId="77777777" w:rsidR="00B626E7" w:rsidRDefault="00B626E7">
      <w:pPr>
        <w:spacing w:after="180"/>
      </w:pPr>
    </w:p>
    <w:p w14:paraId="20AE1712" w14:textId="77777777" w:rsidR="00B626E7" w:rsidRDefault="00B626E7">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4"/>
        <w:gridCol w:w="2423"/>
        <w:gridCol w:w="84"/>
        <w:gridCol w:w="83"/>
        <w:gridCol w:w="3471"/>
        <w:gridCol w:w="83"/>
        <w:gridCol w:w="83"/>
        <w:gridCol w:w="1942"/>
        <w:gridCol w:w="83"/>
      </w:tblGrid>
      <w:tr w:rsidR="00B626E7" w14:paraId="20AE171C" w14:textId="77777777">
        <w:tc>
          <w:tcPr>
            <w:tcW w:w="50" w:type="pct"/>
            <w:shd w:val="clear" w:color="auto" w:fill="auto"/>
            <w:vAlign w:val="bottom"/>
          </w:tcPr>
          <w:p w14:paraId="20AE1713" w14:textId="77777777" w:rsidR="00B626E7" w:rsidRDefault="00B626E7">
            <w:pPr>
              <w:rPr>
                <w:rFonts w:ascii="宋体"/>
              </w:rPr>
            </w:pPr>
          </w:p>
        </w:tc>
        <w:tc>
          <w:tcPr>
            <w:tcW w:w="1452" w:type="pct"/>
            <w:shd w:val="clear" w:color="auto" w:fill="auto"/>
            <w:vAlign w:val="bottom"/>
          </w:tcPr>
          <w:p w14:paraId="20AE1714" w14:textId="77777777" w:rsidR="00B626E7" w:rsidRDefault="00B626E7">
            <w:pPr>
              <w:rPr>
                <w:rFonts w:ascii="宋体"/>
              </w:rPr>
            </w:pPr>
          </w:p>
        </w:tc>
        <w:tc>
          <w:tcPr>
            <w:tcW w:w="50" w:type="pct"/>
            <w:shd w:val="clear" w:color="auto" w:fill="auto"/>
            <w:vAlign w:val="bottom"/>
          </w:tcPr>
          <w:p w14:paraId="20AE1715" w14:textId="77777777" w:rsidR="00B626E7" w:rsidRDefault="00B626E7">
            <w:pPr>
              <w:rPr>
                <w:rFonts w:ascii="宋体"/>
              </w:rPr>
            </w:pPr>
          </w:p>
        </w:tc>
        <w:tc>
          <w:tcPr>
            <w:tcW w:w="50" w:type="pct"/>
            <w:shd w:val="clear" w:color="auto" w:fill="auto"/>
            <w:vAlign w:val="bottom"/>
          </w:tcPr>
          <w:p w14:paraId="20AE1716" w14:textId="77777777" w:rsidR="00B626E7" w:rsidRDefault="00B626E7">
            <w:pPr>
              <w:rPr>
                <w:rFonts w:ascii="宋体"/>
              </w:rPr>
            </w:pPr>
          </w:p>
        </w:tc>
        <w:tc>
          <w:tcPr>
            <w:tcW w:w="2081" w:type="pct"/>
            <w:shd w:val="clear" w:color="auto" w:fill="auto"/>
            <w:vAlign w:val="bottom"/>
          </w:tcPr>
          <w:p w14:paraId="20AE1717" w14:textId="77777777" w:rsidR="00B626E7" w:rsidRDefault="00B626E7">
            <w:pPr>
              <w:rPr>
                <w:rFonts w:ascii="宋体"/>
              </w:rPr>
            </w:pPr>
          </w:p>
        </w:tc>
        <w:tc>
          <w:tcPr>
            <w:tcW w:w="50" w:type="pct"/>
            <w:shd w:val="clear" w:color="auto" w:fill="auto"/>
            <w:vAlign w:val="bottom"/>
          </w:tcPr>
          <w:p w14:paraId="20AE1718" w14:textId="77777777" w:rsidR="00B626E7" w:rsidRDefault="00B626E7">
            <w:pPr>
              <w:rPr>
                <w:rFonts w:ascii="宋体"/>
              </w:rPr>
            </w:pPr>
          </w:p>
        </w:tc>
        <w:tc>
          <w:tcPr>
            <w:tcW w:w="50" w:type="pct"/>
            <w:shd w:val="clear" w:color="auto" w:fill="auto"/>
            <w:vAlign w:val="bottom"/>
          </w:tcPr>
          <w:p w14:paraId="20AE1719" w14:textId="77777777" w:rsidR="00B626E7" w:rsidRDefault="00B626E7">
            <w:pPr>
              <w:rPr>
                <w:rFonts w:ascii="宋体"/>
              </w:rPr>
            </w:pPr>
          </w:p>
        </w:tc>
        <w:tc>
          <w:tcPr>
            <w:tcW w:w="1165" w:type="pct"/>
            <w:shd w:val="clear" w:color="auto" w:fill="auto"/>
            <w:vAlign w:val="bottom"/>
          </w:tcPr>
          <w:p w14:paraId="20AE171A" w14:textId="77777777" w:rsidR="00B626E7" w:rsidRDefault="00B626E7">
            <w:pPr>
              <w:rPr>
                <w:rFonts w:ascii="宋体"/>
              </w:rPr>
            </w:pPr>
          </w:p>
        </w:tc>
        <w:tc>
          <w:tcPr>
            <w:tcW w:w="50" w:type="pct"/>
            <w:shd w:val="clear" w:color="auto" w:fill="auto"/>
            <w:vAlign w:val="bottom"/>
          </w:tcPr>
          <w:p w14:paraId="20AE171B" w14:textId="77777777" w:rsidR="00B626E7" w:rsidRDefault="00B626E7">
            <w:pPr>
              <w:rPr>
                <w:rFonts w:ascii="宋体"/>
              </w:rPr>
            </w:pPr>
          </w:p>
        </w:tc>
      </w:tr>
      <w:tr w:rsidR="00B626E7" w14:paraId="20AE1720" w14:textId="77777777">
        <w:tc>
          <w:tcPr>
            <w:tcW w:w="0" w:type="auto"/>
            <w:gridSpan w:val="3"/>
            <w:tcBorders>
              <w:top w:val="single" w:sz="8" w:space="0" w:color="0071C5"/>
            </w:tcBorders>
            <w:shd w:val="clear" w:color="auto" w:fill="auto"/>
            <w:tcMar>
              <w:top w:w="40" w:type="dxa"/>
              <w:left w:w="20" w:type="dxa"/>
              <w:bottom w:w="40" w:type="dxa"/>
              <w:right w:w="20" w:type="dxa"/>
            </w:tcMar>
            <w:vAlign w:val="center"/>
          </w:tcPr>
          <w:p w14:paraId="20AE171D" w14:textId="77777777" w:rsidR="00B626E7" w:rsidRDefault="00175C1D">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Viewer10_files/intc-20200627_g15.jpg"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4A" wp14:editId="20AE3C4B">
                  <wp:extent cx="304800" cy="304800"/>
                  <wp:effectExtent l="0" t="0" r="0" b="0"/>
                  <wp:docPr id="2" name="图片 73"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3" descr="IMG_28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Arial" w:eastAsia="宋体" w:hAnsi="Arial" w:cs="Arial"/>
                <w:color w:val="333333"/>
                <w:sz w:val="16"/>
                <w:szCs w:val="16"/>
              </w:rPr>
              <w:t>FINANCIAL STATEMENTS</w:t>
            </w:r>
          </w:p>
        </w:tc>
        <w:tc>
          <w:tcPr>
            <w:tcW w:w="0" w:type="auto"/>
            <w:gridSpan w:val="3"/>
            <w:tcBorders>
              <w:top w:val="single" w:sz="8" w:space="0" w:color="0071C5"/>
              <w:left w:val="single" w:sz="24" w:space="0" w:color="0071C5"/>
            </w:tcBorders>
            <w:shd w:val="clear" w:color="auto" w:fill="auto"/>
            <w:tcMar>
              <w:top w:w="40" w:type="dxa"/>
              <w:left w:w="20" w:type="dxa"/>
              <w:bottom w:w="40" w:type="dxa"/>
              <w:right w:w="20" w:type="dxa"/>
            </w:tcMar>
            <w:vAlign w:val="bottom"/>
          </w:tcPr>
          <w:p w14:paraId="20AE171E" w14:textId="77777777" w:rsidR="00B626E7" w:rsidRDefault="00175C1D">
            <w:pPr>
              <w:textAlignment w:val="bottom"/>
            </w:pPr>
            <w:r>
              <w:rPr>
                <w:rFonts w:ascii="Arial" w:eastAsia="宋体" w:hAnsi="Arial" w:cs="Arial"/>
                <w:color w:val="333333"/>
                <w:sz w:val="16"/>
                <w:szCs w:val="16"/>
              </w:rPr>
              <w:t>  Notes to Financial Statements</w:t>
            </w: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171F" w14:textId="77777777" w:rsidR="00B626E7" w:rsidRDefault="00175C1D">
            <w:pPr>
              <w:jc w:val="right"/>
              <w:textAlignment w:val="bottom"/>
            </w:pPr>
            <w:r>
              <w:rPr>
                <w:rFonts w:ascii="Arial" w:eastAsia="宋体" w:hAnsi="Arial" w:cs="Arial"/>
                <w:color w:val="333333"/>
                <w:sz w:val="16"/>
                <w:szCs w:val="16"/>
              </w:rPr>
              <w:t>17</w:t>
            </w:r>
          </w:p>
        </w:tc>
      </w:tr>
    </w:tbl>
    <w:p w14:paraId="20AE1721" w14:textId="77777777" w:rsidR="00B626E7" w:rsidRDefault="00175C1D">
      <w:r>
        <w:pict w14:anchorId="20AE3C4C">
          <v:rect id="_x0000_i1043" style="width:415.3pt;height:1.5pt" o:hralign="center" o:hrstd="t" o:hr="t" fillcolor="#a0a0a0" stroked="f"/>
        </w:pict>
      </w:r>
    </w:p>
    <w:p w14:paraId="20AE1722" w14:textId="77777777" w:rsidR="00B626E7" w:rsidRDefault="00175C1D">
      <w:pPr>
        <w:spacing w:after="180"/>
        <w:jc w:val="right"/>
      </w:pPr>
      <w:hyperlink r:id="rId44" w:anchor="ib035cc8759904e51927d703ec8414366_7" w:history="1">
        <w:r>
          <w:rPr>
            <w:rStyle w:val="a5"/>
            <w:rFonts w:ascii="Arial" w:eastAsia="宋体" w:hAnsi="Arial" w:cs="Arial"/>
            <w:b/>
            <w:bCs/>
            <w:sz w:val="16"/>
            <w:szCs w:val="16"/>
          </w:rPr>
          <w:t>Table of Contents</w:t>
        </w:r>
      </w:hyperlink>
    </w:p>
    <w:p w14:paraId="20AE1723" w14:textId="77777777" w:rsidR="00B626E7" w:rsidRDefault="00B626E7">
      <w:pPr>
        <w:spacing w:after="180"/>
        <w:jc w:val="right"/>
      </w:pPr>
    </w:p>
    <w:p w14:paraId="20AE1724" w14:textId="77777777" w:rsidR="00B626E7" w:rsidRDefault="00175C1D">
      <w:pPr>
        <w:spacing w:after="180"/>
      </w:pPr>
      <w:r>
        <w:rPr>
          <w:rFonts w:ascii="Arial" w:eastAsia="宋体" w:hAnsi="Arial" w:cs="Arial"/>
          <w:color w:val="333333"/>
          <w:sz w:val="18"/>
          <w:szCs w:val="18"/>
        </w:rPr>
        <w:t xml:space="preserve">In the first six months of 2020, we settled $2.1 billion in short-term debt. In the </w:t>
      </w:r>
      <w:r>
        <w:rPr>
          <w:rFonts w:ascii="Arial" w:eastAsia="宋体" w:hAnsi="Arial" w:cs="Arial"/>
          <w:color w:val="333333"/>
          <w:sz w:val="18"/>
          <w:szCs w:val="18"/>
        </w:rPr>
        <w:t>first quarter of 2020, the remaining $372 million of our 2009 Debentures were converted or redeemed, and in the second quarter of 2020, we settled $1.7 billion of our notes due May 2020.</w:t>
      </w:r>
    </w:p>
    <w:p w14:paraId="20AE1725" w14:textId="77777777" w:rsidR="00B626E7" w:rsidRDefault="00175C1D">
      <w:pPr>
        <w:spacing w:after="180"/>
      </w:pPr>
      <w:r>
        <w:rPr>
          <w:rFonts w:ascii="Arial" w:eastAsia="宋体" w:hAnsi="Arial" w:cs="Arial"/>
          <w:color w:val="333333"/>
          <w:sz w:val="18"/>
          <w:szCs w:val="18"/>
        </w:rPr>
        <w:t>In the first six months of 2020, we issued a total of $10.3 billion a</w:t>
      </w:r>
      <w:r>
        <w:rPr>
          <w:rFonts w:ascii="Arial" w:eastAsia="宋体" w:hAnsi="Arial" w:cs="Arial"/>
          <w:color w:val="333333"/>
          <w:sz w:val="18"/>
          <w:szCs w:val="18"/>
        </w:rPr>
        <w:t xml:space="preserve">ggregate principal amount of senior notes. We intend to use the net proceeds from the offering for general corporate purposes, which may include refinancing outstanding debt, funding for working capital and capital expenditures, and repurchasing shares of </w:t>
      </w:r>
      <w:r>
        <w:rPr>
          <w:rFonts w:ascii="Arial" w:eastAsia="宋体" w:hAnsi="Arial" w:cs="Arial"/>
          <w:color w:val="333333"/>
          <w:sz w:val="18"/>
          <w:szCs w:val="18"/>
        </w:rPr>
        <w:t>our common stock. </w:t>
      </w:r>
    </w:p>
    <w:p w14:paraId="20AE1726" w14:textId="77777777" w:rsidR="00B626E7" w:rsidRDefault="00175C1D">
      <w:pPr>
        <w:spacing w:after="180"/>
      </w:pPr>
      <w:r>
        <w:rPr>
          <w:rFonts w:ascii="Arial" w:eastAsia="宋体" w:hAnsi="Arial" w:cs="Arial"/>
          <w:color w:val="333333"/>
          <w:sz w:val="18"/>
          <w:szCs w:val="18"/>
        </w:rPr>
        <w:t>Our senior floating rate notes pay interest quarterly and our senior fixed rate notes pay interest semiannually. We may redeem the fixed rate notes prior to their maturity at our option at specified redemption prices and subject to certa</w:t>
      </w:r>
      <w:r>
        <w:rPr>
          <w:rFonts w:ascii="Arial" w:eastAsia="宋体" w:hAnsi="Arial" w:cs="Arial"/>
          <w:color w:val="333333"/>
          <w:sz w:val="18"/>
          <w:szCs w:val="18"/>
        </w:rPr>
        <w:t>in restrictions. The obligations under the notes rank equally in right of payment with all of our other existing and future senior unsecured indebtedness and effectively rank junior to all liabilities of our subsidiaries.</w:t>
      </w:r>
    </w:p>
    <w:p w14:paraId="20AE1727" w14:textId="77777777" w:rsidR="00B626E7" w:rsidRDefault="00B626E7">
      <w:pPr>
        <w:spacing w:after="180"/>
      </w:pPr>
    </w:p>
    <w:p w14:paraId="20AE1728" w14:textId="77777777" w:rsidR="00B626E7" w:rsidRDefault="00B626E7">
      <w:pPr>
        <w:spacing w:after="180"/>
      </w:pPr>
    </w:p>
    <w:p w14:paraId="20AE1729" w14:textId="77777777" w:rsidR="00B626E7" w:rsidRDefault="00B626E7">
      <w:pPr>
        <w:spacing w:after="180"/>
      </w:pPr>
    </w:p>
    <w:p w14:paraId="20AE172A" w14:textId="77777777" w:rsidR="00B626E7" w:rsidRDefault="00B626E7">
      <w:pPr>
        <w:spacing w:after="180"/>
      </w:pPr>
    </w:p>
    <w:p w14:paraId="20AE172B" w14:textId="77777777" w:rsidR="00B626E7" w:rsidRDefault="00B626E7">
      <w:pPr>
        <w:spacing w:after="180"/>
      </w:pPr>
    </w:p>
    <w:p w14:paraId="20AE172C" w14:textId="77777777" w:rsidR="00B626E7" w:rsidRDefault="00B626E7">
      <w:pPr>
        <w:spacing w:after="180"/>
      </w:pPr>
    </w:p>
    <w:p w14:paraId="20AE172D" w14:textId="77777777" w:rsidR="00B626E7" w:rsidRDefault="00B626E7">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4"/>
        <w:gridCol w:w="2423"/>
        <w:gridCol w:w="84"/>
        <w:gridCol w:w="83"/>
        <w:gridCol w:w="3471"/>
        <w:gridCol w:w="83"/>
        <w:gridCol w:w="83"/>
        <w:gridCol w:w="1942"/>
        <w:gridCol w:w="83"/>
      </w:tblGrid>
      <w:tr w:rsidR="00B626E7" w14:paraId="20AE1737" w14:textId="77777777">
        <w:tc>
          <w:tcPr>
            <w:tcW w:w="50" w:type="pct"/>
            <w:shd w:val="clear" w:color="auto" w:fill="auto"/>
            <w:vAlign w:val="bottom"/>
          </w:tcPr>
          <w:p w14:paraId="20AE172E" w14:textId="77777777" w:rsidR="00B626E7" w:rsidRDefault="00B626E7">
            <w:pPr>
              <w:rPr>
                <w:rFonts w:ascii="宋体"/>
              </w:rPr>
            </w:pPr>
          </w:p>
        </w:tc>
        <w:tc>
          <w:tcPr>
            <w:tcW w:w="1452" w:type="pct"/>
            <w:shd w:val="clear" w:color="auto" w:fill="auto"/>
            <w:vAlign w:val="bottom"/>
          </w:tcPr>
          <w:p w14:paraId="20AE172F" w14:textId="77777777" w:rsidR="00B626E7" w:rsidRDefault="00B626E7">
            <w:pPr>
              <w:rPr>
                <w:rFonts w:ascii="宋体"/>
              </w:rPr>
            </w:pPr>
          </w:p>
        </w:tc>
        <w:tc>
          <w:tcPr>
            <w:tcW w:w="50" w:type="pct"/>
            <w:shd w:val="clear" w:color="auto" w:fill="auto"/>
            <w:vAlign w:val="bottom"/>
          </w:tcPr>
          <w:p w14:paraId="20AE1730" w14:textId="77777777" w:rsidR="00B626E7" w:rsidRDefault="00B626E7">
            <w:pPr>
              <w:rPr>
                <w:rFonts w:ascii="宋体"/>
              </w:rPr>
            </w:pPr>
          </w:p>
        </w:tc>
        <w:tc>
          <w:tcPr>
            <w:tcW w:w="50" w:type="pct"/>
            <w:shd w:val="clear" w:color="auto" w:fill="auto"/>
            <w:vAlign w:val="bottom"/>
          </w:tcPr>
          <w:p w14:paraId="20AE1731" w14:textId="77777777" w:rsidR="00B626E7" w:rsidRDefault="00B626E7">
            <w:pPr>
              <w:rPr>
                <w:rFonts w:ascii="宋体"/>
              </w:rPr>
            </w:pPr>
          </w:p>
        </w:tc>
        <w:tc>
          <w:tcPr>
            <w:tcW w:w="2081" w:type="pct"/>
            <w:shd w:val="clear" w:color="auto" w:fill="auto"/>
            <w:vAlign w:val="bottom"/>
          </w:tcPr>
          <w:p w14:paraId="20AE1732" w14:textId="77777777" w:rsidR="00B626E7" w:rsidRDefault="00B626E7">
            <w:pPr>
              <w:rPr>
                <w:rFonts w:ascii="宋体"/>
              </w:rPr>
            </w:pPr>
          </w:p>
        </w:tc>
        <w:tc>
          <w:tcPr>
            <w:tcW w:w="50" w:type="pct"/>
            <w:shd w:val="clear" w:color="auto" w:fill="auto"/>
            <w:vAlign w:val="bottom"/>
          </w:tcPr>
          <w:p w14:paraId="20AE1733" w14:textId="77777777" w:rsidR="00B626E7" w:rsidRDefault="00B626E7">
            <w:pPr>
              <w:rPr>
                <w:rFonts w:ascii="宋体"/>
              </w:rPr>
            </w:pPr>
          </w:p>
        </w:tc>
        <w:tc>
          <w:tcPr>
            <w:tcW w:w="50" w:type="pct"/>
            <w:shd w:val="clear" w:color="auto" w:fill="auto"/>
            <w:vAlign w:val="bottom"/>
          </w:tcPr>
          <w:p w14:paraId="20AE1734" w14:textId="77777777" w:rsidR="00B626E7" w:rsidRDefault="00B626E7">
            <w:pPr>
              <w:rPr>
                <w:rFonts w:ascii="宋体"/>
              </w:rPr>
            </w:pPr>
          </w:p>
        </w:tc>
        <w:tc>
          <w:tcPr>
            <w:tcW w:w="1165" w:type="pct"/>
            <w:shd w:val="clear" w:color="auto" w:fill="auto"/>
            <w:vAlign w:val="bottom"/>
          </w:tcPr>
          <w:p w14:paraId="20AE1735" w14:textId="77777777" w:rsidR="00B626E7" w:rsidRDefault="00B626E7">
            <w:pPr>
              <w:rPr>
                <w:rFonts w:ascii="宋体"/>
              </w:rPr>
            </w:pPr>
          </w:p>
        </w:tc>
        <w:tc>
          <w:tcPr>
            <w:tcW w:w="50" w:type="pct"/>
            <w:shd w:val="clear" w:color="auto" w:fill="auto"/>
            <w:vAlign w:val="bottom"/>
          </w:tcPr>
          <w:p w14:paraId="20AE1736" w14:textId="77777777" w:rsidR="00B626E7" w:rsidRDefault="00B626E7">
            <w:pPr>
              <w:rPr>
                <w:rFonts w:ascii="宋体"/>
              </w:rPr>
            </w:pPr>
          </w:p>
        </w:tc>
      </w:tr>
      <w:tr w:rsidR="00B626E7" w14:paraId="20AE173B" w14:textId="77777777">
        <w:tc>
          <w:tcPr>
            <w:tcW w:w="0" w:type="auto"/>
            <w:gridSpan w:val="3"/>
            <w:tcBorders>
              <w:top w:val="single" w:sz="8" w:space="0" w:color="0071C5"/>
            </w:tcBorders>
            <w:shd w:val="clear" w:color="auto" w:fill="auto"/>
            <w:tcMar>
              <w:top w:w="40" w:type="dxa"/>
              <w:left w:w="20" w:type="dxa"/>
              <w:bottom w:w="40" w:type="dxa"/>
              <w:right w:w="20" w:type="dxa"/>
            </w:tcMar>
            <w:vAlign w:val="center"/>
          </w:tcPr>
          <w:p w14:paraId="20AE1738" w14:textId="77777777" w:rsidR="00B626E7" w:rsidRDefault="00175C1D">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Viewer10_files/intc-20200627_g15.jpg"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4D" wp14:editId="20AE3C4E">
                  <wp:extent cx="304800" cy="304800"/>
                  <wp:effectExtent l="0" t="0" r="0" b="0"/>
                  <wp:docPr id="1" name="图片 75"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5" descr="IMG_28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Arial" w:eastAsia="宋体" w:hAnsi="Arial" w:cs="Arial"/>
                <w:color w:val="333333"/>
                <w:sz w:val="16"/>
                <w:szCs w:val="16"/>
              </w:rPr>
              <w:t>FINANCIAL STATEMENTS</w:t>
            </w:r>
          </w:p>
        </w:tc>
        <w:tc>
          <w:tcPr>
            <w:tcW w:w="0" w:type="auto"/>
            <w:gridSpan w:val="3"/>
            <w:tcBorders>
              <w:top w:val="single" w:sz="8" w:space="0" w:color="0071C5"/>
              <w:left w:val="single" w:sz="24" w:space="0" w:color="0071C5"/>
            </w:tcBorders>
            <w:shd w:val="clear" w:color="auto" w:fill="auto"/>
            <w:tcMar>
              <w:top w:w="40" w:type="dxa"/>
              <w:left w:w="20" w:type="dxa"/>
              <w:bottom w:w="40" w:type="dxa"/>
              <w:right w:w="20" w:type="dxa"/>
            </w:tcMar>
            <w:vAlign w:val="bottom"/>
          </w:tcPr>
          <w:p w14:paraId="20AE1739" w14:textId="77777777" w:rsidR="00B626E7" w:rsidRDefault="00175C1D">
            <w:pPr>
              <w:textAlignment w:val="bottom"/>
            </w:pPr>
            <w:r>
              <w:rPr>
                <w:rFonts w:ascii="Arial" w:eastAsia="宋体" w:hAnsi="Arial" w:cs="Arial"/>
                <w:color w:val="333333"/>
                <w:sz w:val="16"/>
                <w:szCs w:val="16"/>
              </w:rPr>
              <w:t>  Notes to Financial Statements</w:t>
            </w: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173A" w14:textId="77777777" w:rsidR="00B626E7" w:rsidRDefault="00175C1D">
            <w:pPr>
              <w:jc w:val="right"/>
              <w:textAlignment w:val="bottom"/>
            </w:pPr>
            <w:r>
              <w:rPr>
                <w:rFonts w:ascii="Arial" w:eastAsia="宋体" w:hAnsi="Arial" w:cs="Arial"/>
                <w:color w:val="333333"/>
                <w:sz w:val="16"/>
                <w:szCs w:val="16"/>
              </w:rPr>
              <w:t>18</w:t>
            </w:r>
          </w:p>
        </w:tc>
      </w:tr>
    </w:tbl>
    <w:p w14:paraId="20AE173C" w14:textId="77777777" w:rsidR="00B626E7" w:rsidRDefault="00175C1D">
      <w:r>
        <w:pict w14:anchorId="20AE3C4F">
          <v:rect id="_x0000_i1044" style="width:415.3pt;height:1.5pt" o:hralign="center" o:hrstd="t" o:hr="t" fillcolor="#a0a0a0" stroked="f"/>
        </w:pict>
      </w:r>
    </w:p>
    <w:p w14:paraId="20AE173D" w14:textId="77777777" w:rsidR="00B626E7" w:rsidRDefault="00175C1D">
      <w:pPr>
        <w:spacing w:after="180"/>
        <w:jc w:val="right"/>
      </w:pPr>
      <w:hyperlink r:id="rId45" w:anchor="ib035cc8759904e51927d703ec8414366_7" w:history="1">
        <w:r>
          <w:rPr>
            <w:rStyle w:val="a5"/>
            <w:rFonts w:ascii="Arial" w:eastAsia="宋体" w:hAnsi="Arial" w:cs="Arial"/>
            <w:b/>
            <w:bCs/>
            <w:sz w:val="16"/>
            <w:szCs w:val="16"/>
          </w:rPr>
          <w:t>Table of Contents</w:t>
        </w:r>
      </w:hyperlink>
    </w:p>
    <w:p w14:paraId="20AE173E" w14:textId="77777777" w:rsidR="00B626E7" w:rsidRDefault="00B626E7">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84"/>
        <w:gridCol w:w="937"/>
        <w:gridCol w:w="83"/>
        <w:gridCol w:w="83"/>
        <w:gridCol w:w="7066"/>
        <w:gridCol w:w="83"/>
      </w:tblGrid>
      <w:tr w:rsidR="00B626E7" w14:paraId="20AE1745" w14:textId="77777777">
        <w:tc>
          <w:tcPr>
            <w:tcW w:w="50" w:type="pct"/>
            <w:shd w:val="clear" w:color="auto" w:fill="auto"/>
          </w:tcPr>
          <w:p w14:paraId="20AE173F" w14:textId="77777777" w:rsidR="00B626E7" w:rsidRDefault="00B626E7">
            <w:pPr>
              <w:rPr>
                <w:rFonts w:ascii="宋体"/>
              </w:rPr>
            </w:pPr>
          </w:p>
        </w:tc>
        <w:tc>
          <w:tcPr>
            <w:tcW w:w="562" w:type="pct"/>
            <w:shd w:val="clear" w:color="auto" w:fill="auto"/>
          </w:tcPr>
          <w:p w14:paraId="20AE1740" w14:textId="77777777" w:rsidR="00B626E7" w:rsidRDefault="00B626E7">
            <w:pPr>
              <w:rPr>
                <w:rFonts w:ascii="宋体"/>
              </w:rPr>
            </w:pPr>
          </w:p>
        </w:tc>
        <w:tc>
          <w:tcPr>
            <w:tcW w:w="50" w:type="pct"/>
            <w:shd w:val="clear" w:color="auto" w:fill="auto"/>
          </w:tcPr>
          <w:p w14:paraId="20AE1741" w14:textId="77777777" w:rsidR="00B626E7" w:rsidRDefault="00B626E7">
            <w:pPr>
              <w:rPr>
                <w:rFonts w:ascii="宋体"/>
              </w:rPr>
            </w:pPr>
          </w:p>
        </w:tc>
        <w:tc>
          <w:tcPr>
            <w:tcW w:w="50" w:type="pct"/>
            <w:shd w:val="clear" w:color="auto" w:fill="auto"/>
          </w:tcPr>
          <w:p w14:paraId="20AE1742" w14:textId="77777777" w:rsidR="00B626E7" w:rsidRDefault="00B626E7">
            <w:pPr>
              <w:rPr>
                <w:rFonts w:ascii="宋体"/>
              </w:rPr>
            </w:pPr>
          </w:p>
        </w:tc>
        <w:tc>
          <w:tcPr>
            <w:tcW w:w="4237" w:type="pct"/>
            <w:shd w:val="clear" w:color="auto" w:fill="auto"/>
          </w:tcPr>
          <w:p w14:paraId="20AE1743" w14:textId="77777777" w:rsidR="00B626E7" w:rsidRDefault="00B626E7">
            <w:pPr>
              <w:rPr>
                <w:rFonts w:ascii="宋体"/>
              </w:rPr>
            </w:pPr>
          </w:p>
        </w:tc>
        <w:tc>
          <w:tcPr>
            <w:tcW w:w="50" w:type="pct"/>
            <w:shd w:val="clear" w:color="auto" w:fill="auto"/>
          </w:tcPr>
          <w:p w14:paraId="20AE1744" w14:textId="77777777" w:rsidR="00B626E7" w:rsidRDefault="00B626E7">
            <w:pPr>
              <w:rPr>
                <w:rFonts w:ascii="宋体"/>
              </w:rPr>
            </w:pPr>
          </w:p>
        </w:tc>
      </w:tr>
      <w:tr w:rsidR="00B626E7" w14:paraId="20AE1748" w14:textId="77777777">
        <w:tc>
          <w:tcPr>
            <w:tcW w:w="0" w:type="auto"/>
            <w:gridSpan w:val="3"/>
            <w:tcBorders>
              <w:bottom w:val="single" w:sz="8" w:space="0" w:color="0071C5"/>
            </w:tcBorders>
            <w:shd w:val="clear" w:color="auto" w:fill="0071C5"/>
            <w:tcMar>
              <w:top w:w="40" w:type="dxa"/>
              <w:left w:w="20" w:type="dxa"/>
              <w:bottom w:w="40" w:type="dxa"/>
              <w:right w:w="20" w:type="dxa"/>
            </w:tcMar>
            <w:vAlign w:val="bottom"/>
          </w:tcPr>
          <w:p w14:paraId="20AE1746" w14:textId="77777777" w:rsidR="00B626E7" w:rsidRDefault="00175C1D">
            <w:pPr>
              <w:textAlignment w:val="bottom"/>
            </w:pPr>
            <w:r>
              <w:rPr>
                <w:rFonts w:ascii="Arial" w:eastAsia="宋体" w:hAnsi="Arial" w:cs="Arial"/>
                <w:b/>
                <w:bCs/>
                <w:color w:val="FFFFFF"/>
                <w:sz w:val="28"/>
                <w:szCs w:val="28"/>
              </w:rPr>
              <w:t xml:space="preserve">NOTE 10 : </w:t>
            </w:r>
          </w:p>
        </w:tc>
        <w:tc>
          <w:tcPr>
            <w:tcW w:w="0" w:type="auto"/>
            <w:gridSpan w:val="3"/>
            <w:tcBorders>
              <w:bottom w:val="single" w:sz="8" w:space="0" w:color="0071C5"/>
            </w:tcBorders>
            <w:shd w:val="clear" w:color="auto" w:fill="auto"/>
            <w:tcMar>
              <w:top w:w="40" w:type="dxa"/>
              <w:left w:w="20" w:type="dxa"/>
              <w:bottom w:w="40" w:type="dxa"/>
              <w:right w:w="20" w:type="dxa"/>
            </w:tcMar>
            <w:vAlign w:val="bottom"/>
          </w:tcPr>
          <w:p w14:paraId="20AE1747" w14:textId="77777777" w:rsidR="00B626E7" w:rsidRDefault="00175C1D">
            <w:pPr>
              <w:textAlignment w:val="bottom"/>
            </w:pPr>
            <w:r>
              <w:rPr>
                <w:rFonts w:ascii="Arial" w:eastAsia="宋体" w:hAnsi="Arial" w:cs="Arial"/>
                <w:b/>
                <w:bCs/>
                <w:color w:val="0071C5"/>
                <w:sz w:val="28"/>
                <w:szCs w:val="28"/>
              </w:rPr>
              <w:t>FAIR VALUE</w:t>
            </w:r>
          </w:p>
        </w:tc>
      </w:tr>
    </w:tbl>
    <w:p w14:paraId="20AE1749" w14:textId="77777777" w:rsidR="00B626E7" w:rsidRDefault="00175C1D">
      <w:pPr>
        <w:spacing w:before="300" w:after="180"/>
      </w:pPr>
      <w:r>
        <w:rPr>
          <w:rFonts w:ascii="Arial" w:eastAsia="宋体" w:hAnsi="Arial" w:cs="Arial"/>
          <w:b/>
          <w:bCs/>
          <w:color w:val="0071C5"/>
        </w:rPr>
        <w:t xml:space="preserve">ASSETS AND LIABILITIES MEASURED AND RECORDED AT </w:t>
      </w:r>
      <w:r>
        <w:rPr>
          <w:rFonts w:ascii="Arial" w:eastAsia="宋体" w:hAnsi="Arial" w:cs="Arial"/>
          <w:b/>
          <w:bCs/>
          <w:color w:val="0071C5"/>
        </w:rPr>
        <w:t>FAIR VALUE ON A RECURRING BASIS</w:t>
      </w:r>
    </w:p>
    <w:tbl>
      <w:tblPr>
        <w:tblW w:w="5000" w:type="pct"/>
        <w:tblCellMar>
          <w:top w:w="15" w:type="dxa"/>
          <w:left w:w="15" w:type="dxa"/>
          <w:bottom w:w="15" w:type="dxa"/>
          <w:right w:w="15" w:type="dxa"/>
        </w:tblCellMar>
        <w:tblLook w:val="04A0" w:firstRow="1" w:lastRow="0" w:firstColumn="1" w:lastColumn="0" w:noHBand="0" w:noVBand="1"/>
      </w:tblPr>
      <w:tblGrid>
        <w:gridCol w:w="68"/>
        <w:gridCol w:w="816"/>
        <w:gridCol w:w="35"/>
        <w:gridCol w:w="37"/>
        <w:gridCol w:w="34"/>
        <w:gridCol w:w="34"/>
        <w:gridCol w:w="111"/>
        <w:gridCol w:w="395"/>
        <w:gridCol w:w="72"/>
        <w:gridCol w:w="37"/>
        <w:gridCol w:w="34"/>
        <w:gridCol w:w="34"/>
        <w:gridCol w:w="112"/>
        <w:gridCol w:w="471"/>
        <w:gridCol w:w="73"/>
        <w:gridCol w:w="37"/>
        <w:gridCol w:w="35"/>
        <w:gridCol w:w="35"/>
        <w:gridCol w:w="113"/>
        <w:gridCol w:w="351"/>
        <w:gridCol w:w="82"/>
        <w:gridCol w:w="37"/>
        <w:gridCol w:w="35"/>
        <w:gridCol w:w="35"/>
        <w:gridCol w:w="112"/>
        <w:gridCol w:w="471"/>
        <w:gridCol w:w="73"/>
        <w:gridCol w:w="37"/>
        <w:gridCol w:w="35"/>
        <w:gridCol w:w="35"/>
        <w:gridCol w:w="112"/>
        <w:gridCol w:w="396"/>
        <w:gridCol w:w="73"/>
        <w:gridCol w:w="37"/>
        <w:gridCol w:w="35"/>
        <w:gridCol w:w="35"/>
        <w:gridCol w:w="112"/>
        <w:gridCol w:w="471"/>
        <w:gridCol w:w="73"/>
        <w:gridCol w:w="37"/>
        <w:gridCol w:w="35"/>
        <w:gridCol w:w="35"/>
        <w:gridCol w:w="114"/>
        <w:gridCol w:w="351"/>
        <w:gridCol w:w="82"/>
        <w:gridCol w:w="37"/>
        <w:gridCol w:w="35"/>
        <w:gridCol w:w="35"/>
        <w:gridCol w:w="112"/>
        <w:gridCol w:w="471"/>
        <w:gridCol w:w="73"/>
        <w:gridCol w:w="241"/>
        <w:gridCol w:w="241"/>
        <w:gridCol w:w="241"/>
        <w:gridCol w:w="241"/>
        <w:gridCol w:w="241"/>
        <w:gridCol w:w="241"/>
        <w:gridCol w:w="35"/>
        <w:gridCol w:w="35"/>
        <w:gridCol w:w="35"/>
        <w:gridCol w:w="35"/>
        <w:gridCol w:w="35"/>
        <w:gridCol w:w="68"/>
      </w:tblGrid>
      <w:tr w:rsidR="00B626E7" w14:paraId="20AE177D" w14:textId="77777777">
        <w:trPr>
          <w:gridAfter w:val="12"/>
        </w:trPr>
        <w:tc>
          <w:tcPr>
            <w:tcW w:w="50" w:type="pct"/>
            <w:shd w:val="clear" w:color="auto" w:fill="auto"/>
          </w:tcPr>
          <w:p w14:paraId="20AE174A" w14:textId="77777777" w:rsidR="00B626E7" w:rsidRDefault="00B626E7">
            <w:pPr>
              <w:rPr>
                <w:rFonts w:ascii="宋体"/>
              </w:rPr>
            </w:pPr>
          </w:p>
        </w:tc>
        <w:tc>
          <w:tcPr>
            <w:tcW w:w="1949" w:type="pct"/>
            <w:shd w:val="clear" w:color="auto" w:fill="auto"/>
          </w:tcPr>
          <w:p w14:paraId="20AE174B" w14:textId="77777777" w:rsidR="00B626E7" w:rsidRDefault="00B626E7">
            <w:pPr>
              <w:rPr>
                <w:rFonts w:ascii="宋体"/>
              </w:rPr>
            </w:pPr>
          </w:p>
        </w:tc>
        <w:tc>
          <w:tcPr>
            <w:tcW w:w="50" w:type="pct"/>
            <w:shd w:val="clear" w:color="auto" w:fill="auto"/>
          </w:tcPr>
          <w:p w14:paraId="20AE174C" w14:textId="77777777" w:rsidR="00B626E7" w:rsidRDefault="00B626E7">
            <w:pPr>
              <w:rPr>
                <w:rFonts w:ascii="宋体"/>
              </w:rPr>
            </w:pPr>
          </w:p>
        </w:tc>
        <w:tc>
          <w:tcPr>
            <w:tcW w:w="5" w:type="pct"/>
            <w:shd w:val="clear" w:color="auto" w:fill="auto"/>
          </w:tcPr>
          <w:p w14:paraId="20AE174D" w14:textId="77777777" w:rsidR="00B626E7" w:rsidRDefault="00B626E7">
            <w:pPr>
              <w:rPr>
                <w:rFonts w:ascii="宋体"/>
              </w:rPr>
            </w:pPr>
          </w:p>
        </w:tc>
        <w:tc>
          <w:tcPr>
            <w:tcW w:w="24" w:type="pct"/>
            <w:shd w:val="clear" w:color="auto" w:fill="auto"/>
          </w:tcPr>
          <w:p w14:paraId="20AE174E" w14:textId="77777777" w:rsidR="00B626E7" w:rsidRDefault="00B626E7">
            <w:pPr>
              <w:rPr>
                <w:rFonts w:ascii="宋体"/>
              </w:rPr>
            </w:pPr>
          </w:p>
        </w:tc>
        <w:tc>
          <w:tcPr>
            <w:tcW w:w="5" w:type="pct"/>
            <w:shd w:val="clear" w:color="auto" w:fill="auto"/>
          </w:tcPr>
          <w:p w14:paraId="20AE174F" w14:textId="77777777" w:rsidR="00B626E7" w:rsidRDefault="00B626E7">
            <w:pPr>
              <w:rPr>
                <w:rFonts w:ascii="宋体"/>
              </w:rPr>
            </w:pPr>
          </w:p>
        </w:tc>
        <w:tc>
          <w:tcPr>
            <w:tcW w:w="50" w:type="pct"/>
            <w:shd w:val="clear" w:color="auto" w:fill="auto"/>
          </w:tcPr>
          <w:p w14:paraId="20AE1750" w14:textId="77777777" w:rsidR="00B626E7" w:rsidRDefault="00B626E7">
            <w:pPr>
              <w:rPr>
                <w:rFonts w:ascii="宋体"/>
              </w:rPr>
            </w:pPr>
          </w:p>
        </w:tc>
        <w:tc>
          <w:tcPr>
            <w:tcW w:w="234" w:type="pct"/>
            <w:shd w:val="clear" w:color="auto" w:fill="auto"/>
          </w:tcPr>
          <w:p w14:paraId="20AE1751" w14:textId="77777777" w:rsidR="00B626E7" w:rsidRDefault="00B626E7">
            <w:pPr>
              <w:rPr>
                <w:rFonts w:ascii="宋体"/>
              </w:rPr>
            </w:pPr>
          </w:p>
        </w:tc>
        <w:tc>
          <w:tcPr>
            <w:tcW w:w="50" w:type="pct"/>
            <w:shd w:val="clear" w:color="auto" w:fill="auto"/>
          </w:tcPr>
          <w:p w14:paraId="20AE1752" w14:textId="77777777" w:rsidR="00B626E7" w:rsidRDefault="00B626E7">
            <w:pPr>
              <w:rPr>
                <w:rFonts w:ascii="宋体"/>
              </w:rPr>
            </w:pPr>
          </w:p>
        </w:tc>
        <w:tc>
          <w:tcPr>
            <w:tcW w:w="5" w:type="pct"/>
            <w:shd w:val="clear" w:color="auto" w:fill="auto"/>
          </w:tcPr>
          <w:p w14:paraId="20AE1753" w14:textId="77777777" w:rsidR="00B626E7" w:rsidRDefault="00B626E7">
            <w:pPr>
              <w:rPr>
                <w:rFonts w:ascii="宋体"/>
              </w:rPr>
            </w:pPr>
          </w:p>
        </w:tc>
        <w:tc>
          <w:tcPr>
            <w:tcW w:w="24" w:type="pct"/>
            <w:shd w:val="clear" w:color="auto" w:fill="auto"/>
          </w:tcPr>
          <w:p w14:paraId="20AE1754" w14:textId="77777777" w:rsidR="00B626E7" w:rsidRDefault="00B626E7">
            <w:pPr>
              <w:rPr>
                <w:rFonts w:ascii="宋体"/>
              </w:rPr>
            </w:pPr>
          </w:p>
        </w:tc>
        <w:tc>
          <w:tcPr>
            <w:tcW w:w="5" w:type="pct"/>
            <w:shd w:val="clear" w:color="auto" w:fill="auto"/>
          </w:tcPr>
          <w:p w14:paraId="20AE1755" w14:textId="77777777" w:rsidR="00B626E7" w:rsidRDefault="00B626E7">
            <w:pPr>
              <w:rPr>
                <w:rFonts w:ascii="宋体"/>
              </w:rPr>
            </w:pPr>
          </w:p>
        </w:tc>
        <w:tc>
          <w:tcPr>
            <w:tcW w:w="50" w:type="pct"/>
            <w:shd w:val="clear" w:color="auto" w:fill="auto"/>
          </w:tcPr>
          <w:p w14:paraId="20AE1756" w14:textId="77777777" w:rsidR="00B626E7" w:rsidRDefault="00B626E7">
            <w:pPr>
              <w:rPr>
                <w:rFonts w:ascii="宋体"/>
              </w:rPr>
            </w:pPr>
          </w:p>
        </w:tc>
        <w:tc>
          <w:tcPr>
            <w:tcW w:w="234" w:type="pct"/>
            <w:shd w:val="clear" w:color="auto" w:fill="auto"/>
          </w:tcPr>
          <w:p w14:paraId="20AE1757" w14:textId="77777777" w:rsidR="00B626E7" w:rsidRDefault="00B626E7">
            <w:pPr>
              <w:rPr>
                <w:rFonts w:ascii="宋体"/>
              </w:rPr>
            </w:pPr>
          </w:p>
        </w:tc>
        <w:tc>
          <w:tcPr>
            <w:tcW w:w="50" w:type="pct"/>
            <w:shd w:val="clear" w:color="auto" w:fill="auto"/>
          </w:tcPr>
          <w:p w14:paraId="20AE1758" w14:textId="77777777" w:rsidR="00B626E7" w:rsidRDefault="00B626E7">
            <w:pPr>
              <w:rPr>
                <w:rFonts w:ascii="宋体"/>
              </w:rPr>
            </w:pPr>
          </w:p>
        </w:tc>
        <w:tc>
          <w:tcPr>
            <w:tcW w:w="5" w:type="pct"/>
            <w:shd w:val="clear" w:color="auto" w:fill="auto"/>
          </w:tcPr>
          <w:p w14:paraId="20AE1759" w14:textId="77777777" w:rsidR="00B626E7" w:rsidRDefault="00B626E7">
            <w:pPr>
              <w:rPr>
                <w:rFonts w:ascii="宋体"/>
              </w:rPr>
            </w:pPr>
          </w:p>
        </w:tc>
        <w:tc>
          <w:tcPr>
            <w:tcW w:w="24" w:type="pct"/>
            <w:shd w:val="clear" w:color="auto" w:fill="auto"/>
          </w:tcPr>
          <w:p w14:paraId="20AE175A" w14:textId="77777777" w:rsidR="00B626E7" w:rsidRDefault="00B626E7">
            <w:pPr>
              <w:rPr>
                <w:rFonts w:ascii="宋体"/>
              </w:rPr>
            </w:pPr>
          </w:p>
        </w:tc>
        <w:tc>
          <w:tcPr>
            <w:tcW w:w="5" w:type="pct"/>
            <w:shd w:val="clear" w:color="auto" w:fill="auto"/>
          </w:tcPr>
          <w:p w14:paraId="20AE175B" w14:textId="77777777" w:rsidR="00B626E7" w:rsidRDefault="00B626E7">
            <w:pPr>
              <w:rPr>
                <w:rFonts w:ascii="宋体"/>
              </w:rPr>
            </w:pPr>
          </w:p>
        </w:tc>
        <w:tc>
          <w:tcPr>
            <w:tcW w:w="50" w:type="pct"/>
            <w:shd w:val="clear" w:color="auto" w:fill="auto"/>
          </w:tcPr>
          <w:p w14:paraId="20AE175C" w14:textId="77777777" w:rsidR="00B626E7" w:rsidRDefault="00B626E7">
            <w:pPr>
              <w:rPr>
                <w:rFonts w:ascii="宋体"/>
              </w:rPr>
            </w:pPr>
          </w:p>
        </w:tc>
        <w:tc>
          <w:tcPr>
            <w:tcW w:w="234" w:type="pct"/>
            <w:shd w:val="clear" w:color="auto" w:fill="auto"/>
          </w:tcPr>
          <w:p w14:paraId="20AE175D" w14:textId="77777777" w:rsidR="00B626E7" w:rsidRDefault="00B626E7">
            <w:pPr>
              <w:rPr>
                <w:rFonts w:ascii="宋体"/>
              </w:rPr>
            </w:pPr>
          </w:p>
        </w:tc>
        <w:tc>
          <w:tcPr>
            <w:tcW w:w="50" w:type="pct"/>
            <w:shd w:val="clear" w:color="auto" w:fill="auto"/>
          </w:tcPr>
          <w:p w14:paraId="20AE175E" w14:textId="77777777" w:rsidR="00B626E7" w:rsidRDefault="00B626E7">
            <w:pPr>
              <w:rPr>
                <w:rFonts w:ascii="宋体"/>
              </w:rPr>
            </w:pPr>
          </w:p>
        </w:tc>
        <w:tc>
          <w:tcPr>
            <w:tcW w:w="5" w:type="pct"/>
            <w:shd w:val="clear" w:color="auto" w:fill="auto"/>
          </w:tcPr>
          <w:p w14:paraId="20AE175F" w14:textId="77777777" w:rsidR="00B626E7" w:rsidRDefault="00B626E7">
            <w:pPr>
              <w:rPr>
                <w:rFonts w:ascii="宋体"/>
              </w:rPr>
            </w:pPr>
          </w:p>
        </w:tc>
        <w:tc>
          <w:tcPr>
            <w:tcW w:w="24" w:type="pct"/>
            <w:shd w:val="clear" w:color="auto" w:fill="auto"/>
          </w:tcPr>
          <w:p w14:paraId="20AE1760" w14:textId="77777777" w:rsidR="00B626E7" w:rsidRDefault="00B626E7">
            <w:pPr>
              <w:rPr>
                <w:rFonts w:ascii="宋体"/>
              </w:rPr>
            </w:pPr>
          </w:p>
        </w:tc>
        <w:tc>
          <w:tcPr>
            <w:tcW w:w="5" w:type="pct"/>
            <w:shd w:val="clear" w:color="auto" w:fill="auto"/>
          </w:tcPr>
          <w:p w14:paraId="20AE1761" w14:textId="77777777" w:rsidR="00B626E7" w:rsidRDefault="00B626E7">
            <w:pPr>
              <w:rPr>
                <w:rFonts w:ascii="宋体"/>
              </w:rPr>
            </w:pPr>
          </w:p>
        </w:tc>
        <w:tc>
          <w:tcPr>
            <w:tcW w:w="50" w:type="pct"/>
            <w:shd w:val="clear" w:color="auto" w:fill="auto"/>
          </w:tcPr>
          <w:p w14:paraId="20AE1762" w14:textId="77777777" w:rsidR="00B626E7" w:rsidRDefault="00B626E7">
            <w:pPr>
              <w:rPr>
                <w:rFonts w:ascii="宋体"/>
              </w:rPr>
            </w:pPr>
          </w:p>
        </w:tc>
        <w:tc>
          <w:tcPr>
            <w:tcW w:w="234" w:type="pct"/>
            <w:shd w:val="clear" w:color="auto" w:fill="auto"/>
          </w:tcPr>
          <w:p w14:paraId="20AE1763" w14:textId="77777777" w:rsidR="00B626E7" w:rsidRDefault="00B626E7">
            <w:pPr>
              <w:rPr>
                <w:rFonts w:ascii="宋体"/>
              </w:rPr>
            </w:pPr>
          </w:p>
        </w:tc>
        <w:tc>
          <w:tcPr>
            <w:tcW w:w="50" w:type="pct"/>
            <w:shd w:val="clear" w:color="auto" w:fill="auto"/>
          </w:tcPr>
          <w:p w14:paraId="20AE1764" w14:textId="77777777" w:rsidR="00B626E7" w:rsidRDefault="00B626E7">
            <w:pPr>
              <w:rPr>
                <w:rFonts w:ascii="宋体"/>
              </w:rPr>
            </w:pPr>
          </w:p>
        </w:tc>
        <w:tc>
          <w:tcPr>
            <w:tcW w:w="5" w:type="pct"/>
            <w:shd w:val="clear" w:color="auto" w:fill="auto"/>
          </w:tcPr>
          <w:p w14:paraId="20AE1765" w14:textId="77777777" w:rsidR="00B626E7" w:rsidRDefault="00B626E7">
            <w:pPr>
              <w:rPr>
                <w:rFonts w:ascii="宋体"/>
              </w:rPr>
            </w:pPr>
          </w:p>
        </w:tc>
        <w:tc>
          <w:tcPr>
            <w:tcW w:w="24" w:type="pct"/>
            <w:shd w:val="clear" w:color="auto" w:fill="auto"/>
          </w:tcPr>
          <w:p w14:paraId="20AE1766" w14:textId="77777777" w:rsidR="00B626E7" w:rsidRDefault="00B626E7">
            <w:pPr>
              <w:rPr>
                <w:rFonts w:ascii="宋体"/>
              </w:rPr>
            </w:pPr>
          </w:p>
        </w:tc>
        <w:tc>
          <w:tcPr>
            <w:tcW w:w="5" w:type="pct"/>
            <w:shd w:val="clear" w:color="auto" w:fill="auto"/>
          </w:tcPr>
          <w:p w14:paraId="20AE1767" w14:textId="77777777" w:rsidR="00B626E7" w:rsidRDefault="00B626E7">
            <w:pPr>
              <w:rPr>
                <w:rFonts w:ascii="宋体"/>
              </w:rPr>
            </w:pPr>
          </w:p>
        </w:tc>
        <w:tc>
          <w:tcPr>
            <w:tcW w:w="50" w:type="pct"/>
            <w:shd w:val="clear" w:color="auto" w:fill="auto"/>
          </w:tcPr>
          <w:p w14:paraId="20AE1768" w14:textId="77777777" w:rsidR="00B626E7" w:rsidRDefault="00B626E7">
            <w:pPr>
              <w:rPr>
                <w:rFonts w:ascii="宋体"/>
              </w:rPr>
            </w:pPr>
          </w:p>
        </w:tc>
        <w:tc>
          <w:tcPr>
            <w:tcW w:w="234" w:type="pct"/>
            <w:shd w:val="clear" w:color="auto" w:fill="auto"/>
          </w:tcPr>
          <w:p w14:paraId="20AE1769" w14:textId="77777777" w:rsidR="00B626E7" w:rsidRDefault="00B626E7">
            <w:pPr>
              <w:rPr>
                <w:rFonts w:ascii="宋体"/>
              </w:rPr>
            </w:pPr>
          </w:p>
        </w:tc>
        <w:tc>
          <w:tcPr>
            <w:tcW w:w="50" w:type="pct"/>
            <w:shd w:val="clear" w:color="auto" w:fill="auto"/>
          </w:tcPr>
          <w:p w14:paraId="20AE176A" w14:textId="77777777" w:rsidR="00B626E7" w:rsidRDefault="00B626E7">
            <w:pPr>
              <w:rPr>
                <w:rFonts w:ascii="宋体"/>
              </w:rPr>
            </w:pPr>
          </w:p>
        </w:tc>
        <w:tc>
          <w:tcPr>
            <w:tcW w:w="5" w:type="pct"/>
            <w:shd w:val="clear" w:color="auto" w:fill="auto"/>
          </w:tcPr>
          <w:p w14:paraId="20AE176B" w14:textId="77777777" w:rsidR="00B626E7" w:rsidRDefault="00B626E7">
            <w:pPr>
              <w:rPr>
                <w:rFonts w:ascii="宋体"/>
              </w:rPr>
            </w:pPr>
          </w:p>
        </w:tc>
        <w:tc>
          <w:tcPr>
            <w:tcW w:w="24" w:type="pct"/>
            <w:shd w:val="clear" w:color="auto" w:fill="auto"/>
          </w:tcPr>
          <w:p w14:paraId="20AE176C" w14:textId="77777777" w:rsidR="00B626E7" w:rsidRDefault="00B626E7">
            <w:pPr>
              <w:rPr>
                <w:rFonts w:ascii="宋体"/>
              </w:rPr>
            </w:pPr>
          </w:p>
        </w:tc>
        <w:tc>
          <w:tcPr>
            <w:tcW w:w="5" w:type="pct"/>
            <w:shd w:val="clear" w:color="auto" w:fill="auto"/>
          </w:tcPr>
          <w:p w14:paraId="20AE176D" w14:textId="77777777" w:rsidR="00B626E7" w:rsidRDefault="00B626E7">
            <w:pPr>
              <w:rPr>
                <w:rFonts w:ascii="宋体"/>
              </w:rPr>
            </w:pPr>
          </w:p>
        </w:tc>
        <w:tc>
          <w:tcPr>
            <w:tcW w:w="50" w:type="pct"/>
            <w:shd w:val="clear" w:color="auto" w:fill="auto"/>
          </w:tcPr>
          <w:p w14:paraId="20AE176E" w14:textId="77777777" w:rsidR="00B626E7" w:rsidRDefault="00B626E7">
            <w:pPr>
              <w:rPr>
                <w:rFonts w:ascii="宋体"/>
              </w:rPr>
            </w:pPr>
          </w:p>
        </w:tc>
        <w:tc>
          <w:tcPr>
            <w:tcW w:w="234" w:type="pct"/>
            <w:shd w:val="clear" w:color="auto" w:fill="auto"/>
          </w:tcPr>
          <w:p w14:paraId="20AE176F" w14:textId="77777777" w:rsidR="00B626E7" w:rsidRDefault="00B626E7">
            <w:pPr>
              <w:rPr>
                <w:rFonts w:ascii="宋体"/>
              </w:rPr>
            </w:pPr>
          </w:p>
        </w:tc>
        <w:tc>
          <w:tcPr>
            <w:tcW w:w="50" w:type="pct"/>
            <w:shd w:val="clear" w:color="auto" w:fill="auto"/>
          </w:tcPr>
          <w:p w14:paraId="20AE1770" w14:textId="77777777" w:rsidR="00B626E7" w:rsidRDefault="00B626E7">
            <w:pPr>
              <w:rPr>
                <w:rFonts w:ascii="宋体"/>
              </w:rPr>
            </w:pPr>
          </w:p>
        </w:tc>
        <w:tc>
          <w:tcPr>
            <w:tcW w:w="5" w:type="pct"/>
            <w:shd w:val="clear" w:color="auto" w:fill="auto"/>
          </w:tcPr>
          <w:p w14:paraId="20AE1771" w14:textId="77777777" w:rsidR="00B626E7" w:rsidRDefault="00B626E7">
            <w:pPr>
              <w:rPr>
                <w:rFonts w:ascii="宋体"/>
              </w:rPr>
            </w:pPr>
          </w:p>
        </w:tc>
        <w:tc>
          <w:tcPr>
            <w:tcW w:w="24" w:type="pct"/>
            <w:shd w:val="clear" w:color="auto" w:fill="auto"/>
          </w:tcPr>
          <w:p w14:paraId="20AE1772" w14:textId="77777777" w:rsidR="00B626E7" w:rsidRDefault="00B626E7">
            <w:pPr>
              <w:rPr>
                <w:rFonts w:ascii="宋体"/>
              </w:rPr>
            </w:pPr>
          </w:p>
        </w:tc>
        <w:tc>
          <w:tcPr>
            <w:tcW w:w="5" w:type="pct"/>
            <w:shd w:val="clear" w:color="auto" w:fill="auto"/>
          </w:tcPr>
          <w:p w14:paraId="20AE1773" w14:textId="77777777" w:rsidR="00B626E7" w:rsidRDefault="00B626E7">
            <w:pPr>
              <w:rPr>
                <w:rFonts w:ascii="宋体"/>
              </w:rPr>
            </w:pPr>
          </w:p>
        </w:tc>
        <w:tc>
          <w:tcPr>
            <w:tcW w:w="50" w:type="pct"/>
            <w:shd w:val="clear" w:color="auto" w:fill="auto"/>
          </w:tcPr>
          <w:p w14:paraId="20AE1774" w14:textId="77777777" w:rsidR="00B626E7" w:rsidRDefault="00B626E7">
            <w:pPr>
              <w:rPr>
                <w:rFonts w:ascii="宋体"/>
              </w:rPr>
            </w:pPr>
          </w:p>
        </w:tc>
        <w:tc>
          <w:tcPr>
            <w:tcW w:w="234" w:type="pct"/>
            <w:shd w:val="clear" w:color="auto" w:fill="auto"/>
          </w:tcPr>
          <w:p w14:paraId="20AE1775" w14:textId="77777777" w:rsidR="00B626E7" w:rsidRDefault="00B626E7">
            <w:pPr>
              <w:rPr>
                <w:rFonts w:ascii="宋体"/>
              </w:rPr>
            </w:pPr>
          </w:p>
        </w:tc>
        <w:tc>
          <w:tcPr>
            <w:tcW w:w="50" w:type="pct"/>
            <w:shd w:val="clear" w:color="auto" w:fill="auto"/>
          </w:tcPr>
          <w:p w14:paraId="20AE1776" w14:textId="77777777" w:rsidR="00B626E7" w:rsidRDefault="00B626E7">
            <w:pPr>
              <w:rPr>
                <w:rFonts w:ascii="宋体"/>
              </w:rPr>
            </w:pPr>
          </w:p>
        </w:tc>
        <w:tc>
          <w:tcPr>
            <w:tcW w:w="5" w:type="pct"/>
            <w:shd w:val="clear" w:color="auto" w:fill="auto"/>
          </w:tcPr>
          <w:p w14:paraId="20AE1777" w14:textId="77777777" w:rsidR="00B626E7" w:rsidRDefault="00B626E7">
            <w:pPr>
              <w:rPr>
                <w:rFonts w:ascii="宋体"/>
              </w:rPr>
            </w:pPr>
          </w:p>
        </w:tc>
        <w:tc>
          <w:tcPr>
            <w:tcW w:w="24" w:type="pct"/>
            <w:shd w:val="clear" w:color="auto" w:fill="auto"/>
          </w:tcPr>
          <w:p w14:paraId="20AE1778" w14:textId="77777777" w:rsidR="00B626E7" w:rsidRDefault="00B626E7">
            <w:pPr>
              <w:rPr>
                <w:rFonts w:ascii="宋体"/>
              </w:rPr>
            </w:pPr>
          </w:p>
        </w:tc>
        <w:tc>
          <w:tcPr>
            <w:tcW w:w="5" w:type="pct"/>
            <w:shd w:val="clear" w:color="auto" w:fill="auto"/>
          </w:tcPr>
          <w:p w14:paraId="20AE1779" w14:textId="77777777" w:rsidR="00B626E7" w:rsidRDefault="00B626E7">
            <w:pPr>
              <w:rPr>
                <w:rFonts w:ascii="宋体"/>
              </w:rPr>
            </w:pPr>
          </w:p>
        </w:tc>
        <w:tc>
          <w:tcPr>
            <w:tcW w:w="50" w:type="pct"/>
            <w:shd w:val="clear" w:color="auto" w:fill="auto"/>
          </w:tcPr>
          <w:p w14:paraId="20AE177A" w14:textId="77777777" w:rsidR="00B626E7" w:rsidRDefault="00B626E7">
            <w:pPr>
              <w:rPr>
                <w:rFonts w:ascii="宋体"/>
              </w:rPr>
            </w:pPr>
          </w:p>
        </w:tc>
        <w:tc>
          <w:tcPr>
            <w:tcW w:w="235" w:type="pct"/>
            <w:shd w:val="clear" w:color="auto" w:fill="auto"/>
          </w:tcPr>
          <w:p w14:paraId="20AE177B" w14:textId="77777777" w:rsidR="00B626E7" w:rsidRDefault="00B626E7">
            <w:pPr>
              <w:rPr>
                <w:rFonts w:ascii="宋体"/>
              </w:rPr>
            </w:pPr>
          </w:p>
        </w:tc>
        <w:tc>
          <w:tcPr>
            <w:tcW w:w="50" w:type="pct"/>
            <w:shd w:val="clear" w:color="auto" w:fill="auto"/>
          </w:tcPr>
          <w:p w14:paraId="20AE177C" w14:textId="77777777" w:rsidR="00B626E7" w:rsidRDefault="00B626E7">
            <w:pPr>
              <w:rPr>
                <w:rFonts w:ascii="宋体"/>
              </w:rPr>
            </w:pPr>
          </w:p>
        </w:tc>
      </w:tr>
      <w:tr w:rsidR="00B626E7" w14:paraId="20AE178A" w14:textId="77777777">
        <w:tc>
          <w:tcPr>
            <w:tcW w:w="0" w:type="auto"/>
            <w:gridSpan w:val="3"/>
            <w:shd w:val="clear" w:color="auto" w:fill="auto"/>
            <w:tcMar>
              <w:left w:w="20" w:type="dxa"/>
              <w:right w:w="20" w:type="dxa"/>
            </w:tcMar>
            <w:vAlign w:val="bottom"/>
          </w:tcPr>
          <w:p w14:paraId="20AE177E"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77F" w14:textId="77777777" w:rsidR="00B626E7" w:rsidRDefault="00B626E7">
            <w:pPr>
              <w:rPr>
                <w:rFonts w:ascii="宋体"/>
              </w:rPr>
            </w:pPr>
          </w:p>
        </w:tc>
        <w:tc>
          <w:tcPr>
            <w:tcW w:w="0" w:type="auto"/>
            <w:gridSpan w:val="21"/>
            <w:shd w:val="clear" w:color="auto" w:fill="auto"/>
            <w:tcMar>
              <w:top w:w="40" w:type="dxa"/>
              <w:left w:w="20" w:type="dxa"/>
              <w:bottom w:w="40" w:type="dxa"/>
              <w:right w:w="20" w:type="dxa"/>
            </w:tcMar>
            <w:vAlign w:val="bottom"/>
          </w:tcPr>
          <w:p w14:paraId="20AE1780" w14:textId="77777777" w:rsidR="00B626E7" w:rsidRDefault="00175C1D">
            <w:pPr>
              <w:jc w:val="center"/>
              <w:textAlignment w:val="bottom"/>
            </w:pPr>
            <w:r>
              <w:rPr>
                <w:rFonts w:ascii="Arial" w:eastAsia="宋体" w:hAnsi="Arial" w:cs="Arial"/>
                <w:b/>
                <w:bCs/>
                <w:color w:val="333333"/>
                <w:sz w:val="18"/>
                <w:szCs w:val="18"/>
              </w:rPr>
              <w:t>Jun 27, 2020</w:t>
            </w:r>
          </w:p>
        </w:tc>
        <w:tc>
          <w:tcPr>
            <w:tcW w:w="0" w:type="auto"/>
            <w:gridSpan w:val="3"/>
            <w:shd w:val="clear" w:color="auto" w:fill="auto"/>
          </w:tcPr>
          <w:p w14:paraId="20AE1781" w14:textId="77777777" w:rsidR="00B626E7" w:rsidRDefault="00B626E7">
            <w:pPr>
              <w:rPr>
                <w:rFonts w:ascii="宋体"/>
                <w:vanish/>
              </w:rPr>
            </w:pPr>
          </w:p>
        </w:tc>
        <w:tc>
          <w:tcPr>
            <w:tcW w:w="0" w:type="auto"/>
            <w:gridSpan w:val="3"/>
            <w:shd w:val="clear" w:color="auto" w:fill="auto"/>
          </w:tcPr>
          <w:p w14:paraId="20AE1782" w14:textId="77777777" w:rsidR="00B626E7" w:rsidRDefault="00B626E7">
            <w:pPr>
              <w:rPr>
                <w:rFonts w:ascii="宋体"/>
                <w:vanish/>
              </w:rPr>
            </w:pPr>
          </w:p>
        </w:tc>
        <w:tc>
          <w:tcPr>
            <w:tcW w:w="0" w:type="auto"/>
            <w:gridSpan w:val="3"/>
            <w:shd w:val="clear" w:color="auto" w:fill="auto"/>
          </w:tcPr>
          <w:p w14:paraId="20AE1783" w14:textId="77777777" w:rsidR="00B626E7" w:rsidRDefault="00B626E7">
            <w:pPr>
              <w:rPr>
                <w:rFonts w:ascii="宋体"/>
                <w:vanish/>
              </w:rPr>
            </w:pPr>
          </w:p>
        </w:tc>
        <w:tc>
          <w:tcPr>
            <w:tcW w:w="0" w:type="auto"/>
            <w:gridSpan w:val="3"/>
            <w:shd w:val="clear" w:color="auto" w:fill="auto"/>
          </w:tcPr>
          <w:p w14:paraId="20AE1784" w14:textId="77777777" w:rsidR="00B626E7" w:rsidRDefault="00B626E7">
            <w:pPr>
              <w:rPr>
                <w:rFonts w:ascii="宋体"/>
                <w:vanish/>
              </w:rPr>
            </w:pPr>
          </w:p>
        </w:tc>
        <w:tc>
          <w:tcPr>
            <w:tcW w:w="0" w:type="auto"/>
            <w:gridSpan w:val="3"/>
            <w:shd w:val="clear" w:color="auto" w:fill="auto"/>
          </w:tcPr>
          <w:p w14:paraId="20AE1785" w14:textId="77777777" w:rsidR="00B626E7" w:rsidRDefault="00B626E7">
            <w:pPr>
              <w:rPr>
                <w:rFonts w:ascii="宋体"/>
                <w:vanish/>
              </w:rPr>
            </w:pPr>
          </w:p>
        </w:tc>
        <w:tc>
          <w:tcPr>
            <w:tcW w:w="0" w:type="auto"/>
            <w:gridSpan w:val="3"/>
            <w:shd w:val="clear" w:color="auto" w:fill="auto"/>
          </w:tcPr>
          <w:p w14:paraId="20AE1786" w14:textId="77777777" w:rsidR="00B626E7" w:rsidRDefault="00B626E7">
            <w:pPr>
              <w:rPr>
                <w:rFonts w:ascii="宋体"/>
                <w:vanish/>
              </w:rPr>
            </w:pPr>
          </w:p>
        </w:tc>
        <w:tc>
          <w:tcPr>
            <w:tcW w:w="0" w:type="auto"/>
            <w:gridSpan w:val="3"/>
            <w:shd w:val="clear" w:color="auto" w:fill="auto"/>
            <w:tcMar>
              <w:left w:w="20" w:type="dxa"/>
              <w:right w:w="20" w:type="dxa"/>
            </w:tcMar>
            <w:vAlign w:val="bottom"/>
          </w:tcPr>
          <w:p w14:paraId="20AE1787" w14:textId="77777777" w:rsidR="00B626E7" w:rsidRDefault="00B626E7">
            <w:pPr>
              <w:rPr>
                <w:rFonts w:ascii="宋体"/>
              </w:rPr>
            </w:pPr>
          </w:p>
        </w:tc>
        <w:tc>
          <w:tcPr>
            <w:tcW w:w="0" w:type="auto"/>
            <w:gridSpan w:val="14"/>
            <w:shd w:val="clear" w:color="auto" w:fill="auto"/>
            <w:tcMar>
              <w:top w:w="40" w:type="dxa"/>
              <w:left w:w="20" w:type="dxa"/>
              <w:bottom w:w="40" w:type="dxa"/>
              <w:right w:w="20" w:type="dxa"/>
            </w:tcMar>
            <w:vAlign w:val="bottom"/>
          </w:tcPr>
          <w:p w14:paraId="20AE1788" w14:textId="77777777" w:rsidR="00B626E7" w:rsidRDefault="00175C1D">
            <w:pPr>
              <w:jc w:val="center"/>
              <w:textAlignment w:val="bottom"/>
            </w:pPr>
            <w:r>
              <w:rPr>
                <w:rFonts w:ascii="Arial" w:eastAsia="宋体" w:hAnsi="Arial" w:cs="Arial"/>
                <w:b/>
                <w:bCs/>
                <w:color w:val="333333"/>
                <w:sz w:val="18"/>
                <w:szCs w:val="18"/>
              </w:rPr>
              <w:t>Dec 28, 2019</w:t>
            </w:r>
          </w:p>
        </w:tc>
        <w:tc>
          <w:tcPr>
            <w:tcW w:w="0" w:type="auto"/>
            <w:shd w:val="clear" w:color="auto" w:fill="auto"/>
          </w:tcPr>
          <w:p w14:paraId="20AE1789" w14:textId="77777777" w:rsidR="00B626E7" w:rsidRDefault="00B626E7">
            <w:pPr>
              <w:rPr>
                <w:rFonts w:ascii="宋体"/>
                <w:vanish/>
              </w:rPr>
            </w:pPr>
          </w:p>
        </w:tc>
      </w:tr>
      <w:tr w:rsidR="00B626E7" w14:paraId="20AE179B" w14:textId="77777777">
        <w:tc>
          <w:tcPr>
            <w:tcW w:w="0" w:type="auto"/>
            <w:gridSpan w:val="3"/>
            <w:shd w:val="clear" w:color="auto" w:fill="auto"/>
            <w:tcMar>
              <w:left w:w="20" w:type="dxa"/>
              <w:right w:w="20" w:type="dxa"/>
            </w:tcMar>
            <w:vAlign w:val="bottom"/>
          </w:tcPr>
          <w:p w14:paraId="20AE178B"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78C" w14:textId="77777777" w:rsidR="00B626E7" w:rsidRDefault="00B626E7">
            <w:pPr>
              <w:rPr>
                <w:rFonts w:ascii="宋体"/>
              </w:rPr>
            </w:pPr>
          </w:p>
        </w:tc>
        <w:tc>
          <w:tcPr>
            <w:tcW w:w="0" w:type="auto"/>
            <w:gridSpan w:val="15"/>
            <w:tcBorders>
              <w:top w:val="single" w:sz="8" w:space="0" w:color="0071C5"/>
            </w:tcBorders>
            <w:shd w:val="clear" w:color="auto" w:fill="auto"/>
            <w:tcMar>
              <w:top w:w="40" w:type="dxa"/>
              <w:left w:w="20" w:type="dxa"/>
              <w:bottom w:w="40" w:type="dxa"/>
              <w:right w:w="20" w:type="dxa"/>
            </w:tcMar>
            <w:vAlign w:val="bottom"/>
          </w:tcPr>
          <w:p w14:paraId="20AE178D" w14:textId="77777777" w:rsidR="00B626E7" w:rsidRDefault="00175C1D">
            <w:pPr>
              <w:jc w:val="center"/>
              <w:textAlignment w:val="bottom"/>
            </w:pPr>
            <w:r>
              <w:rPr>
                <w:rFonts w:ascii="Arial" w:eastAsia="宋体" w:hAnsi="Arial" w:cs="Arial"/>
                <w:b/>
                <w:bCs/>
                <w:color w:val="333333"/>
                <w:sz w:val="18"/>
                <w:szCs w:val="18"/>
              </w:rPr>
              <w:t xml:space="preserve">Fair Value Measured and </w:t>
            </w:r>
          </w:p>
          <w:p w14:paraId="20AE178E" w14:textId="77777777" w:rsidR="00B626E7" w:rsidRDefault="00175C1D">
            <w:pPr>
              <w:jc w:val="center"/>
              <w:textAlignment w:val="bottom"/>
            </w:pPr>
            <w:r>
              <w:rPr>
                <w:rFonts w:ascii="Arial" w:eastAsia="宋体" w:hAnsi="Arial" w:cs="Arial"/>
                <w:b/>
                <w:bCs/>
                <w:color w:val="333333"/>
                <w:sz w:val="18"/>
                <w:szCs w:val="18"/>
              </w:rPr>
              <w:t>Recorded at Reporting Date Using</w:t>
            </w:r>
          </w:p>
        </w:tc>
        <w:tc>
          <w:tcPr>
            <w:tcW w:w="0" w:type="auto"/>
            <w:gridSpan w:val="3"/>
            <w:shd w:val="clear" w:color="auto" w:fill="auto"/>
          </w:tcPr>
          <w:p w14:paraId="20AE178F" w14:textId="77777777" w:rsidR="00B626E7" w:rsidRDefault="00B626E7">
            <w:pPr>
              <w:rPr>
                <w:rFonts w:ascii="宋体"/>
                <w:vanish/>
              </w:rPr>
            </w:pPr>
          </w:p>
        </w:tc>
        <w:tc>
          <w:tcPr>
            <w:tcW w:w="0" w:type="auto"/>
            <w:gridSpan w:val="3"/>
            <w:shd w:val="clear" w:color="auto" w:fill="auto"/>
          </w:tcPr>
          <w:p w14:paraId="20AE1790" w14:textId="77777777" w:rsidR="00B626E7" w:rsidRDefault="00B626E7">
            <w:pPr>
              <w:rPr>
                <w:rFonts w:ascii="宋体"/>
                <w:vanish/>
              </w:rPr>
            </w:pPr>
          </w:p>
        </w:tc>
        <w:tc>
          <w:tcPr>
            <w:tcW w:w="0" w:type="auto"/>
            <w:gridSpan w:val="3"/>
            <w:shd w:val="clear" w:color="auto" w:fill="auto"/>
          </w:tcPr>
          <w:p w14:paraId="20AE1791" w14:textId="77777777" w:rsidR="00B626E7" w:rsidRDefault="00B626E7">
            <w:pPr>
              <w:rPr>
                <w:rFonts w:ascii="宋体"/>
                <w:vanish/>
              </w:rPr>
            </w:pPr>
          </w:p>
        </w:tc>
        <w:tc>
          <w:tcPr>
            <w:tcW w:w="0" w:type="auto"/>
            <w:gridSpan w:val="3"/>
            <w:shd w:val="clear" w:color="auto" w:fill="auto"/>
          </w:tcPr>
          <w:p w14:paraId="20AE1792" w14:textId="77777777" w:rsidR="00B626E7" w:rsidRDefault="00B626E7">
            <w:pPr>
              <w:rPr>
                <w:rFonts w:ascii="宋体"/>
                <w:vanish/>
              </w:rPr>
            </w:pPr>
          </w:p>
        </w:tc>
        <w:tc>
          <w:tcPr>
            <w:tcW w:w="0" w:type="auto"/>
            <w:gridSpan w:val="3"/>
            <w:tcBorders>
              <w:top w:val="single" w:sz="8" w:space="0" w:color="0071C5"/>
            </w:tcBorders>
            <w:shd w:val="clear" w:color="auto" w:fill="auto"/>
            <w:tcMar>
              <w:left w:w="20" w:type="dxa"/>
              <w:right w:w="20" w:type="dxa"/>
            </w:tcMar>
            <w:vAlign w:val="bottom"/>
          </w:tcPr>
          <w:p w14:paraId="20AE1793"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1794" w14:textId="77777777" w:rsidR="00B626E7" w:rsidRDefault="00175C1D">
            <w:pPr>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1795" w14:textId="77777777" w:rsidR="00B626E7" w:rsidRDefault="00B626E7">
            <w:pPr>
              <w:rPr>
                <w:rFonts w:ascii="宋体"/>
              </w:rPr>
            </w:pPr>
          </w:p>
        </w:tc>
        <w:tc>
          <w:tcPr>
            <w:tcW w:w="0" w:type="auto"/>
            <w:gridSpan w:val="15"/>
            <w:tcBorders>
              <w:top w:val="single" w:sz="8" w:space="0" w:color="0071C5"/>
            </w:tcBorders>
            <w:shd w:val="clear" w:color="auto" w:fill="auto"/>
            <w:tcMar>
              <w:top w:w="40" w:type="dxa"/>
              <w:left w:w="20" w:type="dxa"/>
              <w:bottom w:w="40" w:type="dxa"/>
              <w:right w:w="20" w:type="dxa"/>
            </w:tcMar>
            <w:vAlign w:val="bottom"/>
          </w:tcPr>
          <w:p w14:paraId="20AE1796" w14:textId="77777777" w:rsidR="00B626E7" w:rsidRDefault="00175C1D">
            <w:pPr>
              <w:jc w:val="center"/>
              <w:textAlignment w:val="bottom"/>
            </w:pPr>
            <w:r>
              <w:rPr>
                <w:rFonts w:ascii="Arial" w:eastAsia="宋体" w:hAnsi="Arial" w:cs="Arial"/>
                <w:b/>
                <w:bCs/>
                <w:color w:val="333333"/>
                <w:sz w:val="18"/>
                <w:szCs w:val="18"/>
              </w:rPr>
              <w:t xml:space="preserve">Fair Value Measured and </w:t>
            </w:r>
          </w:p>
          <w:p w14:paraId="20AE1797" w14:textId="77777777" w:rsidR="00B626E7" w:rsidRDefault="00175C1D">
            <w:pPr>
              <w:jc w:val="center"/>
              <w:textAlignment w:val="bottom"/>
            </w:pPr>
            <w:r>
              <w:rPr>
                <w:rFonts w:ascii="Arial" w:eastAsia="宋体" w:hAnsi="Arial" w:cs="Arial"/>
                <w:b/>
                <w:bCs/>
                <w:color w:val="333333"/>
                <w:sz w:val="18"/>
                <w:szCs w:val="18"/>
              </w:rPr>
              <w:t>Recorded at Reporting Date Using</w:t>
            </w:r>
          </w:p>
        </w:tc>
        <w:tc>
          <w:tcPr>
            <w:tcW w:w="0" w:type="auto"/>
            <w:gridSpan w:val="3"/>
            <w:shd w:val="clear" w:color="auto" w:fill="auto"/>
          </w:tcPr>
          <w:p w14:paraId="20AE1798" w14:textId="77777777" w:rsidR="00B626E7" w:rsidRDefault="00B626E7">
            <w:pPr>
              <w:rPr>
                <w:rFonts w:ascii="宋体"/>
                <w:vanish/>
              </w:rPr>
            </w:pPr>
          </w:p>
        </w:tc>
        <w:tc>
          <w:tcPr>
            <w:tcW w:w="0" w:type="auto"/>
            <w:gridSpan w:val="2"/>
            <w:shd w:val="clear" w:color="auto" w:fill="auto"/>
          </w:tcPr>
          <w:p w14:paraId="20AE1799" w14:textId="77777777" w:rsidR="00B626E7" w:rsidRDefault="00B626E7">
            <w:pPr>
              <w:rPr>
                <w:rFonts w:ascii="宋体"/>
                <w:vanish/>
              </w:rPr>
            </w:pPr>
          </w:p>
        </w:tc>
        <w:tc>
          <w:tcPr>
            <w:tcW w:w="0" w:type="auto"/>
            <w:shd w:val="clear" w:color="auto" w:fill="auto"/>
          </w:tcPr>
          <w:p w14:paraId="20AE179A" w14:textId="77777777" w:rsidR="00B626E7" w:rsidRDefault="00175C1D">
            <w:pPr>
              <w:textAlignment w:val="bottom"/>
            </w:pPr>
            <w:r>
              <w:rPr>
                <w:rFonts w:ascii="Arial" w:eastAsia="宋体" w:hAnsi="Arial" w:cs="Arial"/>
                <w:b/>
                <w:bCs/>
                <w:color w:val="333333"/>
                <w:sz w:val="18"/>
                <w:szCs w:val="18"/>
              </w:rPr>
              <w:t> </w:t>
            </w:r>
          </w:p>
        </w:tc>
      </w:tr>
      <w:tr w:rsidR="00B626E7" w14:paraId="20AE17B9" w14:textId="77777777">
        <w:tc>
          <w:tcPr>
            <w:tcW w:w="0" w:type="auto"/>
            <w:gridSpan w:val="3"/>
            <w:shd w:val="clear" w:color="auto" w:fill="auto"/>
            <w:tcMar>
              <w:top w:w="40" w:type="dxa"/>
              <w:left w:w="20" w:type="dxa"/>
              <w:bottom w:w="40" w:type="dxa"/>
              <w:right w:w="20" w:type="dxa"/>
            </w:tcMar>
            <w:vAlign w:val="bottom"/>
          </w:tcPr>
          <w:p w14:paraId="20AE179C" w14:textId="77777777" w:rsidR="00B626E7" w:rsidRDefault="00175C1D">
            <w:pPr>
              <w:textAlignment w:val="bottom"/>
            </w:pPr>
            <w:r>
              <w:rPr>
                <w:rFonts w:ascii="Arial" w:eastAsia="宋体" w:hAnsi="Arial" w:cs="Arial"/>
                <w:b/>
                <w:bCs/>
                <w:color w:val="333333"/>
                <w:sz w:val="18"/>
                <w:szCs w:val="18"/>
              </w:rPr>
              <w:t>(In Millions)</w:t>
            </w:r>
          </w:p>
        </w:tc>
        <w:tc>
          <w:tcPr>
            <w:tcW w:w="0" w:type="auto"/>
            <w:gridSpan w:val="3"/>
            <w:shd w:val="clear" w:color="auto" w:fill="auto"/>
            <w:tcMar>
              <w:left w:w="20" w:type="dxa"/>
              <w:right w:w="20" w:type="dxa"/>
            </w:tcMar>
            <w:vAlign w:val="bottom"/>
          </w:tcPr>
          <w:p w14:paraId="20AE179D"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179E" w14:textId="77777777" w:rsidR="00B626E7" w:rsidRDefault="00175C1D">
            <w:pPr>
              <w:jc w:val="center"/>
              <w:textAlignment w:val="bottom"/>
            </w:pPr>
            <w:r>
              <w:rPr>
                <w:rFonts w:ascii="Arial" w:eastAsia="宋体" w:hAnsi="Arial" w:cs="Arial"/>
                <w:b/>
                <w:bCs/>
                <w:color w:val="333333"/>
                <w:sz w:val="18"/>
                <w:szCs w:val="18"/>
              </w:rPr>
              <w:t>Level 1</w:t>
            </w:r>
          </w:p>
        </w:tc>
        <w:tc>
          <w:tcPr>
            <w:tcW w:w="0" w:type="auto"/>
            <w:gridSpan w:val="3"/>
            <w:tcBorders>
              <w:top w:val="single" w:sz="8" w:space="0" w:color="0071C5"/>
            </w:tcBorders>
            <w:shd w:val="clear" w:color="auto" w:fill="auto"/>
            <w:tcMar>
              <w:left w:w="20" w:type="dxa"/>
              <w:right w:w="20" w:type="dxa"/>
            </w:tcMar>
            <w:vAlign w:val="bottom"/>
          </w:tcPr>
          <w:p w14:paraId="20AE179F"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17A0" w14:textId="77777777" w:rsidR="00B626E7" w:rsidRDefault="00175C1D">
            <w:pPr>
              <w:jc w:val="center"/>
              <w:textAlignment w:val="bottom"/>
            </w:pPr>
            <w:r>
              <w:rPr>
                <w:rFonts w:ascii="Arial" w:eastAsia="宋体" w:hAnsi="Arial" w:cs="Arial"/>
                <w:b/>
                <w:bCs/>
                <w:color w:val="333333"/>
                <w:sz w:val="18"/>
                <w:szCs w:val="18"/>
              </w:rPr>
              <w:t>Level 2</w:t>
            </w:r>
          </w:p>
        </w:tc>
        <w:tc>
          <w:tcPr>
            <w:tcW w:w="0" w:type="auto"/>
            <w:gridSpan w:val="3"/>
            <w:tcBorders>
              <w:top w:val="single" w:sz="8" w:space="0" w:color="0071C5"/>
            </w:tcBorders>
            <w:shd w:val="clear" w:color="auto" w:fill="auto"/>
            <w:tcMar>
              <w:left w:w="20" w:type="dxa"/>
              <w:right w:w="20" w:type="dxa"/>
            </w:tcMar>
            <w:vAlign w:val="bottom"/>
          </w:tcPr>
          <w:p w14:paraId="20AE17A1"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17A2" w14:textId="77777777" w:rsidR="00B626E7" w:rsidRDefault="00175C1D">
            <w:pPr>
              <w:jc w:val="center"/>
              <w:textAlignment w:val="bottom"/>
            </w:pPr>
            <w:r>
              <w:rPr>
                <w:rFonts w:ascii="Arial" w:eastAsia="宋体" w:hAnsi="Arial" w:cs="Arial"/>
                <w:b/>
                <w:bCs/>
                <w:color w:val="333333"/>
                <w:sz w:val="18"/>
                <w:szCs w:val="18"/>
              </w:rPr>
              <w:t>Level 3</w:t>
            </w:r>
          </w:p>
        </w:tc>
        <w:tc>
          <w:tcPr>
            <w:tcW w:w="0" w:type="auto"/>
            <w:gridSpan w:val="3"/>
            <w:shd w:val="clear" w:color="auto" w:fill="auto"/>
            <w:tcMar>
              <w:left w:w="20" w:type="dxa"/>
              <w:right w:w="20" w:type="dxa"/>
            </w:tcMar>
            <w:vAlign w:val="bottom"/>
          </w:tcPr>
          <w:p w14:paraId="20AE17A3"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bottom"/>
          </w:tcPr>
          <w:p w14:paraId="20AE17A4" w14:textId="77777777" w:rsidR="00B626E7" w:rsidRDefault="00175C1D">
            <w:pPr>
              <w:jc w:val="center"/>
              <w:textAlignment w:val="bottom"/>
            </w:pPr>
            <w:r>
              <w:rPr>
                <w:rFonts w:ascii="Arial" w:eastAsia="宋体" w:hAnsi="Arial" w:cs="Arial"/>
                <w:b/>
                <w:bCs/>
                <w:color w:val="333333"/>
                <w:sz w:val="18"/>
                <w:szCs w:val="18"/>
              </w:rPr>
              <w:t>Total</w:t>
            </w:r>
          </w:p>
        </w:tc>
        <w:tc>
          <w:tcPr>
            <w:tcW w:w="0" w:type="auto"/>
            <w:gridSpan w:val="3"/>
            <w:shd w:val="clear" w:color="auto" w:fill="auto"/>
            <w:tcMar>
              <w:left w:w="20" w:type="dxa"/>
              <w:right w:w="20" w:type="dxa"/>
            </w:tcMar>
            <w:vAlign w:val="bottom"/>
          </w:tcPr>
          <w:p w14:paraId="20AE17A5"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17A6" w14:textId="77777777" w:rsidR="00B626E7" w:rsidRDefault="00175C1D">
            <w:pPr>
              <w:jc w:val="center"/>
              <w:textAlignment w:val="bottom"/>
            </w:pPr>
            <w:r>
              <w:rPr>
                <w:rFonts w:ascii="Arial" w:eastAsia="宋体" w:hAnsi="Arial" w:cs="Arial"/>
                <w:b/>
                <w:bCs/>
                <w:color w:val="333333"/>
                <w:sz w:val="18"/>
                <w:szCs w:val="18"/>
              </w:rPr>
              <w:t>Level 1</w:t>
            </w:r>
          </w:p>
        </w:tc>
        <w:tc>
          <w:tcPr>
            <w:tcW w:w="0" w:type="auto"/>
            <w:gridSpan w:val="3"/>
            <w:tcBorders>
              <w:top w:val="single" w:sz="8" w:space="0" w:color="0071C5"/>
            </w:tcBorders>
            <w:shd w:val="clear" w:color="auto" w:fill="auto"/>
            <w:tcMar>
              <w:left w:w="20" w:type="dxa"/>
              <w:right w:w="20" w:type="dxa"/>
            </w:tcMar>
            <w:vAlign w:val="bottom"/>
          </w:tcPr>
          <w:p w14:paraId="20AE17A7"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17A8" w14:textId="77777777" w:rsidR="00B626E7" w:rsidRDefault="00175C1D">
            <w:pPr>
              <w:jc w:val="center"/>
              <w:textAlignment w:val="bottom"/>
            </w:pPr>
            <w:r>
              <w:rPr>
                <w:rFonts w:ascii="Arial" w:eastAsia="宋体" w:hAnsi="Arial" w:cs="Arial"/>
                <w:b/>
                <w:bCs/>
                <w:color w:val="333333"/>
                <w:sz w:val="18"/>
                <w:szCs w:val="18"/>
              </w:rPr>
              <w:t>Level 2</w:t>
            </w:r>
          </w:p>
        </w:tc>
        <w:tc>
          <w:tcPr>
            <w:tcW w:w="0" w:type="auto"/>
            <w:gridSpan w:val="3"/>
            <w:tcBorders>
              <w:top w:val="single" w:sz="8" w:space="0" w:color="0071C5"/>
            </w:tcBorders>
            <w:shd w:val="clear" w:color="auto" w:fill="auto"/>
            <w:tcMar>
              <w:left w:w="20" w:type="dxa"/>
              <w:right w:w="20" w:type="dxa"/>
            </w:tcMar>
            <w:vAlign w:val="bottom"/>
          </w:tcPr>
          <w:p w14:paraId="20AE17A9"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17AA" w14:textId="77777777" w:rsidR="00B626E7" w:rsidRDefault="00175C1D">
            <w:pPr>
              <w:jc w:val="center"/>
              <w:textAlignment w:val="bottom"/>
            </w:pPr>
            <w:r>
              <w:rPr>
                <w:rFonts w:ascii="Arial" w:eastAsia="宋体" w:hAnsi="Arial" w:cs="Arial"/>
                <w:b/>
                <w:bCs/>
                <w:color w:val="333333"/>
                <w:sz w:val="18"/>
                <w:szCs w:val="18"/>
              </w:rPr>
              <w:t>Level 3</w:t>
            </w:r>
          </w:p>
        </w:tc>
        <w:tc>
          <w:tcPr>
            <w:tcW w:w="0" w:type="auto"/>
            <w:gridSpan w:val="3"/>
            <w:shd w:val="clear" w:color="auto" w:fill="auto"/>
            <w:tcMar>
              <w:left w:w="20" w:type="dxa"/>
              <w:right w:w="20" w:type="dxa"/>
            </w:tcMar>
            <w:vAlign w:val="bottom"/>
          </w:tcPr>
          <w:p w14:paraId="20AE17AB"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bottom"/>
          </w:tcPr>
          <w:p w14:paraId="20AE17AC" w14:textId="77777777" w:rsidR="00B626E7" w:rsidRDefault="00175C1D">
            <w:pPr>
              <w:jc w:val="center"/>
              <w:textAlignment w:val="bottom"/>
            </w:pPr>
            <w:r>
              <w:rPr>
                <w:rFonts w:ascii="Arial" w:eastAsia="宋体" w:hAnsi="Arial" w:cs="Arial"/>
                <w:b/>
                <w:bCs/>
                <w:color w:val="333333"/>
                <w:sz w:val="18"/>
                <w:szCs w:val="18"/>
              </w:rPr>
              <w:t>Total</w:t>
            </w:r>
          </w:p>
        </w:tc>
        <w:tc>
          <w:tcPr>
            <w:tcW w:w="0" w:type="auto"/>
            <w:shd w:val="clear" w:color="auto" w:fill="auto"/>
          </w:tcPr>
          <w:p w14:paraId="20AE17AD" w14:textId="77777777" w:rsidR="00B626E7" w:rsidRDefault="00B626E7">
            <w:pPr>
              <w:rPr>
                <w:rFonts w:ascii="宋体"/>
              </w:rPr>
            </w:pPr>
          </w:p>
        </w:tc>
        <w:tc>
          <w:tcPr>
            <w:tcW w:w="0" w:type="auto"/>
            <w:shd w:val="clear" w:color="auto" w:fill="auto"/>
          </w:tcPr>
          <w:p w14:paraId="20AE17AE" w14:textId="77777777" w:rsidR="00B626E7" w:rsidRDefault="00B626E7">
            <w:pPr>
              <w:rPr>
                <w:rFonts w:ascii="宋体"/>
              </w:rPr>
            </w:pPr>
          </w:p>
        </w:tc>
        <w:tc>
          <w:tcPr>
            <w:tcW w:w="0" w:type="auto"/>
            <w:shd w:val="clear" w:color="auto" w:fill="auto"/>
          </w:tcPr>
          <w:p w14:paraId="20AE17AF" w14:textId="77777777" w:rsidR="00B626E7" w:rsidRDefault="00B626E7">
            <w:pPr>
              <w:rPr>
                <w:rFonts w:ascii="宋体"/>
              </w:rPr>
            </w:pPr>
          </w:p>
        </w:tc>
        <w:tc>
          <w:tcPr>
            <w:tcW w:w="0" w:type="auto"/>
            <w:shd w:val="clear" w:color="auto" w:fill="auto"/>
          </w:tcPr>
          <w:p w14:paraId="20AE17B0" w14:textId="77777777" w:rsidR="00B626E7" w:rsidRDefault="00B626E7">
            <w:pPr>
              <w:rPr>
                <w:rFonts w:ascii="宋体"/>
              </w:rPr>
            </w:pPr>
          </w:p>
        </w:tc>
        <w:tc>
          <w:tcPr>
            <w:tcW w:w="0" w:type="auto"/>
            <w:shd w:val="clear" w:color="auto" w:fill="auto"/>
          </w:tcPr>
          <w:p w14:paraId="20AE17B1" w14:textId="77777777" w:rsidR="00B626E7" w:rsidRDefault="00B626E7">
            <w:pPr>
              <w:rPr>
                <w:rFonts w:ascii="宋体"/>
              </w:rPr>
            </w:pPr>
          </w:p>
        </w:tc>
        <w:tc>
          <w:tcPr>
            <w:tcW w:w="0" w:type="auto"/>
            <w:shd w:val="clear" w:color="auto" w:fill="auto"/>
          </w:tcPr>
          <w:p w14:paraId="20AE17B2" w14:textId="77777777" w:rsidR="00B626E7" w:rsidRDefault="00B626E7">
            <w:pPr>
              <w:rPr>
                <w:rFonts w:ascii="宋体"/>
              </w:rPr>
            </w:pPr>
          </w:p>
        </w:tc>
        <w:tc>
          <w:tcPr>
            <w:tcW w:w="0" w:type="auto"/>
            <w:shd w:val="clear" w:color="auto" w:fill="auto"/>
          </w:tcPr>
          <w:p w14:paraId="20AE17B3" w14:textId="77777777" w:rsidR="00B626E7" w:rsidRDefault="00B626E7">
            <w:pPr>
              <w:rPr>
                <w:rFonts w:ascii="宋体"/>
              </w:rPr>
            </w:pPr>
          </w:p>
        </w:tc>
        <w:tc>
          <w:tcPr>
            <w:tcW w:w="0" w:type="auto"/>
            <w:shd w:val="clear" w:color="auto" w:fill="auto"/>
          </w:tcPr>
          <w:p w14:paraId="20AE17B4" w14:textId="77777777" w:rsidR="00B626E7" w:rsidRDefault="00B626E7">
            <w:pPr>
              <w:rPr>
                <w:rFonts w:ascii="宋体"/>
              </w:rPr>
            </w:pPr>
          </w:p>
        </w:tc>
        <w:tc>
          <w:tcPr>
            <w:tcW w:w="0" w:type="auto"/>
            <w:shd w:val="clear" w:color="auto" w:fill="auto"/>
          </w:tcPr>
          <w:p w14:paraId="20AE17B5" w14:textId="77777777" w:rsidR="00B626E7" w:rsidRDefault="00B626E7">
            <w:pPr>
              <w:rPr>
                <w:rFonts w:ascii="宋体"/>
              </w:rPr>
            </w:pPr>
          </w:p>
        </w:tc>
        <w:tc>
          <w:tcPr>
            <w:tcW w:w="0" w:type="auto"/>
            <w:shd w:val="clear" w:color="auto" w:fill="auto"/>
          </w:tcPr>
          <w:p w14:paraId="20AE17B6" w14:textId="77777777" w:rsidR="00B626E7" w:rsidRDefault="00B626E7">
            <w:pPr>
              <w:rPr>
                <w:rFonts w:ascii="宋体"/>
              </w:rPr>
            </w:pPr>
          </w:p>
        </w:tc>
        <w:tc>
          <w:tcPr>
            <w:tcW w:w="0" w:type="auto"/>
            <w:shd w:val="clear" w:color="auto" w:fill="auto"/>
          </w:tcPr>
          <w:p w14:paraId="20AE17B7" w14:textId="77777777" w:rsidR="00B626E7" w:rsidRDefault="00B626E7">
            <w:pPr>
              <w:rPr>
                <w:rFonts w:ascii="宋体"/>
              </w:rPr>
            </w:pPr>
          </w:p>
        </w:tc>
        <w:tc>
          <w:tcPr>
            <w:tcW w:w="0" w:type="auto"/>
            <w:shd w:val="clear" w:color="auto" w:fill="auto"/>
          </w:tcPr>
          <w:p w14:paraId="20AE17B8" w14:textId="77777777" w:rsidR="00B626E7" w:rsidRDefault="00B626E7">
            <w:pPr>
              <w:rPr>
                <w:rFonts w:ascii="宋体"/>
              </w:rPr>
            </w:pPr>
          </w:p>
        </w:tc>
      </w:tr>
      <w:tr w:rsidR="00B626E7" w14:paraId="20AE17D7" w14:textId="77777777">
        <w:tc>
          <w:tcPr>
            <w:tcW w:w="0" w:type="auto"/>
            <w:gridSpan w:val="3"/>
            <w:tcBorders>
              <w:top w:val="single" w:sz="8" w:space="0" w:color="0071C5"/>
            </w:tcBorders>
            <w:shd w:val="clear" w:color="auto" w:fill="auto"/>
            <w:tcMar>
              <w:top w:w="40" w:type="dxa"/>
              <w:left w:w="20" w:type="dxa"/>
              <w:bottom w:w="40" w:type="dxa"/>
              <w:right w:w="20" w:type="dxa"/>
            </w:tcMar>
          </w:tcPr>
          <w:p w14:paraId="20AE17BA" w14:textId="77777777" w:rsidR="00B626E7" w:rsidRDefault="00175C1D">
            <w:pPr>
              <w:textAlignment w:val="top"/>
            </w:pPr>
            <w:r>
              <w:rPr>
                <w:rFonts w:ascii="Arial" w:eastAsia="宋体" w:hAnsi="Arial" w:cs="Arial"/>
                <w:b/>
                <w:bCs/>
                <w:color w:val="333333"/>
                <w:sz w:val="18"/>
                <w:szCs w:val="18"/>
              </w:rPr>
              <w:t>Assets</w:t>
            </w:r>
          </w:p>
        </w:tc>
        <w:tc>
          <w:tcPr>
            <w:tcW w:w="0" w:type="auto"/>
            <w:gridSpan w:val="3"/>
            <w:shd w:val="clear" w:color="auto" w:fill="auto"/>
            <w:tcMar>
              <w:left w:w="20" w:type="dxa"/>
              <w:right w:w="20" w:type="dxa"/>
            </w:tcMar>
            <w:vAlign w:val="bottom"/>
          </w:tcPr>
          <w:p w14:paraId="20AE17BB"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17BC"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7BD"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17BE"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7BF"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17C0"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7C1"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17C2"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7C3"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17C4"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7C5"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17C6"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7C7"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17C8"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7C9"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17CA" w14:textId="77777777" w:rsidR="00B626E7" w:rsidRDefault="00B626E7">
            <w:pPr>
              <w:rPr>
                <w:rFonts w:ascii="宋体"/>
              </w:rPr>
            </w:pPr>
          </w:p>
        </w:tc>
        <w:tc>
          <w:tcPr>
            <w:tcW w:w="0" w:type="auto"/>
            <w:shd w:val="clear" w:color="auto" w:fill="auto"/>
          </w:tcPr>
          <w:p w14:paraId="20AE17CB" w14:textId="77777777" w:rsidR="00B626E7" w:rsidRDefault="00B626E7">
            <w:pPr>
              <w:rPr>
                <w:rFonts w:ascii="宋体"/>
              </w:rPr>
            </w:pPr>
          </w:p>
        </w:tc>
        <w:tc>
          <w:tcPr>
            <w:tcW w:w="0" w:type="auto"/>
            <w:shd w:val="clear" w:color="auto" w:fill="auto"/>
          </w:tcPr>
          <w:p w14:paraId="20AE17CC" w14:textId="77777777" w:rsidR="00B626E7" w:rsidRDefault="00B626E7">
            <w:pPr>
              <w:rPr>
                <w:rFonts w:ascii="宋体"/>
              </w:rPr>
            </w:pPr>
          </w:p>
        </w:tc>
        <w:tc>
          <w:tcPr>
            <w:tcW w:w="0" w:type="auto"/>
            <w:shd w:val="clear" w:color="auto" w:fill="auto"/>
          </w:tcPr>
          <w:p w14:paraId="20AE17CD" w14:textId="77777777" w:rsidR="00B626E7" w:rsidRDefault="00B626E7">
            <w:pPr>
              <w:rPr>
                <w:rFonts w:ascii="宋体"/>
              </w:rPr>
            </w:pPr>
          </w:p>
        </w:tc>
        <w:tc>
          <w:tcPr>
            <w:tcW w:w="0" w:type="auto"/>
            <w:shd w:val="clear" w:color="auto" w:fill="auto"/>
          </w:tcPr>
          <w:p w14:paraId="20AE17CE" w14:textId="77777777" w:rsidR="00B626E7" w:rsidRDefault="00B626E7">
            <w:pPr>
              <w:rPr>
                <w:rFonts w:ascii="宋体"/>
              </w:rPr>
            </w:pPr>
          </w:p>
        </w:tc>
        <w:tc>
          <w:tcPr>
            <w:tcW w:w="0" w:type="auto"/>
            <w:shd w:val="clear" w:color="auto" w:fill="auto"/>
          </w:tcPr>
          <w:p w14:paraId="20AE17CF" w14:textId="77777777" w:rsidR="00B626E7" w:rsidRDefault="00B626E7">
            <w:pPr>
              <w:rPr>
                <w:rFonts w:ascii="宋体"/>
              </w:rPr>
            </w:pPr>
          </w:p>
        </w:tc>
        <w:tc>
          <w:tcPr>
            <w:tcW w:w="0" w:type="auto"/>
            <w:shd w:val="clear" w:color="auto" w:fill="auto"/>
          </w:tcPr>
          <w:p w14:paraId="20AE17D0" w14:textId="77777777" w:rsidR="00B626E7" w:rsidRDefault="00B626E7">
            <w:pPr>
              <w:rPr>
                <w:rFonts w:ascii="宋体"/>
              </w:rPr>
            </w:pPr>
          </w:p>
        </w:tc>
        <w:tc>
          <w:tcPr>
            <w:tcW w:w="0" w:type="auto"/>
            <w:shd w:val="clear" w:color="auto" w:fill="auto"/>
          </w:tcPr>
          <w:p w14:paraId="20AE17D1" w14:textId="77777777" w:rsidR="00B626E7" w:rsidRDefault="00B626E7">
            <w:pPr>
              <w:rPr>
                <w:rFonts w:ascii="宋体"/>
              </w:rPr>
            </w:pPr>
          </w:p>
        </w:tc>
        <w:tc>
          <w:tcPr>
            <w:tcW w:w="0" w:type="auto"/>
            <w:shd w:val="clear" w:color="auto" w:fill="auto"/>
          </w:tcPr>
          <w:p w14:paraId="20AE17D2" w14:textId="77777777" w:rsidR="00B626E7" w:rsidRDefault="00B626E7">
            <w:pPr>
              <w:rPr>
                <w:rFonts w:ascii="宋体"/>
              </w:rPr>
            </w:pPr>
          </w:p>
        </w:tc>
        <w:tc>
          <w:tcPr>
            <w:tcW w:w="0" w:type="auto"/>
            <w:shd w:val="clear" w:color="auto" w:fill="auto"/>
          </w:tcPr>
          <w:p w14:paraId="20AE17D3" w14:textId="77777777" w:rsidR="00B626E7" w:rsidRDefault="00B626E7">
            <w:pPr>
              <w:rPr>
                <w:rFonts w:ascii="宋体"/>
              </w:rPr>
            </w:pPr>
          </w:p>
        </w:tc>
        <w:tc>
          <w:tcPr>
            <w:tcW w:w="0" w:type="auto"/>
            <w:shd w:val="clear" w:color="auto" w:fill="auto"/>
          </w:tcPr>
          <w:p w14:paraId="20AE17D4" w14:textId="77777777" w:rsidR="00B626E7" w:rsidRDefault="00B626E7">
            <w:pPr>
              <w:rPr>
                <w:rFonts w:ascii="宋体"/>
              </w:rPr>
            </w:pPr>
          </w:p>
        </w:tc>
        <w:tc>
          <w:tcPr>
            <w:tcW w:w="0" w:type="auto"/>
            <w:shd w:val="clear" w:color="auto" w:fill="auto"/>
          </w:tcPr>
          <w:p w14:paraId="20AE17D5" w14:textId="77777777" w:rsidR="00B626E7" w:rsidRDefault="00B626E7">
            <w:pPr>
              <w:rPr>
                <w:rFonts w:ascii="宋体"/>
              </w:rPr>
            </w:pPr>
          </w:p>
        </w:tc>
        <w:tc>
          <w:tcPr>
            <w:tcW w:w="0" w:type="auto"/>
            <w:shd w:val="clear" w:color="auto" w:fill="auto"/>
          </w:tcPr>
          <w:p w14:paraId="20AE17D6" w14:textId="77777777" w:rsidR="00B626E7" w:rsidRDefault="00B626E7">
            <w:pPr>
              <w:rPr>
                <w:rFonts w:ascii="宋体"/>
              </w:rPr>
            </w:pPr>
          </w:p>
        </w:tc>
      </w:tr>
      <w:tr w:rsidR="00B626E7" w14:paraId="20AE17F5" w14:textId="77777777">
        <w:tc>
          <w:tcPr>
            <w:tcW w:w="0" w:type="auto"/>
            <w:gridSpan w:val="3"/>
            <w:shd w:val="clear" w:color="auto" w:fill="auto"/>
            <w:tcMar>
              <w:top w:w="40" w:type="dxa"/>
              <w:left w:w="20" w:type="dxa"/>
              <w:bottom w:w="40" w:type="dxa"/>
              <w:right w:w="20" w:type="dxa"/>
            </w:tcMar>
          </w:tcPr>
          <w:p w14:paraId="20AE17D8" w14:textId="77777777" w:rsidR="00B626E7" w:rsidRDefault="00175C1D">
            <w:pPr>
              <w:textAlignment w:val="top"/>
            </w:pPr>
            <w:r>
              <w:rPr>
                <w:rFonts w:ascii="Arial" w:eastAsia="宋体" w:hAnsi="Arial" w:cs="Arial"/>
                <w:color w:val="333333"/>
                <w:sz w:val="18"/>
                <w:szCs w:val="18"/>
              </w:rPr>
              <w:t>Cash equivalents:</w:t>
            </w:r>
          </w:p>
        </w:tc>
        <w:tc>
          <w:tcPr>
            <w:tcW w:w="0" w:type="auto"/>
            <w:gridSpan w:val="3"/>
            <w:shd w:val="clear" w:color="auto" w:fill="auto"/>
            <w:tcMar>
              <w:left w:w="20" w:type="dxa"/>
              <w:right w:w="20" w:type="dxa"/>
            </w:tcMar>
            <w:vAlign w:val="bottom"/>
          </w:tcPr>
          <w:p w14:paraId="20AE17D9"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7DA"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7DB"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7DC"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7DD"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7DE"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7DF"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7E0"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7E1"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7E2"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7E3"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7E4"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7E5"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7E6"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7E7"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7E8" w14:textId="77777777" w:rsidR="00B626E7" w:rsidRDefault="00B626E7">
            <w:pPr>
              <w:rPr>
                <w:rFonts w:ascii="宋体"/>
              </w:rPr>
            </w:pPr>
          </w:p>
        </w:tc>
        <w:tc>
          <w:tcPr>
            <w:tcW w:w="0" w:type="auto"/>
            <w:shd w:val="clear" w:color="auto" w:fill="auto"/>
          </w:tcPr>
          <w:p w14:paraId="20AE17E9" w14:textId="77777777" w:rsidR="00B626E7" w:rsidRDefault="00B626E7">
            <w:pPr>
              <w:rPr>
                <w:rFonts w:ascii="宋体"/>
              </w:rPr>
            </w:pPr>
          </w:p>
        </w:tc>
        <w:tc>
          <w:tcPr>
            <w:tcW w:w="0" w:type="auto"/>
            <w:shd w:val="clear" w:color="auto" w:fill="auto"/>
          </w:tcPr>
          <w:p w14:paraId="20AE17EA" w14:textId="77777777" w:rsidR="00B626E7" w:rsidRDefault="00B626E7">
            <w:pPr>
              <w:rPr>
                <w:rFonts w:ascii="宋体"/>
              </w:rPr>
            </w:pPr>
          </w:p>
        </w:tc>
        <w:tc>
          <w:tcPr>
            <w:tcW w:w="0" w:type="auto"/>
            <w:shd w:val="clear" w:color="auto" w:fill="auto"/>
          </w:tcPr>
          <w:p w14:paraId="20AE17EB" w14:textId="77777777" w:rsidR="00B626E7" w:rsidRDefault="00B626E7">
            <w:pPr>
              <w:rPr>
                <w:rFonts w:ascii="宋体"/>
              </w:rPr>
            </w:pPr>
          </w:p>
        </w:tc>
        <w:tc>
          <w:tcPr>
            <w:tcW w:w="0" w:type="auto"/>
            <w:shd w:val="clear" w:color="auto" w:fill="auto"/>
          </w:tcPr>
          <w:p w14:paraId="20AE17EC" w14:textId="77777777" w:rsidR="00B626E7" w:rsidRDefault="00B626E7">
            <w:pPr>
              <w:rPr>
                <w:rFonts w:ascii="宋体"/>
              </w:rPr>
            </w:pPr>
          </w:p>
        </w:tc>
        <w:tc>
          <w:tcPr>
            <w:tcW w:w="0" w:type="auto"/>
            <w:shd w:val="clear" w:color="auto" w:fill="auto"/>
          </w:tcPr>
          <w:p w14:paraId="20AE17ED" w14:textId="77777777" w:rsidR="00B626E7" w:rsidRDefault="00B626E7">
            <w:pPr>
              <w:rPr>
                <w:rFonts w:ascii="宋体"/>
              </w:rPr>
            </w:pPr>
          </w:p>
        </w:tc>
        <w:tc>
          <w:tcPr>
            <w:tcW w:w="0" w:type="auto"/>
            <w:shd w:val="clear" w:color="auto" w:fill="auto"/>
          </w:tcPr>
          <w:p w14:paraId="20AE17EE" w14:textId="77777777" w:rsidR="00B626E7" w:rsidRDefault="00B626E7">
            <w:pPr>
              <w:rPr>
                <w:rFonts w:ascii="宋体"/>
              </w:rPr>
            </w:pPr>
          </w:p>
        </w:tc>
        <w:tc>
          <w:tcPr>
            <w:tcW w:w="0" w:type="auto"/>
            <w:shd w:val="clear" w:color="auto" w:fill="auto"/>
          </w:tcPr>
          <w:p w14:paraId="20AE17EF" w14:textId="77777777" w:rsidR="00B626E7" w:rsidRDefault="00B626E7">
            <w:pPr>
              <w:rPr>
                <w:rFonts w:ascii="宋体"/>
              </w:rPr>
            </w:pPr>
          </w:p>
        </w:tc>
        <w:tc>
          <w:tcPr>
            <w:tcW w:w="0" w:type="auto"/>
            <w:shd w:val="clear" w:color="auto" w:fill="auto"/>
          </w:tcPr>
          <w:p w14:paraId="20AE17F0" w14:textId="77777777" w:rsidR="00B626E7" w:rsidRDefault="00B626E7">
            <w:pPr>
              <w:rPr>
                <w:rFonts w:ascii="宋体"/>
              </w:rPr>
            </w:pPr>
          </w:p>
        </w:tc>
        <w:tc>
          <w:tcPr>
            <w:tcW w:w="0" w:type="auto"/>
            <w:shd w:val="clear" w:color="auto" w:fill="auto"/>
          </w:tcPr>
          <w:p w14:paraId="20AE17F1" w14:textId="77777777" w:rsidR="00B626E7" w:rsidRDefault="00B626E7">
            <w:pPr>
              <w:rPr>
                <w:rFonts w:ascii="宋体"/>
              </w:rPr>
            </w:pPr>
          </w:p>
        </w:tc>
        <w:tc>
          <w:tcPr>
            <w:tcW w:w="0" w:type="auto"/>
            <w:shd w:val="clear" w:color="auto" w:fill="auto"/>
          </w:tcPr>
          <w:p w14:paraId="20AE17F2" w14:textId="77777777" w:rsidR="00B626E7" w:rsidRDefault="00B626E7">
            <w:pPr>
              <w:rPr>
                <w:rFonts w:ascii="宋体"/>
              </w:rPr>
            </w:pPr>
          </w:p>
        </w:tc>
        <w:tc>
          <w:tcPr>
            <w:tcW w:w="0" w:type="auto"/>
            <w:shd w:val="clear" w:color="auto" w:fill="auto"/>
          </w:tcPr>
          <w:p w14:paraId="20AE17F3" w14:textId="77777777" w:rsidR="00B626E7" w:rsidRDefault="00B626E7">
            <w:pPr>
              <w:rPr>
                <w:rFonts w:ascii="宋体"/>
              </w:rPr>
            </w:pPr>
          </w:p>
        </w:tc>
        <w:tc>
          <w:tcPr>
            <w:tcW w:w="0" w:type="auto"/>
            <w:shd w:val="clear" w:color="auto" w:fill="auto"/>
          </w:tcPr>
          <w:p w14:paraId="20AE17F4" w14:textId="77777777" w:rsidR="00B626E7" w:rsidRDefault="00B626E7">
            <w:pPr>
              <w:rPr>
                <w:rFonts w:ascii="宋体"/>
              </w:rPr>
            </w:pPr>
          </w:p>
        </w:tc>
      </w:tr>
      <w:tr w:rsidR="00B626E7" w14:paraId="20AE1823" w14:textId="77777777">
        <w:tc>
          <w:tcPr>
            <w:tcW w:w="0" w:type="auto"/>
            <w:gridSpan w:val="3"/>
            <w:shd w:val="clear" w:color="auto" w:fill="auto"/>
            <w:tcMar>
              <w:top w:w="40" w:type="dxa"/>
              <w:left w:w="120" w:type="dxa"/>
              <w:bottom w:w="40" w:type="dxa"/>
              <w:right w:w="20" w:type="dxa"/>
            </w:tcMar>
          </w:tcPr>
          <w:p w14:paraId="20AE17F6" w14:textId="77777777" w:rsidR="00B626E7" w:rsidRDefault="00175C1D">
            <w:pPr>
              <w:textAlignment w:val="top"/>
            </w:pPr>
            <w:r>
              <w:rPr>
                <w:rFonts w:ascii="Arial" w:eastAsia="宋体" w:hAnsi="Arial" w:cs="Arial"/>
                <w:color w:val="333333"/>
                <w:sz w:val="18"/>
                <w:szCs w:val="18"/>
              </w:rPr>
              <w:t>Corporate debt</w:t>
            </w:r>
          </w:p>
        </w:tc>
        <w:tc>
          <w:tcPr>
            <w:tcW w:w="0" w:type="auto"/>
            <w:gridSpan w:val="3"/>
            <w:shd w:val="clear" w:color="auto" w:fill="auto"/>
            <w:tcMar>
              <w:left w:w="20" w:type="dxa"/>
              <w:right w:w="20" w:type="dxa"/>
            </w:tcMar>
            <w:vAlign w:val="bottom"/>
          </w:tcPr>
          <w:p w14:paraId="20AE17F7"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17F8" w14:textId="77777777" w:rsidR="00B626E7" w:rsidRDefault="00175C1D">
            <w:pPr>
              <w:textAlignment w:val="bottom"/>
            </w:pPr>
            <w:r>
              <w:rPr>
                <w:rFonts w:ascii="Arial" w:eastAsia="宋体" w:hAnsi="Arial" w:cs="Arial"/>
                <w:color w:val="026DCE"/>
                <w:sz w:val="18"/>
                <w:szCs w:val="18"/>
              </w:rPr>
              <w:t>$</w:t>
            </w:r>
          </w:p>
        </w:tc>
        <w:tc>
          <w:tcPr>
            <w:tcW w:w="0" w:type="auto"/>
            <w:shd w:val="clear" w:color="auto" w:fill="auto"/>
            <w:tcMar>
              <w:top w:w="40" w:type="dxa"/>
              <w:bottom w:w="40" w:type="dxa"/>
              <w:right w:w="0" w:type="dxa"/>
            </w:tcMar>
            <w:vAlign w:val="bottom"/>
          </w:tcPr>
          <w:p w14:paraId="20AE17F9" w14:textId="77777777" w:rsidR="00B626E7" w:rsidRDefault="00175C1D">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20AE17FA"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7FB"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17FC" w14:textId="77777777" w:rsidR="00B626E7" w:rsidRDefault="00175C1D">
            <w:pPr>
              <w:textAlignment w:val="bottom"/>
            </w:pPr>
            <w:r>
              <w:rPr>
                <w:rFonts w:ascii="Arial" w:eastAsia="宋体" w:hAnsi="Arial" w:cs="Arial"/>
                <w:color w:val="026DCE"/>
                <w:sz w:val="18"/>
                <w:szCs w:val="18"/>
              </w:rPr>
              <w:t>$</w:t>
            </w:r>
          </w:p>
        </w:tc>
        <w:tc>
          <w:tcPr>
            <w:tcW w:w="0" w:type="auto"/>
            <w:shd w:val="clear" w:color="auto" w:fill="auto"/>
            <w:tcMar>
              <w:top w:w="40" w:type="dxa"/>
              <w:bottom w:w="40" w:type="dxa"/>
              <w:right w:w="0" w:type="dxa"/>
            </w:tcMar>
            <w:vAlign w:val="bottom"/>
          </w:tcPr>
          <w:p w14:paraId="20AE17FD" w14:textId="77777777" w:rsidR="00B626E7" w:rsidRDefault="00175C1D">
            <w:pPr>
              <w:jc w:val="right"/>
              <w:textAlignment w:val="bottom"/>
            </w:pPr>
            <w:r>
              <w:rPr>
                <w:rFonts w:ascii="Arial" w:eastAsia="宋体" w:hAnsi="Arial" w:cs="Arial"/>
                <w:color w:val="026DCE"/>
                <w:sz w:val="18"/>
                <w:szCs w:val="18"/>
              </w:rPr>
              <w:t>715 </w:t>
            </w:r>
          </w:p>
        </w:tc>
        <w:tc>
          <w:tcPr>
            <w:tcW w:w="0" w:type="auto"/>
            <w:shd w:val="clear" w:color="auto" w:fill="auto"/>
            <w:tcMar>
              <w:top w:w="40" w:type="dxa"/>
              <w:bottom w:w="40" w:type="dxa"/>
              <w:right w:w="20" w:type="dxa"/>
            </w:tcMar>
            <w:vAlign w:val="bottom"/>
          </w:tcPr>
          <w:p w14:paraId="20AE17FE"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7FF"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1800" w14:textId="77777777" w:rsidR="00B626E7" w:rsidRDefault="00175C1D">
            <w:pPr>
              <w:textAlignment w:val="bottom"/>
            </w:pPr>
            <w:r>
              <w:rPr>
                <w:rFonts w:ascii="Arial" w:eastAsia="宋体" w:hAnsi="Arial" w:cs="Arial"/>
                <w:color w:val="026DCE"/>
                <w:sz w:val="18"/>
                <w:szCs w:val="18"/>
              </w:rPr>
              <w:t>$</w:t>
            </w:r>
          </w:p>
        </w:tc>
        <w:tc>
          <w:tcPr>
            <w:tcW w:w="0" w:type="auto"/>
            <w:shd w:val="clear" w:color="auto" w:fill="auto"/>
            <w:tcMar>
              <w:top w:w="40" w:type="dxa"/>
              <w:bottom w:w="40" w:type="dxa"/>
              <w:right w:w="0" w:type="dxa"/>
            </w:tcMar>
            <w:vAlign w:val="bottom"/>
          </w:tcPr>
          <w:p w14:paraId="20AE1801" w14:textId="77777777" w:rsidR="00B626E7" w:rsidRDefault="00175C1D">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20AE1802"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803"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1804" w14:textId="77777777" w:rsidR="00B626E7" w:rsidRDefault="00175C1D">
            <w:pPr>
              <w:textAlignment w:val="bottom"/>
            </w:pPr>
            <w:r>
              <w:rPr>
                <w:rFonts w:ascii="Arial" w:eastAsia="宋体" w:hAnsi="Arial" w:cs="Arial"/>
                <w:color w:val="026DCE"/>
                <w:sz w:val="18"/>
                <w:szCs w:val="18"/>
              </w:rPr>
              <w:t>$</w:t>
            </w:r>
          </w:p>
        </w:tc>
        <w:tc>
          <w:tcPr>
            <w:tcW w:w="0" w:type="auto"/>
            <w:shd w:val="clear" w:color="auto" w:fill="auto"/>
            <w:tcMar>
              <w:top w:w="40" w:type="dxa"/>
              <w:bottom w:w="40" w:type="dxa"/>
              <w:right w:w="0" w:type="dxa"/>
            </w:tcMar>
            <w:vAlign w:val="bottom"/>
          </w:tcPr>
          <w:p w14:paraId="20AE1805" w14:textId="77777777" w:rsidR="00B626E7" w:rsidRDefault="00175C1D">
            <w:pPr>
              <w:jc w:val="right"/>
              <w:textAlignment w:val="bottom"/>
            </w:pPr>
            <w:r>
              <w:rPr>
                <w:rFonts w:ascii="Arial" w:eastAsia="宋体" w:hAnsi="Arial" w:cs="Arial"/>
                <w:color w:val="026DCE"/>
                <w:sz w:val="18"/>
                <w:szCs w:val="18"/>
              </w:rPr>
              <w:t>715 </w:t>
            </w:r>
          </w:p>
        </w:tc>
        <w:tc>
          <w:tcPr>
            <w:tcW w:w="0" w:type="auto"/>
            <w:shd w:val="clear" w:color="auto" w:fill="auto"/>
            <w:tcMar>
              <w:top w:w="40" w:type="dxa"/>
              <w:bottom w:w="40" w:type="dxa"/>
              <w:right w:w="20" w:type="dxa"/>
            </w:tcMar>
            <w:vAlign w:val="bottom"/>
          </w:tcPr>
          <w:p w14:paraId="20AE1806"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807"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1808" w14:textId="77777777" w:rsidR="00B626E7" w:rsidRDefault="00175C1D">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20AE1809"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180A"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80B"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180C" w14:textId="77777777" w:rsidR="00B626E7" w:rsidRDefault="00175C1D">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20AE180D" w14:textId="77777777" w:rsidR="00B626E7" w:rsidRDefault="00175C1D">
            <w:pPr>
              <w:jc w:val="right"/>
              <w:textAlignment w:val="bottom"/>
            </w:pPr>
            <w:r>
              <w:rPr>
                <w:rFonts w:ascii="Arial" w:eastAsia="宋体" w:hAnsi="Arial" w:cs="Arial"/>
                <w:color w:val="333333"/>
                <w:sz w:val="18"/>
                <w:szCs w:val="18"/>
              </w:rPr>
              <w:t>713 </w:t>
            </w:r>
          </w:p>
        </w:tc>
        <w:tc>
          <w:tcPr>
            <w:tcW w:w="0" w:type="auto"/>
            <w:shd w:val="clear" w:color="auto" w:fill="auto"/>
            <w:tcMar>
              <w:top w:w="40" w:type="dxa"/>
              <w:bottom w:w="40" w:type="dxa"/>
              <w:right w:w="20" w:type="dxa"/>
            </w:tcMar>
            <w:vAlign w:val="bottom"/>
          </w:tcPr>
          <w:p w14:paraId="20AE180E"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80F"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1810" w14:textId="77777777" w:rsidR="00B626E7" w:rsidRDefault="00175C1D">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20AE1811"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1812"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813"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1814" w14:textId="77777777" w:rsidR="00B626E7" w:rsidRDefault="00175C1D">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20AE1815" w14:textId="77777777" w:rsidR="00B626E7" w:rsidRDefault="00175C1D">
            <w:pPr>
              <w:jc w:val="right"/>
              <w:textAlignment w:val="bottom"/>
            </w:pPr>
            <w:r>
              <w:rPr>
                <w:rFonts w:ascii="Arial" w:eastAsia="宋体" w:hAnsi="Arial" w:cs="Arial"/>
                <w:color w:val="333333"/>
                <w:sz w:val="18"/>
                <w:szCs w:val="18"/>
              </w:rPr>
              <w:t>713 </w:t>
            </w:r>
          </w:p>
        </w:tc>
        <w:tc>
          <w:tcPr>
            <w:tcW w:w="0" w:type="auto"/>
            <w:shd w:val="clear" w:color="auto" w:fill="auto"/>
            <w:tcMar>
              <w:top w:w="40" w:type="dxa"/>
              <w:bottom w:w="40" w:type="dxa"/>
              <w:right w:w="20" w:type="dxa"/>
            </w:tcMar>
            <w:vAlign w:val="bottom"/>
          </w:tcPr>
          <w:p w14:paraId="20AE1816"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817" w14:textId="77777777" w:rsidR="00B626E7" w:rsidRDefault="00B626E7">
            <w:pPr>
              <w:rPr>
                <w:rFonts w:ascii="宋体"/>
              </w:rPr>
            </w:pPr>
          </w:p>
        </w:tc>
        <w:tc>
          <w:tcPr>
            <w:tcW w:w="0" w:type="auto"/>
            <w:shd w:val="clear" w:color="auto" w:fill="auto"/>
          </w:tcPr>
          <w:p w14:paraId="20AE1818" w14:textId="77777777" w:rsidR="00B626E7" w:rsidRDefault="00B626E7">
            <w:pPr>
              <w:rPr>
                <w:rFonts w:ascii="宋体"/>
              </w:rPr>
            </w:pPr>
          </w:p>
        </w:tc>
        <w:tc>
          <w:tcPr>
            <w:tcW w:w="0" w:type="auto"/>
            <w:shd w:val="clear" w:color="auto" w:fill="auto"/>
          </w:tcPr>
          <w:p w14:paraId="20AE1819" w14:textId="77777777" w:rsidR="00B626E7" w:rsidRDefault="00B626E7">
            <w:pPr>
              <w:rPr>
                <w:rFonts w:ascii="宋体"/>
              </w:rPr>
            </w:pPr>
          </w:p>
        </w:tc>
        <w:tc>
          <w:tcPr>
            <w:tcW w:w="0" w:type="auto"/>
            <w:shd w:val="clear" w:color="auto" w:fill="auto"/>
          </w:tcPr>
          <w:p w14:paraId="20AE181A" w14:textId="77777777" w:rsidR="00B626E7" w:rsidRDefault="00B626E7">
            <w:pPr>
              <w:rPr>
                <w:rFonts w:ascii="宋体"/>
              </w:rPr>
            </w:pPr>
          </w:p>
        </w:tc>
        <w:tc>
          <w:tcPr>
            <w:tcW w:w="0" w:type="auto"/>
            <w:shd w:val="clear" w:color="auto" w:fill="auto"/>
          </w:tcPr>
          <w:p w14:paraId="20AE181B" w14:textId="77777777" w:rsidR="00B626E7" w:rsidRDefault="00B626E7">
            <w:pPr>
              <w:rPr>
                <w:rFonts w:ascii="宋体"/>
              </w:rPr>
            </w:pPr>
          </w:p>
        </w:tc>
        <w:tc>
          <w:tcPr>
            <w:tcW w:w="0" w:type="auto"/>
            <w:shd w:val="clear" w:color="auto" w:fill="auto"/>
          </w:tcPr>
          <w:p w14:paraId="20AE181C" w14:textId="77777777" w:rsidR="00B626E7" w:rsidRDefault="00B626E7">
            <w:pPr>
              <w:rPr>
                <w:rFonts w:ascii="宋体"/>
              </w:rPr>
            </w:pPr>
          </w:p>
        </w:tc>
        <w:tc>
          <w:tcPr>
            <w:tcW w:w="0" w:type="auto"/>
            <w:shd w:val="clear" w:color="auto" w:fill="auto"/>
          </w:tcPr>
          <w:p w14:paraId="20AE181D" w14:textId="77777777" w:rsidR="00B626E7" w:rsidRDefault="00B626E7">
            <w:pPr>
              <w:rPr>
                <w:rFonts w:ascii="宋体"/>
              </w:rPr>
            </w:pPr>
          </w:p>
        </w:tc>
        <w:tc>
          <w:tcPr>
            <w:tcW w:w="0" w:type="auto"/>
            <w:shd w:val="clear" w:color="auto" w:fill="auto"/>
          </w:tcPr>
          <w:p w14:paraId="20AE181E" w14:textId="77777777" w:rsidR="00B626E7" w:rsidRDefault="00B626E7">
            <w:pPr>
              <w:rPr>
                <w:rFonts w:ascii="宋体"/>
              </w:rPr>
            </w:pPr>
          </w:p>
        </w:tc>
        <w:tc>
          <w:tcPr>
            <w:tcW w:w="0" w:type="auto"/>
            <w:shd w:val="clear" w:color="auto" w:fill="auto"/>
          </w:tcPr>
          <w:p w14:paraId="20AE181F" w14:textId="77777777" w:rsidR="00B626E7" w:rsidRDefault="00B626E7">
            <w:pPr>
              <w:rPr>
                <w:rFonts w:ascii="宋体"/>
              </w:rPr>
            </w:pPr>
          </w:p>
        </w:tc>
        <w:tc>
          <w:tcPr>
            <w:tcW w:w="0" w:type="auto"/>
            <w:shd w:val="clear" w:color="auto" w:fill="auto"/>
          </w:tcPr>
          <w:p w14:paraId="20AE1820" w14:textId="77777777" w:rsidR="00B626E7" w:rsidRDefault="00B626E7">
            <w:pPr>
              <w:rPr>
                <w:rFonts w:ascii="宋体"/>
              </w:rPr>
            </w:pPr>
          </w:p>
        </w:tc>
        <w:tc>
          <w:tcPr>
            <w:tcW w:w="0" w:type="auto"/>
            <w:shd w:val="clear" w:color="auto" w:fill="auto"/>
          </w:tcPr>
          <w:p w14:paraId="20AE1821" w14:textId="77777777" w:rsidR="00B626E7" w:rsidRDefault="00B626E7">
            <w:pPr>
              <w:rPr>
                <w:rFonts w:ascii="宋体"/>
              </w:rPr>
            </w:pPr>
          </w:p>
        </w:tc>
        <w:tc>
          <w:tcPr>
            <w:tcW w:w="0" w:type="auto"/>
            <w:shd w:val="clear" w:color="auto" w:fill="auto"/>
          </w:tcPr>
          <w:p w14:paraId="20AE1822" w14:textId="77777777" w:rsidR="00B626E7" w:rsidRDefault="00B626E7">
            <w:pPr>
              <w:rPr>
                <w:rFonts w:ascii="宋体"/>
              </w:rPr>
            </w:pPr>
          </w:p>
        </w:tc>
      </w:tr>
      <w:tr w:rsidR="00B626E7" w14:paraId="20AE1849" w14:textId="77777777">
        <w:tc>
          <w:tcPr>
            <w:tcW w:w="0" w:type="auto"/>
            <w:gridSpan w:val="3"/>
            <w:shd w:val="clear" w:color="auto" w:fill="auto"/>
            <w:tcMar>
              <w:top w:w="40" w:type="dxa"/>
              <w:left w:w="120" w:type="dxa"/>
              <w:bottom w:w="40" w:type="dxa"/>
              <w:right w:w="20" w:type="dxa"/>
            </w:tcMar>
          </w:tcPr>
          <w:p w14:paraId="20AE1824" w14:textId="77777777" w:rsidR="00B626E7" w:rsidRDefault="00175C1D">
            <w:pPr>
              <w:textAlignment w:val="top"/>
            </w:pPr>
            <w:r>
              <w:rPr>
                <w:rFonts w:ascii="Arial" w:eastAsia="宋体" w:hAnsi="Arial" w:cs="Arial"/>
                <w:color w:val="333333"/>
                <w:sz w:val="18"/>
                <w:szCs w:val="18"/>
              </w:rPr>
              <w:t>Financial institution instruments¹</w:t>
            </w:r>
          </w:p>
        </w:tc>
        <w:tc>
          <w:tcPr>
            <w:tcW w:w="0" w:type="auto"/>
            <w:gridSpan w:val="3"/>
            <w:shd w:val="clear" w:color="auto" w:fill="auto"/>
            <w:tcMar>
              <w:left w:w="20" w:type="dxa"/>
              <w:right w:w="20" w:type="dxa"/>
            </w:tcMar>
            <w:vAlign w:val="bottom"/>
          </w:tcPr>
          <w:p w14:paraId="20AE1825"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826" w14:textId="77777777" w:rsidR="00B626E7" w:rsidRDefault="00175C1D">
            <w:pPr>
              <w:jc w:val="right"/>
              <w:textAlignment w:val="bottom"/>
            </w:pPr>
            <w:r>
              <w:rPr>
                <w:rFonts w:ascii="Arial" w:eastAsia="宋体" w:hAnsi="Arial" w:cs="Arial"/>
                <w:color w:val="026DCE"/>
                <w:sz w:val="18"/>
                <w:szCs w:val="18"/>
              </w:rPr>
              <w:t>3,870 </w:t>
            </w:r>
          </w:p>
        </w:tc>
        <w:tc>
          <w:tcPr>
            <w:tcW w:w="0" w:type="auto"/>
            <w:shd w:val="clear" w:color="auto" w:fill="auto"/>
            <w:tcMar>
              <w:top w:w="40" w:type="dxa"/>
              <w:bottom w:w="40" w:type="dxa"/>
              <w:right w:w="20" w:type="dxa"/>
            </w:tcMar>
            <w:vAlign w:val="bottom"/>
          </w:tcPr>
          <w:p w14:paraId="20AE1827"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828"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829" w14:textId="77777777" w:rsidR="00B626E7" w:rsidRDefault="00175C1D">
            <w:pPr>
              <w:jc w:val="right"/>
              <w:textAlignment w:val="bottom"/>
            </w:pPr>
            <w:r>
              <w:rPr>
                <w:rFonts w:ascii="Arial" w:eastAsia="宋体" w:hAnsi="Arial" w:cs="Arial"/>
                <w:color w:val="026DCE"/>
                <w:sz w:val="18"/>
                <w:szCs w:val="18"/>
              </w:rPr>
              <w:t>1,591 </w:t>
            </w:r>
          </w:p>
        </w:tc>
        <w:tc>
          <w:tcPr>
            <w:tcW w:w="0" w:type="auto"/>
            <w:shd w:val="clear" w:color="auto" w:fill="auto"/>
            <w:tcMar>
              <w:top w:w="40" w:type="dxa"/>
              <w:bottom w:w="40" w:type="dxa"/>
              <w:right w:w="20" w:type="dxa"/>
            </w:tcMar>
            <w:vAlign w:val="bottom"/>
          </w:tcPr>
          <w:p w14:paraId="20AE182A"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82B"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82C" w14:textId="77777777" w:rsidR="00B626E7" w:rsidRDefault="00175C1D">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20AE182D"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82E"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82F" w14:textId="77777777" w:rsidR="00B626E7" w:rsidRDefault="00175C1D">
            <w:pPr>
              <w:jc w:val="right"/>
              <w:textAlignment w:val="bottom"/>
            </w:pPr>
            <w:r>
              <w:rPr>
                <w:rFonts w:ascii="Arial" w:eastAsia="宋体" w:hAnsi="Arial" w:cs="Arial"/>
                <w:color w:val="026DCE"/>
                <w:sz w:val="18"/>
                <w:szCs w:val="18"/>
              </w:rPr>
              <w:t>5,461 </w:t>
            </w:r>
          </w:p>
        </w:tc>
        <w:tc>
          <w:tcPr>
            <w:tcW w:w="0" w:type="auto"/>
            <w:shd w:val="clear" w:color="auto" w:fill="auto"/>
            <w:tcMar>
              <w:top w:w="40" w:type="dxa"/>
              <w:bottom w:w="40" w:type="dxa"/>
              <w:right w:w="20" w:type="dxa"/>
            </w:tcMar>
            <w:vAlign w:val="bottom"/>
          </w:tcPr>
          <w:p w14:paraId="20AE1830"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831"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832" w14:textId="77777777" w:rsidR="00B626E7" w:rsidRDefault="00175C1D">
            <w:pPr>
              <w:jc w:val="right"/>
              <w:textAlignment w:val="bottom"/>
            </w:pPr>
            <w:r>
              <w:rPr>
                <w:rFonts w:ascii="Arial" w:eastAsia="宋体" w:hAnsi="Arial" w:cs="Arial"/>
                <w:color w:val="333333"/>
                <w:sz w:val="18"/>
                <w:szCs w:val="18"/>
              </w:rPr>
              <w:t>1,064 </w:t>
            </w:r>
          </w:p>
        </w:tc>
        <w:tc>
          <w:tcPr>
            <w:tcW w:w="0" w:type="auto"/>
            <w:shd w:val="clear" w:color="auto" w:fill="auto"/>
            <w:tcMar>
              <w:top w:w="40" w:type="dxa"/>
              <w:bottom w:w="40" w:type="dxa"/>
              <w:right w:w="20" w:type="dxa"/>
            </w:tcMar>
            <w:vAlign w:val="bottom"/>
          </w:tcPr>
          <w:p w14:paraId="20AE1833"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834"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835" w14:textId="77777777" w:rsidR="00B626E7" w:rsidRDefault="00175C1D">
            <w:pPr>
              <w:jc w:val="right"/>
              <w:textAlignment w:val="bottom"/>
            </w:pPr>
            <w:r>
              <w:rPr>
                <w:rFonts w:ascii="Arial" w:eastAsia="宋体" w:hAnsi="Arial" w:cs="Arial"/>
                <w:color w:val="333333"/>
                <w:sz w:val="18"/>
                <w:szCs w:val="18"/>
              </w:rPr>
              <w:t>408 </w:t>
            </w:r>
          </w:p>
        </w:tc>
        <w:tc>
          <w:tcPr>
            <w:tcW w:w="0" w:type="auto"/>
            <w:shd w:val="clear" w:color="auto" w:fill="auto"/>
            <w:tcMar>
              <w:top w:w="40" w:type="dxa"/>
              <w:bottom w:w="40" w:type="dxa"/>
              <w:right w:w="20" w:type="dxa"/>
            </w:tcMar>
            <w:vAlign w:val="bottom"/>
          </w:tcPr>
          <w:p w14:paraId="20AE1836"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837"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838"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1839"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83A"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83B" w14:textId="77777777" w:rsidR="00B626E7" w:rsidRDefault="00175C1D">
            <w:pPr>
              <w:jc w:val="right"/>
              <w:textAlignment w:val="bottom"/>
            </w:pPr>
            <w:r>
              <w:rPr>
                <w:rFonts w:ascii="Arial" w:eastAsia="宋体" w:hAnsi="Arial" w:cs="Arial"/>
                <w:color w:val="333333"/>
                <w:sz w:val="18"/>
                <w:szCs w:val="18"/>
              </w:rPr>
              <w:t>1,472 </w:t>
            </w:r>
          </w:p>
        </w:tc>
        <w:tc>
          <w:tcPr>
            <w:tcW w:w="0" w:type="auto"/>
            <w:shd w:val="clear" w:color="auto" w:fill="auto"/>
            <w:tcMar>
              <w:top w:w="40" w:type="dxa"/>
              <w:bottom w:w="40" w:type="dxa"/>
              <w:right w:w="20" w:type="dxa"/>
            </w:tcMar>
            <w:vAlign w:val="bottom"/>
          </w:tcPr>
          <w:p w14:paraId="20AE183C"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83D" w14:textId="77777777" w:rsidR="00B626E7" w:rsidRDefault="00B626E7">
            <w:pPr>
              <w:rPr>
                <w:rFonts w:ascii="宋体"/>
              </w:rPr>
            </w:pPr>
          </w:p>
        </w:tc>
        <w:tc>
          <w:tcPr>
            <w:tcW w:w="0" w:type="auto"/>
            <w:shd w:val="clear" w:color="auto" w:fill="auto"/>
          </w:tcPr>
          <w:p w14:paraId="20AE183E" w14:textId="77777777" w:rsidR="00B626E7" w:rsidRDefault="00B626E7">
            <w:pPr>
              <w:rPr>
                <w:rFonts w:ascii="宋体"/>
              </w:rPr>
            </w:pPr>
          </w:p>
        </w:tc>
        <w:tc>
          <w:tcPr>
            <w:tcW w:w="0" w:type="auto"/>
            <w:shd w:val="clear" w:color="auto" w:fill="auto"/>
          </w:tcPr>
          <w:p w14:paraId="20AE183F" w14:textId="77777777" w:rsidR="00B626E7" w:rsidRDefault="00B626E7">
            <w:pPr>
              <w:rPr>
                <w:rFonts w:ascii="宋体"/>
              </w:rPr>
            </w:pPr>
          </w:p>
        </w:tc>
        <w:tc>
          <w:tcPr>
            <w:tcW w:w="0" w:type="auto"/>
            <w:shd w:val="clear" w:color="auto" w:fill="auto"/>
          </w:tcPr>
          <w:p w14:paraId="20AE1840" w14:textId="77777777" w:rsidR="00B626E7" w:rsidRDefault="00B626E7">
            <w:pPr>
              <w:rPr>
                <w:rFonts w:ascii="宋体"/>
              </w:rPr>
            </w:pPr>
          </w:p>
        </w:tc>
        <w:tc>
          <w:tcPr>
            <w:tcW w:w="0" w:type="auto"/>
            <w:shd w:val="clear" w:color="auto" w:fill="auto"/>
          </w:tcPr>
          <w:p w14:paraId="20AE1841" w14:textId="77777777" w:rsidR="00B626E7" w:rsidRDefault="00B626E7">
            <w:pPr>
              <w:rPr>
                <w:rFonts w:ascii="宋体"/>
              </w:rPr>
            </w:pPr>
          </w:p>
        </w:tc>
        <w:tc>
          <w:tcPr>
            <w:tcW w:w="0" w:type="auto"/>
            <w:shd w:val="clear" w:color="auto" w:fill="auto"/>
          </w:tcPr>
          <w:p w14:paraId="20AE1842" w14:textId="77777777" w:rsidR="00B626E7" w:rsidRDefault="00B626E7">
            <w:pPr>
              <w:rPr>
                <w:rFonts w:ascii="宋体"/>
              </w:rPr>
            </w:pPr>
          </w:p>
        </w:tc>
        <w:tc>
          <w:tcPr>
            <w:tcW w:w="0" w:type="auto"/>
            <w:shd w:val="clear" w:color="auto" w:fill="auto"/>
          </w:tcPr>
          <w:p w14:paraId="20AE1843" w14:textId="77777777" w:rsidR="00B626E7" w:rsidRDefault="00B626E7">
            <w:pPr>
              <w:rPr>
                <w:rFonts w:ascii="宋体"/>
              </w:rPr>
            </w:pPr>
          </w:p>
        </w:tc>
        <w:tc>
          <w:tcPr>
            <w:tcW w:w="0" w:type="auto"/>
            <w:shd w:val="clear" w:color="auto" w:fill="auto"/>
          </w:tcPr>
          <w:p w14:paraId="20AE1844" w14:textId="77777777" w:rsidR="00B626E7" w:rsidRDefault="00B626E7">
            <w:pPr>
              <w:rPr>
                <w:rFonts w:ascii="宋体"/>
              </w:rPr>
            </w:pPr>
          </w:p>
        </w:tc>
        <w:tc>
          <w:tcPr>
            <w:tcW w:w="0" w:type="auto"/>
            <w:shd w:val="clear" w:color="auto" w:fill="auto"/>
          </w:tcPr>
          <w:p w14:paraId="20AE1845" w14:textId="77777777" w:rsidR="00B626E7" w:rsidRDefault="00B626E7">
            <w:pPr>
              <w:rPr>
                <w:rFonts w:ascii="宋体"/>
              </w:rPr>
            </w:pPr>
          </w:p>
        </w:tc>
        <w:tc>
          <w:tcPr>
            <w:tcW w:w="0" w:type="auto"/>
            <w:shd w:val="clear" w:color="auto" w:fill="auto"/>
          </w:tcPr>
          <w:p w14:paraId="20AE1846" w14:textId="77777777" w:rsidR="00B626E7" w:rsidRDefault="00B626E7">
            <w:pPr>
              <w:rPr>
                <w:rFonts w:ascii="宋体"/>
              </w:rPr>
            </w:pPr>
          </w:p>
        </w:tc>
        <w:tc>
          <w:tcPr>
            <w:tcW w:w="0" w:type="auto"/>
            <w:shd w:val="clear" w:color="auto" w:fill="auto"/>
          </w:tcPr>
          <w:p w14:paraId="20AE1847" w14:textId="77777777" w:rsidR="00B626E7" w:rsidRDefault="00B626E7">
            <w:pPr>
              <w:rPr>
                <w:rFonts w:ascii="宋体"/>
              </w:rPr>
            </w:pPr>
          </w:p>
        </w:tc>
        <w:tc>
          <w:tcPr>
            <w:tcW w:w="0" w:type="auto"/>
            <w:shd w:val="clear" w:color="auto" w:fill="auto"/>
          </w:tcPr>
          <w:p w14:paraId="20AE1848" w14:textId="77777777" w:rsidR="00B626E7" w:rsidRDefault="00B626E7">
            <w:pPr>
              <w:rPr>
                <w:rFonts w:ascii="宋体"/>
              </w:rPr>
            </w:pPr>
          </w:p>
        </w:tc>
      </w:tr>
      <w:tr w:rsidR="00B626E7" w14:paraId="20AE186F" w14:textId="77777777">
        <w:tc>
          <w:tcPr>
            <w:tcW w:w="0" w:type="auto"/>
            <w:gridSpan w:val="3"/>
            <w:shd w:val="clear" w:color="auto" w:fill="auto"/>
            <w:tcMar>
              <w:top w:w="40" w:type="dxa"/>
              <w:left w:w="120" w:type="dxa"/>
              <w:bottom w:w="40" w:type="dxa"/>
              <w:right w:w="20" w:type="dxa"/>
            </w:tcMar>
          </w:tcPr>
          <w:p w14:paraId="20AE184A" w14:textId="77777777" w:rsidR="00B626E7" w:rsidRDefault="00175C1D">
            <w:pPr>
              <w:textAlignment w:val="top"/>
            </w:pPr>
            <w:r>
              <w:rPr>
                <w:rFonts w:ascii="Arial" w:eastAsia="宋体" w:hAnsi="Arial" w:cs="Arial"/>
                <w:color w:val="333333"/>
                <w:sz w:val="18"/>
                <w:szCs w:val="18"/>
              </w:rPr>
              <w:t>Government debt²</w:t>
            </w:r>
          </w:p>
        </w:tc>
        <w:tc>
          <w:tcPr>
            <w:tcW w:w="0" w:type="auto"/>
            <w:gridSpan w:val="3"/>
            <w:shd w:val="clear" w:color="auto" w:fill="auto"/>
            <w:tcMar>
              <w:left w:w="20" w:type="dxa"/>
              <w:right w:w="20" w:type="dxa"/>
            </w:tcMar>
            <w:vAlign w:val="bottom"/>
          </w:tcPr>
          <w:p w14:paraId="20AE184B"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84C" w14:textId="77777777" w:rsidR="00B626E7" w:rsidRDefault="00175C1D">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20AE184D"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84E"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84F" w14:textId="77777777" w:rsidR="00B626E7" w:rsidRDefault="00175C1D">
            <w:pPr>
              <w:jc w:val="right"/>
              <w:textAlignment w:val="bottom"/>
            </w:pPr>
            <w:r>
              <w:rPr>
                <w:rFonts w:ascii="Arial" w:eastAsia="宋体" w:hAnsi="Arial" w:cs="Arial"/>
                <w:color w:val="026DCE"/>
                <w:sz w:val="18"/>
                <w:szCs w:val="18"/>
              </w:rPr>
              <w:t>666 </w:t>
            </w:r>
          </w:p>
        </w:tc>
        <w:tc>
          <w:tcPr>
            <w:tcW w:w="0" w:type="auto"/>
            <w:shd w:val="clear" w:color="auto" w:fill="auto"/>
            <w:tcMar>
              <w:top w:w="40" w:type="dxa"/>
              <w:bottom w:w="40" w:type="dxa"/>
              <w:right w:w="20" w:type="dxa"/>
            </w:tcMar>
            <w:vAlign w:val="bottom"/>
          </w:tcPr>
          <w:p w14:paraId="20AE1850"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851"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852" w14:textId="77777777" w:rsidR="00B626E7" w:rsidRDefault="00175C1D">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20AE1853"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854"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855" w14:textId="77777777" w:rsidR="00B626E7" w:rsidRDefault="00175C1D">
            <w:pPr>
              <w:jc w:val="right"/>
              <w:textAlignment w:val="bottom"/>
            </w:pPr>
            <w:r>
              <w:rPr>
                <w:rFonts w:ascii="Arial" w:eastAsia="宋体" w:hAnsi="Arial" w:cs="Arial"/>
                <w:color w:val="026DCE"/>
                <w:sz w:val="18"/>
                <w:szCs w:val="18"/>
              </w:rPr>
              <w:t>666 </w:t>
            </w:r>
          </w:p>
        </w:tc>
        <w:tc>
          <w:tcPr>
            <w:tcW w:w="0" w:type="auto"/>
            <w:shd w:val="clear" w:color="auto" w:fill="auto"/>
            <w:tcMar>
              <w:top w:w="40" w:type="dxa"/>
              <w:bottom w:w="40" w:type="dxa"/>
              <w:right w:w="20" w:type="dxa"/>
            </w:tcMar>
            <w:vAlign w:val="bottom"/>
          </w:tcPr>
          <w:p w14:paraId="20AE1856"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857"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858"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1859"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85A"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85B"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185C"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85D"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85E"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185F"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860"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861"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1862"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863" w14:textId="77777777" w:rsidR="00B626E7" w:rsidRDefault="00B626E7">
            <w:pPr>
              <w:rPr>
                <w:rFonts w:ascii="宋体"/>
              </w:rPr>
            </w:pPr>
          </w:p>
        </w:tc>
        <w:tc>
          <w:tcPr>
            <w:tcW w:w="0" w:type="auto"/>
            <w:shd w:val="clear" w:color="auto" w:fill="auto"/>
          </w:tcPr>
          <w:p w14:paraId="20AE1864" w14:textId="77777777" w:rsidR="00B626E7" w:rsidRDefault="00B626E7">
            <w:pPr>
              <w:rPr>
                <w:rFonts w:ascii="宋体"/>
              </w:rPr>
            </w:pPr>
          </w:p>
        </w:tc>
        <w:tc>
          <w:tcPr>
            <w:tcW w:w="0" w:type="auto"/>
            <w:shd w:val="clear" w:color="auto" w:fill="auto"/>
          </w:tcPr>
          <w:p w14:paraId="20AE1865" w14:textId="77777777" w:rsidR="00B626E7" w:rsidRDefault="00B626E7">
            <w:pPr>
              <w:rPr>
                <w:rFonts w:ascii="宋体"/>
              </w:rPr>
            </w:pPr>
          </w:p>
        </w:tc>
        <w:tc>
          <w:tcPr>
            <w:tcW w:w="0" w:type="auto"/>
            <w:shd w:val="clear" w:color="auto" w:fill="auto"/>
          </w:tcPr>
          <w:p w14:paraId="20AE1866" w14:textId="77777777" w:rsidR="00B626E7" w:rsidRDefault="00B626E7">
            <w:pPr>
              <w:rPr>
                <w:rFonts w:ascii="宋体"/>
              </w:rPr>
            </w:pPr>
          </w:p>
        </w:tc>
        <w:tc>
          <w:tcPr>
            <w:tcW w:w="0" w:type="auto"/>
            <w:shd w:val="clear" w:color="auto" w:fill="auto"/>
          </w:tcPr>
          <w:p w14:paraId="20AE1867" w14:textId="77777777" w:rsidR="00B626E7" w:rsidRDefault="00B626E7">
            <w:pPr>
              <w:rPr>
                <w:rFonts w:ascii="宋体"/>
              </w:rPr>
            </w:pPr>
          </w:p>
        </w:tc>
        <w:tc>
          <w:tcPr>
            <w:tcW w:w="0" w:type="auto"/>
            <w:shd w:val="clear" w:color="auto" w:fill="auto"/>
          </w:tcPr>
          <w:p w14:paraId="20AE1868" w14:textId="77777777" w:rsidR="00B626E7" w:rsidRDefault="00B626E7">
            <w:pPr>
              <w:rPr>
                <w:rFonts w:ascii="宋体"/>
              </w:rPr>
            </w:pPr>
          </w:p>
        </w:tc>
        <w:tc>
          <w:tcPr>
            <w:tcW w:w="0" w:type="auto"/>
            <w:shd w:val="clear" w:color="auto" w:fill="auto"/>
          </w:tcPr>
          <w:p w14:paraId="20AE1869" w14:textId="77777777" w:rsidR="00B626E7" w:rsidRDefault="00B626E7">
            <w:pPr>
              <w:rPr>
                <w:rFonts w:ascii="宋体"/>
              </w:rPr>
            </w:pPr>
          </w:p>
        </w:tc>
        <w:tc>
          <w:tcPr>
            <w:tcW w:w="0" w:type="auto"/>
            <w:shd w:val="clear" w:color="auto" w:fill="auto"/>
          </w:tcPr>
          <w:p w14:paraId="20AE186A" w14:textId="77777777" w:rsidR="00B626E7" w:rsidRDefault="00B626E7">
            <w:pPr>
              <w:rPr>
                <w:rFonts w:ascii="宋体"/>
              </w:rPr>
            </w:pPr>
          </w:p>
        </w:tc>
        <w:tc>
          <w:tcPr>
            <w:tcW w:w="0" w:type="auto"/>
            <w:shd w:val="clear" w:color="auto" w:fill="auto"/>
          </w:tcPr>
          <w:p w14:paraId="20AE186B" w14:textId="77777777" w:rsidR="00B626E7" w:rsidRDefault="00B626E7">
            <w:pPr>
              <w:rPr>
                <w:rFonts w:ascii="宋体"/>
              </w:rPr>
            </w:pPr>
          </w:p>
        </w:tc>
        <w:tc>
          <w:tcPr>
            <w:tcW w:w="0" w:type="auto"/>
            <w:shd w:val="clear" w:color="auto" w:fill="auto"/>
          </w:tcPr>
          <w:p w14:paraId="20AE186C" w14:textId="77777777" w:rsidR="00B626E7" w:rsidRDefault="00B626E7">
            <w:pPr>
              <w:rPr>
                <w:rFonts w:ascii="宋体"/>
              </w:rPr>
            </w:pPr>
          </w:p>
        </w:tc>
        <w:tc>
          <w:tcPr>
            <w:tcW w:w="0" w:type="auto"/>
            <w:shd w:val="clear" w:color="auto" w:fill="auto"/>
          </w:tcPr>
          <w:p w14:paraId="20AE186D" w14:textId="77777777" w:rsidR="00B626E7" w:rsidRDefault="00B626E7">
            <w:pPr>
              <w:rPr>
                <w:rFonts w:ascii="宋体"/>
              </w:rPr>
            </w:pPr>
          </w:p>
        </w:tc>
        <w:tc>
          <w:tcPr>
            <w:tcW w:w="0" w:type="auto"/>
            <w:shd w:val="clear" w:color="auto" w:fill="auto"/>
          </w:tcPr>
          <w:p w14:paraId="20AE186E" w14:textId="77777777" w:rsidR="00B626E7" w:rsidRDefault="00B626E7">
            <w:pPr>
              <w:rPr>
                <w:rFonts w:ascii="宋体"/>
              </w:rPr>
            </w:pPr>
          </w:p>
        </w:tc>
      </w:tr>
      <w:tr w:rsidR="00B626E7" w14:paraId="20AE1895" w14:textId="77777777">
        <w:tc>
          <w:tcPr>
            <w:tcW w:w="0" w:type="auto"/>
            <w:gridSpan w:val="3"/>
            <w:shd w:val="clear" w:color="auto" w:fill="auto"/>
            <w:tcMar>
              <w:top w:w="40" w:type="dxa"/>
              <w:left w:w="120" w:type="dxa"/>
              <w:bottom w:w="40" w:type="dxa"/>
              <w:right w:w="20" w:type="dxa"/>
            </w:tcMar>
          </w:tcPr>
          <w:p w14:paraId="20AE1870" w14:textId="77777777" w:rsidR="00B626E7" w:rsidRDefault="00175C1D">
            <w:pPr>
              <w:textAlignment w:val="top"/>
            </w:pPr>
            <w:r>
              <w:rPr>
                <w:rFonts w:ascii="Arial" w:eastAsia="宋体" w:hAnsi="Arial" w:cs="Arial"/>
                <w:color w:val="333333"/>
                <w:sz w:val="18"/>
                <w:szCs w:val="18"/>
              </w:rPr>
              <w:t>Reverse repurchase agreements</w:t>
            </w:r>
          </w:p>
        </w:tc>
        <w:tc>
          <w:tcPr>
            <w:tcW w:w="0" w:type="auto"/>
            <w:gridSpan w:val="3"/>
            <w:shd w:val="clear" w:color="auto" w:fill="auto"/>
            <w:tcMar>
              <w:left w:w="20" w:type="dxa"/>
              <w:right w:w="20" w:type="dxa"/>
            </w:tcMar>
            <w:vAlign w:val="bottom"/>
          </w:tcPr>
          <w:p w14:paraId="20AE1871"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872" w14:textId="77777777" w:rsidR="00B626E7" w:rsidRDefault="00175C1D">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20AE1873"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874"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875" w14:textId="77777777" w:rsidR="00B626E7" w:rsidRDefault="00175C1D">
            <w:pPr>
              <w:jc w:val="right"/>
              <w:textAlignment w:val="bottom"/>
            </w:pPr>
            <w:r>
              <w:rPr>
                <w:rFonts w:ascii="Arial" w:eastAsia="宋体" w:hAnsi="Arial" w:cs="Arial"/>
                <w:color w:val="026DCE"/>
                <w:sz w:val="18"/>
                <w:szCs w:val="18"/>
              </w:rPr>
              <w:t>1,400 </w:t>
            </w:r>
          </w:p>
        </w:tc>
        <w:tc>
          <w:tcPr>
            <w:tcW w:w="0" w:type="auto"/>
            <w:shd w:val="clear" w:color="auto" w:fill="auto"/>
            <w:tcMar>
              <w:top w:w="40" w:type="dxa"/>
              <w:bottom w:w="40" w:type="dxa"/>
              <w:right w:w="20" w:type="dxa"/>
            </w:tcMar>
            <w:vAlign w:val="bottom"/>
          </w:tcPr>
          <w:p w14:paraId="20AE1876"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877"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878" w14:textId="77777777" w:rsidR="00B626E7" w:rsidRDefault="00175C1D">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20AE1879"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87A"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87B" w14:textId="77777777" w:rsidR="00B626E7" w:rsidRDefault="00175C1D">
            <w:pPr>
              <w:jc w:val="right"/>
              <w:textAlignment w:val="bottom"/>
            </w:pPr>
            <w:r>
              <w:rPr>
                <w:rFonts w:ascii="Arial" w:eastAsia="宋体" w:hAnsi="Arial" w:cs="Arial"/>
                <w:color w:val="026DCE"/>
                <w:sz w:val="18"/>
                <w:szCs w:val="18"/>
              </w:rPr>
              <w:t>1,400 </w:t>
            </w:r>
          </w:p>
        </w:tc>
        <w:tc>
          <w:tcPr>
            <w:tcW w:w="0" w:type="auto"/>
            <w:shd w:val="clear" w:color="auto" w:fill="auto"/>
            <w:tcMar>
              <w:top w:w="40" w:type="dxa"/>
              <w:bottom w:w="40" w:type="dxa"/>
              <w:right w:w="20" w:type="dxa"/>
            </w:tcMar>
            <w:vAlign w:val="bottom"/>
          </w:tcPr>
          <w:p w14:paraId="20AE187C"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87D"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87E"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187F"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880"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881" w14:textId="77777777" w:rsidR="00B626E7" w:rsidRDefault="00175C1D">
            <w:pPr>
              <w:jc w:val="right"/>
              <w:textAlignment w:val="bottom"/>
            </w:pPr>
            <w:r>
              <w:rPr>
                <w:rFonts w:ascii="Arial" w:eastAsia="宋体" w:hAnsi="Arial" w:cs="Arial"/>
                <w:color w:val="333333"/>
                <w:sz w:val="18"/>
                <w:szCs w:val="18"/>
              </w:rPr>
              <w:t>1,500 </w:t>
            </w:r>
          </w:p>
        </w:tc>
        <w:tc>
          <w:tcPr>
            <w:tcW w:w="0" w:type="auto"/>
            <w:shd w:val="clear" w:color="auto" w:fill="auto"/>
            <w:tcMar>
              <w:top w:w="40" w:type="dxa"/>
              <w:bottom w:w="40" w:type="dxa"/>
              <w:right w:w="20" w:type="dxa"/>
            </w:tcMar>
            <w:vAlign w:val="bottom"/>
          </w:tcPr>
          <w:p w14:paraId="20AE1882"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883"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884"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1885"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886"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887" w14:textId="77777777" w:rsidR="00B626E7" w:rsidRDefault="00175C1D">
            <w:pPr>
              <w:jc w:val="right"/>
              <w:textAlignment w:val="bottom"/>
            </w:pPr>
            <w:r>
              <w:rPr>
                <w:rFonts w:ascii="Arial" w:eastAsia="宋体" w:hAnsi="Arial" w:cs="Arial"/>
                <w:color w:val="333333"/>
                <w:sz w:val="18"/>
                <w:szCs w:val="18"/>
              </w:rPr>
              <w:t>1,500 </w:t>
            </w:r>
          </w:p>
        </w:tc>
        <w:tc>
          <w:tcPr>
            <w:tcW w:w="0" w:type="auto"/>
            <w:shd w:val="clear" w:color="auto" w:fill="auto"/>
            <w:tcMar>
              <w:top w:w="40" w:type="dxa"/>
              <w:bottom w:w="40" w:type="dxa"/>
              <w:right w:w="20" w:type="dxa"/>
            </w:tcMar>
            <w:vAlign w:val="bottom"/>
          </w:tcPr>
          <w:p w14:paraId="20AE1888"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889" w14:textId="77777777" w:rsidR="00B626E7" w:rsidRDefault="00B626E7">
            <w:pPr>
              <w:rPr>
                <w:rFonts w:ascii="宋体"/>
              </w:rPr>
            </w:pPr>
          </w:p>
        </w:tc>
        <w:tc>
          <w:tcPr>
            <w:tcW w:w="0" w:type="auto"/>
            <w:shd w:val="clear" w:color="auto" w:fill="auto"/>
          </w:tcPr>
          <w:p w14:paraId="20AE188A" w14:textId="77777777" w:rsidR="00B626E7" w:rsidRDefault="00B626E7">
            <w:pPr>
              <w:rPr>
                <w:rFonts w:ascii="宋体"/>
              </w:rPr>
            </w:pPr>
          </w:p>
        </w:tc>
        <w:tc>
          <w:tcPr>
            <w:tcW w:w="0" w:type="auto"/>
            <w:shd w:val="clear" w:color="auto" w:fill="auto"/>
          </w:tcPr>
          <w:p w14:paraId="20AE188B" w14:textId="77777777" w:rsidR="00B626E7" w:rsidRDefault="00B626E7">
            <w:pPr>
              <w:rPr>
                <w:rFonts w:ascii="宋体"/>
              </w:rPr>
            </w:pPr>
          </w:p>
        </w:tc>
        <w:tc>
          <w:tcPr>
            <w:tcW w:w="0" w:type="auto"/>
            <w:shd w:val="clear" w:color="auto" w:fill="auto"/>
          </w:tcPr>
          <w:p w14:paraId="20AE188C" w14:textId="77777777" w:rsidR="00B626E7" w:rsidRDefault="00B626E7">
            <w:pPr>
              <w:rPr>
                <w:rFonts w:ascii="宋体"/>
              </w:rPr>
            </w:pPr>
          </w:p>
        </w:tc>
        <w:tc>
          <w:tcPr>
            <w:tcW w:w="0" w:type="auto"/>
            <w:shd w:val="clear" w:color="auto" w:fill="auto"/>
          </w:tcPr>
          <w:p w14:paraId="20AE188D" w14:textId="77777777" w:rsidR="00B626E7" w:rsidRDefault="00B626E7">
            <w:pPr>
              <w:rPr>
                <w:rFonts w:ascii="宋体"/>
              </w:rPr>
            </w:pPr>
          </w:p>
        </w:tc>
        <w:tc>
          <w:tcPr>
            <w:tcW w:w="0" w:type="auto"/>
            <w:shd w:val="clear" w:color="auto" w:fill="auto"/>
          </w:tcPr>
          <w:p w14:paraId="20AE188E" w14:textId="77777777" w:rsidR="00B626E7" w:rsidRDefault="00B626E7">
            <w:pPr>
              <w:rPr>
                <w:rFonts w:ascii="宋体"/>
              </w:rPr>
            </w:pPr>
          </w:p>
        </w:tc>
        <w:tc>
          <w:tcPr>
            <w:tcW w:w="0" w:type="auto"/>
            <w:shd w:val="clear" w:color="auto" w:fill="auto"/>
          </w:tcPr>
          <w:p w14:paraId="20AE188F" w14:textId="77777777" w:rsidR="00B626E7" w:rsidRDefault="00B626E7">
            <w:pPr>
              <w:rPr>
                <w:rFonts w:ascii="宋体"/>
              </w:rPr>
            </w:pPr>
          </w:p>
        </w:tc>
        <w:tc>
          <w:tcPr>
            <w:tcW w:w="0" w:type="auto"/>
            <w:shd w:val="clear" w:color="auto" w:fill="auto"/>
          </w:tcPr>
          <w:p w14:paraId="20AE1890" w14:textId="77777777" w:rsidR="00B626E7" w:rsidRDefault="00B626E7">
            <w:pPr>
              <w:rPr>
                <w:rFonts w:ascii="宋体"/>
              </w:rPr>
            </w:pPr>
          </w:p>
        </w:tc>
        <w:tc>
          <w:tcPr>
            <w:tcW w:w="0" w:type="auto"/>
            <w:shd w:val="clear" w:color="auto" w:fill="auto"/>
          </w:tcPr>
          <w:p w14:paraId="20AE1891" w14:textId="77777777" w:rsidR="00B626E7" w:rsidRDefault="00B626E7">
            <w:pPr>
              <w:rPr>
                <w:rFonts w:ascii="宋体"/>
              </w:rPr>
            </w:pPr>
          </w:p>
        </w:tc>
        <w:tc>
          <w:tcPr>
            <w:tcW w:w="0" w:type="auto"/>
            <w:shd w:val="clear" w:color="auto" w:fill="auto"/>
          </w:tcPr>
          <w:p w14:paraId="20AE1892" w14:textId="77777777" w:rsidR="00B626E7" w:rsidRDefault="00B626E7">
            <w:pPr>
              <w:rPr>
                <w:rFonts w:ascii="宋体"/>
              </w:rPr>
            </w:pPr>
          </w:p>
        </w:tc>
        <w:tc>
          <w:tcPr>
            <w:tcW w:w="0" w:type="auto"/>
            <w:shd w:val="clear" w:color="auto" w:fill="auto"/>
          </w:tcPr>
          <w:p w14:paraId="20AE1893" w14:textId="77777777" w:rsidR="00B626E7" w:rsidRDefault="00B626E7">
            <w:pPr>
              <w:rPr>
                <w:rFonts w:ascii="宋体"/>
              </w:rPr>
            </w:pPr>
          </w:p>
        </w:tc>
        <w:tc>
          <w:tcPr>
            <w:tcW w:w="0" w:type="auto"/>
            <w:shd w:val="clear" w:color="auto" w:fill="auto"/>
          </w:tcPr>
          <w:p w14:paraId="20AE1894" w14:textId="77777777" w:rsidR="00B626E7" w:rsidRDefault="00B626E7">
            <w:pPr>
              <w:rPr>
                <w:rFonts w:ascii="宋体"/>
              </w:rPr>
            </w:pPr>
          </w:p>
        </w:tc>
      </w:tr>
      <w:tr w:rsidR="00B626E7" w14:paraId="20AE18B3" w14:textId="77777777">
        <w:tc>
          <w:tcPr>
            <w:tcW w:w="0" w:type="auto"/>
            <w:gridSpan w:val="3"/>
            <w:shd w:val="clear" w:color="auto" w:fill="auto"/>
            <w:tcMar>
              <w:top w:w="40" w:type="dxa"/>
              <w:left w:w="20" w:type="dxa"/>
              <w:bottom w:w="40" w:type="dxa"/>
              <w:right w:w="20" w:type="dxa"/>
            </w:tcMar>
          </w:tcPr>
          <w:p w14:paraId="20AE1896" w14:textId="77777777" w:rsidR="00B626E7" w:rsidRDefault="00175C1D">
            <w:pPr>
              <w:textAlignment w:val="top"/>
            </w:pPr>
            <w:r>
              <w:rPr>
                <w:rFonts w:ascii="Arial" w:eastAsia="宋体" w:hAnsi="Arial" w:cs="Arial"/>
                <w:color w:val="333333"/>
                <w:sz w:val="18"/>
                <w:szCs w:val="18"/>
              </w:rPr>
              <w:t>Short-term investments:</w:t>
            </w:r>
          </w:p>
        </w:tc>
        <w:tc>
          <w:tcPr>
            <w:tcW w:w="0" w:type="auto"/>
            <w:gridSpan w:val="3"/>
            <w:shd w:val="clear" w:color="auto" w:fill="auto"/>
            <w:tcMar>
              <w:left w:w="20" w:type="dxa"/>
              <w:right w:w="20" w:type="dxa"/>
            </w:tcMar>
            <w:vAlign w:val="bottom"/>
          </w:tcPr>
          <w:p w14:paraId="20AE1897"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898"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899"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89A"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89B"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89C"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89D"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89E"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89F"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8A0"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8A1"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8A2"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8A3"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8A4"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8A5"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8A6" w14:textId="77777777" w:rsidR="00B626E7" w:rsidRDefault="00B626E7">
            <w:pPr>
              <w:rPr>
                <w:rFonts w:ascii="宋体"/>
              </w:rPr>
            </w:pPr>
          </w:p>
        </w:tc>
        <w:tc>
          <w:tcPr>
            <w:tcW w:w="0" w:type="auto"/>
            <w:shd w:val="clear" w:color="auto" w:fill="auto"/>
          </w:tcPr>
          <w:p w14:paraId="20AE18A7" w14:textId="77777777" w:rsidR="00B626E7" w:rsidRDefault="00B626E7">
            <w:pPr>
              <w:rPr>
                <w:rFonts w:ascii="宋体"/>
              </w:rPr>
            </w:pPr>
          </w:p>
        </w:tc>
        <w:tc>
          <w:tcPr>
            <w:tcW w:w="0" w:type="auto"/>
            <w:shd w:val="clear" w:color="auto" w:fill="auto"/>
          </w:tcPr>
          <w:p w14:paraId="20AE18A8" w14:textId="77777777" w:rsidR="00B626E7" w:rsidRDefault="00B626E7">
            <w:pPr>
              <w:rPr>
                <w:rFonts w:ascii="宋体"/>
              </w:rPr>
            </w:pPr>
          </w:p>
        </w:tc>
        <w:tc>
          <w:tcPr>
            <w:tcW w:w="0" w:type="auto"/>
            <w:shd w:val="clear" w:color="auto" w:fill="auto"/>
          </w:tcPr>
          <w:p w14:paraId="20AE18A9" w14:textId="77777777" w:rsidR="00B626E7" w:rsidRDefault="00B626E7">
            <w:pPr>
              <w:rPr>
                <w:rFonts w:ascii="宋体"/>
              </w:rPr>
            </w:pPr>
          </w:p>
        </w:tc>
        <w:tc>
          <w:tcPr>
            <w:tcW w:w="0" w:type="auto"/>
            <w:shd w:val="clear" w:color="auto" w:fill="auto"/>
          </w:tcPr>
          <w:p w14:paraId="20AE18AA" w14:textId="77777777" w:rsidR="00B626E7" w:rsidRDefault="00B626E7">
            <w:pPr>
              <w:rPr>
                <w:rFonts w:ascii="宋体"/>
              </w:rPr>
            </w:pPr>
          </w:p>
        </w:tc>
        <w:tc>
          <w:tcPr>
            <w:tcW w:w="0" w:type="auto"/>
            <w:shd w:val="clear" w:color="auto" w:fill="auto"/>
          </w:tcPr>
          <w:p w14:paraId="20AE18AB" w14:textId="77777777" w:rsidR="00B626E7" w:rsidRDefault="00B626E7">
            <w:pPr>
              <w:rPr>
                <w:rFonts w:ascii="宋体"/>
              </w:rPr>
            </w:pPr>
          </w:p>
        </w:tc>
        <w:tc>
          <w:tcPr>
            <w:tcW w:w="0" w:type="auto"/>
            <w:shd w:val="clear" w:color="auto" w:fill="auto"/>
          </w:tcPr>
          <w:p w14:paraId="20AE18AC" w14:textId="77777777" w:rsidR="00B626E7" w:rsidRDefault="00B626E7">
            <w:pPr>
              <w:rPr>
                <w:rFonts w:ascii="宋体"/>
              </w:rPr>
            </w:pPr>
          </w:p>
        </w:tc>
        <w:tc>
          <w:tcPr>
            <w:tcW w:w="0" w:type="auto"/>
            <w:shd w:val="clear" w:color="auto" w:fill="auto"/>
          </w:tcPr>
          <w:p w14:paraId="20AE18AD" w14:textId="77777777" w:rsidR="00B626E7" w:rsidRDefault="00B626E7">
            <w:pPr>
              <w:rPr>
                <w:rFonts w:ascii="宋体"/>
              </w:rPr>
            </w:pPr>
          </w:p>
        </w:tc>
        <w:tc>
          <w:tcPr>
            <w:tcW w:w="0" w:type="auto"/>
            <w:shd w:val="clear" w:color="auto" w:fill="auto"/>
          </w:tcPr>
          <w:p w14:paraId="20AE18AE" w14:textId="77777777" w:rsidR="00B626E7" w:rsidRDefault="00B626E7">
            <w:pPr>
              <w:rPr>
                <w:rFonts w:ascii="宋体"/>
              </w:rPr>
            </w:pPr>
          </w:p>
        </w:tc>
        <w:tc>
          <w:tcPr>
            <w:tcW w:w="0" w:type="auto"/>
            <w:shd w:val="clear" w:color="auto" w:fill="auto"/>
          </w:tcPr>
          <w:p w14:paraId="20AE18AF" w14:textId="77777777" w:rsidR="00B626E7" w:rsidRDefault="00B626E7">
            <w:pPr>
              <w:rPr>
                <w:rFonts w:ascii="宋体"/>
              </w:rPr>
            </w:pPr>
          </w:p>
        </w:tc>
        <w:tc>
          <w:tcPr>
            <w:tcW w:w="0" w:type="auto"/>
            <w:shd w:val="clear" w:color="auto" w:fill="auto"/>
          </w:tcPr>
          <w:p w14:paraId="20AE18B0" w14:textId="77777777" w:rsidR="00B626E7" w:rsidRDefault="00B626E7">
            <w:pPr>
              <w:rPr>
                <w:rFonts w:ascii="宋体"/>
              </w:rPr>
            </w:pPr>
          </w:p>
        </w:tc>
        <w:tc>
          <w:tcPr>
            <w:tcW w:w="0" w:type="auto"/>
            <w:shd w:val="clear" w:color="auto" w:fill="auto"/>
          </w:tcPr>
          <w:p w14:paraId="20AE18B1" w14:textId="77777777" w:rsidR="00B626E7" w:rsidRDefault="00B626E7">
            <w:pPr>
              <w:rPr>
                <w:rFonts w:ascii="宋体"/>
              </w:rPr>
            </w:pPr>
          </w:p>
        </w:tc>
        <w:tc>
          <w:tcPr>
            <w:tcW w:w="0" w:type="auto"/>
            <w:shd w:val="clear" w:color="auto" w:fill="auto"/>
          </w:tcPr>
          <w:p w14:paraId="20AE18B2" w14:textId="77777777" w:rsidR="00B626E7" w:rsidRDefault="00B626E7">
            <w:pPr>
              <w:rPr>
                <w:rFonts w:ascii="宋体"/>
              </w:rPr>
            </w:pPr>
          </w:p>
        </w:tc>
      </w:tr>
      <w:tr w:rsidR="00B626E7" w14:paraId="20AE18D9" w14:textId="77777777">
        <w:tc>
          <w:tcPr>
            <w:tcW w:w="0" w:type="auto"/>
            <w:gridSpan w:val="3"/>
            <w:shd w:val="clear" w:color="auto" w:fill="auto"/>
            <w:tcMar>
              <w:top w:w="40" w:type="dxa"/>
              <w:left w:w="120" w:type="dxa"/>
              <w:bottom w:w="40" w:type="dxa"/>
              <w:right w:w="20" w:type="dxa"/>
            </w:tcMar>
          </w:tcPr>
          <w:p w14:paraId="20AE18B4" w14:textId="77777777" w:rsidR="00B626E7" w:rsidRDefault="00175C1D">
            <w:pPr>
              <w:textAlignment w:val="top"/>
            </w:pPr>
            <w:r>
              <w:rPr>
                <w:rFonts w:ascii="Arial" w:eastAsia="宋体" w:hAnsi="Arial" w:cs="Arial"/>
                <w:color w:val="333333"/>
                <w:sz w:val="18"/>
                <w:szCs w:val="18"/>
              </w:rPr>
              <w:t>Corporate debt</w:t>
            </w:r>
          </w:p>
        </w:tc>
        <w:tc>
          <w:tcPr>
            <w:tcW w:w="0" w:type="auto"/>
            <w:gridSpan w:val="3"/>
            <w:shd w:val="clear" w:color="auto" w:fill="auto"/>
            <w:tcMar>
              <w:left w:w="20" w:type="dxa"/>
              <w:right w:w="20" w:type="dxa"/>
            </w:tcMar>
            <w:vAlign w:val="bottom"/>
          </w:tcPr>
          <w:p w14:paraId="20AE18B5"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8B6" w14:textId="77777777" w:rsidR="00B626E7" w:rsidRDefault="00175C1D">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20AE18B7"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8B8"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8B9" w14:textId="77777777" w:rsidR="00B626E7" w:rsidRDefault="00175C1D">
            <w:pPr>
              <w:jc w:val="right"/>
              <w:textAlignment w:val="bottom"/>
            </w:pPr>
            <w:r>
              <w:rPr>
                <w:rFonts w:ascii="Arial" w:eastAsia="宋体" w:hAnsi="Arial" w:cs="Arial"/>
                <w:color w:val="026DCE"/>
                <w:sz w:val="18"/>
                <w:szCs w:val="18"/>
              </w:rPr>
              <w:t>1,426 </w:t>
            </w:r>
          </w:p>
        </w:tc>
        <w:tc>
          <w:tcPr>
            <w:tcW w:w="0" w:type="auto"/>
            <w:shd w:val="clear" w:color="auto" w:fill="auto"/>
            <w:tcMar>
              <w:top w:w="40" w:type="dxa"/>
              <w:bottom w:w="40" w:type="dxa"/>
              <w:right w:w="20" w:type="dxa"/>
            </w:tcMar>
            <w:vAlign w:val="bottom"/>
          </w:tcPr>
          <w:p w14:paraId="20AE18BA"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8BB"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8BC" w14:textId="77777777" w:rsidR="00B626E7" w:rsidRDefault="00175C1D">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20AE18BD"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8BE"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8BF" w14:textId="77777777" w:rsidR="00B626E7" w:rsidRDefault="00175C1D">
            <w:pPr>
              <w:jc w:val="right"/>
              <w:textAlignment w:val="bottom"/>
            </w:pPr>
            <w:r>
              <w:rPr>
                <w:rFonts w:ascii="Arial" w:eastAsia="宋体" w:hAnsi="Arial" w:cs="Arial"/>
                <w:color w:val="026DCE"/>
                <w:sz w:val="18"/>
                <w:szCs w:val="18"/>
              </w:rPr>
              <w:t>1,426 </w:t>
            </w:r>
          </w:p>
        </w:tc>
        <w:tc>
          <w:tcPr>
            <w:tcW w:w="0" w:type="auto"/>
            <w:shd w:val="clear" w:color="auto" w:fill="auto"/>
            <w:tcMar>
              <w:top w:w="40" w:type="dxa"/>
              <w:bottom w:w="40" w:type="dxa"/>
              <w:right w:w="20" w:type="dxa"/>
            </w:tcMar>
            <w:vAlign w:val="bottom"/>
          </w:tcPr>
          <w:p w14:paraId="20AE18C0"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8C1"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8C2"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18C3"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8C4"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8C5" w14:textId="77777777" w:rsidR="00B626E7" w:rsidRDefault="00175C1D">
            <w:pPr>
              <w:jc w:val="right"/>
              <w:textAlignment w:val="bottom"/>
            </w:pPr>
            <w:r>
              <w:rPr>
                <w:rFonts w:ascii="Arial" w:eastAsia="宋体" w:hAnsi="Arial" w:cs="Arial"/>
                <w:color w:val="333333"/>
                <w:sz w:val="18"/>
                <w:szCs w:val="18"/>
              </w:rPr>
              <w:t>347 </w:t>
            </w:r>
          </w:p>
        </w:tc>
        <w:tc>
          <w:tcPr>
            <w:tcW w:w="0" w:type="auto"/>
            <w:shd w:val="clear" w:color="auto" w:fill="auto"/>
            <w:tcMar>
              <w:top w:w="40" w:type="dxa"/>
              <w:bottom w:w="40" w:type="dxa"/>
              <w:right w:w="20" w:type="dxa"/>
            </w:tcMar>
            <w:vAlign w:val="bottom"/>
          </w:tcPr>
          <w:p w14:paraId="20AE18C6"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8C7"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8C8"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18C9"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8CA"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8CB" w14:textId="77777777" w:rsidR="00B626E7" w:rsidRDefault="00175C1D">
            <w:pPr>
              <w:jc w:val="right"/>
              <w:textAlignment w:val="bottom"/>
            </w:pPr>
            <w:r>
              <w:rPr>
                <w:rFonts w:ascii="Arial" w:eastAsia="宋体" w:hAnsi="Arial" w:cs="Arial"/>
                <w:color w:val="333333"/>
                <w:sz w:val="18"/>
                <w:szCs w:val="18"/>
              </w:rPr>
              <w:t>347 </w:t>
            </w:r>
          </w:p>
        </w:tc>
        <w:tc>
          <w:tcPr>
            <w:tcW w:w="0" w:type="auto"/>
            <w:shd w:val="clear" w:color="auto" w:fill="auto"/>
            <w:tcMar>
              <w:top w:w="40" w:type="dxa"/>
              <w:bottom w:w="40" w:type="dxa"/>
              <w:right w:w="20" w:type="dxa"/>
            </w:tcMar>
            <w:vAlign w:val="bottom"/>
          </w:tcPr>
          <w:p w14:paraId="20AE18CC"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8CD" w14:textId="77777777" w:rsidR="00B626E7" w:rsidRDefault="00B626E7">
            <w:pPr>
              <w:rPr>
                <w:rFonts w:ascii="宋体"/>
              </w:rPr>
            </w:pPr>
          </w:p>
        </w:tc>
        <w:tc>
          <w:tcPr>
            <w:tcW w:w="0" w:type="auto"/>
            <w:shd w:val="clear" w:color="auto" w:fill="auto"/>
          </w:tcPr>
          <w:p w14:paraId="20AE18CE" w14:textId="77777777" w:rsidR="00B626E7" w:rsidRDefault="00B626E7">
            <w:pPr>
              <w:rPr>
                <w:rFonts w:ascii="宋体"/>
              </w:rPr>
            </w:pPr>
          </w:p>
        </w:tc>
        <w:tc>
          <w:tcPr>
            <w:tcW w:w="0" w:type="auto"/>
            <w:shd w:val="clear" w:color="auto" w:fill="auto"/>
          </w:tcPr>
          <w:p w14:paraId="20AE18CF" w14:textId="77777777" w:rsidR="00B626E7" w:rsidRDefault="00B626E7">
            <w:pPr>
              <w:rPr>
                <w:rFonts w:ascii="宋体"/>
              </w:rPr>
            </w:pPr>
          </w:p>
        </w:tc>
        <w:tc>
          <w:tcPr>
            <w:tcW w:w="0" w:type="auto"/>
            <w:shd w:val="clear" w:color="auto" w:fill="auto"/>
          </w:tcPr>
          <w:p w14:paraId="20AE18D0" w14:textId="77777777" w:rsidR="00B626E7" w:rsidRDefault="00B626E7">
            <w:pPr>
              <w:rPr>
                <w:rFonts w:ascii="宋体"/>
              </w:rPr>
            </w:pPr>
          </w:p>
        </w:tc>
        <w:tc>
          <w:tcPr>
            <w:tcW w:w="0" w:type="auto"/>
            <w:shd w:val="clear" w:color="auto" w:fill="auto"/>
          </w:tcPr>
          <w:p w14:paraId="20AE18D1" w14:textId="77777777" w:rsidR="00B626E7" w:rsidRDefault="00B626E7">
            <w:pPr>
              <w:rPr>
                <w:rFonts w:ascii="宋体"/>
              </w:rPr>
            </w:pPr>
          </w:p>
        </w:tc>
        <w:tc>
          <w:tcPr>
            <w:tcW w:w="0" w:type="auto"/>
            <w:shd w:val="clear" w:color="auto" w:fill="auto"/>
          </w:tcPr>
          <w:p w14:paraId="20AE18D2" w14:textId="77777777" w:rsidR="00B626E7" w:rsidRDefault="00B626E7">
            <w:pPr>
              <w:rPr>
                <w:rFonts w:ascii="宋体"/>
              </w:rPr>
            </w:pPr>
          </w:p>
        </w:tc>
        <w:tc>
          <w:tcPr>
            <w:tcW w:w="0" w:type="auto"/>
            <w:shd w:val="clear" w:color="auto" w:fill="auto"/>
          </w:tcPr>
          <w:p w14:paraId="20AE18D3" w14:textId="77777777" w:rsidR="00B626E7" w:rsidRDefault="00B626E7">
            <w:pPr>
              <w:rPr>
                <w:rFonts w:ascii="宋体"/>
              </w:rPr>
            </w:pPr>
          </w:p>
        </w:tc>
        <w:tc>
          <w:tcPr>
            <w:tcW w:w="0" w:type="auto"/>
            <w:shd w:val="clear" w:color="auto" w:fill="auto"/>
          </w:tcPr>
          <w:p w14:paraId="20AE18D4" w14:textId="77777777" w:rsidR="00B626E7" w:rsidRDefault="00B626E7">
            <w:pPr>
              <w:rPr>
                <w:rFonts w:ascii="宋体"/>
              </w:rPr>
            </w:pPr>
          </w:p>
        </w:tc>
        <w:tc>
          <w:tcPr>
            <w:tcW w:w="0" w:type="auto"/>
            <w:shd w:val="clear" w:color="auto" w:fill="auto"/>
          </w:tcPr>
          <w:p w14:paraId="20AE18D5" w14:textId="77777777" w:rsidR="00B626E7" w:rsidRDefault="00B626E7">
            <w:pPr>
              <w:rPr>
                <w:rFonts w:ascii="宋体"/>
              </w:rPr>
            </w:pPr>
          </w:p>
        </w:tc>
        <w:tc>
          <w:tcPr>
            <w:tcW w:w="0" w:type="auto"/>
            <w:shd w:val="clear" w:color="auto" w:fill="auto"/>
          </w:tcPr>
          <w:p w14:paraId="20AE18D6" w14:textId="77777777" w:rsidR="00B626E7" w:rsidRDefault="00B626E7">
            <w:pPr>
              <w:rPr>
                <w:rFonts w:ascii="宋体"/>
              </w:rPr>
            </w:pPr>
          </w:p>
        </w:tc>
        <w:tc>
          <w:tcPr>
            <w:tcW w:w="0" w:type="auto"/>
            <w:shd w:val="clear" w:color="auto" w:fill="auto"/>
          </w:tcPr>
          <w:p w14:paraId="20AE18D7" w14:textId="77777777" w:rsidR="00B626E7" w:rsidRDefault="00B626E7">
            <w:pPr>
              <w:rPr>
                <w:rFonts w:ascii="宋体"/>
              </w:rPr>
            </w:pPr>
          </w:p>
        </w:tc>
        <w:tc>
          <w:tcPr>
            <w:tcW w:w="0" w:type="auto"/>
            <w:shd w:val="clear" w:color="auto" w:fill="auto"/>
          </w:tcPr>
          <w:p w14:paraId="20AE18D8" w14:textId="77777777" w:rsidR="00B626E7" w:rsidRDefault="00B626E7">
            <w:pPr>
              <w:rPr>
                <w:rFonts w:ascii="宋体"/>
              </w:rPr>
            </w:pPr>
          </w:p>
        </w:tc>
      </w:tr>
      <w:tr w:rsidR="00B626E7" w14:paraId="20AE18FF" w14:textId="77777777">
        <w:tc>
          <w:tcPr>
            <w:tcW w:w="0" w:type="auto"/>
            <w:gridSpan w:val="3"/>
            <w:shd w:val="clear" w:color="auto" w:fill="auto"/>
            <w:tcMar>
              <w:top w:w="40" w:type="dxa"/>
              <w:left w:w="120" w:type="dxa"/>
              <w:bottom w:w="40" w:type="dxa"/>
              <w:right w:w="20" w:type="dxa"/>
            </w:tcMar>
          </w:tcPr>
          <w:p w14:paraId="20AE18DA" w14:textId="77777777" w:rsidR="00B626E7" w:rsidRDefault="00175C1D">
            <w:pPr>
              <w:textAlignment w:val="top"/>
            </w:pPr>
            <w:r>
              <w:rPr>
                <w:rFonts w:ascii="Arial" w:eastAsia="宋体" w:hAnsi="Arial" w:cs="Arial"/>
                <w:color w:val="333333"/>
                <w:sz w:val="18"/>
                <w:szCs w:val="18"/>
              </w:rPr>
              <w:t>Financial institution instruments¹</w:t>
            </w:r>
          </w:p>
        </w:tc>
        <w:tc>
          <w:tcPr>
            <w:tcW w:w="0" w:type="auto"/>
            <w:gridSpan w:val="3"/>
            <w:shd w:val="clear" w:color="auto" w:fill="auto"/>
            <w:tcMar>
              <w:left w:w="20" w:type="dxa"/>
              <w:right w:w="20" w:type="dxa"/>
            </w:tcMar>
            <w:vAlign w:val="bottom"/>
          </w:tcPr>
          <w:p w14:paraId="20AE18DB"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8DC" w14:textId="77777777" w:rsidR="00B626E7" w:rsidRDefault="00175C1D">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20AE18DD"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8DE"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8DF" w14:textId="77777777" w:rsidR="00B626E7" w:rsidRDefault="00175C1D">
            <w:pPr>
              <w:jc w:val="right"/>
              <w:textAlignment w:val="bottom"/>
            </w:pPr>
            <w:r>
              <w:rPr>
                <w:rFonts w:ascii="Arial" w:eastAsia="宋体" w:hAnsi="Arial" w:cs="Arial"/>
                <w:color w:val="026DCE"/>
                <w:sz w:val="18"/>
                <w:szCs w:val="18"/>
              </w:rPr>
              <w:t>2,096 </w:t>
            </w:r>
          </w:p>
        </w:tc>
        <w:tc>
          <w:tcPr>
            <w:tcW w:w="0" w:type="auto"/>
            <w:shd w:val="clear" w:color="auto" w:fill="auto"/>
            <w:tcMar>
              <w:top w:w="40" w:type="dxa"/>
              <w:bottom w:w="40" w:type="dxa"/>
              <w:right w:w="20" w:type="dxa"/>
            </w:tcMar>
            <w:vAlign w:val="bottom"/>
          </w:tcPr>
          <w:p w14:paraId="20AE18E0"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8E1"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8E2" w14:textId="77777777" w:rsidR="00B626E7" w:rsidRDefault="00175C1D">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20AE18E3"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8E4"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8E5" w14:textId="77777777" w:rsidR="00B626E7" w:rsidRDefault="00175C1D">
            <w:pPr>
              <w:jc w:val="right"/>
              <w:textAlignment w:val="bottom"/>
            </w:pPr>
            <w:r>
              <w:rPr>
                <w:rFonts w:ascii="Arial" w:eastAsia="宋体" w:hAnsi="Arial" w:cs="Arial"/>
                <w:color w:val="026DCE"/>
                <w:sz w:val="18"/>
                <w:szCs w:val="18"/>
              </w:rPr>
              <w:t>2,096 </w:t>
            </w:r>
          </w:p>
        </w:tc>
        <w:tc>
          <w:tcPr>
            <w:tcW w:w="0" w:type="auto"/>
            <w:shd w:val="clear" w:color="auto" w:fill="auto"/>
            <w:tcMar>
              <w:top w:w="40" w:type="dxa"/>
              <w:bottom w:w="40" w:type="dxa"/>
              <w:right w:w="20" w:type="dxa"/>
            </w:tcMar>
            <w:vAlign w:val="bottom"/>
          </w:tcPr>
          <w:p w14:paraId="20AE18E6"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8E7"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8E8"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18E9"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8EA"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8EB" w14:textId="77777777" w:rsidR="00B626E7" w:rsidRDefault="00175C1D">
            <w:pPr>
              <w:jc w:val="right"/>
              <w:textAlignment w:val="bottom"/>
            </w:pPr>
            <w:r>
              <w:rPr>
                <w:rFonts w:ascii="Arial" w:eastAsia="宋体" w:hAnsi="Arial" w:cs="Arial"/>
                <w:color w:val="333333"/>
                <w:sz w:val="18"/>
                <w:szCs w:val="18"/>
              </w:rPr>
              <w:t>724 </w:t>
            </w:r>
          </w:p>
        </w:tc>
        <w:tc>
          <w:tcPr>
            <w:tcW w:w="0" w:type="auto"/>
            <w:shd w:val="clear" w:color="auto" w:fill="auto"/>
            <w:tcMar>
              <w:top w:w="40" w:type="dxa"/>
              <w:bottom w:w="40" w:type="dxa"/>
              <w:right w:w="20" w:type="dxa"/>
            </w:tcMar>
            <w:vAlign w:val="bottom"/>
          </w:tcPr>
          <w:p w14:paraId="20AE18EC"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8ED"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8EE"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18EF"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8F0"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8F1" w14:textId="77777777" w:rsidR="00B626E7" w:rsidRDefault="00175C1D">
            <w:pPr>
              <w:jc w:val="right"/>
              <w:textAlignment w:val="bottom"/>
            </w:pPr>
            <w:r>
              <w:rPr>
                <w:rFonts w:ascii="Arial" w:eastAsia="宋体" w:hAnsi="Arial" w:cs="Arial"/>
                <w:color w:val="333333"/>
                <w:sz w:val="18"/>
                <w:szCs w:val="18"/>
              </w:rPr>
              <w:t>724 </w:t>
            </w:r>
          </w:p>
        </w:tc>
        <w:tc>
          <w:tcPr>
            <w:tcW w:w="0" w:type="auto"/>
            <w:shd w:val="clear" w:color="auto" w:fill="auto"/>
            <w:tcMar>
              <w:top w:w="40" w:type="dxa"/>
              <w:bottom w:w="40" w:type="dxa"/>
              <w:right w:w="20" w:type="dxa"/>
            </w:tcMar>
            <w:vAlign w:val="bottom"/>
          </w:tcPr>
          <w:p w14:paraId="20AE18F2"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8F3" w14:textId="77777777" w:rsidR="00B626E7" w:rsidRDefault="00B626E7">
            <w:pPr>
              <w:rPr>
                <w:rFonts w:ascii="宋体"/>
              </w:rPr>
            </w:pPr>
          </w:p>
        </w:tc>
        <w:tc>
          <w:tcPr>
            <w:tcW w:w="0" w:type="auto"/>
            <w:shd w:val="clear" w:color="auto" w:fill="auto"/>
          </w:tcPr>
          <w:p w14:paraId="20AE18F4" w14:textId="77777777" w:rsidR="00B626E7" w:rsidRDefault="00B626E7">
            <w:pPr>
              <w:rPr>
                <w:rFonts w:ascii="宋体"/>
              </w:rPr>
            </w:pPr>
          </w:p>
        </w:tc>
        <w:tc>
          <w:tcPr>
            <w:tcW w:w="0" w:type="auto"/>
            <w:shd w:val="clear" w:color="auto" w:fill="auto"/>
          </w:tcPr>
          <w:p w14:paraId="20AE18F5" w14:textId="77777777" w:rsidR="00B626E7" w:rsidRDefault="00B626E7">
            <w:pPr>
              <w:rPr>
                <w:rFonts w:ascii="宋体"/>
              </w:rPr>
            </w:pPr>
          </w:p>
        </w:tc>
        <w:tc>
          <w:tcPr>
            <w:tcW w:w="0" w:type="auto"/>
            <w:shd w:val="clear" w:color="auto" w:fill="auto"/>
          </w:tcPr>
          <w:p w14:paraId="20AE18F6" w14:textId="77777777" w:rsidR="00B626E7" w:rsidRDefault="00B626E7">
            <w:pPr>
              <w:rPr>
                <w:rFonts w:ascii="宋体"/>
              </w:rPr>
            </w:pPr>
          </w:p>
        </w:tc>
        <w:tc>
          <w:tcPr>
            <w:tcW w:w="0" w:type="auto"/>
            <w:shd w:val="clear" w:color="auto" w:fill="auto"/>
          </w:tcPr>
          <w:p w14:paraId="20AE18F7" w14:textId="77777777" w:rsidR="00B626E7" w:rsidRDefault="00B626E7">
            <w:pPr>
              <w:rPr>
                <w:rFonts w:ascii="宋体"/>
              </w:rPr>
            </w:pPr>
          </w:p>
        </w:tc>
        <w:tc>
          <w:tcPr>
            <w:tcW w:w="0" w:type="auto"/>
            <w:shd w:val="clear" w:color="auto" w:fill="auto"/>
          </w:tcPr>
          <w:p w14:paraId="20AE18F8" w14:textId="77777777" w:rsidR="00B626E7" w:rsidRDefault="00B626E7">
            <w:pPr>
              <w:rPr>
                <w:rFonts w:ascii="宋体"/>
              </w:rPr>
            </w:pPr>
          </w:p>
        </w:tc>
        <w:tc>
          <w:tcPr>
            <w:tcW w:w="0" w:type="auto"/>
            <w:shd w:val="clear" w:color="auto" w:fill="auto"/>
          </w:tcPr>
          <w:p w14:paraId="20AE18F9" w14:textId="77777777" w:rsidR="00B626E7" w:rsidRDefault="00B626E7">
            <w:pPr>
              <w:rPr>
                <w:rFonts w:ascii="宋体"/>
              </w:rPr>
            </w:pPr>
          </w:p>
        </w:tc>
        <w:tc>
          <w:tcPr>
            <w:tcW w:w="0" w:type="auto"/>
            <w:shd w:val="clear" w:color="auto" w:fill="auto"/>
          </w:tcPr>
          <w:p w14:paraId="20AE18FA" w14:textId="77777777" w:rsidR="00B626E7" w:rsidRDefault="00B626E7">
            <w:pPr>
              <w:rPr>
                <w:rFonts w:ascii="宋体"/>
              </w:rPr>
            </w:pPr>
          </w:p>
        </w:tc>
        <w:tc>
          <w:tcPr>
            <w:tcW w:w="0" w:type="auto"/>
            <w:shd w:val="clear" w:color="auto" w:fill="auto"/>
          </w:tcPr>
          <w:p w14:paraId="20AE18FB" w14:textId="77777777" w:rsidR="00B626E7" w:rsidRDefault="00B626E7">
            <w:pPr>
              <w:rPr>
                <w:rFonts w:ascii="宋体"/>
              </w:rPr>
            </w:pPr>
          </w:p>
        </w:tc>
        <w:tc>
          <w:tcPr>
            <w:tcW w:w="0" w:type="auto"/>
            <w:shd w:val="clear" w:color="auto" w:fill="auto"/>
          </w:tcPr>
          <w:p w14:paraId="20AE18FC" w14:textId="77777777" w:rsidR="00B626E7" w:rsidRDefault="00B626E7">
            <w:pPr>
              <w:rPr>
                <w:rFonts w:ascii="宋体"/>
              </w:rPr>
            </w:pPr>
          </w:p>
        </w:tc>
        <w:tc>
          <w:tcPr>
            <w:tcW w:w="0" w:type="auto"/>
            <w:shd w:val="clear" w:color="auto" w:fill="auto"/>
          </w:tcPr>
          <w:p w14:paraId="20AE18FD" w14:textId="77777777" w:rsidR="00B626E7" w:rsidRDefault="00B626E7">
            <w:pPr>
              <w:rPr>
                <w:rFonts w:ascii="宋体"/>
              </w:rPr>
            </w:pPr>
          </w:p>
        </w:tc>
        <w:tc>
          <w:tcPr>
            <w:tcW w:w="0" w:type="auto"/>
            <w:shd w:val="clear" w:color="auto" w:fill="auto"/>
          </w:tcPr>
          <w:p w14:paraId="20AE18FE" w14:textId="77777777" w:rsidR="00B626E7" w:rsidRDefault="00B626E7">
            <w:pPr>
              <w:rPr>
                <w:rFonts w:ascii="宋体"/>
              </w:rPr>
            </w:pPr>
          </w:p>
        </w:tc>
      </w:tr>
      <w:tr w:rsidR="00B626E7" w14:paraId="20AE1925" w14:textId="77777777">
        <w:tc>
          <w:tcPr>
            <w:tcW w:w="0" w:type="auto"/>
            <w:gridSpan w:val="3"/>
            <w:shd w:val="clear" w:color="auto" w:fill="auto"/>
            <w:tcMar>
              <w:top w:w="40" w:type="dxa"/>
              <w:left w:w="120" w:type="dxa"/>
              <w:bottom w:w="40" w:type="dxa"/>
              <w:right w:w="20" w:type="dxa"/>
            </w:tcMar>
          </w:tcPr>
          <w:p w14:paraId="20AE1900" w14:textId="77777777" w:rsidR="00B626E7" w:rsidRDefault="00175C1D">
            <w:pPr>
              <w:textAlignment w:val="top"/>
            </w:pPr>
            <w:r>
              <w:rPr>
                <w:rFonts w:ascii="Arial" w:eastAsia="宋体" w:hAnsi="Arial" w:cs="Arial"/>
                <w:color w:val="333333"/>
                <w:sz w:val="18"/>
                <w:szCs w:val="18"/>
              </w:rPr>
              <w:t>Government debt²</w:t>
            </w:r>
          </w:p>
        </w:tc>
        <w:tc>
          <w:tcPr>
            <w:tcW w:w="0" w:type="auto"/>
            <w:gridSpan w:val="3"/>
            <w:shd w:val="clear" w:color="auto" w:fill="auto"/>
            <w:tcMar>
              <w:left w:w="20" w:type="dxa"/>
              <w:right w:w="20" w:type="dxa"/>
            </w:tcMar>
            <w:vAlign w:val="bottom"/>
          </w:tcPr>
          <w:p w14:paraId="20AE1901"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902" w14:textId="77777777" w:rsidR="00B626E7" w:rsidRDefault="00175C1D">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20AE1903"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904"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905" w14:textId="77777777" w:rsidR="00B626E7" w:rsidRDefault="00175C1D">
            <w:pPr>
              <w:jc w:val="right"/>
              <w:textAlignment w:val="bottom"/>
            </w:pPr>
            <w:r>
              <w:rPr>
                <w:rFonts w:ascii="Arial" w:eastAsia="宋体" w:hAnsi="Arial" w:cs="Arial"/>
                <w:color w:val="026DCE"/>
                <w:sz w:val="18"/>
                <w:szCs w:val="18"/>
              </w:rPr>
              <w:t>1,269 </w:t>
            </w:r>
          </w:p>
        </w:tc>
        <w:tc>
          <w:tcPr>
            <w:tcW w:w="0" w:type="auto"/>
            <w:shd w:val="clear" w:color="auto" w:fill="auto"/>
            <w:tcMar>
              <w:top w:w="40" w:type="dxa"/>
              <w:bottom w:w="40" w:type="dxa"/>
              <w:right w:w="20" w:type="dxa"/>
            </w:tcMar>
            <w:vAlign w:val="bottom"/>
          </w:tcPr>
          <w:p w14:paraId="20AE1906"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907"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908" w14:textId="77777777" w:rsidR="00B626E7" w:rsidRDefault="00175C1D">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20AE1909"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90A"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90B" w14:textId="77777777" w:rsidR="00B626E7" w:rsidRDefault="00175C1D">
            <w:pPr>
              <w:jc w:val="right"/>
              <w:textAlignment w:val="bottom"/>
            </w:pPr>
            <w:r>
              <w:rPr>
                <w:rFonts w:ascii="Arial" w:eastAsia="宋体" w:hAnsi="Arial" w:cs="Arial"/>
                <w:color w:val="026DCE"/>
                <w:sz w:val="18"/>
                <w:szCs w:val="18"/>
              </w:rPr>
              <w:t>1,269 </w:t>
            </w:r>
          </w:p>
        </w:tc>
        <w:tc>
          <w:tcPr>
            <w:tcW w:w="0" w:type="auto"/>
            <w:shd w:val="clear" w:color="auto" w:fill="auto"/>
            <w:tcMar>
              <w:top w:w="40" w:type="dxa"/>
              <w:bottom w:w="40" w:type="dxa"/>
              <w:right w:w="20" w:type="dxa"/>
            </w:tcMar>
            <w:vAlign w:val="bottom"/>
          </w:tcPr>
          <w:p w14:paraId="20AE190C"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90D"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90E"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190F"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910"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911" w14:textId="77777777" w:rsidR="00B626E7" w:rsidRDefault="00175C1D">
            <w:pPr>
              <w:jc w:val="right"/>
              <w:textAlignment w:val="bottom"/>
            </w:pPr>
            <w:r>
              <w:rPr>
                <w:rFonts w:ascii="Arial" w:eastAsia="宋体" w:hAnsi="Arial" w:cs="Arial"/>
                <w:color w:val="333333"/>
                <w:sz w:val="18"/>
                <w:szCs w:val="18"/>
              </w:rPr>
              <w:t>11 </w:t>
            </w:r>
          </w:p>
        </w:tc>
        <w:tc>
          <w:tcPr>
            <w:tcW w:w="0" w:type="auto"/>
            <w:shd w:val="clear" w:color="auto" w:fill="auto"/>
            <w:tcMar>
              <w:top w:w="40" w:type="dxa"/>
              <w:bottom w:w="40" w:type="dxa"/>
              <w:right w:w="20" w:type="dxa"/>
            </w:tcMar>
            <w:vAlign w:val="bottom"/>
          </w:tcPr>
          <w:p w14:paraId="20AE1912"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913"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914"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1915"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916"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917" w14:textId="77777777" w:rsidR="00B626E7" w:rsidRDefault="00175C1D">
            <w:pPr>
              <w:jc w:val="right"/>
              <w:textAlignment w:val="bottom"/>
            </w:pPr>
            <w:r>
              <w:rPr>
                <w:rFonts w:ascii="Arial" w:eastAsia="宋体" w:hAnsi="Arial" w:cs="Arial"/>
                <w:color w:val="333333"/>
                <w:sz w:val="18"/>
                <w:szCs w:val="18"/>
              </w:rPr>
              <w:t>11 </w:t>
            </w:r>
          </w:p>
        </w:tc>
        <w:tc>
          <w:tcPr>
            <w:tcW w:w="0" w:type="auto"/>
            <w:shd w:val="clear" w:color="auto" w:fill="auto"/>
            <w:tcMar>
              <w:top w:w="40" w:type="dxa"/>
              <w:bottom w:w="40" w:type="dxa"/>
              <w:right w:w="20" w:type="dxa"/>
            </w:tcMar>
            <w:vAlign w:val="bottom"/>
          </w:tcPr>
          <w:p w14:paraId="20AE1918"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919" w14:textId="77777777" w:rsidR="00B626E7" w:rsidRDefault="00B626E7">
            <w:pPr>
              <w:rPr>
                <w:rFonts w:ascii="宋体"/>
              </w:rPr>
            </w:pPr>
          </w:p>
        </w:tc>
        <w:tc>
          <w:tcPr>
            <w:tcW w:w="0" w:type="auto"/>
            <w:shd w:val="clear" w:color="auto" w:fill="auto"/>
          </w:tcPr>
          <w:p w14:paraId="20AE191A" w14:textId="77777777" w:rsidR="00B626E7" w:rsidRDefault="00B626E7">
            <w:pPr>
              <w:rPr>
                <w:rFonts w:ascii="宋体"/>
              </w:rPr>
            </w:pPr>
          </w:p>
        </w:tc>
        <w:tc>
          <w:tcPr>
            <w:tcW w:w="0" w:type="auto"/>
            <w:shd w:val="clear" w:color="auto" w:fill="auto"/>
          </w:tcPr>
          <w:p w14:paraId="20AE191B" w14:textId="77777777" w:rsidR="00B626E7" w:rsidRDefault="00B626E7">
            <w:pPr>
              <w:rPr>
                <w:rFonts w:ascii="宋体"/>
              </w:rPr>
            </w:pPr>
          </w:p>
        </w:tc>
        <w:tc>
          <w:tcPr>
            <w:tcW w:w="0" w:type="auto"/>
            <w:shd w:val="clear" w:color="auto" w:fill="auto"/>
          </w:tcPr>
          <w:p w14:paraId="20AE191C" w14:textId="77777777" w:rsidR="00B626E7" w:rsidRDefault="00B626E7">
            <w:pPr>
              <w:rPr>
                <w:rFonts w:ascii="宋体"/>
              </w:rPr>
            </w:pPr>
          </w:p>
        </w:tc>
        <w:tc>
          <w:tcPr>
            <w:tcW w:w="0" w:type="auto"/>
            <w:shd w:val="clear" w:color="auto" w:fill="auto"/>
          </w:tcPr>
          <w:p w14:paraId="20AE191D" w14:textId="77777777" w:rsidR="00B626E7" w:rsidRDefault="00B626E7">
            <w:pPr>
              <w:rPr>
                <w:rFonts w:ascii="宋体"/>
              </w:rPr>
            </w:pPr>
          </w:p>
        </w:tc>
        <w:tc>
          <w:tcPr>
            <w:tcW w:w="0" w:type="auto"/>
            <w:shd w:val="clear" w:color="auto" w:fill="auto"/>
          </w:tcPr>
          <w:p w14:paraId="20AE191E" w14:textId="77777777" w:rsidR="00B626E7" w:rsidRDefault="00B626E7">
            <w:pPr>
              <w:rPr>
                <w:rFonts w:ascii="宋体"/>
              </w:rPr>
            </w:pPr>
          </w:p>
        </w:tc>
        <w:tc>
          <w:tcPr>
            <w:tcW w:w="0" w:type="auto"/>
            <w:shd w:val="clear" w:color="auto" w:fill="auto"/>
          </w:tcPr>
          <w:p w14:paraId="20AE191F" w14:textId="77777777" w:rsidR="00B626E7" w:rsidRDefault="00B626E7">
            <w:pPr>
              <w:rPr>
                <w:rFonts w:ascii="宋体"/>
              </w:rPr>
            </w:pPr>
          </w:p>
        </w:tc>
        <w:tc>
          <w:tcPr>
            <w:tcW w:w="0" w:type="auto"/>
            <w:shd w:val="clear" w:color="auto" w:fill="auto"/>
          </w:tcPr>
          <w:p w14:paraId="20AE1920" w14:textId="77777777" w:rsidR="00B626E7" w:rsidRDefault="00B626E7">
            <w:pPr>
              <w:rPr>
                <w:rFonts w:ascii="宋体"/>
              </w:rPr>
            </w:pPr>
          </w:p>
        </w:tc>
        <w:tc>
          <w:tcPr>
            <w:tcW w:w="0" w:type="auto"/>
            <w:shd w:val="clear" w:color="auto" w:fill="auto"/>
          </w:tcPr>
          <w:p w14:paraId="20AE1921" w14:textId="77777777" w:rsidR="00B626E7" w:rsidRDefault="00B626E7">
            <w:pPr>
              <w:rPr>
                <w:rFonts w:ascii="宋体"/>
              </w:rPr>
            </w:pPr>
          </w:p>
        </w:tc>
        <w:tc>
          <w:tcPr>
            <w:tcW w:w="0" w:type="auto"/>
            <w:shd w:val="clear" w:color="auto" w:fill="auto"/>
          </w:tcPr>
          <w:p w14:paraId="20AE1922" w14:textId="77777777" w:rsidR="00B626E7" w:rsidRDefault="00B626E7">
            <w:pPr>
              <w:rPr>
                <w:rFonts w:ascii="宋体"/>
              </w:rPr>
            </w:pPr>
          </w:p>
        </w:tc>
        <w:tc>
          <w:tcPr>
            <w:tcW w:w="0" w:type="auto"/>
            <w:shd w:val="clear" w:color="auto" w:fill="auto"/>
          </w:tcPr>
          <w:p w14:paraId="20AE1923" w14:textId="77777777" w:rsidR="00B626E7" w:rsidRDefault="00B626E7">
            <w:pPr>
              <w:rPr>
                <w:rFonts w:ascii="宋体"/>
              </w:rPr>
            </w:pPr>
          </w:p>
        </w:tc>
        <w:tc>
          <w:tcPr>
            <w:tcW w:w="0" w:type="auto"/>
            <w:shd w:val="clear" w:color="auto" w:fill="auto"/>
          </w:tcPr>
          <w:p w14:paraId="20AE1924" w14:textId="77777777" w:rsidR="00B626E7" w:rsidRDefault="00B626E7">
            <w:pPr>
              <w:rPr>
                <w:rFonts w:ascii="宋体"/>
              </w:rPr>
            </w:pPr>
          </w:p>
        </w:tc>
      </w:tr>
      <w:tr w:rsidR="00B626E7" w14:paraId="20AE1943" w14:textId="77777777">
        <w:tc>
          <w:tcPr>
            <w:tcW w:w="0" w:type="auto"/>
            <w:gridSpan w:val="3"/>
            <w:shd w:val="clear" w:color="auto" w:fill="auto"/>
            <w:tcMar>
              <w:top w:w="40" w:type="dxa"/>
              <w:left w:w="20" w:type="dxa"/>
              <w:bottom w:w="40" w:type="dxa"/>
              <w:right w:w="20" w:type="dxa"/>
            </w:tcMar>
          </w:tcPr>
          <w:p w14:paraId="20AE1926" w14:textId="77777777" w:rsidR="00B626E7" w:rsidRDefault="00175C1D">
            <w:pPr>
              <w:textAlignment w:val="top"/>
            </w:pPr>
            <w:r>
              <w:rPr>
                <w:rFonts w:ascii="Arial" w:eastAsia="宋体" w:hAnsi="Arial" w:cs="Arial"/>
                <w:color w:val="333333"/>
                <w:sz w:val="18"/>
                <w:szCs w:val="18"/>
              </w:rPr>
              <w:t>Trading assets:</w:t>
            </w:r>
          </w:p>
        </w:tc>
        <w:tc>
          <w:tcPr>
            <w:tcW w:w="0" w:type="auto"/>
            <w:gridSpan w:val="3"/>
            <w:shd w:val="clear" w:color="auto" w:fill="auto"/>
            <w:tcMar>
              <w:left w:w="20" w:type="dxa"/>
              <w:right w:w="20" w:type="dxa"/>
            </w:tcMar>
            <w:vAlign w:val="bottom"/>
          </w:tcPr>
          <w:p w14:paraId="20AE1927"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928"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929"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92A"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92B"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92C"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92D"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92E"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92F"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930"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931"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932"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933"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934"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935"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936" w14:textId="77777777" w:rsidR="00B626E7" w:rsidRDefault="00B626E7">
            <w:pPr>
              <w:rPr>
                <w:rFonts w:ascii="宋体"/>
              </w:rPr>
            </w:pPr>
          </w:p>
        </w:tc>
        <w:tc>
          <w:tcPr>
            <w:tcW w:w="0" w:type="auto"/>
            <w:shd w:val="clear" w:color="auto" w:fill="auto"/>
          </w:tcPr>
          <w:p w14:paraId="20AE1937" w14:textId="77777777" w:rsidR="00B626E7" w:rsidRDefault="00B626E7">
            <w:pPr>
              <w:rPr>
                <w:rFonts w:ascii="宋体"/>
              </w:rPr>
            </w:pPr>
          </w:p>
        </w:tc>
        <w:tc>
          <w:tcPr>
            <w:tcW w:w="0" w:type="auto"/>
            <w:shd w:val="clear" w:color="auto" w:fill="auto"/>
          </w:tcPr>
          <w:p w14:paraId="20AE1938" w14:textId="77777777" w:rsidR="00B626E7" w:rsidRDefault="00B626E7">
            <w:pPr>
              <w:rPr>
                <w:rFonts w:ascii="宋体"/>
              </w:rPr>
            </w:pPr>
          </w:p>
        </w:tc>
        <w:tc>
          <w:tcPr>
            <w:tcW w:w="0" w:type="auto"/>
            <w:shd w:val="clear" w:color="auto" w:fill="auto"/>
          </w:tcPr>
          <w:p w14:paraId="20AE1939" w14:textId="77777777" w:rsidR="00B626E7" w:rsidRDefault="00B626E7">
            <w:pPr>
              <w:rPr>
                <w:rFonts w:ascii="宋体"/>
              </w:rPr>
            </w:pPr>
          </w:p>
        </w:tc>
        <w:tc>
          <w:tcPr>
            <w:tcW w:w="0" w:type="auto"/>
            <w:shd w:val="clear" w:color="auto" w:fill="auto"/>
          </w:tcPr>
          <w:p w14:paraId="20AE193A" w14:textId="77777777" w:rsidR="00B626E7" w:rsidRDefault="00B626E7">
            <w:pPr>
              <w:rPr>
                <w:rFonts w:ascii="宋体"/>
              </w:rPr>
            </w:pPr>
          </w:p>
        </w:tc>
        <w:tc>
          <w:tcPr>
            <w:tcW w:w="0" w:type="auto"/>
            <w:shd w:val="clear" w:color="auto" w:fill="auto"/>
          </w:tcPr>
          <w:p w14:paraId="20AE193B" w14:textId="77777777" w:rsidR="00B626E7" w:rsidRDefault="00B626E7">
            <w:pPr>
              <w:rPr>
                <w:rFonts w:ascii="宋体"/>
              </w:rPr>
            </w:pPr>
          </w:p>
        </w:tc>
        <w:tc>
          <w:tcPr>
            <w:tcW w:w="0" w:type="auto"/>
            <w:shd w:val="clear" w:color="auto" w:fill="auto"/>
          </w:tcPr>
          <w:p w14:paraId="20AE193C" w14:textId="77777777" w:rsidR="00B626E7" w:rsidRDefault="00B626E7">
            <w:pPr>
              <w:rPr>
                <w:rFonts w:ascii="宋体"/>
              </w:rPr>
            </w:pPr>
          </w:p>
        </w:tc>
        <w:tc>
          <w:tcPr>
            <w:tcW w:w="0" w:type="auto"/>
            <w:shd w:val="clear" w:color="auto" w:fill="auto"/>
          </w:tcPr>
          <w:p w14:paraId="20AE193D" w14:textId="77777777" w:rsidR="00B626E7" w:rsidRDefault="00B626E7">
            <w:pPr>
              <w:rPr>
                <w:rFonts w:ascii="宋体"/>
              </w:rPr>
            </w:pPr>
          </w:p>
        </w:tc>
        <w:tc>
          <w:tcPr>
            <w:tcW w:w="0" w:type="auto"/>
            <w:shd w:val="clear" w:color="auto" w:fill="auto"/>
          </w:tcPr>
          <w:p w14:paraId="20AE193E" w14:textId="77777777" w:rsidR="00B626E7" w:rsidRDefault="00B626E7">
            <w:pPr>
              <w:rPr>
                <w:rFonts w:ascii="宋体"/>
              </w:rPr>
            </w:pPr>
          </w:p>
        </w:tc>
        <w:tc>
          <w:tcPr>
            <w:tcW w:w="0" w:type="auto"/>
            <w:shd w:val="clear" w:color="auto" w:fill="auto"/>
          </w:tcPr>
          <w:p w14:paraId="20AE193F" w14:textId="77777777" w:rsidR="00B626E7" w:rsidRDefault="00B626E7">
            <w:pPr>
              <w:rPr>
                <w:rFonts w:ascii="宋体"/>
              </w:rPr>
            </w:pPr>
          </w:p>
        </w:tc>
        <w:tc>
          <w:tcPr>
            <w:tcW w:w="0" w:type="auto"/>
            <w:shd w:val="clear" w:color="auto" w:fill="auto"/>
          </w:tcPr>
          <w:p w14:paraId="20AE1940" w14:textId="77777777" w:rsidR="00B626E7" w:rsidRDefault="00B626E7">
            <w:pPr>
              <w:rPr>
                <w:rFonts w:ascii="宋体"/>
              </w:rPr>
            </w:pPr>
          </w:p>
        </w:tc>
        <w:tc>
          <w:tcPr>
            <w:tcW w:w="0" w:type="auto"/>
            <w:shd w:val="clear" w:color="auto" w:fill="auto"/>
          </w:tcPr>
          <w:p w14:paraId="20AE1941" w14:textId="77777777" w:rsidR="00B626E7" w:rsidRDefault="00B626E7">
            <w:pPr>
              <w:rPr>
                <w:rFonts w:ascii="宋体"/>
              </w:rPr>
            </w:pPr>
          </w:p>
        </w:tc>
        <w:tc>
          <w:tcPr>
            <w:tcW w:w="0" w:type="auto"/>
            <w:shd w:val="clear" w:color="auto" w:fill="auto"/>
          </w:tcPr>
          <w:p w14:paraId="20AE1942" w14:textId="77777777" w:rsidR="00B626E7" w:rsidRDefault="00B626E7">
            <w:pPr>
              <w:rPr>
                <w:rFonts w:ascii="宋体"/>
              </w:rPr>
            </w:pPr>
          </w:p>
        </w:tc>
      </w:tr>
      <w:tr w:rsidR="00B626E7" w14:paraId="20AE1961" w14:textId="77777777">
        <w:trPr>
          <w:hidden/>
        </w:trPr>
        <w:tc>
          <w:tcPr>
            <w:tcW w:w="0" w:type="auto"/>
            <w:gridSpan w:val="3"/>
            <w:shd w:val="clear" w:color="auto" w:fill="auto"/>
          </w:tcPr>
          <w:p w14:paraId="20AE1944" w14:textId="77777777" w:rsidR="00B626E7" w:rsidRDefault="00B626E7">
            <w:pPr>
              <w:rPr>
                <w:rFonts w:ascii="宋体"/>
                <w:vanish/>
              </w:rPr>
            </w:pPr>
          </w:p>
        </w:tc>
        <w:tc>
          <w:tcPr>
            <w:tcW w:w="0" w:type="auto"/>
            <w:gridSpan w:val="3"/>
            <w:shd w:val="clear" w:color="auto" w:fill="auto"/>
          </w:tcPr>
          <w:p w14:paraId="20AE1945" w14:textId="77777777" w:rsidR="00B626E7" w:rsidRDefault="00B626E7">
            <w:pPr>
              <w:rPr>
                <w:rFonts w:ascii="宋体"/>
                <w:vanish/>
              </w:rPr>
            </w:pPr>
          </w:p>
        </w:tc>
        <w:tc>
          <w:tcPr>
            <w:tcW w:w="0" w:type="auto"/>
            <w:gridSpan w:val="3"/>
            <w:shd w:val="clear" w:color="auto" w:fill="auto"/>
          </w:tcPr>
          <w:p w14:paraId="20AE1946" w14:textId="77777777" w:rsidR="00B626E7" w:rsidRDefault="00B626E7">
            <w:pPr>
              <w:rPr>
                <w:rFonts w:ascii="宋体"/>
                <w:vanish/>
              </w:rPr>
            </w:pPr>
          </w:p>
        </w:tc>
        <w:tc>
          <w:tcPr>
            <w:tcW w:w="0" w:type="auto"/>
            <w:gridSpan w:val="3"/>
            <w:shd w:val="clear" w:color="auto" w:fill="auto"/>
          </w:tcPr>
          <w:p w14:paraId="20AE1947" w14:textId="77777777" w:rsidR="00B626E7" w:rsidRDefault="00B626E7">
            <w:pPr>
              <w:rPr>
                <w:rFonts w:ascii="宋体"/>
                <w:vanish/>
              </w:rPr>
            </w:pPr>
          </w:p>
        </w:tc>
        <w:tc>
          <w:tcPr>
            <w:tcW w:w="0" w:type="auto"/>
            <w:gridSpan w:val="3"/>
            <w:shd w:val="clear" w:color="auto" w:fill="auto"/>
          </w:tcPr>
          <w:p w14:paraId="20AE1948" w14:textId="77777777" w:rsidR="00B626E7" w:rsidRDefault="00B626E7">
            <w:pPr>
              <w:rPr>
                <w:rFonts w:ascii="宋体"/>
                <w:vanish/>
              </w:rPr>
            </w:pPr>
          </w:p>
        </w:tc>
        <w:tc>
          <w:tcPr>
            <w:tcW w:w="0" w:type="auto"/>
            <w:gridSpan w:val="3"/>
            <w:shd w:val="clear" w:color="auto" w:fill="auto"/>
          </w:tcPr>
          <w:p w14:paraId="20AE1949" w14:textId="77777777" w:rsidR="00B626E7" w:rsidRDefault="00B626E7">
            <w:pPr>
              <w:rPr>
                <w:rFonts w:ascii="宋体"/>
                <w:vanish/>
              </w:rPr>
            </w:pPr>
          </w:p>
        </w:tc>
        <w:tc>
          <w:tcPr>
            <w:tcW w:w="0" w:type="auto"/>
            <w:gridSpan w:val="3"/>
            <w:shd w:val="clear" w:color="auto" w:fill="auto"/>
          </w:tcPr>
          <w:p w14:paraId="20AE194A" w14:textId="77777777" w:rsidR="00B626E7" w:rsidRDefault="00B626E7">
            <w:pPr>
              <w:rPr>
                <w:rFonts w:ascii="宋体"/>
                <w:vanish/>
              </w:rPr>
            </w:pPr>
          </w:p>
        </w:tc>
        <w:tc>
          <w:tcPr>
            <w:tcW w:w="0" w:type="auto"/>
            <w:gridSpan w:val="3"/>
            <w:shd w:val="clear" w:color="auto" w:fill="auto"/>
          </w:tcPr>
          <w:p w14:paraId="20AE194B" w14:textId="77777777" w:rsidR="00B626E7" w:rsidRDefault="00B626E7">
            <w:pPr>
              <w:rPr>
                <w:rFonts w:ascii="宋体"/>
                <w:vanish/>
              </w:rPr>
            </w:pPr>
          </w:p>
        </w:tc>
        <w:tc>
          <w:tcPr>
            <w:tcW w:w="0" w:type="auto"/>
            <w:gridSpan w:val="3"/>
            <w:shd w:val="clear" w:color="auto" w:fill="auto"/>
          </w:tcPr>
          <w:p w14:paraId="20AE194C" w14:textId="77777777" w:rsidR="00B626E7" w:rsidRDefault="00B626E7">
            <w:pPr>
              <w:rPr>
                <w:rFonts w:ascii="宋体"/>
                <w:vanish/>
              </w:rPr>
            </w:pPr>
          </w:p>
        </w:tc>
        <w:tc>
          <w:tcPr>
            <w:tcW w:w="0" w:type="auto"/>
            <w:gridSpan w:val="3"/>
            <w:shd w:val="clear" w:color="auto" w:fill="auto"/>
          </w:tcPr>
          <w:p w14:paraId="20AE194D" w14:textId="77777777" w:rsidR="00B626E7" w:rsidRDefault="00B626E7">
            <w:pPr>
              <w:rPr>
                <w:rFonts w:ascii="宋体"/>
                <w:vanish/>
              </w:rPr>
            </w:pPr>
          </w:p>
        </w:tc>
        <w:tc>
          <w:tcPr>
            <w:tcW w:w="0" w:type="auto"/>
            <w:gridSpan w:val="3"/>
            <w:shd w:val="clear" w:color="auto" w:fill="auto"/>
          </w:tcPr>
          <w:p w14:paraId="20AE194E" w14:textId="77777777" w:rsidR="00B626E7" w:rsidRDefault="00B626E7">
            <w:pPr>
              <w:rPr>
                <w:rFonts w:ascii="宋体"/>
                <w:vanish/>
              </w:rPr>
            </w:pPr>
          </w:p>
        </w:tc>
        <w:tc>
          <w:tcPr>
            <w:tcW w:w="0" w:type="auto"/>
            <w:gridSpan w:val="3"/>
            <w:shd w:val="clear" w:color="auto" w:fill="auto"/>
          </w:tcPr>
          <w:p w14:paraId="20AE194F" w14:textId="77777777" w:rsidR="00B626E7" w:rsidRDefault="00B626E7">
            <w:pPr>
              <w:rPr>
                <w:rFonts w:ascii="宋体"/>
                <w:vanish/>
              </w:rPr>
            </w:pPr>
          </w:p>
        </w:tc>
        <w:tc>
          <w:tcPr>
            <w:tcW w:w="0" w:type="auto"/>
            <w:gridSpan w:val="3"/>
            <w:shd w:val="clear" w:color="auto" w:fill="auto"/>
          </w:tcPr>
          <w:p w14:paraId="20AE1950" w14:textId="77777777" w:rsidR="00B626E7" w:rsidRDefault="00B626E7">
            <w:pPr>
              <w:rPr>
                <w:rFonts w:ascii="宋体"/>
                <w:vanish/>
              </w:rPr>
            </w:pPr>
          </w:p>
        </w:tc>
        <w:tc>
          <w:tcPr>
            <w:tcW w:w="0" w:type="auto"/>
            <w:gridSpan w:val="3"/>
            <w:shd w:val="clear" w:color="auto" w:fill="auto"/>
          </w:tcPr>
          <w:p w14:paraId="20AE1951" w14:textId="77777777" w:rsidR="00B626E7" w:rsidRDefault="00B626E7">
            <w:pPr>
              <w:rPr>
                <w:rFonts w:ascii="宋体"/>
                <w:vanish/>
              </w:rPr>
            </w:pPr>
          </w:p>
        </w:tc>
        <w:tc>
          <w:tcPr>
            <w:tcW w:w="0" w:type="auto"/>
            <w:gridSpan w:val="3"/>
            <w:shd w:val="clear" w:color="auto" w:fill="auto"/>
          </w:tcPr>
          <w:p w14:paraId="20AE1952" w14:textId="77777777" w:rsidR="00B626E7" w:rsidRDefault="00B626E7">
            <w:pPr>
              <w:rPr>
                <w:rFonts w:ascii="宋体"/>
                <w:vanish/>
              </w:rPr>
            </w:pPr>
          </w:p>
        </w:tc>
        <w:tc>
          <w:tcPr>
            <w:tcW w:w="0" w:type="auto"/>
            <w:gridSpan w:val="3"/>
            <w:shd w:val="clear" w:color="auto" w:fill="auto"/>
          </w:tcPr>
          <w:p w14:paraId="20AE1953" w14:textId="77777777" w:rsidR="00B626E7" w:rsidRDefault="00B626E7">
            <w:pPr>
              <w:rPr>
                <w:rFonts w:ascii="宋体"/>
                <w:vanish/>
              </w:rPr>
            </w:pPr>
          </w:p>
        </w:tc>
        <w:tc>
          <w:tcPr>
            <w:tcW w:w="0" w:type="auto"/>
            <w:gridSpan w:val="3"/>
            <w:shd w:val="clear" w:color="auto" w:fill="auto"/>
          </w:tcPr>
          <w:p w14:paraId="20AE1954" w14:textId="77777777" w:rsidR="00B626E7" w:rsidRDefault="00B626E7">
            <w:pPr>
              <w:rPr>
                <w:rFonts w:ascii="宋体"/>
                <w:vanish/>
              </w:rPr>
            </w:pPr>
          </w:p>
        </w:tc>
        <w:tc>
          <w:tcPr>
            <w:tcW w:w="0" w:type="auto"/>
            <w:shd w:val="clear" w:color="auto" w:fill="auto"/>
          </w:tcPr>
          <w:p w14:paraId="20AE1955" w14:textId="77777777" w:rsidR="00B626E7" w:rsidRDefault="00B626E7">
            <w:pPr>
              <w:rPr>
                <w:rFonts w:ascii="宋体"/>
              </w:rPr>
            </w:pPr>
          </w:p>
        </w:tc>
        <w:tc>
          <w:tcPr>
            <w:tcW w:w="0" w:type="auto"/>
            <w:shd w:val="clear" w:color="auto" w:fill="auto"/>
          </w:tcPr>
          <w:p w14:paraId="20AE1956" w14:textId="77777777" w:rsidR="00B626E7" w:rsidRDefault="00B626E7">
            <w:pPr>
              <w:rPr>
                <w:rFonts w:ascii="宋体"/>
              </w:rPr>
            </w:pPr>
          </w:p>
        </w:tc>
        <w:tc>
          <w:tcPr>
            <w:tcW w:w="0" w:type="auto"/>
            <w:shd w:val="clear" w:color="auto" w:fill="auto"/>
          </w:tcPr>
          <w:p w14:paraId="20AE1957" w14:textId="77777777" w:rsidR="00B626E7" w:rsidRDefault="00B626E7">
            <w:pPr>
              <w:rPr>
                <w:rFonts w:ascii="宋体"/>
              </w:rPr>
            </w:pPr>
          </w:p>
        </w:tc>
        <w:tc>
          <w:tcPr>
            <w:tcW w:w="0" w:type="auto"/>
            <w:shd w:val="clear" w:color="auto" w:fill="auto"/>
          </w:tcPr>
          <w:p w14:paraId="20AE1958" w14:textId="77777777" w:rsidR="00B626E7" w:rsidRDefault="00B626E7">
            <w:pPr>
              <w:rPr>
                <w:rFonts w:ascii="宋体"/>
              </w:rPr>
            </w:pPr>
          </w:p>
        </w:tc>
        <w:tc>
          <w:tcPr>
            <w:tcW w:w="0" w:type="auto"/>
            <w:shd w:val="clear" w:color="auto" w:fill="auto"/>
          </w:tcPr>
          <w:p w14:paraId="20AE1959" w14:textId="77777777" w:rsidR="00B626E7" w:rsidRDefault="00B626E7">
            <w:pPr>
              <w:rPr>
                <w:rFonts w:ascii="宋体"/>
              </w:rPr>
            </w:pPr>
          </w:p>
        </w:tc>
        <w:tc>
          <w:tcPr>
            <w:tcW w:w="0" w:type="auto"/>
            <w:shd w:val="clear" w:color="auto" w:fill="auto"/>
          </w:tcPr>
          <w:p w14:paraId="20AE195A" w14:textId="77777777" w:rsidR="00B626E7" w:rsidRDefault="00B626E7">
            <w:pPr>
              <w:rPr>
                <w:rFonts w:ascii="宋体"/>
              </w:rPr>
            </w:pPr>
          </w:p>
        </w:tc>
        <w:tc>
          <w:tcPr>
            <w:tcW w:w="0" w:type="auto"/>
            <w:shd w:val="clear" w:color="auto" w:fill="auto"/>
          </w:tcPr>
          <w:p w14:paraId="20AE195B" w14:textId="77777777" w:rsidR="00B626E7" w:rsidRDefault="00B626E7">
            <w:pPr>
              <w:rPr>
                <w:rFonts w:ascii="宋体"/>
              </w:rPr>
            </w:pPr>
          </w:p>
        </w:tc>
        <w:tc>
          <w:tcPr>
            <w:tcW w:w="0" w:type="auto"/>
            <w:shd w:val="clear" w:color="auto" w:fill="auto"/>
          </w:tcPr>
          <w:p w14:paraId="20AE195C" w14:textId="77777777" w:rsidR="00B626E7" w:rsidRDefault="00B626E7">
            <w:pPr>
              <w:rPr>
                <w:rFonts w:ascii="宋体"/>
              </w:rPr>
            </w:pPr>
          </w:p>
        </w:tc>
        <w:tc>
          <w:tcPr>
            <w:tcW w:w="0" w:type="auto"/>
            <w:shd w:val="clear" w:color="auto" w:fill="auto"/>
          </w:tcPr>
          <w:p w14:paraId="20AE195D" w14:textId="77777777" w:rsidR="00B626E7" w:rsidRDefault="00B626E7">
            <w:pPr>
              <w:rPr>
                <w:rFonts w:ascii="宋体"/>
              </w:rPr>
            </w:pPr>
          </w:p>
        </w:tc>
        <w:tc>
          <w:tcPr>
            <w:tcW w:w="0" w:type="auto"/>
            <w:shd w:val="clear" w:color="auto" w:fill="auto"/>
          </w:tcPr>
          <w:p w14:paraId="20AE195E" w14:textId="77777777" w:rsidR="00B626E7" w:rsidRDefault="00B626E7">
            <w:pPr>
              <w:rPr>
                <w:rFonts w:ascii="宋体"/>
              </w:rPr>
            </w:pPr>
          </w:p>
        </w:tc>
        <w:tc>
          <w:tcPr>
            <w:tcW w:w="0" w:type="auto"/>
            <w:shd w:val="clear" w:color="auto" w:fill="auto"/>
          </w:tcPr>
          <w:p w14:paraId="20AE195F" w14:textId="77777777" w:rsidR="00B626E7" w:rsidRDefault="00B626E7">
            <w:pPr>
              <w:rPr>
                <w:rFonts w:ascii="宋体"/>
              </w:rPr>
            </w:pPr>
          </w:p>
        </w:tc>
        <w:tc>
          <w:tcPr>
            <w:tcW w:w="0" w:type="auto"/>
            <w:shd w:val="clear" w:color="auto" w:fill="auto"/>
          </w:tcPr>
          <w:p w14:paraId="20AE1960" w14:textId="77777777" w:rsidR="00B626E7" w:rsidRDefault="00B626E7">
            <w:pPr>
              <w:rPr>
                <w:rFonts w:ascii="宋体"/>
              </w:rPr>
            </w:pPr>
          </w:p>
        </w:tc>
      </w:tr>
      <w:tr w:rsidR="00B626E7" w14:paraId="20AE1987" w14:textId="77777777">
        <w:tc>
          <w:tcPr>
            <w:tcW w:w="0" w:type="auto"/>
            <w:gridSpan w:val="3"/>
            <w:shd w:val="clear" w:color="auto" w:fill="auto"/>
            <w:tcMar>
              <w:top w:w="40" w:type="dxa"/>
              <w:left w:w="120" w:type="dxa"/>
              <w:bottom w:w="40" w:type="dxa"/>
              <w:right w:w="20" w:type="dxa"/>
            </w:tcMar>
          </w:tcPr>
          <w:p w14:paraId="20AE1962" w14:textId="77777777" w:rsidR="00B626E7" w:rsidRDefault="00175C1D">
            <w:pPr>
              <w:textAlignment w:val="top"/>
            </w:pPr>
            <w:r>
              <w:rPr>
                <w:rFonts w:ascii="Arial" w:eastAsia="宋体" w:hAnsi="Arial" w:cs="Arial"/>
                <w:color w:val="333333"/>
                <w:sz w:val="18"/>
                <w:szCs w:val="18"/>
              </w:rPr>
              <w:t>Corporate debt</w:t>
            </w:r>
          </w:p>
        </w:tc>
        <w:tc>
          <w:tcPr>
            <w:tcW w:w="0" w:type="auto"/>
            <w:gridSpan w:val="3"/>
            <w:shd w:val="clear" w:color="auto" w:fill="auto"/>
            <w:tcMar>
              <w:left w:w="20" w:type="dxa"/>
              <w:right w:w="20" w:type="dxa"/>
            </w:tcMar>
            <w:vAlign w:val="bottom"/>
          </w:tcPr>
          <w:p w14:paraId="20AE1963"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964" w14:textId="77777777" w:rsidR="00B626E7" w:rsidRDefault="00175C1D">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20AE1965"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966"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967" w14:textId="77777777" w:rsidR="00B626E7" w:rsidRDefault="00175C1D">
            <w:pPr>
              <w:jc w:val="right"/>
              <w:textAlignment w:val="bottom"/>
            </w:pPr>
            <w:r>
              <w:rPr>
                <w:rFonts w:ascii="Arial" w:eastAsia="宋体" w:hAnsi="Arial" w:cs="Arial"/>
                <w:color w:val="026DCE"/>
                <w:sz w:val="18"/>
                <w:szCs w:val="18"/>
              </w:rPr>
              <w:t>3,605 </w:t>
            </w:r>
          </w:p>
        </w:tc>
        <w:tc>
          <w:tcPr>
            <w:tcW w:w="0" w:type="auto"/>
            <w:shd w:val="clear" w:color="auto" w:fill="auto"/>
            <w:tcMar>
              <w:top w:w="40" w:type="dxa"/>
              <w:bottom w:w="40" w:type="dxa"/>
              <w:right w:w="20" w:type="dxa"/>
            </w:tcMar>
            <w:vAlign w:val="bottom"/>
          </w:tcPr>
          <w:p w14:paraId="20AE1968"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969"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96A" w14:textId="77777777" w:rsidR="00B626E7" w:rsidRDefault="00175C1D">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20AE196B"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96C"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96D" w14:textId="77777777" w:rsidR="00B626E7" w:rsidRDefault="00175C1D">
            <w:pPr>
              <w:jc w:val="right"/>
              <w:textAlignment w:val="bottom"/>
            </w:pPr>
            <w:r>
              <w:rPr>
                <w:rFonts w:ascii="Arial" w:eastAsia="宋体" w:hAnsi="Arial" w:cs="Arial"/>
                <w:color w:val="026DCE"/>
                <w:sz w:val="18"/>
                <w:szCs w:val="18"/>
              </w:rPr>
              <w:t>3,605 </w:t>
            </w:r>
          </w:p>
        </w:tc>
        <w:tc>
          <w:tcPr>
            <w:tcW w:w="0" w:type="auto"/>
            <w:shd w:val="clear" w:color="auto" w:fill="auto"/>
            <w:tcMar>
              <w:top w:w="40" w:type="dxa"/>
              <w:bottom w:w="40" w:type="dxa"/>
              <w:right w:w="20" w:type="dxa"/>
            </w:tcMar>
            <w:vAlign w:val="bottom"/>
          </w:tcPr>
          <w:p w14:paraId="20AE196E"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96F"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970"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1971"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972"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973" w14:textId="77777777" w:rsidR="00B626E7" w:rsidRDefault="00175C1D">
            <w:pPr>
              <w:jc w:val="right"/>
              <w:textAlignment w:val="bottom"/>
            </w:pPr>
            <w:r>
              <w:rPr>
                <w:rFonts w:ascii="Arial" w:eastAsia="宋体" w:hAnsi="Arial" w:cs="Arial"/>
                <w:color w:val="333333"/>
                <w:sz w:val="18"/>
                <w:szCs w:val="18"/>
              </w:rPr>
              <w:t>2,848 </w:t>
            </w:r>
          </w:p>
        </w:tc>
        <w:tc>
          <w:tcPr>
            <w:tcW w:w="0" w:type="auto"/>
            <w:shd w:val="clear" w:color="auto" w:fill="auto"/>
            <w:tcMar>
              <w:top w:w="40" w:type="dxa"/>
              <w:bottom w:w="40" w:type="dxa"/>
              <w:right w:w="20" w:type="dxa"/>
            </w:tcMar>
            <w:vAlign w:val="bottom"/>
          </w:tcPr>
          <w:p w14:paraId="20AE1974"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975"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976"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1977"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978"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979" w14:textId="77777777" w:rsidR="00B626E7" w:rsidRDefault="00175C1D">
            <w:pPr>
              <w:jc w:val="right"/>
              <w:textAlignment w:val="bottom"/>
            </w:pPr>
            <w:r>
              <w:rPr>
                <w:rFonts w:ascii="Arial" w:eastAsia="宋体" w:hAnsi="Arial" w:cs="Arial"/>
                <w:color w:val="333333"/>
                <w:sz w:val="18"/>
                <w:szCs w:val="18"/>
              </w:rPr>
              <w:t>2,848 </w:t>
            </w:r>
          </w:p>
        </w:tc>
        <w:tc>
          <w:tcPr>
            <w:tcW w:w="0" w:type="auto"/>
            <w:shd w:val="clear" w:color="auto" w:fill="auto"/>
            <w:tcMar>
              <w:top w:w="40" w:type="dxa"/>
              <w:bottom w:w="40" w:type="dxa"/>
              <w:right w:w="20" w:type="dxa"/>
            </w:tcMar>
            <w:vAlign w:val="bottom"/>
          </w:tcPr>
          <w:p w14:paraId="20AE197A"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97B" w14:textId="77777777" w:rsidR="00B626E7" w:rsidRDefault="00B626E7">
            <w:pPr>
              <w:rPr>
                <w:rFonts w:ascii="宋体"/>
              </w:rPr>
            </w:pPr>
          </w:p>
        </w:tc>
        <w:tc>
          <w:tcPr>
            <w:tcW w:w="0" w:type="auto"/>
            <w:shd w:val="clear" w:color="auto" w:fill="auto"/>
          </w:tcPr>
          <w:p w14:paraId="20AE197C" w14:textId="77777777" w:rsidR="00B626E7" w:rsidRDefault="00B626E7">
            <w:pPr>
              <w:rPr>
                <w:rFonts w:ascii="宋体"/>
              </w:rPr>
            </w:pPr>
          </w:p>
        </w:tc>
        <w:tc>
          <w:tcPr>
            <w:tcW w:w="0" w:type="auto"/>
            <w:shd w:val="clear" w:color="auto" w:fill="auto"/>
          </w:tcPr>
          <w:p w14:paraId="20AE197D" w14:textId="77777777" w:rsidR="00B626E7" w:rsidRDefault="00B626E7">
            <w:pPr>
              <w:rPr>
                <w:rFonts w:ascii="宋体"/>
              </w:rPr>
            </w:pPr>
          </w:p>
        </w:tc>
        <w:tc>
          <w:tcPr>
            <w:tcW w:w="0" w:type="auto"/>
            <w:shd w:val="clear" w:color="auto" w:fill="auto"/>
          </w:tcPr>
          <w:p w14:paraId="20AE197E" w14:textId="77777777" w:rsidR="00B626E7" w:rsidRDefault="00B626E7">
            <w:pPr>
              <w:rPr>
                <w:rFonts w:ascii="宋体"/>
              </w:rPr>
            </w:pPr>
          </w:p>
        </w:tc>
        <w:tc>
          <w:tcPr>
            <w:tcW w:w="0" w:type="auto"/>
            <w:shd w:val="clear" w:color="auto" w:fill="auto"/>
          </w:tcPr>
          <w:p w14:paraId="20AE197F" w14:textId="77777777" w:rsidR="00B626E7" w:rsidRDefault="00B626E7">
            <w:pPr>
              <w:rPr>
                <w:rFonts w:ascii="宋体"/>
              </w:rPr>
            </w:pPr>
          </w:p>
        </w:tc>
        <w:tc>
          <w:tcPr>
            <w:tcW w:w="0" w:type="auto"/>
            <w:shd w:val="clear" w:color="auto" w:fill="auto"/>
          </w:tcPr>
          <w:p w14:paraId="20AE1980" w14:textId="77777777" w:rsidR="00B626E7" w:rsidRDefault="00B626E7">
            <w:pPr>
              <w:rPr>
                <w:rFonts w:ascii="宋体"/>
              </w:rPr>
            </w:pPr>
          </w:p>
        </w:tc>
        <w:tc>
          <w:tcPr>
            <w:tcW w:w="0" w:type="auto"/>
            <w:shd w:val="clear" w:color="auto" w:fill="auto"/>
          </w:tcPr>
          <w:p w14:paraId="20AE1981" w14:textId="77777777" w:rsidR="00B626E7" w:rsidRDefault="00B626E7">
            <w:pPr>
              <w:rPr>
                <w:rFonts w:ascii="宋体"/>
              </w:rPr>
            </w:pPr>
          </w:p>
        </w:tc>
        <w:tc>
          <w:tcPr>
            <w:tcW w:w="0" w:type="auto"/>
            <w:shd w:val="clear" w:color="auto" w:fill="auto"/>
          </w:tcPr>
          <w:p w14:paraId="20AE1982" w14:textId="77777777" w:rsidR="00B626E7" w:rsidRDefault="00B626E7">
            <w:pPr>
              <w:rPr>
                <w:rFonts w:ascii="宋体"/>
              </w:rPr>
            </w:pPr>
          </w:p>
        </w:tc>
        <w:tc>
          <w:tcPr>
            <w:tcW w:w="0" w:type="auto"/>
            <w:shd w:val="clear" w:color="auto" w:fill="auto"/>
          </w:tcPr>
          <w:p w14:paraId="20AE1983" w14:textId="77777777" w:rsidR="00B626E7" w:rsidRDefault="00B626E7">
            <w:pPr>
              <w:rPr>
                <w:rFonts w:ascii="宋体"/>
              </w:rPr>
            </w:pPr>
          </w:p>
        </w:tc>
        <w:tc>
          <w:tcPr>
            <w:tcW w:w="0" w:type="auto"/>
            <w:shd w:val="clear" w:color="auto" w:fill="auto"/>
          </w:tcPr>
          <w:p w14:paraId="20AE1984" w14:textId="77777777" w:rsidR="00B626E7" w:rsidRDefault="00B626E7">
            <w:pPr>
              <w:rPr>
                <w:rFonts w:ascii="宋体"/>
              </w:rPr>
            </w:pPr>
          </w:p>
        </w:tc>
        <w:tc>
          <w:tcPr>
            <w:tcW w:w="0" w:type="auto"/>
            <w:shd w:val="clear" w:color="auto" w:fill="auto"/>
          </w:tcPr>
          <w:p w14:paraId="20AE1985" w14:textId="77777777" w:rsidR="00B626E7" w:rsidRDefault="00B626E7">
            <w:pPr>
              <w:rPr>
                <w:rFonts w:ascii="宋体"/>
              </w:rPr>
            </w:pPr>
          </w:p>
        </w:tc>
        <w:tc>
          <w:tcPr>
            <w:tcW w:w="0" w:type="auto"/>
            <w:shd w:val="clear" w:color="auto" w:fill="auto"/>
          </w:tcPr>
          <w:p w14:paraId="20AE1986" w14:textId="77777777" w:rsidR="00B626E7" w:rsidRDefault="00B626E7">
            <w:pPr>
              <w:rPr>
                <w:rFonts w:ascii="宋体"/>
              </w:rPr>
            </w:pPr>
          </w:p>
        </w:tc>
      </w:tr>
      <w:tr w:rsidR="00B626E7" w14:paraId="20AE19AD" w14:textId="77777777">
        <w:tc>
          <w:tcPr>
            <w:tcW w:w="0" w:type="auto"/>
            <w:gridSpan w:val="3"/>
            <w:shd w:val="clear" w:color="auto" w:fill="auto"/>
            <w:tcMar>
              <w:top w:w="40" w:type="dxa"/>
              <w:left w:w="120" w:type="dxa"/>
              <w:bottom w:w="40" w:type="dxa"/>
              <w:right w:w="20" w:type="dxa"/>
            </w:tcMar>
          </w:tcPr>
          <w:p w14:paraId="20AE1988" w14:textId="77777777" w:rsidR="00B626E7" w:rsidRDefault="00175C1D">
            <w:pPr>
              <w:textAlignment w:val="top"/>
            </w:pPr>
            <w:r>
              <w:rPr>
                <w:rFonts w:ascii="Arial" w:eastAsia="宋体" w:hAnsi="Arial" w:cs="Arial"/>
                <w:color w:val="333333"/>
                <w:sz w:val="18"/>
                <w:szCs w:val="18"/>
              </w:rPr>
              <w:t>Financial institution instruments¹</w:t>
            </w:r>
          </w:p>
        </w:tc>
        <w:tc>
          <w:tcPr>
            <w:tcW w:w="0" w:type="auto"/>
            <w:gridSpan w:val="3"/>
            <w:shd w:val="clear" w:color="auto" w:fill="auto"/>
            <w:tcMar>
              <w:left w:w="20" w:type="dxa"/>
              <w:right w:w="20" w:type="dxa"/>
            </w:tcMar>
            <w:vAlign w:val="bottom"/>
          </w:tcPr>
          <w:p w14:paraId="20AE1989"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98A" w14:textId="77777777" w:rsidR="00B626E7" w:rsidRDefault="00175C1D">
            <w:pPr>
              <w:jc w:val="right"/>
              <w:textAlignment w:val="bottom"/>
            </w:pPr>
            <w:r>
              <w:rPr>
                <w:rFonts w:ascii="Arial" w:eastAsia="宋体" w:hAnsi="Arial" w:cs="Arial"/>
                <w:color w:val="026DCE"/>
                <w:sz w:val="18"/>
                <w:szCs w:val="18"/>
              </w:rPr>
              <w:t>206 </w:t>
            </w:r>
          </w:p>
        </w:tc>
        <w:tc>
          <w:tcPr>
            <w:tcW w:w="0" w:type="auto"/>
            <w:shd w:val="clear" w:color="auto" w:fill="auto"/>
            <w:tcMar>
              <w:top w:w="40" w:type="dxa"/>
              <w:bottom w:w="40" w:type="dxa"/>
              <w:right w:w="20" w:type="dxa"/>
            </w:tcMar>
            <w:vAlign w:val="bottom"/>
          </w:tcPr>
          <w:p w14:paraId="20AE198B"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98C"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98D" w14:textId="77777777" w:rsidR="00B626E7" w:rsidRDefault="00175C1D">
            <w:pPr>
              <w:jc w:val="right"/>
              <w:textAlignment w:val="bottom"/>
            </w:pPr>
            <w:r>
              <w:rPr>
                <w:rFonts w:ascii="Arial" w:eastAsia="宋体" w:hAnsi="Arial" w:cs="Arial"/>
                <w:color w:val="026DCE"/>
                <w:sz w:val="18"/>
                <w:szCs w:val="18"/>
              </w:rPr>
              <w:t>2,304 </w:t>
            </w:r>
          </w:p>
        </w:tc>
        <w:tc>
          <w:tcPr>
            <w:tcW w:w="0" w:type="auto"/>
            <w:shd w:val="clear" w:color="auto" w:fill="auto"/>
            <w:tcMar>
              <w:top w:w="40" w:type="dxa"/>
              <w:bottom w:w="40" w:type="dxa"/>
              <w:right w:w="20" w:type="dxa"/>
            </w:tcMar>
            <w:vAlign w:val="bottom"/>
          </w:tcPr>
          <w:p w14:paraId="20AE198E"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98F"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990" w14:textId="77777777" w:rsidR="00B626E7" w:rsidRDefault="00175C1D">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20AE1991"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992"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993" w14:textId="77777777" w:rsidR="00B626E7" w:rsidRDefault="00175C1D">
            <w:pPr>
              <w:jc w:val="right"/>
              <w:textAlignment w:val="bottom"/>
            </w:pPr>
            <w:r>
              <w:rPr>
                <w:rFonts w:ascii="Arial" w:eastAsia="宋体" w:hAnsi="Arial" w:cs="Arial"/>
                <w:color w:val="026DCE"/>
                <w:sz w:val="18"/>
                <w:szCs w:val="18"/>
              </w:rPr>
              <w:t>2,510 </w:t>
            </w:r>
          </w:p>
        </w:tc>
        <w:tc>
          <w:tcPr>
            <w:tcW w:w="0" w:type="auto"/>
            <w:shd w:val="clear" w:color="auto" w:fill="auto"/>
            <w:tcMar>
              <w:top w:w="40" w:type="dxa"/>
              <w:bottom w:w="40" w:type="dxa"/>
              <w:right w:w="20" w:type="dxa"/>
            </w:tcMar>
            <w:vAlign w:val="bottom"/>
          </w:tcPr>
          <w:p w14:paraId="20AE1994"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995"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996" w14:textId="77777777" w:rsidR="00B626E7" w:rsidRDefault="00175C1D">
            <w:pPr>
              <w:jc w:val="right"/>
              <w:textAlignment w:val="bottom"/>
            </w:pPr>
            <w:r>
              <w:rPr>
                <w:rFonts w:ascii="Arial" w:eastAsia="宋体" w:hAnsi="Arial" w:cs="Arial"/>
                <w:color w:val="333333"/>
                <w:sz w:val="18"/>
                <w:szCs w:val="18"/>
              </w:rPr>
              <w:t>87 </w:t>
            </w:r>
          </w:p>
        </w:tc>
        <w:tc>
          <w:tcPr>
            <w:tcW w:w="0" w:type="auto"/>
            <w:shd w:val="clear" w:color="auto" w:fill="auto"/>
            <w:tcMar>
              <w:top w:w="40" w:type="dxa"/>
              <w:bottom w:w="40" w:type="dxa"/>
              <w:right w:w="20" w:type="dxa"/>
            </w:tcMar>
            <w:vAlign w:val="bottom"/>
          </w:tcPr>
          <w:p w14:paraId="20AE1997"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998"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999" w14:textId="77777777" w:rsidR="00B626E7" w:rsidRDefault="00175C1D">
            <w:pPr>
              <w:jc w:val="right"/>
              <w:textAlignment w:val="bottom"/>
            </w:pPr>
            <w:r>
              <w:rPr>
                <w:rFonts w:ascii="Arial" w:eastAsia="宋体" w:hAnsi="Arial" w:cs="Arial"/>
                <w:color w:val="333333"/>
                <w:sz w:val="18"/>
                <w:szCs w:val="18"/>
              </w:rPr>
              <w:t>1,578 </w:t>
            </w:r>
          </w:p>
        </w:tc>
        <w:tc>
          <w:tcPr>
            <w:tcW w:w="0" w:type="auto"/>
            <w:shd w:val="clear" w:color="auto" w:fill="auto"/>
            <w:tcMar>
              <w:top w:w="40" w:type="dxa"/>
              <w:bottom w:w="40" w:type="dxa"/>
              <w:right w:w="20" w:type="dxa"/>
            </w:tcMar>
            <w:vAlign w:val="bottom"/>
          </w:tcPr>
          <w:p w14:paraId="20AE199A"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99B"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99C"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199D"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99E"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99F" w14:textId="77777777" w:rsidR="00B626E7" w:rsidRDefault="00175C1D">
            <w:pPr>
              <w:jc w:val="right"/>
              <w:textAlignment w:val="bottom"/>
            </w:pPr>
            <w:r>
              <w:rPr>
                <w:rFonts w:ascii="Arial" w:eastAsia="宋体" w:hAnsi="Arial" w:cs="Arial"/>
                <w:color w:val="333333"/>
                <w:sz w:val="18"/>
                <w:szCs w:val="18"/>
              </w:rPr>
              <w:t>1,665 </w:t>
            </w:r>
          </w:p>
        </w:tc>
        <w:tc>
          <w:tcPr>
            <w:tcW w:w="0" w:type="auto"/>
            <w:shd w:val="clear" w:color="auto" w:fill="auto"/>
            <w:tcMar>
              <w:top w:w="40" w:type="dxa"/>
              <w:bottom w:w="40" w:type="dxa"/>
              <w:right w:w="20" w:type="dxa"/>
            </w:tcMar>
            <w:vAlign w:val="bottom"/>
          </w:tcPr>
          <w:p w14:paraId="20AE19A0"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9A1" w14:textId="77777777" w:rsidR="00B626E7" w:rsidRDefault="00B626E7">
            <w:pPr>
              <w:rPr>
                <w:rFonts w:ascii="宋体"/>
              </w:rPr>
            </w:pPr>
          </w:p>
        </w:tc>
        <w:tc>
          <w:tcPr>
            <w:tcW w:w="0" w:type="auto"/>
            <w:shd w:val="clear" w:color="auto" w:fill="auto"/>
          </w:tcPr>
          <w:p w14:paraId="20AE19A2" w14:textId="77777777" w:rsidR="00B626E7" w:rsidRDefault="00B626E7">
            <w:pPr>
              <w:rPr>
                <w:rFonts w:ascii="宋体"/>
              </w:rPr>
            </w:pPr>
          </w:p>
        </w:tc>
        <w:tc>
          <w:tcPr>
            <w:tcW w:w="0" w:type="auto"/>
            <w:shd w:val="clear" w:color="auto" w:fill="auto"/>
          </w:tcPr>
          <w:p w14:paraId="20AE19A3" w14:textId="77777777" w:rsidR="00B626E7" w:rsidRDefault="00B626E7">
            <w:pPr>
              <w:rPr>
                <w:rFonts w:ascii="宋体"/>
              </w:rPr>
            </w:pPr>
          </w:p>
        </w:tc>
        <w:tc>
          <w:tcPr>
            <w:tcW w:w="0" w:type="auto"/>
            <w:shd w:val="clear" w:color="auto" w:fill="auto"/>
          </w:tcPr>
          <w:p w14:paraId="20AE19A4" w14:textId="77777777" w:rsidR="00B626E7" w:rsidRDefault="00B626E7">
            <w:pPr>
              <w:rPr>
                <w:rFonts w:ascii="宋体"/>
              </w:rPr>
            </w:pPr>
          </w:p>
        </w:tc>
        <w:tc>
          <w:tcPr>
            <w:tcW w:w="0" w:type="auto"/>
            <w:shd w:val="clear" w:color="auto" w:fill="auto"/>
          </w:tcPr>
          <w:p w14:paraId="20AE19A5" w14:textId="77777777" w:rsidR="00B626E7" w:rsidRDefault="00B626E7">
            <w:pPr>
              <w:rPr>
                <w:rFonts w:ascii="宋体"/>
              </w:rPr>
            </w:pPr>
          </w:p>
        </w:tc>
        <w:tc>
          <w:tcPr>
            <w:tcW w:w="0" w:type="auto"/>
            <w:shd w:val="clear" w:color="auto" w:fill="auto"/>
          </w:tcPr>
          <w:p w14:paraId="20AE19A6" w14:textId="77777777" w:rsidR="00B626E7" w:rsidRDefault="00B626E7">
            <w:pPr>
              <w:rPr>
                <w:rFonts w:ascii="宋体"/>
              </w:rPr>
            </w:pPr>
          </w:p>
        </w:tc>
        <w:tc>
          <w:tcPr>
            <w:tcW w:w="0" w:type="auto"/>
            <w:shd w:val="clear" w:color="auto" w:fill="auto"/>
          </w:tcPr>
          <w:p w14:paraId="20AE19A7" w14:textId="77777777" w:rsidR="00B626E7" w:rsidRDefault="00B626E7">
            <w:pPr>
              <w:rPr>
                <w:rFonts w:ascii="宋体"/>
              </w:rPr>
            </w:pPr>
          </w:p>
        </w:tc>
        <w:tc>
          <w:tcPr>
            <w:tcW w:w="0" w:type="auto"/>
            <w:shd w:val="clear" w:color="auto" w:fill="auto"/>
          </w:tcPr>
          <w:p w14:paraId="20AE19A8" w14:textId="77777777" w:rsidR="00B626E7" w:rsidRDefault="00B626E7">
            <w:pPr>
              <w:rPr>
                <w:rFonts w:ascii="宋体"/>
              </w:rPr>
            </w:pPr>
          </w:p>
        </w:tc>
        <w:tc>
          <w:tcPr>
            <w:tcW w:w="0" w:type="auto"/>
            <w:shd w:val="clear" w:color="auto" w:fill="auto"/>
          </w:tcPr>
          <w:p w14:paraId="20AE19A9" w14:textId="77777777" w:rsidR="00B626E7" w:rsidRDefault="00B626E7">
            <w:pPr>
              <w:rPr>
                <w:rFonts w:ascii="宋体"/>
              </w:rPr>
            </w:pPr>
          </w:p>
        </w:tc>
        <w:tc>
          <w:tcPr>
            <w:tcW w:w="0" w:type="auto"/>
            <w:shd w:val="clear" w:color="auto" w:fill="auto"/>
          </w:tcPr>
          <w:p w14:paraId="20AE19AA" w14:textId="77777777" w:rsidR="00B626E7" w:rsidRDefault="00B626E7">
            <w:pPr>
              <w:rPr>
                <w:rFonts w:ascii="宋体"/>
              </w:rPr>
            </w:pPr>
          </w:p>
        </w:tc>
        <w:tc>
          <w:tcPr>
            <w:tcW w:w="0" w:type="auto"/>
            <w:shd w:val="clear" w:color="auto" w:fill="auto"/>
          </w:tcPr>
          <w:p w14:paraId="20AE19AB" w14:textId="77777777" w:rsidR="00B626E7" w:rsidRDefault="00B626E7">
            <w:pPr>
              <w:rPr>
                <w:rFonts w:ascii="宋体"/>
              </w:rPr>
            </w:pPr>
          </w:p>
        </w:tc>
        <w:tc>
          <w:tcPr>
            <w:tcW w:w="0" w:type="auto"/>
            <w:shd w:val="clear" w:color="auto" w:fill="auto"/>
          </w:tcPr>
          <w:p w14:paraId="20AE19AC" w14:textId="77777777" w:rsidR="00B626E7" w:rsidRDefault="00B626E7">
            <w:pPr>
              <w:rPr>
                <w:rFonts w:ascii="宋体"/>
              </w:rPr>
            </w:pPr>
          </w:p>
        </w:tc>
      </w:tr>
      <w:tr w:rsidR="00B626E7" w14:paraId="20AE19D3" w14:textId="77777777">
        <w:tc>
          <w:tcPr>
            <w:tcW w:w="0" w:type="auto"/>
            <w:gridSpan w:val="3"/>
            <w:shd w:val="clear" w:color="auto" w:fill="auto"/>
            <w:tcMar>
              <w:top w:w="40" w:type="dxa"/>
              <w:left w:w="120" w:type="dxa"/>
              <w:bottom w:w="40" w:type="dxa"/>
              <w:right w:w="20" w:type="dxa"/>
            </w:tcMar>
          </w:tcPr>
          <w:p w14:paraId="20AE19AE" w14:textId="77777777" w:rsidR="00B626E7" w:rsidRDefault="00175C1D">
            <w:pPr>
              <w:textAlignment w:val="top"/>
            </w:pPr>
            <w:r>
              <w:rPr>
                <w:rFonts w:ascii="Arial" w:eastAsia="宋体" w:hAnsi="Arial" w:cs="Arial"/>
                <w:color w:val="333333"/>
                <w:sz w:val="18"/>
                <w:szCs w:val="18"/>
              </w:rPr>
              <w:t>Government debt²</w:t>
            </w:r>
          </w:p>
        </w:tc>
        <w:tc>
          <w:tcPr>
            <w:tcW w:w="0" w:type="auto"/>
            <w:gridSpan w:val="3"/>
            <w:shd w:val="clear" w:color="auto" w:fill="auto"/>
            <w:tcMar>
              <w:left w:w="20" w:type="dxa"/>
              <w:right w:w="20" w:type="dxa"/>
            </w:tcMar>
            <w:vAlign w:val="bottom"/>
          </w:tcPr>
          <w:p w14:paraId="20AE19AF"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9B0" w14:textId="77777777" w:rsidR="00B626E7" w:rsidRDefault="00175C1D">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20AE19B1"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9B2"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9B3" w14:textId="77777777" w:rsidR="00B626E7" w:rsidRDefault="00175C1D">
            <w:pPr>
              <w:jc w:val="right"/>
              <w:textAlignment w:val="bottom"/>
            </w:pPr>
            <w:r>
              <w:rPr>
                <w:rFonts w:ascii="Arial" w:eastAsia="宋体" w:hAnsi="Arial" w:cs="Arial"/>
                <w:color w:val="026DCE"/>
                <w:sz w:val="18"/>
                <w:szCs w:val="18"/>
              </w:rPr>
              <w:t>6,173 </w:t>
            </w:r>
          </w:p>
        </w:tc>
        <w:tc>
          <w:tcPr>
            <w:tcW w:w="0" w:type="auto"/>
            <w:shd w:val="clear" w:color="auto" w:fill="auto"/>
            <w:tcMar>
              <w:top w:w="40" w:type="dxa"/>
              <w:bottom w:w="40" w:type="dxa"/>
              <w:right w:w="20" w:type="dxa"/>
            </w:tcMar>
            <w:vAlign w:val="bottom"/>
          </w:tcPr>
          <w:p w14:paraId="20AE19B4"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9B5"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9B6" w14:textId="77777777" w:rsidR="00B626E7" w:rsidRDefault="00175C1D">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20AE19B7"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9B8"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9B9" w14:textId="77777777" w:rsidR="00B626E7" w:rsidRDefault="00175C1D">
            <w:pPr>
              <w:jc w:val="right"/>
              <w:textAlignment w:val="bottom"/>
            </w:pPr>
            <w:r>
              <w:rPr>
                <w:rFonts w:ascii="Arial" w:eastAsia="宋体" w:hAnsi="Arial" w:cs="Arial"/>
                <w:color w:val="026DCE"/>
                <w:sz w:val="18"/>
                <w:szCs w:val="18"/>
              </w:rPr>
              <w:t>6,173 </w:t>
            </w:r>
          </w:p>
        </w:tc>
        <w:tc>
          <w:tcPr>
            <w:tcW w:w="0" w:type="auto"/>
            <w:shd w:val="clear" w:color="auto" w:fill="auto"/>
            <w:tcMar>
              <w:top w:w="40" w:type="dxa"/>
              <w:bottom w:w="40" w:type="dxa"/>
              <w:right w:w="20" w:type="dxa"/>
            </w:tcMar>
            <w:vAlign w:val="bottom"/>
          </w:tcPr>
          <w:p w14:paraId="20AE19BA"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9BB"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9BC"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19BD"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9BE"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9BF" w14:textId="77777777" w:rsidR="00B626E7" w:rsidRDefault="00175C1D">
            <w:pPr>
              <w:jc w:val="right"/>
              <w:textAlignment w:val="bottom"/>
            </w:pPr>
            <w:r>
              <w:rPr>
                <w:rFonts w:ascii="Arial" w:eastAsia="宋体" w:hAnsi="Arial" w:cs="Arial"/>
                <w:color w:val="333333"/>
                <w:sz w:val="18"/>
                <w:szCs w:val="18"/>
              </w:rPr>
              <w:t>3,334 </w:t>
            </w:r>
          </w:p>
        </w:tc>
        <w:tc>
          <w:tcPr>
            <w:tcW w:w="0" w:type="auto"/>
            <w:shd w:val="clear" w:color="auto" w:fill="auto"/>
            <w:tcMar>
              <w:top w:w="40" w:type="dxa"/>
              <w:bottom w:w="40" w:type="dxa"/>
              <w:right w:w="20" w:type="dxa"/>
            </w:tcMar>
            <w:vAlign w:val="bottom"/>
          </w:tcPr>
          <w:p w14:paraId="20AE19C0"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9C1"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9C2"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19C3"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9C4"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9C5" w14:textId="77777777" w:rsidR="00B626E7" w:rsidRDefault="00175C1D">
            <w:pPr>
              <w:jc w:val="right"/>
              <w:textAlignment w:val="bottom"/>
            </w:pPr>
            <w:r>
              <w:rPr>
                <w:rFonts w:ascii="Arial" w:eastAsia="宋体" w:hAnsi="Arial" w:cs="Arial"/>
                <w:color w:val="333333"/>
                <w:sz w:val="18"/>
                <w:szCs w:val="18"/>
              </w:rPr>
              <w:t>3,334 </w:t>
            </w:r>
          </w:p>
        </w:tc>
        <w:tc>
          <w:tcPr>
            <w:tcW w:w="0" w:type="auto"/>
            <w:shd w:val="clear" w:color="auto" w:fill="auto"/>
            <w:tcMar>
              <w:top w:w="40" w:type="dxa"/>
              <w:bottom w:w="40" w:type="dxa"/>
              <w:right w:w="20" w:type="dxa"/>
            </w:tcMar>
            <w:vAlign w:val="bottom"/>
          </w:tcPr>
          <w:p w14:paraId="20AE19C6"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9C7" w14:textId="77777777" w:rsidR="00B626E7" w:rsidRDefault="00B626E7">
            <w:pPr>
              <w:rPr>
                <w:rFonts w:ascii="宋体"/>
              </w:rPr>
            </w:pPr>
          </w:p>
        </w:tc>
        <w:tc>
          <w:tcPr>
            <w:tcW w:w="0" w:type="auto"/>
            <w:shd w:val="clear" w:color="auto" w:fill="auto"/>
          </w:tcPr>
          <w:p w14:paraId="20AE19C8" w14:textId="77777777" w:rsidR="00B626E7" w:rsidRDefault="00B626E7">
            <w:pPr>
              <w:rPr>
                <w:rFonts w:ascii="宋体"/>
              </w:rPr>
            </w:pPr>
          </w:p>
        </w:tc>
        <w:tc>
          <w:tcPr>
            <w:tcW w:w="0" w:type="auto"/>
            <w:shd w:val="clear" w:color="auto" w:fill="auto"/>
          </w:tcPr>
          <w:p w14:paraId="20AE19C9" w14:textId="77777777" w:rsidR="00B626E7" w:rsidRDefault="00B626E7">
            <w:pPr>
              <w:rPr>
                <w:rFonts w:ascii="宋体"/>
              </w:rPr>
            </w:pPr>
          </w:p>
        </w:tc>
        <w:tc>
          <w:tcPr>
            <w:tcW w:w="0" w:type="auto"/>
            <w:shd w:val="clear" w:color="auto" w:fill="auto"/>
          </w:tcPr>
          <w:p w14:paraId="20AE19CA" w14:textId="77777777" w:rsidR="00B626E7" w:rsidRDefault="00B626E7">
            <w:pPr>
              <w:rPr>
                <w:rFonts w:ascii="宋体"/>
              </w:rPr>
            </w:pPr>
          </w:p>
        </w:tc>
        <w:tc>
          <w:tcPr>
            <w:tcW w:w="0" w:type="auto"/>
            <w:shd w:val="clear" w:color="auto" w:fill="auto"/>
          </w:tcPr>
          <w:p w14:paraId="20AE19CB" w14:textId="77777777" w:rsidR="00B626E7" w:rsidRDefault="00B626E7">
            <w:pPr>
              <w:rPr>
                <w:rFonts w:ascii="宋体"/>
              </w:rPr>
            </w:pPr>
          </w:p>
        </w:tc>
        <w:tc>
          <w:tcPr>
            <w:tcW w:w="0" w:type="auto"/>
            <w:shd w:val="clear" w:color="auto" w:fill="auto"/>
          </w:tcPr>
          <w:p w14:paraId="20AE19CC" w14:textId="77777777" w:rsidR="00B626E7" w:rsidRDefault="00B626E7">
            <w:pPr>
              <w:rPr>
                <w:rFonts w:ascii="宋体"/>
              </w:rPr>
            </w:pPr>
          </w:p>
        </w:tc>
        <w:tc>
          <w:tcPr>
            <w:tcW w:w="0" w:type="auto"/>
            <w:shd w:val="clear" w:color="auto" w:fill="auto"/>
          </w:tcPr>
          <w:p w14:paraId="20AE19CD" w14:textId="77777777" w:rsidR="00B626E7" w:rsidRDefault="00B626E7">
            <w:pPr>
              <w:rPr>
                <w:rFonts w:ascii="宋体"/>
              </w:rPr>
            </w:pPr>
          </w:p>
        </w:tc>
        <w:tc>
          <w:tcPr>
            <w:tcW w:w="0" w:type="auto"/>
            <w:shd w:val="clear" w:color="auto" w:fill="auto"/>
          </w:tcPr>
          <w:p w14:paraId="20AE19CE" w14:textId="77777777" w:rsidR="00B626E7" w:rsidRDefault="00B626E7">
            <w:pPr>
              <w:rPr>
                <w:rFonts w:ascii="宋体"/>
              </w:rPr>
            </w:pPr>
          </w:p>
        </w:tc>
        <w:tc>
          <w:tcPr>
            <w:tcW w:w="0" w:type="auto"/>
            <w:shd w:val="clear" w:color="auto" w:fill="auto"/>
          </w:tcPr>
          <w:p w14:paraId="20AE19CF" w14:textId="77777777" w:rsidR="00B626E7" w:rsidRDefault="00B626E7">
            <w:pPr>
              <w:rPr>
                <w:rFonts w:ascii="宋体"/>
              </w:rPr>
            </w:pPr>
          </w:p>
        </w:tc>
        <w:tc>
          <w:tcPr>
            <w:tcW w:w="0" w:type="auto"/>
            <w:shd w:val="clear" w:color="auto" w:fill="auto"/>
          </w:tcPr>
          <w:p w14:paraId="20AE19D0" w14:textId="77777777" w:rsidR="00B626E7" w:rsidRDefault="00B626E7">
            <w:pPr>
              <w:rPr>
                <w:rFonts w:ascii="宋体"/>
              </w:rPr>
            </w:pPr>
          </w:p>
        </w:tc>
        <w:tc>
          <w:tcPr>
            <w:tcW w:w="0" w:type="auto"/>
            <w:shd w:val="clear" w:color="auto" w:fill="auto"/>
          </w:tcPr>
          <w:p w14:paraId="20AE19D1" w14:textId="77777777" w:rsidR="00B626E7" w:rsidRDefault="00B626E7">
            <w:pPr>
              <w:rPr>
                <w:rFonts w:ascii="宋体"/>
              </w:rPr>
            </w:pPr>
          </w:p>
        </w:tc>
        <w:tc>
          <w:tcPr>
            <w:tcW w:w="0" w:type="auto"/>
            <w:shd w:val="clear" w:color="auto" w:fill="auto"/>
          </w:tcPr>
          <w:p w14:paraId="20AE19D2" w14:textId="77777777" w:rsidR="00B626E7" w:rsidRDefault="00B626E7">
            <w:pPr>
              <w:rPr>
                <w:rFonts w:ascii="宋体"/>
              </w:rPr>
            </w:pPr>
          </w:p>
        </w:tc>
      </w:tr>
      <w:tr w:rsidR="00B626E7" w14:paraId="20AE19F1" w14:textId="77777777">
        <w:tc>
          <w:tcPr>
            <w:tcW w:w="0" w:type="auto"/>
            <w:gridSpan w:val="3"/>
            <w:shd w:val="clear" w:color="auto" w:fill="auto"/>
            <w:tcMar>
              <w:top w:w="40" w:type="dxa"/>
              <w:left w:w="20" w:type="dxa"/>
              <w:bottom w:w="40" w:type="dxa"/>
              <w:right w:w="20" w:type="dxa"/>
            </w:tcMar>
          </w:tcPr>
          <w:p w14:paraId="20AE19D4" w14:textId="77777777" w:rsidR="00B626E7" w:rsidRDefault="00175C1D">
            <w:pPr>
              <w:textAlignment w:val="top"/>
            </w:pPr>
            <w:r>
              <w:rPr>
                <w:rFonts w:ascii="Arial" w:eastAsia="宋体" w:hAnsi="Arial" w:cs="Arial"/>
                <w:color w:val="333333"/>
                <w:sz w:val="18"/>
                <w:szCs w:val="18"/>
              </w:rPr>
              <w:t>Other current assets:</w:t>
            </w:r>
          </w:p>
        </w:tc>
        <w:tc>
          <w:tcPr>
            <w:tcW w:w="0" w:type="auto"/>
            <w:gridSpan w:val="3"/>
            <w:shd w:val="clear" w:color="auto" w:fill="auto"/>
            <w:tcMar>
              <w:left w:w="20" w:type="dxa"/>
              <w:right w:w="20" w:type="dxa"/>
            </w:tcMar>
            <w:vAlign w:val="bottom"/>
          </w:tcPr>
          <w:p w14:paraId="20AE19D5"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9D6"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9D7"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9D8"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9D9"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9DA"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9DB"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9DC"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9DD"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9DE"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9DF"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9E0"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9E1"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9E2"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9E3"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9E4" w14:textId="77777777" w:rsidR="00B626E7" w:rsidRDefault="00B626E7">
            <w:pPr>
              <w:rPr>
                <w:rFonts w:ascii="宋体"/>
              </w:rPr>
            </w:pPr>
          </w:p>
        </w:tc>
        <w:tc>
          <w:tcPr>
            <w:tcW w:w="0" w:type="auto"/>
            <w:shd w:val="clear" w:color="auto" w:fill="auto"/>
          </w:tcPr>
          <w:p w14:paraId="20AE19E5" w14:textId="77777777" w:rsidR="00B626E7" w:rsidRDefault="00B626E7">
            <w:pPr>
              <w:rPr>
                <w:rFonts w:ascii="宋体"/>
              </w:rPr>
            </w:pPr>
          </w:p>
        </w:tc>
        <w:tc>
          <w:tcPr>
            <w:tcW w:w="0" w:type="auto"/>
            <w:shd w:val="clear" w:color="auto" w:fill="auto"/>
          </w:tcPr>
          <w:p w14:paraId="20AE19E6" w14:textId="77777777" w:rsidR="00B626E7" w:rsidRDefault="00B626E7">
            <w:pPr>
              <w:rPr>
                <w:rFonts w:ascii="宋体"/>
              </w:rPr>
            </w:pPr>
          </w:p>
        </w:tc>
        <w:tc>
          <w:tcPr>
            <w:tcW w:w="0" w:type="auto"/>
            <w:shd w:val="clear" w:color="auto" w:fill="auto"/>
          </w:tcPr>
          <w:p w14:paraId="20AE19E7" w14:textId="77777777" w:rsidR="00B626E7" w:rsidRDefault="00B626E7">
            <w:pPr>
              <w:rPr>
                <w:rFonts w:ascii="宋体"/>
              </w:rPr>
            </w:pPr>
          </w:p>
        </w:tc>
        <w:tc>
          <w:tcPr>
            <w:tcW w:w="0" w:type="auto"/>
            <w:shd w:val="clear" w:color="auto" w:fill="auto"/>
          </w:tcPr>
          <w:p w14:paraId="20AE19E8" w14:textId="77777777" w:rsidR="00B626E7" w:rsidRDefault="00B626E7">
            <w:pPr>
              <w:rPr>
                <w:rFonts w:ascii="宋体"/>
              </w:rPr>
            </w:pPr>
          </w:p>
        </w:tc>
        <w:tc>
          <w:tcPr>
            <w:tcW w:w="0" w:type="auto"/>
            <w:shd w:val="clear" w:color="auto" w:fill="auto"/>
          </w:tcPr>
          <w:p w14:paraId="20AE19E9" w14:textId="77777777" w:rsidR="00B626E7" w:rsidRDefault="00B626E7">
            <w:pPr>
              <w:rPr>
                <w:rFonts w:ascii="宋体"/>
              </w:rPr>
            </w:pPr>
          </w:p>
        </w:tc>
        <w:tc>
          <w:tcPr>
            <w:tcW w:w="0" w:type="auto"/>
            <w:shd w:val="clear" w:color="auto" w:fill="auto"/>
          </w:tcPr>
          <w:p w14:paraId="20AE19EA" w14:textId="77777777" w:rsidR="00B626E7" w:rsidRDefault="00B626E7">
            <w:pPr>
              <w:rPr>
                <w:rFonts w:ascii="宋体"/>
              </w:rPr>
            </w:pPr>
          </w:p>
        </w:tc>
        <w:tc>
          <w:tcPr>
            <w:tcW w:w="0" w:type="auto"/>
            <w:shd w:val="clear" w:color="auto" w:fill="auto"/>
          </w:tcPr>
          <w:p w14:paraId="20AE19EB" w14:textId="77777777" w:rsidR="00B626E7" w:rsidRDefault="00B626E7">
            <w:pPr>
              <w:rPr>
                <w:rFonts w:ascii="宋体"/>
              </w:rPr>
            </w:pPr>
          </w:p>
        </w:tc>
        <w:tc>
          <w:tcPr>
            <w:tcW w:w="0" w:type="auto"/>
            <w:shd w:val="clear" w:color="auto" w:fill="auto"/>
          </w:tcPr>
          <w:p w14:paraId="20AE19EC" w14:textId="77777777" w:rsidR="00B626E7" w:rsidRDefault="00B626E7">
            <w:pPr>
              <w:rPr>
                <w:rFonts w:ascii="宋体"/>
              </w:rPr>
            </w:pPr>
          </w:p>
        </w:tc>
        <w:tc>
          <w:tcPr>
            <w:tcW w:w="0" w:type="auto"/>
            <w:shd w:val="clear" w:color="auto" w:fill="auto"/>
          </w:tcPr>
          <w:p w14:paraId="20AE19ED" w14:textId="77777777" w:rsidR="00B626E7" w:rsidRDefault="00B626E7">
            <w:pPr>
              <w:rPr>
                <w:rFonts w:ascii="宋体"/>
              </w:rPr>
            </w:pPr>
          </w:p>
        </w:tc>
        <w:tc>
          <w:tcPr>
            <w:tcW w:w="0" w:type="auto"/>
            <w:shd w:val="clear" w:color="auto" w:fill="auto"/>
          </w:tcPr>
          <w:p w14:paraId="20AE19EE" w14:textId="77777777" w:rsidR="00B626E7" w:rsidRDefault="00B626E7">
            <w:pPr>
              <w:rPr>
                <w:rFonts w:ascii="宋体"/>
              </w:rPr>
            </w:pPr>
          </w:p>
        </w:tc>
        <w:tc>
          <w:tcPr>
            <w:tcW w:w="0" w:type="auto"/>
            <w:shd w:val="clear" w:color="auto" w:fill="auto"/>
          </w:tcPr>
          <w:p w14:paraId="20AE19EF" w14:textId="77777777" w:rsidR="00B626E7" w:rsidRDefault="00B626E7">
            <w:pPr>
              <w:rPr>
                <w:rFonts w:ascii="宋体"/>
              </w:rPr>
            </w:pPr>
          </w:p>
        </w:tc>
        <w:tc>
          <w:tcPr>
            <w:tcW w:w="0" w:type="auto"/>
            <w:shd w:val="clear" w:color="auto" w:fill="auto"/>
          </w:tcPr>
          <w:p w14:paraId="20AE19F0" w14:textId="77777777" w:rsidR="00B626E7" w:rsidRDefault="00B626E7">
            <w:pPr>
              <w:rPr>
                <w:rFonts w:ascii="宋体"/>
              </w:rPr>
            </w:pPr>
          </w:p>
        </w:tc>
      </w:tr>
      <w:tr w:rsidR="00B626E7" w14:paraId="20AE1A17" w14:textId="77777777">
        <w:tc>
          <w:tcPr>
            <w:tcW w:w="0" w:type="auto"/>
            <w:gridSpan w:val="3"/>
            <w:shd w:val="clear" w:color="auto" w:fill="auto"/>
            <w:tcMar>
              <w:top w:w="40" w:type="dxa"/>
              <w:left w:w="120" w:type="dxa"/>
              <w:bottom w:w="40" w:type="dxa"/>
              <w:right w:w="20" w:type="dxa"/>
            </w:tcMar>
          </w:tcPr>
          <w:p w14:paraId="20AE19F2" w14:textId="77777777" w:rsidR="00B626E7" w:rsidRDefault="00175C1D">
            <w:pPr>
              <w:textAlignment w:val="top"/>
            </w:pPr>
            <w:r>
              <w:rPr>
                <w:rFonts w:ascii="Arial" w:eastAsia="宋体" w:hAnsi="Arial" w:cs="Arial"/>
                <w:color w:val="333333"/>
                <w:sz w:val="18"/>
                <w:szCs w:val="18"/>
              </w:rPr>
              <w:t>Derivative assets</w:t>
            </w:r>
          </w:p>
        </w:tc>
        <w:tc>
          <w:tcPr>
            <w:tcW w:w="0" w:type="auto"/>
            <w:gridSpan w:val="3"/>
            <w:shd w:val="clear" w:color="auto" w:fill="auto"/>
            <w:tcMar>
              <w:left w:w="20" w:type="dxa"/>
              <w:right w:w="20" w:type="dxa"/>
            </w:tcMar>
            <w:vAlign w:val="bottom"/>
          </w:tcPr>
          <w:p w14:paraId="20AE19F3"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9F4" w14:textId="77777777" w:rsidR="00B626E7" w:rsidRDefault="00175C1D">
            <w:pPr>
              <w:jc w:val="right"/>
              <w:textAlignment w:val="bottom"/>
            </w:pPr>
            <w:r>
              <w:rPr>
                <w:rFonts w:ascii="Arial" w:eastAsia="宋体" w:hAnsi="Arial" w:cs="Arial"/>
                <w:color w:val="026DCE"/>
                <w:sz w:val="18"/>
                <w:szCs w:val="18"/>
              </w:rPr>
              <w:t>30 </w:t>
            </w:r>
          </w:p>
        </w:tc>
        <w:tc>
          <w:tcPr>
            <w:tcW w:w="0" w:type="auto"/>
            <w:shd w:val="clear" w:color="auto" w:fill="auto"/>
            <w:tcMar>
              <w:top w:w="40" w:type="dxa"/>
              <w:bottom w:w="40" w:type="dxa"/>
              <w:right w:w="20" w:type="dxa"/>
            </w:tcMar>
            <w:vAlign w:val="bottom"/>
          </w:tcPr>
          <w:p w14:paraId="20AE19F5"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9F6"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9F7" w14:textId="77777777" w:rsidR="00B626E7" w:rsidRDefault="00175C1D">
            <w:pPr>
              <w:jc w:val="right"/>
              <w:textAlignment w:val="bottom"/>
            </w:pPr>
            <w:r>
              <w:rPr>
                <w:rFonts w:ascii="Arial" w:eastAsia="宋体" w:hAnsi="Arial" w:cs="Arial"/>
                <w:color w:val="026DCE"/>
                <w:sz w:val="18"/>
                <w:szCs w:val="18"/>
              </w:rPr>
              <w:t>250 </w:t>
            </w:r>
          </w:p>
        </w:tc>
        <w:tc>
          <w:tcPr>
            <w:tcW w:w="0" w:type="auto"/>
            <w:shd w:val="clear" w:color="auto" w:fill="auto"/>
            <w:tcMar>
              <w:top w:w="40" w:type="dxa"/>
              <w:bottom w:w="40" w:type="dxa"/>
              <w:right w:w="20" w:type="dxa"/>
            </w:tcMar>
            <w:vAlign w:val="bottom"/>
          </w:tcPr>
          <w:p w14:paraId="20AE19F8"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9F9"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9FA" w14:textId="77777777" w:rsidR="00B626E7" w:rsidRDefault="00175C1D">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20AE19FB"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9FC"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9FD" w14:textId="77777777" w:rsidR="00B626E7" w:rsidRDefault="00175C1D">
            <w:pPr>
              <w:jc w:val="right"/>
              <w:textAlignment w:val="bottom"/>
            </w:pPr>
            <w:r>
              <w:rPr>
                <w:rFonts w:ascii="Arial" w:eastAsia="宋体" w:hAnsi="Arial" w:cs="Arial"/>
                <w:color w:val="026DCE"/>
                <w:sz w:val="18"/>
                <w:szCs w:val="18"/>
              </w:rPr>
              <w:t>280 </w:t>
            </w:r>
          </w:p>
        </w:tc>
        <w:tc>
          <w:tcPr>
            <w:tcW w:w="0" w:type="auto"/>
            <w:shd w:val="clear" w:color="auto" w:fill="auto"/>
            <w:tcMar>
              <w:top w:w="40" w:type="dxa"/>
              <w:bottom w:w="40" w:type="dxa"/>
              <w:right w:w="20" w:type="dxa"/>
            </w:tcMar>
            <w:vAlign w:val="bottom"/>
          </w:tcPr>
          <w:p w14:paraId="20AE19FE"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9FF"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A00" w14:textId="77777777" w:rsidR="00B626E7" w:rsidRDefault="00175C1D">
            <w:pPr>
              <w:jc w:val="right"/>
              <w:textAlignment w:val="bottom"/>
            </w:pPr>
            <w:r>
              <w:rPr>
                <w:rFonts w:ascii="Arial" w:eastAsia="宋体" w:hAnsi="Arial" w:cs="Arial"/>
                <w:color w:val="333333"/>
                <w:sz w:val="18"/>
                <w:szCs w:val="18"/>
              </w:rPr>
              <w:t>50 </w:t>
            </w:r>
          </w:p>
        </w:tc>
        <w:tc>
          <w:tcPr>
            <w:tcW w:w="0" w:type="auto"/>
            <w:shd w:val="clear" w:color="auto" w:fill="auto"/>
            <w:tcMar>
              <w:top w:w="40" w:type="dxa"/>
              <w:bottom w:w="40" w:type="dxa"/>
              <w:right w:w="20" w:type="dxa"/>
            </w:tcMar>
            <w:vAlign w:val="bottom"/>
          </w:tcPr>
          <w:p w14:paraId="20AE1A01"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A02"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A03" w14:textId="77777777" w:rsidR="00B626E7" w:rsidRDefault="00175C1D">
            <w:pPr>
              <w:jc w:val="right"/>
              <w:textAlignment w:val="bottom"/>
            </w:pPr>
            <w:r>
              <w:rPr>
                <w:rFonts w:ascii="Arial" w:eastAsia="宋体" w:hAnsi="Arial" w:cs="Arial"/>
                <w:color w:val="333333"/>
                <w:sz w:val="18"/>
                <w:szCs w:val="18"/>
              </w:rPr>
              <w:t>230 </w:t>
            </w:r>
          </w:p>
        </w:tc>
        <w:tc>
          <w:tcPr>
            <w:tcW w:w="0" w:type="auto"/>
            <w:shd w:val="clear" w:color="auto" w:fill="auto"/>
            <w:tcMar>
              <w:top w:w="40" w:type="dxa"/>
              <w:bottom w:w="40" w:type="dxa"/>
              <w:right w:w="20" w:type="dxa"/>
            </w:tcMar>
            <w:vAlign w:val="bottom"/>
          </w:tcPr>
          <w:p w14:paraId="20AE1A04"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A05"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A06"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1A07"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A08"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A09" w14:textId="77777777" w:rsidR="00B626E7" w:rsidRDefault="00175C1D">
            <w:pPr>
              <w:jc w:val="right"/>
              <w:textAlignment w:val="bottom"/>
            </w:pPr>
            <w:r>
              <w:rPr>
                <w:rFonts w:ascii="Arial" w:eastAsia="宋体" w:hAnsi="Arial" w:cs="Arial"/>
                <w:color w:val="333333"/>
                <w:sz w:val="18"/>
                <w:szCs w:val="18"/>
              </w:rPr>
              <w:t>280 </w:t>
            </w:r>
          </w:p>
        </w:tc>
        <w:tc>
          <w:tcPr>
            <w:tcW w:w="0" w:type="auto"/>
            <w:shd w:val="clear" w:color="auto" w:fill="auto"/>
            <w:tcMar>
              <w:top w:w="40" w:type="dxa"/>
              <w:bottom w:w="40" w:type="dxa"/>
              <w:right w:w="20" w:type="dxa"/>
            </w:tcMar>
            <w:vAlign w:val="bottom"/>
          </w:tcPr>
          <w:p w14:paraId="20AE1A0A"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A0B" w14:textId="77777777" w:rsidR="00B626E7" w:rsidRDefault="00B626E7">
            <w:pPr>
              <w:rPr>
                <w:rFonts w:ascii="宋体"/>
              </w:rPr>
            </w:pPr>
          </w:p>
        </w:tc>
        <w:tc>
          <w:tcPr>
            <w:tcW w:w="0" w:type="auto"/>
            <w:shd w:val="clear" w:color="auto" w:fill="auto"/>
          </w:tcPr>
          <w:p w14:paraId="20AE1A0C" w14:textId="77777777" w:rsidR="00B626E7" w:rsidRDefault="00B626E7">
            <w:pPr>
              <w:rPr>
                <w:rFonts w:ascii="宋体"/>
              </w:rPr>
            </w:pPr>
          </w:p>
        </w:tc>
        <w:tc>
          <w:tcPr>
            <w:tcW w:w="0" w:type="auto"/>
            <w:shd w:val="clear" w:color="auto" w:fill="auto"/>
          </w:tcPr>
          <w:p w14:paraId="20AE1A0D" w14:textId="77777777" w:rsidR="00B626E7" w:rsidRDefault="00B626E7">
            <w:pPr>
              <w:rPr>
                <w:rFonts w:ascii="宋体"/>
              </w:rPr>
            </w:pPr>
          </w:p>
        </w:tc>
        <w:tc>
          <w:tcPr>
            <w:tcW w:w="0" w:type="auto"/>
            <w:shd w:val="clear" w:color="auto" w:fill="auto"/>
          </w:tcPr>
          <w:p w14:paraId="20AE1A0E" w14:textId="77777777" w:rsidR="00B626E7" w:rsidRDefault="00B626E7">
            <w:pPr>
              <w:rPr>
                <w:rFonts w:ascii="宋体"/>
              </w:rPr>
            </w:pPr>
          </w:p>
        </w:tc>
        <w:tc>
          <w:tcPr>
            <w:tcW w:w="0" w:type="auto"/>
            <w:shd w:val="clear" w:color="auto" w:fill="auto"/>
          </w:tcPr>
          <w:p w14:paraId="20AE1A0F" w14:textId="77777777" w:rsidR="00B626E7" w:rsidRDefault="00B626E7">
            <w:pPr>
              <w:rPr>
                <w:rFonts w:ascii="宋体"/>
              </w:rPr>
            </w:pPr>
          </w:p>
        </w:tc>
        <w:tc>
          <w:tcPr>
            <w:tcW w:w="0" w:type="auto"/>
            <w:shd w:val="clear" w:color="auto" w:fill="auto"/>
          </w:tcPr>
          <w:p w14:paraId="20AE1A10" w14:textId="77777777" w:rsidR="00B626E7" w:rsidRDefault="00B626E7">
            <w:pPr>
              <w:rPr>
                <w:rFonts w:ascii="宋体"/>
              </w:rPr>
            </w:pPr>
          </w:p>
        </w:tc>
        <w:tc>
          <w:tcPr>
            <w:tcW w:w="0" w:type="auto"/>
            <w:shd w:val="clear" w:color="auto" w:fill="auto"/>
          </w:tcPr>
          <w:p w14:paraId="20AE1A11" w14:textId="77777777" w:rsidR="00B626E7" w:rsidRDefault="00B626E7">
            <w:pPr>
              <w:rPr>
                <w:rFonts w:ascii="宋体"/>
              </w:rPr>
            </w:pPr>
          </w:p>
        </w:tc>
        <w:tc>
          <w:tcPr>
            <w:tcW w:w="0" w:type="auto"/>
            <w:shd w:val="clear" w:color="auto" w:fill="auto"/>
          </w:tcPr>
          <w:p w14:paraId="20AE1A12" w14:textId="77777777" w:rsidR="00B626E7" w:rsidRDefault="00B626E7">
            <w:pPr>
              <w:rPr>
                <w:rFonts w:ascii="宋体"/>
              </w:rPr>
            </w:pPr>
          </w:p>
        </w:tc>
        <w:tc>
          <w:tcPr>
            <w:tcW w:w="0" w:type="auto"/>
            <w:shd w:val="clear" w:color="auto" w:fill="auto"/>
          </w:tcPr>
          <w:p w14:paraId="20AE1A13" w14:textId="77777777" w:rsidR="00B626E7" w:rsidRDefault="00B626E7">
            <w:pPr>
              <w:rPr>
                <w:rFonts w:ascii="宋体"/>
              </w:rPr>
            </w:pPr>
          </w:p>
        </w:tc>
        <w:tc>
          <w:tcPr>
            <w:tcW w:w="0" w:type="auto"/>
            <w:shd w:val="clear" w:color="auto" w:fill="auto"/>
          </w:tcPr>
          <w:p w14:paraId="20AE1A14" w14:textId="77777777" w:rsidR="00B626E7" w:rsidRDefault="00B626E7">
            <w:pPr>
              <w:rPr>
                <w:rFonts w:ascii="宋体"/>
              </w:rPr>
            </w:pPr>
          </w:p>
        </w:tc>
        <w:tc>
          <w:tcPr>
            <w:tcW w:w="0" w:type="auto"/>
            <w:shd w:val="clear" w:color="auto" w:fill="auto"/>
          </w:tcPr>
          <w:p w14:paraId="20AE1A15" w14:textId="77777777" w:rsidR="00B626E7" w:rsidRDefault="00B626E7">
            <w:pPr>
              <w:rPr>
                <w:rFonts w:ascii="宋体"/>
              </w:rPr>
            </w:pPr>
          </w:p>
        </w:tc>
        <w:tc>
          <w:tcPr>
            <w:tcW w:w="0" w:type="auto"/>
            <w:shd w:val="clear" w:color="auto" w:fill="auto"/>
          </w:tcPr>
          <w:p w14:paraId="20AE1A16" w14:textId="77777777" w:rsidR="00B626E7" w:rsidRDefault="00B626E7">
            <w:pPr>
              <w:rPr>
                <w:rFonts w:ascii="宋体"/>
              </w:rPr>
            </w:pPr>
          </w:p>
        </w:tc>
      </w:tr>
      <w:tr w:rsidR="00B626E7" w14:paraId="20AE1A3D" w14:textId="77777777">
        <w:tc>
          <w:tcPr>
            <w:tcW w:w="0" w:type="auto"/>
            <w:gridSpan w:val="3"/>
            <w:shd w:val="clear" w:color="auto" w:fill="auto"/>
            <w:tcMar>
              <w:top w:w="40" w:type="dxa"/>
              <w:left w:w="120" w:type="dxa"/>
              <w:bottom w:w="40" w:type="dxa"/>
              <w:right w:w="20" w:type="dxa"/>
            </w:tcMar>
          </w:tcPr>
          <w:p w14:paraId="20AE1A18" w14:textId="77777777" w:rsidR="00B626E7" w:rsidRDefault="00175C1D">
            <w:pPr>
              <w:textAlignment w:val="top"/>
            </w:pPr>
            <w:r>
              <w:rPr>
                <w:rFonts w:ascii="Arial" w:eastAsia="宋体" w:hAnsi="Arial" w:cs="Arial"/>
                <w:color w:val="333333"/>
                <w:sz w:val="18"/>
                <w:szCs w:val="18"/>
              </w:rPr>
              <w:t>Loans receivable³</w:t>
            </w:r>
          </w:p>
        </w:tc>
        <w:tc>
          <w:tcPr>
            <w:tcW w:w="0" w:type="auto"/>
            <w:gridSpan w:val="3"/>
            <w:shd w:val="clear" w:color="auto" w:fill="auto"/>
            <w:tcMar>
              <w:left w:w="20" w:type="dxa"/>
              <w:right w:w="20" w:type="dxa"/>
            </w:tcMar>
            <w:vAlign w:val="bottom"/>
          </w:tcPr>
          <w:p w14:paraId="20AE1A19"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A1A" w14:textId="77777777" w:rsidR="00B626E7" w:rsidRDefault="00175C1D">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20AE1A1B"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A1C"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A1D" w14:textId="77777777" w:rsidR="00B626E7" w:rsidRDefault="00175C1D">
            <w:pPr>
              <w:jc w:val="right"/>
              <w:textAlignment w:val="bottom"/>
            </w:pPr>
            <w:r>
              <w:rPr>
                <w:rFonts w:ascii="Arial" w:eastAsia="宋体" w:hAnsi="Arial" w:cs="Arial"/>
                <w:color w:val="026DCE"/>
                <w:sz w:val="18"/>
                <w:szCs w:val="18"/>
              </w:rPr>
              <w:t>348 </w:t>
            </w:r>
          </w:p>
        </w:tc>
        <w:tc>
          <w:tcPr>
            <w:tcW w:w="0" w:type="auto"/>
            <w:shd w:val="clear" w:color="auto" w:fill="auto"/>
            <w:tcMar>
              <w:top w:w="40" w:type="dxa"/>
              <w:bottom w:w="40" w:type="dxa"/>
              <w:right w:w="20" w:type="dxa"/>
            </w:tcMar>
            <w:vAlign w:val="bottom"/>
          </w:tcPr>
          <w:p w14:paraId="20AE1A1E"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A1F"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A20" w14:textId="77777777" w:rsidR="00B626E7" w:rsidRDefault="00175C1D">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20AE1A21"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A22"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A23" w14:textId="77777777" w:rsidR="00B626E7" w:rsidRDefault="00175C1D">
            <w:pPr>
              <w:jc w:val="right"/>
              <w:textAlignment w:val="bottom"/>
            </w:pPr>
            <w:r>
              <w:rPr>
                <w:rFonts w:ascii="Arial" w:eastAsia="宋体" w:hAnsi="Arial" w:cs="Arial"/>
                <w:color w:val="026DCE"/>
                <w:sz w:val="18"/>
                <w:szCs w:val="18"/>
              </w:rPr>
              <w:t>348 </w:t>
            </w:r>
          </w:p>
        </w:tc>
        <w:tc>
          <w:tcPr>
            <w:tcW w:w="0" w:type="auto"/>
            <w:shd w:val="clear" w:color="auto" w:fill="auto"/>
            <w:tcMar>
              <w:top w:w="40" w:type="dxa"/>
              <w:bottom w:w="40" w:type="dxa"/>
              <w:right w:w="20" w:type="dxa"/>
            </w:tcMar>
            <w:vAlign w:val="bottom"/>
          </w:tcPr>
          <w:p w14:paraId="20AE1A24"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A25"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A26"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1A27"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A28"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A29"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1A2A"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A2B"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A2C"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1A2D"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A2E"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A2F"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1A30"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A31" w14:textId="77777777" w:rsidR="00B626E7" w:rsidRDefault="00B626E7">
            <w:pPr>
              <w:rPr>
                <w:rFonts w:ascii="宋体"/>
              </w:rPr>
            </w:pPr>
          </w:p>
        </w:tc>
        <w:tc>
          <w:tcPr>
            <w:tcW w:w="0" w:type="auto"/>
            <w:shd w:val="clear" w:color="auto" w:fill="auto"/>
          </w:tcPr>
          <w:p w14:paraId="20AE1A32" w14:textId="77777777" w:rsidR="00B626E7" w:rsidRDefault="00B626E7">
            <w:pPr>
              <w:rPr>
                <w:rFonts w:ascii="宋体"/>
              </w:rPr>
            </w:pPr>
          </w:p>
        </w:tc>
        <w:tc>
          <w:tcPr>
            <w:tcW w:w="0" w:type="auto"/>
            <w:shd w:val="clear" w:color="auto" w:fill="auto"/>
          </w:tcPr>
          <w:p w14:paraId="20AE1A33" w14:textId="77777777" w:rsidR="00B626E7" w:rsidRDefault="00B626E7">
            <w:pPr>
              <w:rPr>
                <w:rFonts w:ascii="宋体"/>
              </w:rPr>
            </w:pPr>
          </w:p>
        </w:tc>
        <w:tc>
          <w:tcPr>
            <w:tcW w:w="0" w:type="auto"/>
            <w:shd w:val="clear" w:color="auto" w:fill="auto"/>
          </w:tcPr>
          <w:p w14:paraId="20AE1A34" w14:textId="77777777" w:rsidR="00B626E7" w:rsidRDefault="00B626E7">
            <w:pPr>
              <w:rPr>
                <w:rFonts w:ascii="宋体"/>
              </w:rPr>
            </w:pPr>
          </w:p>
        </w:tc>
        <w:tc>
          <w:tcPr>
            <w:tcW w:w="0" w:type="auto"/>
            <w:shd w:val="clear" w:color="auto" w:fill="auto"/>
          </w:tcPr>
          <w:p w14:paraId="20AE1A35" w14:textId="77777777" w:rsidR="00B626E7" w:rsidRDefault="00B626E7">
            <w:pPr>
              <w:rPr>
                <w:rFonts w:ascii="宋体"/>
              </w:rPr>
            </w:pPr>
          </w:p>
        </w:tc>
        <w:tc>
          <w:tcPr>
            <w:tcW w:w="0" w:type="auto"/>
            <w:shd w:val="clear" w:color="auto" w:fill="auto"/>
          </w:tcPr>
          <w:p w14:paraId="20AE1A36" w14:textId="77777777" w:rsidR="00B626E7" w:rsidRDefault="00B626E7">
            <w:pPr>
              <w:rPr>
                <w:rFonts w:ascii="宋体"/>
              </w:rPr>
            </w:pPr>
          </w:p>
        </w:tc>
        <w:tc>
          <w:tcPr>
            <w:tcW w:w="0" w:type="auto"/>
            <w:shd w:val="clear" w:color="auto" w:fill="auto"/>
          </w:tcPr>
          <w:p w14:paraId="20AE1A37" w14:textId="77777777" w:rsidR="00B626E7" w:rsidRDefault="00B626E7">
            <w:pPr>
              <w:rPr>
                <w:rFonts w:ascii="宋体"/>
              </w:rPr>
            </w:pPr>
          </w:p>
        </w:tc>
        <w:tc>
          <w:tcPr>
            <w:tcW w:w="0" w:type="auto"/>
            <w:shd w:val="clear" w:color="auto" w:fill="auto"/>
          </w:tcPr>
          <w:p w14:paraId="20AE1A38" w14:textId="77777777" w:rsidR="00B626E7" w:rsidRDefault="00B626E7">
            <w:pPr>
              <w:rPr>
                <w:rFonts w:ascii="宋体"/>
              </w:rPr>
            </w:pPr>
          </w:p>
        </w:tc>
        <w:tc>
          <w:tcPr>
            <w:tcW w:w="0" w:type="auto"/>
            <w:shd w:val="clear" w:color="auto" w:fill="auto"/>
          </w:tcPr>
          <w:p w14:paraId="20AE1A39" w14:textId="77777777" w:rsidR="00B626E7" w:rsidRDefault="00B626E7">
            <w:pPr>
              <w:rPr>
                <w:rFonts w:ascii="宋体"/>
              </w:rPr>
            </w:pPr>
          </w:p>
        </w:tc>
        <w:tc>
          <w:tcPr>
            <w:tcW w:w="0" w:type="auto"/>
            <w:shd w:val="clear" w:color="auto" w:fill="auto"/>
          </w:tcPr>
          <w:p w14:paraId="20AE1A3A" w14:textId="77777777" w:rsidR="00B626E7" w:rsidRDefault="00B626E7">
            <w:pPr>
              <w:rPr>
                <w:rFonts w:ascii="宋体"/>
              </w:rPr>
            </w:pPr>
          </w:p>
        </w:tc>
        <w:tc>
          <w:tcPr>
            <w:tcW w:w="0" w:type="auto"/>
            <w:shd w:val="clear" w:color="auto" w:fill="auto"/>
          </w:tcPr>
          <w:p w14:paraId="20AE1A3B" w14:textId="77777777" w:rsidR="00B626E7" w:rsidRDefault="00B626E7">
            <w:pPr>
              <w:rPr>
                <w:rFonts w:ascii="宋体"/>
              </w:rPr>
            </w:pPr>
          </w:p>
        </w:tc>
        <w:tc>
          <w:tcPr>
            <w:tcW w:w="0" w:type="auto"/>
            <w:shd w:val="clear" w:color="auto" w:fill="auto"/>
          </w:tcPr>
          <w:p w14:paraId="20AE1A3C" w14:textId="77777777" w:rsidR="00B626E7" w:rsidRDefault="00B626E7">
            <w:pPr>
              <w:rPr>
                <w:rFonts w:ascii="宋体"/>
              </w:rPr>
            </w:pPr>
          </w:p>
        </w:tc>
      </w:tr>
      <w:tr w:rsidR="00B626E7" w14:paraId="20AE1A63" w14:textId="77777777">
        <w:tc>
          <w:tcPr>
            <w:tcW w:w="0" w:type="auto"/>
            <w:gridSpan w:val="3"/>
            <w:shd w:val="clear" w:color="auto" w:fill="auto"/>
            <w:tcMar>
              <w:top w:w="40" w:type="dxa"/>
              <w:left w:w="120" w:type="dxa"/>
              <w:bottom w:w="40" w:type="dxa"/>
              <w:right w:w="20" w:type="dxa"/>
            </w:tcMar>
          </w:tcPr>
          <w:p w14:paraId="20AE1A3E" w14:textId="77777777" w:rsidR="00B626E7" w:rsidRDefault="00175C1D">
            <w:pPr>
              <w:textAlignment w:val="top"/>
            </w:pPr>
            <w:r>
              <w:rPr>
                <w:rFonts w:ascii="Arial" w:eastAsia="宋体" w:hAnsi="Arial" w:cs="Arial"/>
                <w:color w:val="333333"/>
                <w:sz w:val="18"/>
                <w:szCs w:val="18"/>
              </w:rPr>
              <w:t>Marketable equity securities</w:t>
            </w:r>
          </w:p>
        </w:tc>
        <w:tc>
          <w:tcPr>
            <w:tcW w:w="0" w:type="auto"/>
            <w:gridSpan w:val="3"/>
            <w:shd w:val="clear" w:color="auto" w:fill="auto"/>
            <w:tcMar>
              <w:left w:w="20" w:type="dxa"/>
              <w:right w:w="20" w:type="dxa"/>
            </w:tcMar>
            <w:vAlign w:val="bottom"/>
          </w:tcPr>
          <w:p w14:paraId="20AE1A3F"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A40" w14:textId="77777777" w:rsidR="00B626E7" w:rsidRDefault="00175C1D">
            <w:pPr>
              <w:jc w:val="right"/>
              <w:textAlignment w:val="bottom"/>
            </w:pPr>
            <w:r>
              <w:rPr>
                <w:rFonts w:ascii="Arial" w:eastAsia="宋体" w:hAnsi="Arial" w:cs="Arial"/>
                <w:color w:val="026DCE"/>
                <w:sz w:val="18"/>
                <w:szCs w:val="18"/>
              </w:rPr>
              <w:t>464 </w:t>
            </w:r>
          </w:p>
        </w:tc>
        <w:tc>
          <w:tcPr>
            <w:tcW w:w="0" w:type="auto"/>
            <w:shd w:val="clear" w:color="auto" w:fill="auto"/>
            <w:tcMar>
              <w:top w:w="40" w:type="dxa"/>
              <w:bottom w:w="40" w:type="dxa"/>
              <w:right w:w="20" w:type="dxa"/>
            </w:tcMar>
            <w:vAlign w:val="bottom"/>
          </w:tcPr>
          <w:p w14:paraId="20AE1A41"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A42"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A43" w14:textId="77777777" w:rsidR="00B626E7" w:rsidRDefault="00175C1D">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20AE1A44"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A45"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A46" w14:textId="77777777" w:rsidR="00B626E7" w:rsidRDefault="00175C1D">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20AE1A47"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A48"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A49" w14:textId="77777777" w:rsidR="00B626E7" w:rsidRDefault="00175C1D">
            <w:pPr>
              <w:jc w:val="right"/>
              <w:textAlignment w:val="bottom"/>
            </w:pPr>
            <w:r>
              <w:rPr>
                <w:rFonts w:ascii="Arial" w:eastAsia="宋体" w:hAnsi="Arial" w:cs="Arial"/>
                <w:color w:val="026DCE"/>
                <w:sz w:val="18"/>
                <w:szCs w:val="18"/>
              </w:rPr>
              <w:t>464 </w:t>
            </w:r>
          </w:p>
        </w:tc>
        <w:tc>
          <w:tcPr>
            <w:tcW w:w="0" w:type="auto"/>
            <w:shd w:val="clear" w:color="auto" w:fill="auto"/>
            <w:tcMar>
              <w:top w:w="40" w:type="dxa"/>
              <w:bottom w:w="40" w:type="dxa"/>
              <w:right w:w="20" w:type="dxa"/>
            </w:tcMar>
            <w:vAlign w:val="bottom"/>
          </w:tcPr>
          <w:p w14:paraId="20AE1A4A"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A4B"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A4C" w14:textId="77777777" w:rsidR="00B626E7" w:rsidRDefault="00175C1D">
            <w:pPr>
              <w:jc w:val="right"/>
              <w:textAlignment w:val="bottom"/>
            </w:pPr>
            <w:r>
              <w:rPr>
                <w:rFonts w:ascii="Arial" w:eastAsia="宋体" w:hAnsi="Arial" w:cs="Arial"/>
                <w:color w:val="333333"/>
                <w:sz w:val="18"/>
                <w:szCs w:val="18"/>
              </w:rPr>
              <w:t>450 </w:t>
            </w:r>
          </w:p>
        </w:tc>
        <w:tc>
          <w:tcPr>
            <w:tcW w:w="0" w:type="auto"/>
            <w:shd w:val="clear" w:color="auto" w:fill="auto"/>
            <w:tcMar>
              <w:top w:w="40" w:type="dxa"/>
              <w:bottom w:w="40" w:type="dxa"/>
              <w:right w:w="20" w:type="dxa"/>
            </w:tcMar>
            <w:vAlign w:val="bottom"/>
          </w:tcPr>
          <w:p w14:paraId="20AE1A4D"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A4E"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A4F"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1A50"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A51"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A52"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1A53"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A54"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A55" w14:textId="77777777" w:rsidR="00B626E7" w:rsidRDefault="00175C1D">
            <w:pPr>
              <w:jc w:val="right"/>
              <w:textAlignment w:val="bottom"/>
            </w:pPr>
            <w:r>
              <w:rPr>
                <w:rFonts w:ascii="Arial" w:eastAsia="宋体" w:hAnsi="Arial" w:cs="Arial"/>
                <w:color w:val="333333"/>
                <w:sz w:val="18"/>
                <w:szCs w:val="18"/>
              </w:rPr>
              <w:t>450 </w:t>
            </w:r>
          </w:p>
        </w:tc>
        <w:tc>
          <w:tcPr>
            <w:tcW w:w="0" w:type="auto"/>
            <w:shd w:val="clear" w:color="auto" w:fill="auto"/>
            <w:tcMar>
              <w:top w:w="40" w:type="dxa"/>
              <w:bottom w:w="40" w:type="dxa"/>
              <w:right w:w="20" w:type="dxa"/>
            </w:tcMar>
            <w:vAlign w:val="bottom"/>
          </w:tcPr>
          <w:p w14:paraId="20AE1A56"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A57" w14:textId="77777777" w:rsidR="00B626E7" w:rsidRDefault="00B626E7">
            <w:pPr>
              <w:rPr>
                <w:rFonts w:ascii="宋体"/>
              </w:rPr>
            </w:pPr>
          </w:p>
        </w:tc>
        <w:tc>
          <w:tcPr>
            <w:tcW w:w="0" w:type="auto"/>
            <w:shd w:val="clear" w:color="auto" w:fill="auto"/>
          </w:tcPr>
          <w:p w14:paraId="20AE1A58" w14:textId="77777777" w:rsidR="00B626E7" w:rsidRDefault="00B626E7">
            <w:pPr>
              <w:rPr>
                <w:rFonts w:ascii="宋体"/>
              </w:rPr>
            </w:pPr>
          </w:p>
        </w:tc>
        <w:tc>
          <w:tcPr>
            <w:tcW w:w="0" w:type="auto"/>
            <w:shd w:val="clear" w:color="auto" w:fill="auto"/>
          </w:tcPr>
          <w:p w14:paraId="20AE1A59" w14:textId="77777777" w:rsidR="00B626E7" w:rsidRDefault="00B626E7">
            <w:pPr>
              <w:rPr>
                <w:rFonts w:ascii="宋体"/>
              </w:rPr>
            </w:pPr>
          </w:p>
        </w:tc>
        <w:tc>
          <w:tcPr>
            <w:tcW w:w="0" w:type="auto"/>
            <w:shd w:val="clear" w:color="auto" w:fill="auto"/>
          </w:tcPr>
          <w:p w14:paraId="20AE1A5A" w14:textId="77777777" w:rsidR="00B626E7" w:rsidRDefault="00B626E7">
            <w:pPr>
              <w:rPr>
                <w:rFonts w:ascii="宋体"/>
              </w:rPr>
            </w:pPr>
          </w:p>
        </w:tc>
        <w:tc>
          <w:tcPr>
            <w:tcW w:w="0" w:type="auto"/>
            <w:shd w:val="clear" w:color="auto" w:fill="auto"/>
          </w:tcPr>
          <w:p w14:paraId="20AE1A5B" w14:textId="77777777" w:rsidR="00B626E7" w:rsidRDefault="00B626E7">
            <w:pPr>
              <w:rPr>
                <w:rFonts w:ascii="宋体"/>
              </w:rPr>
            </w:pPr>
          </w:p>
        </w:tc>
        <w:tc>
          <w:tcPr>
            <w:tcW w:w="0" w:type="auto"/>
            <w:shd w:val="clear" w:color="auto" w:fill="auto"/>
          </w:tcPr>
          <w:p w14:paraId="20AE1A5C" w14:textId="77777777" w:rsidR="00B626E7" w:rsidRDefault="00B626E7">
            <w:pPr>
              <w:rPr>
                <w:rFonts w:ascii="宋体"/>
              </w:rPr>
            </w:pPr>
          </w:p>
        </w:tc>
        <w:tc>
          <w:tcPr>
            <w:tcW w:w="0" w:type="auto"/>
            <w:shd w:val="clear" w:color="auto" w:fill="auto"/>
          </w:tcPr>
          <w:p w14:paraId="20AE1A5D" w14:textId="77777777" w:rsidR="00B626E7" w:rsidRDefault="00B626E7">
            <w:pPr>
              <w:rPr>
                <w:rFonts w:ascii="宋体"/>
              </w:rPr>
            </w:pPr>
          </w:p>
        </w:tc>
        <w:tc>
          <w:tcPr>
            <w:tcW w:w="0" w:type="auto"/>
            <w:shd w:val="clear" w:color="auto" w:fill="auto"/>
          </w:tcPr>
          <w:p w14:paraId="20AE1A5E" w14:textId="77777777" w:rsidR="00B626E7" w:rsidRDefault="00B626E7">
            <w:pPr>
              <w:rPr>
                <w:rFonts w:ascii="宋体"/>
              </w:rPr>
            </w:pPr>
          </w:p>
        </w:tc>
        <w:tc>
          <w:tcPr>
            <w:tcW w:w="0" w:type="auto"/>
            <w:shd w:val="clear" w:color="auto" w:fill="auto"/>
          </w:tcPr>
          <w:p w14:paraId="20AE1A5F" w14:textId="77777777" w:rsidR="00B626E7" w:rsidRDefault="00B626E7">
            <w:pPr>
              <w:rPr>
                <w:rFonts w:ascii="宋体"/>
              </w:rPr>
            </w:pPr>
          </w:p>
        </w:tc>
        <w:tc>
          <w:tcPr>
            <w:tcW w:w="0" w:type="auto"/>
            <w:shd w:val="clear" w:color="auto" w:fill="auto"/>
          </w:tcPr>
          <w:p w14:paraId="20AE1A60" w14:textId="77777777" w:rsidR="00B626E7" w:rsidRDefault="00B626E7">
            <w:pPr>
              <w:rPr>
                <w:rFonts w:ascii="宋体"/>
              </w:rPr>
            </w:pPr>
          </w:p>
        </w:tc>
        <w:tc>
          <w:tcPr>
            <w:tcW w:w="0" w:type="auto"/>
            <w:shd w:val="clear" w:color="auto" w:fill="auto"/>
          </w:tcPr>
          <w:p w14:paraId="20AE1A61" w14:textId="77777777" w:rsidR="00B626E7" w:rsidRDefault="00B626E7">
            <w:pPr>
              <w:rPr>
                <w:rFonts w:ascii="宋体"/>
              </w:rPr>
            </w:pPr>
          </w:p>
        </w:tc>
        <w:tc>
          <w:tcPr>
            <w:tcW w:w="0" w:type="auto"/>
            <w:shd w:val="clear" w:color="auto" w:fill="auto"/>
          </w:tcPr>
          <w:p w14:paraId="20AE1A62" w14:textId="77777777" w:rsidR="00B626E7" w:rsidRDefault="00B626E7">
            <w:pPr>
              <w:rPr>
                <w:rFonts w:ascii="宋体"/>
              </w:rPr>
            </w:pPr>
          </w:p>
        </w:tc>
      </w:tr>
      <w:tr w:rsidR="00B626E7" w14:paraId="20AE1A81" w14:textId="77777777">
        <w:tc>
          <w:tcPr>
            <w:tcW w:w="0" w:type="auto"/>
            <w:gridSpan w:val="3"/>
            <w:shd w:val="clear" w:color="auto" w:fill="auto"/>
            <w:tcMar>
              <w:top w:w="40" w:type="dxa"/>
              <w:left w:w="20" w:type="dxa"/>
              <w:bottom w:w="40" w:type="dxa"/>
              <w:right w:w="20" w:type="dxa"/>
            </w:tcMar>
          </w:tcPr>
          <w:p w14:paraId="20AE1A64" w14:textId="77777777" w:rsidR="00B626E7" w:rsidRDefault="00175C1D">
            <w:pPr>
              <w:textAlignment w:val="top"/>
            </w:pPr>
            <w:r>
              <w:rPr>
                <w:rFonts w:ascii="Arial" w:eastAsia="宋体" w:hAnsi="Arial" w:cs="Arial"/>
                <w:color w:val="333333"/>
                <w:sz w:val="18"/>
                <w:szCs w:val="18"/>
              </w:rPr>
              <w:t>Other long-term investments:</w:t>
            </w:r>
          </w:p>
        </w:tc>
        <w:tc>
          <w:tcPr>
            <w:tcW w:w="0" w:type="auto"/>
            <w:gridSpan w:val="3"/>
            <w:shd w:val="clear" w:color="auto" w:fill="auto"/>
            <w:tcMar>
              <w:left w:w="20" w:type="dxa"/>
              <w:right w:w="20" w:type="dxa"/>
            </w:tcMar>
            <w:vAlign w:val="bottom"/>
          </w:tcPr>
          <w:p w14:paraId="20AE1A65"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A66"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A67"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A68"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A69"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A6A"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A6B"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A6C"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A6D"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A6E"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A6F"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A70"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A71"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A72"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A73"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A74" w14:textId="77777777" w:rsidR="00B626E7" w:rsidRDefault="00B626E7">
            <w:pPr>
              <w:rPr>
                <w:rFonts w:ascii="宋体"/>
              </w:rPr>
            </w:pPr>
          </w:p>
        </w:tc>
        <w:tc>
          <w:tcPr>
            <w:tcW w:w="0" w:type="auto"/>
            <w:shd w:val="clear" w:color="auto" w:fill="auto"/>
          </w:tcPr>
          <w:p w14:paraId="20AE1A75" w14:textId="77777777" w:rsidR="00B626E7" w:rsidRDefault="00B626E7">
            <w:pPr>
              <w:rPr>
                <w:rFonts w:ascii="宋体"/>
              </w:rPr>
            </w:pPr>
          </w:p>
        </w:tc>
        <w:tc>
          <w:tcPr>
            <w:tcW w:w="0" w:type="auto"/>
            <w:shd w:val="clear" w:color="auto" w:fill="auto"/>
          </w:tcPr>
          <w:p w14:paraId="20AE1A76" w14:textId="77777777" w:rsidR="00B626E7" w:rsidRDefault="00B626E7">
            <w:pPr>
              <w:rPr>
                <w:rFonts w:ascii="宋体"/>
              </w:rPr>
            </w:pPr>
          </w:p>
        </w:tc>
        <w:tc>
          <w:tcPr>
            <w:tcW w:w="0" w:type="auto"/>
            <w:shd w:val="clear" w:color="auto" w:fill="auto"/>
          </w:tcPr>
          <w:p w14:paraId="20AE1A77" w14:textId="77777777" w:rsidR="00B626E7" w:rsidRDefault="00B626E7">
            <w:pPr>
              <w:rPr>
                <w:rFonts w:ascii="宋体"/>
              </w:rPr>
            </w:pPr>
          </w:p>
        </w:tc>
        <w:tc>
          <w:tcPr>
            <w:tcW w:w="0" w:type="auto"/>
            <w:shd w:val="clear" w:color="auto" w:fill="auto"/>
          </w:tcPr>
          <w:p w14:paraId="20AE1A78" w14:textId="77777777" w:rsidR="00B626E7" w:rsidRDefault="00B626E7">
            <w:pPr>
              <w:rPr>
                <w:rFonts w:ascii="宋体"/>
              </w:rPr>
            </w:pPr>
          </w:p>
        </w:tc>
        <w:tc>
          <w:tcPr>
            <w:tcW w:w="0" w:type="auto"/>
            <w:shd w:val="clear" w:color="auto" w:fill="auto"/>
          </w:tcPr>
          <w:p w14:paraId="20AE1A79" w14:textId="77777777" w:rsidR="00B626E7" w:rsidRDefault="00B626E7">
            <w:pPr>
              <w:rPr>
                <w:rFonts w:ascii="宋体"/>
              </w:rPr>
            </w:pPr>
          </w:p>
        </w:tc>
        <w:tc>
          <w:tcPr>
            <w:tcW w:w="0" w:type="auto"/>
            <w:shd w:val="clear" w:color="auto" w:fill="auto"/>
          </w:tcPr>
          <w:p w14:paraId="20AE1A7A" w14:textId="77777777" w:rsidR="00B626E7" w:rsidRDefault="00B626E7">
            <w:pPr>
              <w:rPr>
                <w:rFonts w:ascii="宋体"/>
              </w:rPr>
            </w:pPr>
          </w:p>
        </w:tc>
        <w:tc>
          <w:tcPr>
            <w:tcW w:w="0" w:type="auto"/>
            <w:shd w:val="clear" w:color="auto" w:fill="auto"/>
          </w:tcPr>
          <w:p w14:paraId="20AE1A7B" w14:textId="77777777" w:rsidR="00B626E7" w:rsidRDefault="00B626E7">
            <w:pPr>
              <w:rPr>
                <w:rFonts w:ascii="宋体"/>
              </w:rPr>
            </w:pPr>
          </w:p>
        </w:tc>
        <w:tc>
          <w:tcPr>
            <w:tcW w:w="0" w:type="auto"/>
            <w:shd w:val="clear" w:color="auto" w:fill="auto"/>
          </w:tcPr>
          <w:p w14:paraId="20AE1A7C" w14:textId="77777777" w:rsidR="00B626E7" w:rsidRDefault="00B626E7">
            <w:pPr>
              <w:rPr>
                <w:rFonts w:ascii="宋体"/>
              </w:rPr>
            </w:pPr>
          </w:p>
        </w:tc>
        <w:tc>
          <w:tcPr>
            <w:tcW w:w="0" w:type="auto"/>
            <w:shd w:val="clear" w:color="auto" w:fill="auto"/>
          </w:tcPr>
          <w:p w14:paraId="20AE1A7D" w14:textId="77777777" w:rsidR="00B626E7" w:rsidRDefault="00B626E7">
            <w:pPr>
              <w:rPr>
                <w:rFonts w:ascii="宋体"/>
              </w:rPr>
            </w:pPr>
          </w:p>
        </w:tc>
        <w:tc>
          <w:tcPr>
            <w:tcW w:w="0" w:type="auto"/>
            <w:shd w:val="clear" w:color="auto" w:fill="auto"/>
          </w:tcPr>
          <w:p w14:paraId="20AE1A7E" w14:textId="77777777" w:rsidR="00B626E7" w:rsidRDefault="00B626E7">
            <w:pPr>
              <w:rPr>
                <w:rFonts w:ascii="宋体"/>
              </w:rPr>
            </w:pPr>
          </w:p>
        </w:tc>
        <w:tc>
          <w:tcPr>
            <w:tcW w:w="0" w:type="auto"/>
            <w:shd w:val="clear" w:color="auto" w:fill="auto"/>
          </w:tcPr>
          <w:p w14:paraId="20AE1A7F" w14:textId="77777777" w:rsidR="00B626E7" w:rsidRDefault="00B626E7">
            <w:pPr>
              <w:rPr>
                <w:rFonts w:ascii="宋体"/>
              </w:rPr>
            </w:pPr>
          </w:p>
        </w:tc>
        <w:tc>
          <w:tcPr>
            <w:tcW w:w="0" w:type="auto"/>
            <w:shd w:val="clear" w:color="auto" w:fill="auto"/>
          </w:tcPr>
          <w:p w14:paraId="20AE1A80" w14:textId="77777777" w:rsidR="00B626E7" w:rsidRDefault="00B626E7">
            <w:pPr>
              <w:rPr>
                <w:rFonts w:ascii="宋体"/>
              </w:rPr>
            </w:pPr>
          </w:p>
        </w:tc>
      </w:tr>
      <w:tr w:rsidR="00B626E7" w14:paraId="20AE1A9F" w14:textId="77777777">
        <w:trPr>
          <w:hidden/>
        </w:trPr>
        <w:tc>
          <w:tcPr>
            <w:tcW w:w="0" w:type="auto"/>
            <w:gridSpan w:val="3"/>
            <w:shd w:val="clear" w:color="auto" w:fill="auto"/>
          </w:tcPr>
          <w:p w14:paraId="20AE1A82" w14:textId="77777777" w:rsidR="00B626E7" w:rsidRDefault="00B626E7">
            <w:pPr>
              <w:rPr>
                <w:rFonts w:ascii="宋体"/>
                <w:vanish/>
              </w:rPr>
            </w:pPr>
          </w:p>
        </w:tc>
        <w:tc>
          <w:tcPr>
            <w:tcW w:w="0" w:type="auto"/>
            <w:gridSpan w:val="3"/>
            <w:shd w:val="clear" w:color="auto" w:fill="auto"/>
          </w:tcPr>
          <w:p w14:paraId="20AE1A83" w14:textId="77777777" w:rsidR="00B626E7" w:rsidRDefault="00B626E7">
            <w:pPr>
              <w:rPr>
                <w:rFonts w:ascii="宋体"/>
                <w:vanish/>
              </w:rPr>
            </w:pPr>
          </w:p>
        </w:tc>
        <w:tc>
          <w:tcPr>
            <w:tcW w:w="0" w:type="auto"/>
            <w:gridSpan w:val="3"/>
            <w:shd w:val="clear" w:color="auto" w:fill="auto"/>
          </w:tcPr>
          <w:p w14:paraId="20AE1A84" w14:textId="77777777" w:rsidR="00B626E7" w:rsidRDefault="00B626E7">
            <w:pPr>
              <w:rPr>
                <w:rFonts w:ascii="宋体"/>
                <w:vanish/>
              </w:rPr>
            </w:pPr>
          </w:p>
        </w:tc>
        <w:tc>
          <w:tcPr>
            <w:tcW w:w="0" w:type="auto"/>
            <w:gridSpan w:val="3"/>
            <w:shd w:val="clear" w:color="auto" w:fill="auto"/>
          </w:tcPr>
          <w:p w14:paraId="20AE1A85" w14:textId="77777777" w:rsidR="00B626E7" w:rsidRDefault="00B626E7">
            <w:pPr>
              <w:rPr>
                <w:rFonts w:ascii="宋体"/>
                <w:vanish/>
              </w:rPr>
            </w:pPr>
          </w:p>
        </w:tc>
        <w:tc>
          <w:tcPr>
            <w:tcW w:w="0" w:type="auto"/>
            <w:gridSpan w:val="3"/>
            <w:shd w:val="clear" w:color="auto" w:fill="auto"/>
          </w:tcPr>
          <w:p w14:paraId="20AE1A86" w14:textId="77777777" w:rsidR="00B626E7" w:rsidRDefault="00B626E7">
            <w:pPr>
              <w:rPr>
                <w:rFonts w:ascii="宋体"/>
                <w:vanish/>
              </w:rPr>
            </w:pPr>
          </w:p>
        </w:tc>
        <w:tc>
          <w:tcPr>
            <w:tcW w:w="0" w:type="auto"/>
            <w:gridSpan w:val="3"/>
            <w:shd w:val="clear" w:color="auto" w:fill="auto"/>
          </w:tcPr>
          <w:p w14:paraId="20AE1A87" w14:textId="77777777" w:rsidR="00B626E7" w:rsidRDefault="00B626E7">
            <w:pPr>
              <w:rPr>
                <w:rFonts w:ascii="宋体"/>
                <w:vanish/>
              </w:rPr>
            </w:pPr>
          </w:p>
        </w:tc>
        <w:tc>
          <w:tcPr>
            <w:tcW w:w="0" w:type="auto"/>
            <w:gridSpan w:val="3"/>
            <w:shd w:val="clear" w:color="auto" w:fill="auto"/>
          </w:tcPr>
          <w:p w14:paraId="20AE1A88" w14:textId="77777777" w:rsidR="00B626E7" w:rsidRDefault="00B626E7">
            <w:pPr>
              <w:rPr>
                <w:rFonts w:ascii="宋体"/>
                <w:vanish/>
              </w:rPr>
            </w:pPr>
          </w:p>
        </w:tc>
        <w:tc>
          <w:tcPr>
            <w:tcW w:w="0" w:type="auto"/>
            <w:gridSpan w:val="3"/>
            <w:shd w:val="clear" w:color="auto" w:fill="auto"/>
          </w:tcPr>
          <w:p w14:paraId="20AE1A89" w14:textId="77777777" w:rsidR="00B626E7" w:rsidRDefault="00B626E7">
            <w:pPr>
              <w:rPr>
                <w:rFonts w:ascii="宋体"/>
                <w:vanish/>
              </w:rPr>
            </w:pPr>
          </w:p>
        </w:tc>
        <w:tc>
          <w:tcPr>
            <w:tcW w:w="0" w:type="auto"/>
            <w:gridSpan w:val="3"/>
            <w:shd w:val="clear" w:color="auto" w:fill="auto"/>
          </w:tcPr>
          <w:p w14:paraId="20AE1A8A" w14:textId="77777777" w:rsidR="00B626E7" w:rsidRDefault="00B626E7">
            <w:pPr>
              <w:rPr>
                <w:rFonts w:ascii="宋体"/>
                <w:vanish/>
              </w:rPr>
            </w:pPr>
          </w:p>
        </w:tc>
        <w:tc>
          <w:tcPr>
            <w:tcW w:w="0" w:type="auto"/>
            <w:gridSpan w:val="3"/>
            <w:shd w:val="clear" w:color="auto" w:fill="auto"/>
          </w:tcPr>
          <w:p w14:paraId="20AE1A8B" w14:textId="77777777" w:rsidR="00B626E7" w:rsidRDefault="00B626E7">
            <w:pPr>
              <w:rPr>
                <w:rFonts w:ascii="宋体"/>
                <w:vanish/>
              </w:rPr>
            </w:pPr>
          </w:p>
        </w:tc>
        <w:tc>
          <w:tcPr>
            <w:tcW w:w="0" w:type="auto"/>
            <w:gridSpan w:val="3"/>
            <w:shd w:val="clear" w:color="auto" w:fill="auto"/>
          </w:tcPr>
          <w:p w14:paraId="20AE1A8C" w14:textId="77777777" w:rsidR="00B626E7" w:rsidRDefault="00B626E7">
            <w:pPr>
              <w:rPr>
                <w:rFonts w:ascii="宋体"/>
                <w:vanish/>
              </w:rPr>
            </w:pPr>
          </w:p>
        </w:tc>
        <w:tc>
          <w:tcPr>
            <w:tcW w:w="0" w:type="auto"/>
            <w:gridSpan w:val="3"/>
            <w:shd w:val="clear" w:color="auto" w:fill="auto"/>
          </w:tcPr>
          <w:p w14:paraId="20AE1A8D" w14:textId="77777777" w:rsidR="00B626E7" w:rsidRDefault="00B626E7">
            <w:pPr>
              <w:rPr>
                <w:rFonts w:ascii="宋体"/>
                <w:vanish/>
              </w:rPr>
            </w:pPr>
          </w:p>
        </w:tc>
        <w:tc>
          <w:tcPr>
            <w:tcW w:w="0" w:type="auto"/>
            <w:gridSpan w:val="3"/>
            <w:shd w:val="clear" w:color="auto" w:fill="auto"/>
          </w:tcPr>
          <w:p w14:paraId="20AE1A8E" w14:textId="77777777" w:rsidR="00B626E7" w:rsidRDefault="00B626E7">
            <w:pPr>
              <w:rPr>
                <w:rFonts w:ascii="宋体"/>
                <w:vanish/>
              </w:rPr>
            </w:pPr>
          </w:p>
        </w:tc>
        <w:tc>
          <w:tcPr>
            <w:tcW w:w="0" w:type="auto"/>
            <w:gridSpan w:val="3"/>
            <w:shd w:val="clear" w:color="auto" w:fill="auto"/>
          </w:tcPr>
          <w:p w14:paraId="20AE1A8F" w14:textId="77777777" w:rsidR="00B626E7" w:rsidRDefault="00B626E7">
            <w:pPr>
              <w:rPr>
                <w:rFonts w:ascii="宋体"/>
                <w:vanish/>
              </w:rPr>
            </w:pPr>
          </w:p>
        </w:tc>
        <w:tc>
          <w:tcPr>
            <w:tcW w:w="0" w:type="auto"/>
            <w:gridSpan w:val="3"/>
            <w:shd w:val="clear" w:color="auto" w:fill="auto"/>
          </w:tcPr>
          <w:p w14:paraId="20AE1A90" w14:textId="77777777" w:rsidR="00B626E7" w:rsidRDefault="00B626E7">
            <w:pPr>
              <w:rPr>
                <w:rFonts w:ascii="宋体"/>
                <w:vanish/>
              </w:rPr>
            </w:pPr>
          </w:p>
        </w:tc>
        <w:tc>
          <w:tcPr>
            <w:tcW w:w="0" w:type="auto"/>
            <w:gridSpan w:val="3"/>
            <w:shd w:val="clear" w:color="auto" w:fill="auto"/>
          </w:tcPr>
          <w:p w14:paraId="20AE1A91" w14:textId="77777777" w:rsidR="00B626E7" w:rsidRDefault="00B626E7">
            <w:pPr>
              <w:rPr>
                <w:rFonts w:ascii="宋体"/>
                <w:vanish/>
              </w:rPr>
            </w:pPr>
          </w:p>
        </w:tc>
        <w:tc>
          <w:tcPr>
            <w:tcW w:w="0" w:type="auto"/>
            <w:gridSpan w:val="3"/>
            <w:shd w:val="clear" w:color="auto" w:fill="auto"/>
          </w:tcPr>
          <w:p w14:paraId="20AE1A92" w14:textId="77777777" w:rsidR="00B626E7" w:rsidRDefault="00B626E7">
            <w:pPr>
              <w:rPr>
                <w:rFonts w:ascii="宋体"/>
                <w:vanish/>
              </w:rPr>
            </w:pPr>
          </w:p>
        </w:tc>
        <w:tc>
          <w:tcPr>
            <w:tcW w:w="0" w:type="auto"/>
            <w:shd w:val="clear" w:color="auto" w:fill="auto"/>
          </w:tcPr>
          <w:p w14:paraId="20AE1A93" w14:textId="77777777" w:rsidR="00B626E7" w:rsidRDefault="00B626E7">
            <w:pPr>
              <w:rPr>
                <w:rFonts w:ascii="宋体"/>
              </w:rPr>
            </w:pPr>
          </w:p>
        </w:tc>
        <w:tc>
          <w:tcPr>
            <w:tcW w:w="0" w:type="auto"/>
            <w:shd w:val="clear" w:color="auto" w:fill="auto"/>
          </w:tcPr>
          <w:p w14:paraId="20AE1A94" w14:textId="77777777" w:rsidR="00B626E7" w:rsidRDefault="00B626E7">
            <w:pPr>
              <w:rPr>
                <w:rFonts w:ascii="宋体"/>
              </w:rPr>
            </w:pPr>
          </w:p>
        </w:tc>
        <w:tc>
          <w:tcPr>
            <w:tcW w:w="0" w:type="auto"/>
            <w:shd w:val="clear" w:color="auto" w:fill="auto"/>
          </w:tcPr>
          <w:p w14:paraId="20AE1A95" w14:textId="77777777" w:rsidR="00B626E7" w:rsidRDefault="00B626E7">
            <w:pPr>
              <w:rPr>
                <w:rFonts w:ascii="宋体"/>
              </w:rPr>
            </w:pPr>
          </w:p>
        </w:tc>
        <w:tc>
          <w:tcPr>
            <w:tcW w:w="0" w:type="auto"/>
            <w:shd w:val="clear" w:color="auto" w:fill="auto"/>
          </w:tcPr>
          <w:p w14:paraId="20AE1A96" w14:textId="77777777" w:rsidR="00B626E7" w:rsidRDefault="00B626E7">
            <w:pPr>
              <w:rPr>
                <w:rFonts w:ascii="宋体"/>
              </w:rPr>
            </w:pPr>
          </w:p>
        </w:tc>
        <w:tc>
          <w:tcPr>
            <w:tcW w:w="0" w:type="auto"/>
            <w:shd w:val="clear" w:color="auto" w:fill="auto"/>
          </w:tcPr>
          <w:p w14:paraId="20AE1A97" w14:textId="77777777" w:rsidR="00B626E7" w:rsidRDefault="00B626E7">
            <w:pPr>
              <w:rPr>
                <w:rFonts w:ascii="宋体"/>
              </w:rPr>
            </w:pPr>
          </w:p>
        </w:tc>
        <w:tc>
          <w:tcPr>
            <w:tcW w:w="0" w:type="auto"/>
            <w:shd w:val="clear" w:color="auto" w:fill="auto"/>
          </w:tcPr>
          <w:p w14:paraId="20AE1A98" w14:textId="77777777" w:rsidR="00B626E7" w:rsidRDefault="00B626E7">
            <w:pPr>
              <w:rPr>
                <w:rFonts w:ascii="宋体"/>
              </w:rPr>
            </w:pPr>
          </w:p>
        </w:tc>
        <w:tc>
          <w:tcPr>
            <w:tcW w:w="0" w:type="auto"/>
            <w:shd w:val="clear" w:color="auto" w:fill="auto"/>
          </w:tcPr>
          <w:p w14:paraId="20AE1A99" w14:textId="77777777" w:rsidR="00B626E7" w:rsidRDefault="00B626E7">
            <w:pPr>
              <w:rPr>
                <w:rFonts w:ascii="宋体"/>
              </w:rPr>
            </w:pPr>
          </w:p>
        </w:tc>
        <w:tc>
          <w:tcPr>
            <w:tcW w:w="0" w:type="auto"/>
            <w:shd w:val="clear" w:color="auto" w:fill="auto"/>
          </w:tcPr>
          <w:p w14:paraId="20AE1A9A" w14:textId="77777777" w:rsidR="00B626E7" w:rsidRDefault="00B626E7">
            <w:pPr>
              <w:rPr>
                <w:rFonts w:ascii="宋体"/>
              </w:rPr>
            </w:pPr>
          </w:p>
        </w:tc>
        <w:tc>
          <w:tcPr>
            <w:tcW w:w="0" w:type="auto"/>
            <w:shd w:val="clear" w:color="auto" w:fill="auto"/>
          </w:tcPr>
          <w:p w14:paraId="20AE1A9B" w14:textId="77777777" w:rsidR="00B626E7" w:rsidRDefault="00B626E7">
            <w:pPr>
              <w:rPr>
                <w:rFonts w:ascii="宋体"/>
              </w:rPr>
            </w:pPr>
          </w:p>
        </w:tc>
        <w:tc>
          <w:tcPr>
            <w:tcW w:w="0" w:type="auto"/>
            <w:shd w:val="clear" w:color="auto" w:fill="auto"/>
          </w:tcPr>
          <w:p w14:paraId="20AE1A9C" w14:textId="77777777" w:rsidR="00B626E7" w:rsidRDefault="00B626E7">
            <w:pPr>
              <w:rPr>
                <w:rFonts w:ascii="宋体"/>
              </w:rPr>
            </w:pPr>
          </w:p>
        </w:tc>
        <w:tc>
          <w:tcPr>
            <w:tcW w:w="0" w:type="auto"/>
            <w:shd w:val="clear" w:color="auto" w:fill="auto"/>
          </w:tcPr>
          <w:p w14:paraId="20AE1A9D" w14:textId="77777777" w:rsidR="00B626E7" w:rsidRDefault="00B626E7">
            <w:pPr>
              <w:rPr>
                <w:rFonts w:ascii="宋体"/>
              </w:rPr>
            </w:pPr>
          </w:p>
        </w:tc>
        <w:tc>
          <w:tcPr>
            <w:tcW w:w="0" w:type="auto"/>
            <w:shd w:val="clear" w:color="auto" w:fill="auto"/>
          </w:tcPr>
          <w:p w14:paraId="20AE1A9E" w14:textId="77777777" w:rsidR="00B626E7" w:rsidRDefault="00B626E7">
            <w:pPr>
              <w:rPr>
                <w:rFonts w:ascii="宋体"/>
              </w:rPr>
            </w:pPr>
          </w:p>
        </w:tc>
      </w:tr>
      <w:tr w:rsidR="00B626E7" w14:paraId="20AE1AC5" w14:textId="77777777">
        <w:tc>
          <w:tcPr>
            <w:tcW w:w="0" w:type="auto"/>
            <w:gridSpan w:val="3"/>
            <w:shd w:val="clear" w:color="auto" w:fill="auto"/>
            <w:tcMar>
              <w:top w:w="40" w:type="dxa"/>
              <w:left w:w="120" w:type="dxa"/>
              <w:bottom w:w="40" w:type="dxa"/>
              <w:right w:w="20" w:type="dxa"/>
            </w:tcMar>
          </w:tcPr>
          <w:p w14:paraId="20AE1AA0" w14:textId="77777777" w:rsidR="00B626E7" w:rsidRDefault="00175C1D">
            <w:pPr>
              <w:textAlignment w:val="top"/>
            </w:pPr>
            <w:r>
              <w:rPr>
                <w:rFonts w:ascii="Arial" w:eastAsia="宋体" w:hAnsi="Arial" w:cs="Arial"/>
                <w:color w:val="333333"/>
                <w:sz w:val="18"/>
                <w:szCs w:val="18"/>
              </w:rPr>
              <w:t>Corporate debt</w:t>
            </w:r>
          </w:p>
        </w:tc>
        <w:tc>
          <w:tcPr>
            <w:tcW w:w="0" w:type="auto"/>
            <w:gridSpan w:val="3"/>
            <w:shd w:val="clear" w:color="auto" w:fill="auto"/>
            <w:tcMar>
              <w:left w:w="20" w:type="dxa"/>
              <w:right w:w="20" w:type="dxa"/>
            </w:tcMar>
            <w:vAlign w:val="bottom"/>
          </w:tcPr>
          <w:p w14:paraId="20AE1AA1"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AA2" w14:textId="77777777" w:rsidR="00B626E7" w:rsidRDefault="00175C1D">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20AE1AA3"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AA4"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AA5" w14:textId="77777777" w:rsidR="00B626E7" w:rsidRDefault="00175C1D">
            <w:pPr>
              <w:jc w:val="right"/>
              <w:textAlignment w:val="bottom"/>
            </w:pPr>
            <w:r>
              <w:rPr>
                <w:rFonts w:ascii="Arial" w:eastAsia="宋体" w:hAnsi="Arial" w:cs="Arial"/>
                <w:color w:val="026DCE"/>
                <w:sz w:val="18"/>
                <w:szCs w:val="18"/>
              </w:rPr>
              <w:t>1,864 </w:t>
            </w:r>
          </w:p>
        </w:tc>
        <w:tc>
          <w:tcPr>
            <w:tcW w:w="0" w:type="auto"/>
            <w:shd w:val="clear" w:color="auto" w:fill="auto"/>
            <w:tcMar>
              <w:top w:w="40" w:type="dxa"/>
              <w:bottom w:w="40" w:type="dxa"/>
              <w:right w:w="20" w:type="dxa"/>
            </w:tcMar>
            <w:vAlign w:val="bottom"/>
          </w:tcPr>
          <w:p w14:paraId="20AE1AA6"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AA7"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AA8" w14:textId="77777777" w:rsidR="00B626E7" w:rsidRDefault="00175C1D">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20AE1AA9"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AAA"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AAB" w14:textId="77777777" w:rsidR="00B626E7" w:rsidRDefault="00175C1D">
            <w:pPr>
              <w:jc w:val="right"/>
              <w:textAlignment w:val="bottom"/>
            </w:pPr>
            <w:r>
              <w:rPr>
                <w:rFonts w:ascii="Arial" w:eastAsia="宋体" w:hAnsi="Arial" w:cs="Arial"/>
                <w:color w:val="026DCE"/>
                <w:sz w:val="18"/>
                <w:szCs w:val="18"/>
              </w:rPr>
              <w:t>1,864 </w:t>
            </w:r>
          </w:p>
        </w:tc>
        <w:tc>
          <w:tcPr>
            <w:tcW w:w="0" w:type="auto"/>
            <w:shd w:val="clear" w:color="auto" w:fill="auto"/>
            <w:tcMar>
              <w:top w:w="40" w:type="dxa"/>
              <w:bottom w:w="40" w:type="dxa"/>
              <w:right w:w="20" w:type="dxa"/>
            </w:tcMar>
            <w:vAlign w:val="bottom"/>
          </w:tcPr>
          <w:p w14:paraId="20AE1AAC"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AAD"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AAE"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1AAF"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AB0"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AB1" w14:textId="77777777" w:rsidR="00B626E7" w:rsidRDefault="00175C1D">
            <w:pPr>
              <w:jc w:val="right"/>
              <w:textAlignment w:val="bottom"/>
            </w:pPr>
            <w:r>
              <w:rPr>
                <w:rFonts w:ascii="Arial" w:eastAsia="宋体" w:hAnsi="Arial" w:cs="Arial"/>
                <w:color w:val="333333"/>
                <w:sz w:val="18"/>
                <w:szCs w:val="18"/>
              </w:rPr>
              <w:t>1,898 </w:t>
            </w:r>
          </w:p>
        </w:tc>
        <w:tc>
          <w:tcPr>
            <w:tcW w:w="0" w:type="auto"/>
            <w:shd w:val="clear" w:color="auto" w:fill="auto"/>
            <w:tcMar>
              <w:top w:w="40" w:type="dxa"/>
              <w:bottom w:w="40" w:type="dxa"/>
              <w:right w:w="20" w:type="dxa"/>
            </w:tcMar>
            <w:vAlign w:val="bottom"/>
          </w:tcPr>
          <w:p w14:paraId="20AE1AB2"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AB3"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AB4"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1AB5"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AB6"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AB7" w14:textId="77777777" w:rsidR="00B626E7" w:rsidRDefault="00175C1D">
            <w:pPr>
              <w:jc w:val="right"/>
              <w:textAlignment w:val="bottom"/>
            </w:pPr>
            <w:r>
              <w:rPr>
                <w:rFonts w:ascii="Arial" w:eastAsia="宋体" w:hAnsi="Arial" w:cs="Arial"/>
                <w:color w:val="333333"/>
                <w:sz w:val="18"/>
                <w:szCs w:val="18"/>
              </w:rPr>
              <w:t>1,898 </w:t>
            </w:r>
          </w:p>
        </w:tc>
        <w:tc>
          <w:tcPr>
            <w:tcW w:w="0" w:type="auto"/>
            <w:shd w:val="clear" w:color="auto" w:fill="auto"/>
            <w:tcMar>
              <w:top w:w="40" w:type="dxa"/>
              <w:bottom w:w="40" w:type="dxa"/>
              <w:right w:w="20" w:type="dxa"/>
            </w:tcMar>
            <w:vAlign w:val="bottom"/>
          </w:tcPr>
          <w:p w14:paraId="20AE1AB8"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AB9" w14:textId="77777777" w:rsidR="00B626E7" w:rsidRDefault="00B626E7">
            <w:pPr>
              <w:rPr>
                <w:rFonts w:ascii="宋体"/>
              </w:rPr>
            </w:pPr>
          </w:p>
        </w:tc>
        <w:tc>
          <w:tcPr>
            <w:tcW w:w="0" w:type="auto"/>
            <w:shd w:val="clear" w:color="auto" w:fill="auto"/>
          </w:tcPr>
          <w:p w14:paraId="20AE1ABA" w14:textId="77777777" w:rsidR="00B626E7" w:rsidRDefault="00B626E7">
            <w:pPr>
              <w:rPr>
                <w:rFonts w:ascii="宋体"/>
              </w:rPr>
            </w:pPr>
          </w:p>
        </w:tc>
        <w:tc>
          <w:tcPr>
            <w:tcW w:w="0" w:type="auto"/>
            <w:shd w:val="clear" w:color="auto" w:fill="auto"/>
          </w:tcPr>
          <w:p w14:paraId="20AE1ABB" w14:textId="77777777" w:rsidR="00B626E7" w:rsidRDefault="00B626E7">
            <w:pPr>
              <w:rPr>
                <w:rFonts w:ascii="宋体"/>
              </w:rPr>
            </w:pPr>
          </w:p>
        </w:tc>
        <w:tc>
          <w:tcPr>
            <w:tcW w:w="0" w:type="auto"/>
            <w:shd w:val="clear" w:color="auto" w:fill="auto"/>
          </w:tcPr>
          <w:p w14:paraId="20AE1ABC" w14:textId="77777777" w:rsidR="00B626E7" w:rsidRDefault="00B626E7">
            <w:pPr>
              <w:rPr>
                <w:rFonts w:ascii="宋体"/>
              </w:rPr>
            </w:pPr>
          </w:p>
        </w:tc>
        <w:tc>
          <w:tcPr>
            <w:tcW w:w="0" w:type="auto"/>
            <w:shd w:val="clear" w:color="auto" w:fill="auto"/>
          </w:tcPr>
          <w:p w14:paraId="20AE1ABD" w14:textId="77777777" w:rsidR="00B626E7" w:rsidRDefault="00B626E7">
            <w:pPr>
              <w:rPr>
                <w:rFonts w:ascii="宋体"/>
              </w:rPr>
            </w:pPr>
          </w:p>
        </w:tc>
        <w:tc>
          <w:tcPr>
            <w:tcW w:w="0" w:type="auto"/>
            <w:shd w:val="clear" w:color="auto" w:fill="auto"/>
          </w:tcPr>
          <w:p w14:paraId="20AE1ABE" w14:textId="77777777" w:rsidR="00B626E7" w:rsidRDefault="00B626E7">
            <w:pPr>
              <w:rPr>
                <w:rFonts w:ascii="宋体"/>
              </w:rPr>
            </w:pPr>
          </w:p>
        </w:tc>
        <w:tc>
          <w:tcPr>
            <w:tcW w:w="0" w:type="auto"/>
            <w:shd w:val="clear" w:color="auto" w:fill="auto"/>
          </w:tcPr>
          <w:p w14:paraId="20AE1ABF" w14:textId="77777777" w:rsidR="00B626E7" w:rsidRDefault="00B626E7">
            <w:pPr>
              <w:rPr>
                <w:rFonts w:ascii="宋体"/>
              </w:rPr>
            </w:pPr>
          </w:p>
        </w:tc>
        <w:tc>
          <w:tcPr>
            <w:tcW w:w="0" w:type="auto"/>
            <w:shd w:val="clear" w:color="auto" w:fill="auto"/>
          </w:tcPr>
          <w:p w14:paraId="20AE1AC0" w14:textId="77777777" w:rsidR="00B626E7" w:rsidRDefault="00B626E7">
            <w:pPr>
              <w:rPr>
                <w:rFonts w:ascii="宋体"/>
              </w:rPr>
            </w:pPr>
          </w:p>
        </w:tc>
        <w:tc>
          <w:tcPr>
            <w:tcW w:w="0" w:type="auto"/>
            <w:shd w:val="clear" w:color="auto" w:fill="auto"/>
          </w:tcPr>
          <w:p w14:paraId="20AE1AC1" w14:textId="77777777" w:rsidR="00B626E7" w:rsidRDefault="00B626E7">
            <w:pPr>
              <w:rPr>
                <w:rFonts w:ascii="宋体"/>
              </w:rPr>
            </w:pPr>
          </w:p>
        </w:tc>
        <w:tc>
          <w:tcPr>
            <w:tcW w:w="0" w:type="auto"/>
            <w:shd w:val="clear" w:color="auto" w:fill="auto"/>
          </w:tcPr>
          <w:p w14:paraId="20AE1AC2" w14:textId="77777777" w:rsidR="00B626E7" w:rsidRDefault="00B626E7">
            <w:pPr>
              <w:rPr>
                <w:rFonts w:ascii="宋体"/>
              </w:rPr>
            </w:pPr>
          </w:p>
        </w:tc>
        <w:tc>
          <w:tcPr>
            <w:tcW w:w="0" w:type="auto"/>
            <w:shd w:val="clear" w:color="auto" w:fill="auto"/>
          </w:tcPr>
          <w:p w14:paraId="20AE1AC3" w14:textId="77777777" w:rsidR="00B626E7" w:rsidRDefault="00B626E7">
            <w:pPr>
              <w:rPr>
                <w:rFonts w:ascii="宋体"/>
              </w:rPr>
            </w:pPr>
          </w:p>
        </w:tc>
        <w:tc>
          <w:tcPr>
            <w:tcW w:w="0" w:type="auto"/>
            <w:shd w:val="clear" w:color="auto" w:fill="auto"/>
          </w:tcPr>
          <w:p w14:paraId="20AE1AC4" w14:textId="77777777" w:rsidR="00B626E7" w:rsidRDefault="00B626E7">
            <w:pPr>
              <w:rPr>
                <w:rFonts w:ascii="宋体"/>
              </w:rPr>
            </w:pPr>
          </w:p>
        </w:tc>
      </w:tr>
      <w:tr w:rsidR="00B626E7" w14:paraId="20AE1AEB" w14:textId="77777777">
        <w:tc>
          <w:tcPr>
            <w:tcW w:w="0" w:type="auto"/>
            <w:gridSpan w:val="3"/>
            <w:shd w:val="clear" w:color="auto" w:fill="auto"/>
            <w:tcMar>
              <w:top w:w="40" w:type="dxa"/>
              <w:left w:w="120" w:type="dxa"/>
              <w:bottom w:w="40" w:type="dxa"/>
              <w:right w:w="20" w:type="dxa"/>
            </w:tcMar>
          </w:tcPr>
          <w:p w14:paraId="20AE1AC6" w14:textId="77777777" w:rsidR="00B626E7" w:rsidRDefault="00175C1D">
            <w:pPr>
              <w:textAlignment w:val="top"/>
            </w:pPr>
            <w:r>
              <w:rPr>
                <w:rFonts w:ascii="Arial" w:eastAsia="宋体" w:hAnsi="Arial" w:cs="Arial"/>
                <w:color w:val="333333"/>
                <w:sz w:val="18"/>
                <w:szCs w:val="18"/>
              </w:rPr>
              <w:t>Financial institution instruments¹</w:t>
            </w:r>
          </w:p>
        </w:tc>
        <w:tc>
          <w:tcPr>
            <w:tcW w:w="0" w:type="auto"/>
            <w:gridSpan w:val="3"/>
            <w:shd w:val="clear" w:color="auto" w:fill="auto"/>
            <w:tcMar>
              <w:left w:w="20" w:type="dxa"/>
              <w:right w:w="20" w:type="dxa"/>
            </w:tcMar>
            <w:vAlign w:val="bottom"/>
          </w:tcPr>
          <w:p w14:paraId="20AE1AC7"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AC8" w14:textId="77777777" w:rsidR="00B626E7" w:rsidRDefault="00175C1D">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20AE1AC9"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ACA"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ACB" w14:textId="77777777" w:rsidR="00B626E7" w:rsidRDefault="00175C1D">
            <w:pPr>
              <w:jc w:val="right"/>
              <w:textAlignment w:val="bottom"/>
            </w:pPr>
            <w:r>
              <w:rPr>
                <w:rFonts w:ascii="Arial" w:eastAsia="宋体" w:hAnsi="Arial" w:cs="Arial"/>
                <w:color w:val="026DCE"/>
                <w:sz w:val="18"/>
                <w:szCs w:val="18"/>
              </w:rPr>
              <w:t>452 </w:t>
            </w:r>
          </w:p>
        </w:tc>
        <w:tc>
          <w:tcPr>
            <w:tcW w:w="0" w:type="auto"/>
            <w:shd w:val="clear" w:color="auto" w:fill="auto"/>
            <w:tcMar>
              <w:top w:w="40" w:type="dxa"/>
              <w:bottom w:w="40" w:type="dxa"/>
              <w:right w:w="20" w:type="dxa"/>
            </w:tcMar>
            <w:vAlign w:val="bottom"/>
          </w:tcPr>
          <w:p w14:paraId="20AE1ACC"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ACD"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ACE" w14:textId="77777777" w:rsidR="00B626E7" w:rsidRDefault="00175C1D">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20AE1ACF"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AD0"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AD1" w14:textId="77777777" w:rsidR="00B626E7" w:rsidRDefault="00175C1D">
            <w:pPr>
              <w:jc w:val="right"/>
              <w:textAlignment w:val="bottom"/>
            </w:pPr>
            <w:r>
              <w:rPr>
                <w:rFonts w:ascii="Arial" w:eastAsia="宋体" w:hAnsi="Arial" w:cs="Arial"/>
                <w:color w:val="026DCE"/>
                <w:sz w:val="18"/>
                <w:szCs w:val="18"/>
              </w:rPr>
              <w:t>452 </w:t>
            </w:r>
          </w:p>
        </w:tc>
        <w:tc>
          <w:tcPr>
            <w:tcW w:w="0" w:type="auto"/>
            <w:shd w:val="clear" w:color="auto" w:fill="auto"/>
            <w:tcMar>
              <w:top w:w="40" w:type="dxa"/>
              <w:bottom w:w="40" w:type="dxa"/>
              <w:right w:w="20" w:type="dxa"/>
            </w:tcMar>
            <w:vAlign w:val="bottom"/>
          </w:tcPr>
          <w:p w14:paraId="20AE1AD2"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AD3"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AD4"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1AD5"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AD6"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AD7" w14:textId="77777777" w:rsidR="00B626E7" w:rsidRDefault="00175C1D">
            <w:pPr>
              <w:jc w:val="right"/>
              <w:textAlignment w:val="bottom"/>
            </w:pPr>
            <w:r>
              <w:rPr>
                <w:rFonts w:ascii="Arial" w:eastAsia="宋体" w:hAnsi="Arial" w:cs="Arial"/>
                <w:color w:val="333333"/>
                <w:sz w:val="18"/>
                <w:szCs w:val="18"/>
              </w:rPr>
              <w:t>825 </w:t>
            </w:r>
          </w:p>
        </w:tc>
        <w:tc>
          <w:tcPr>
            <w:tcW w:w="0" w:type="auto"/>
            <w:shd w:val="clear" w:color="auto" w:fill="auto"/>
            <w:tcMar>
              <w:top w:w="40" w:type="dxa"/>
              <w:bottom w:w="40" w:type="dxa"/>
              <w:right w:w="20" w:type="dxa"/>
            </w:tcMar>
            <w:vAlign w:val="bottom"/>
          </w:tcPr>
          <w:p w14:paraId="20AE1AD8"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AD9"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ADA"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1ADB"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ADC"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ADD" w14:textId="77777777" w:rsidR="00B626E7" w:rsidRDefault="00175C1D">
            <w:pPr>
              <w:jc w:val="right"/>
              <w:textAlignment w:val="bottom"/>
            </w:pPr>
            <w:r>
              <w:rPr>
                <w:rFonts w:ascii="Arial" w:eastAsia="宋体" w:hAnsi="Arial" w:cs="Arial"/>
                <w:color w:val="333333"/>
                <w:sz w:val="18"/>
                <w:szCs w:val="18"/>
              </w:rPr>
              <w:t>825 </w:t>
            </w:r>
          </w:p>
        </w:tc>
        <w:tc>
          <w:tcPr>
            <w:tcW w:w="0" w:type="auto"/>
            <w:shd w:val="clear" w:color="auto" w:fill="auto"/>
            <w:tcMar>
              <w:top w:w="40" w:type="dxa"/>
              <w:bottom w:w="40" w:type="dxa"/>
              <w:right w:w="20" w:type="dxa"/>
            </w:tcMar>
            <w:vAlign w:val="bottom"/>
          </w:tcPr>
          <w:p w14:paraId="20AE1ADE"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ADF" w14:textId="77777777" w:rsidR="00B626E7" w:rsidRDefault="00B626E7">
            <w:pPr>
              <w:rPr>
                <w:rFonts w:ascii="宋体"/>
              </w:rPr>
            </w:pPr>
          </w:p>
        </w:tc>
        <w:tc>
          <w:tcPr>
            <w:tcW w:w="0" w:type="auto"/>
            <w:shd w:val="clear" w:color="auto" w:fill="auto"/>
          </w:tcPr>
          <w:p w14:paraId="20AE1AE0" w14:textId="77777777" w:rsidR="00B626E7" w:rsidRDefault="00B626E7">
            <w:pPr>
              <w:rPr>
                <w:rFonts w:ascii="宋体"/>
              </w:rPr>
            </w:pPr>
          </w:p>
        </w:tc>
        <w:tc>
          <w:tcPr>
            <w:tcW w:w="0" w:type="auto"/>
            <w:shd w:val="clear" w:color="auto" w:fill="auto"/>
          </w:tcPr>
          <w:p w14:paraId="20AE1AE1" w14:textId="77777777" w:rsidR="00B626E7" w:rsidRDefault="00B626E7">
            <w:pPr>
              <w:rPr>
                <w:rFonts w:ascii="宋体"/>
              </w:rPr>
            </w:pPr>
          </w:p>
        </w:tc>
        <w:tc>
          <w:tcPr>
            <w:tcW w:w="0" w:type="auto"/>
            <w:shd w:val="clear" w:color="auto" w:fill="auto"/>
          </w:tcPr>
          <w:p w14:paraId="20AE1AE2" w14:textId="77777777" w:rsidR="00B626E7" w:rsidRDefault="00B626E7">
            <w:pPr>
              <w:rPr>
                <w:rFonts w:ascii="宋体"/>
              </w:rPr>
            </w:pPr>
          </w:p>
        </w:tc>
        <w:tc>
          <w:tcPr>
            <w:tcW w:w="0" w:type="auto"/>
            <w:shd w:val="clear" w:color="auto" w:fill="auto"/>
          </w:tcPr>
          <w:p w14:paraId="20AE1AE3" w14:textId="77777777" w:rsidR="00B626E7" w:rsidRDefault="00B626E7">
            <w:pPr>
              <w:rPr>
                <w:rFonts w:ascii="宋体"/>
              </w:rPr>
            </w:pPr>
          </w:p>
        </w:tc>
        <w:tc>
          <w:tcPr>
            <w:tcW w:w="0" w:type="auto"/>
            <w:shd w:val="clear" w:color="auto" w:fill="auto"/>
          </w:tcPr>
          <w:p w14:paraId="20AE1AE4" w14:textId="77777777" w:rsidR="00B626E7" w:rsidRDefault="00B626E7">
            <w:pPr>
              <w:rPr>
                <w:rFonts w:ascii="宋体"/>
              </w:rPr>
            </w:pPr>
          </w:p>
        </w:tc>
        <w:tc>
          <w:tcPr>
            <w:tcW w:w="0" w:type="auto"/>
            <w:shd w:val="clear" w:color="auto" w:fill="auto"/>
          </w:tcPr>
          <w:p w14:paraId="20AE1AE5" w14:textId="77777777" w:rsidR="00B626E7" w:rsidRDefault="00B626E7">
            <w:pPr>
              <w:rPr>
                <w:rFonts w:ascii="宋体"/>
              </w:rPr>
            </w:pPr>
          </w:p>
        </w:tc>
        <w:tc>
          <w:tcPr>
            <w:tcW w:w="0" w:type="auto"/>
            <w:shd w:val="clear" w:color="auto" w:fill="auto"/>
          </w:tcPr>
          <w:p w14:paraId="20AE1AE6" w14:textId="77777777" w:rsidR="00B626E7" w:rsidRDefault="00B626E7">
            <w:pPr>
              <w:rPr>
                <w:rFonts w:ascii="宋体"/>
              </w:rPr>
            </w:pPr>
          </w:p>
        </w:tc>
        <w:tc>
          <w:tcPr>
            <w:tcW w:w="0" w:type="auto"/>
            <w:shd w:val="clear" w:color="auto" w:fill="auto"/>
          </w:tcPr>
          <w:p w14:paraId="20AE1AE7" w14:textId="77777777" w:rsidR="00B626E7" w:rsidRDefault="00B626E7">
            <w:pPr>
              <w:rPr>
                <w:rFonts w:ascii="宋体"/>
              </w:rPr>
            </w:pPr>
          </w:p>
        </w:tc>
        <w:tc>
          <w:tcPr>
            <w:tcW w:w="0" w:type="auto"/>
            <w:shd w:val="clear" w:color="auto" w:fill="auto"/>
          </w:tcPr>
          <w:p w14:paraId="20AE1AE8" w14:textId="77777777" w:rsidR="00B626E7" w:rsidRDefault="00B626E7">
            <w:pPr>
              <w:rPr>
                <w:rFonts w:ascii="宋体"/>
              </w:rPr>
            </w:pPr>
          </w:p>
        </w:tc>
        <w:tc>
          <w:tcPr>
            <w:tcW w:w="0" w:type="auto"/>
            <w:shd w:val="clear" w:color="auto" w:fill="auto"/>
          </w:tcPr>
          <w:p w14:paraId="20AE1AE9" w14:textId="77777777" w:rsidR="00B626E7" w:rsidRDefault="00B626E7">
            <w:pPr>
              <w:rPr>
                <w:rFonts w:ascii="宋体"/>
              </w:rPr>
            </w:pPr>
          </w:p>
        </w:tc>
        <w:tc>
          <w:tcPr>
            <w:tcW w:w="0" w:type="auto"/>
            <w:shd w:val="clear" w:color="auto" w:fill="auto"/>
          </w:tcPr>
          <w:p w14:paraId="20AE1AEA" w14:textId="77777777" w:rsidR="00B626E7" w:rsidRDefault="00B626E7">
            <w:pPr>
              <w:rPr>
                <w:rFonts w:ascii="宋体"/>
              </w:rPr>
            </w:pPr>
          </w:p>
        </w:tc>
      </w:tr>
      <w:tr w:rsidR="00B626E7" w14:paraId="20AE1B11" w14:textId="77777777">
        <w:tc>
          <w:tcPr>
            <w:tcW w:w="0" w:type="auto"/>
            <w:gridSpan w:val="3"/>
            <w:shd w:val="clear" w:color="auto" w:fill="auto"/>
            <w:tcMar>
              <w:top w:w="40" w:type="dxa"/>
              <w:left w:w="120" w:type="dxa"/>
              <w:bottom w:w="40" w:type="dxa"/>
              <w:right w:w="20" w:type="dxa"/>
            </w:tcMar>
          </w:tcPr>
          <w:p w14:paraId="20AE1AEC" w14:textId="77777777" w:rsidR="00B626E7" w:rsidRDefault="00175C1D">
            <w:pPr>
              <w:textAlignment w:val="top"/>
            </w:pPr>
            <w:r>
              <w:rPr>
                <w:rFonts w:ascii="Arial" w:eastAsia="宋体" w:hAnsi="Arial" w:cs="Arial"/>
                <w:color w:val="333333"/>
                <w:sz w:val="18"/>
                <w:szCs w:val="18"/>
              </w:rPr>
              <w:t>Government debt²</w:t>
            </w:r>
          </w:p>
        </w:tc>
        <w:tc>
          <w:tcPr>
            <w:tcW w:w="0" w:type="auto"/>
            <w:gridSpan w:val="3"/>
            <w:shd w:val="clear" w:color="auto" w:fill="auto"/>
            <w:tcMar>
              <w:left w:w="20" w:type="dxa"/>
              <w:right w:w="20" w:type="dxa"/>
            </w:tcMar>
            <w:vAlign w:val="bottom"/>
          </w:tcPr>
          <w:p w14:paraId="20AE1AED"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AEE" w14:textId="77777777" w:rsidR="00B626E7" w:rsidRDefault="00175C1D">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20AE1AEF"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AF0"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AF1" w14:textId="77777777" w:rsidR="00B626E7" w:rsidRDefault="00175C1D">
            <w:pPr>
              <w:jc w:val="right"/>
              <w:textAlignment w:val="bottom"/>
            </w:pPr>
            <w:r>
              <w:rPr>
                <w:rFonts w:ascii="Arial" w:eastAsia="宋体" w:hAnsi="Arial" w:cs="Arial"/>
                <w:color w:val="026DCE"/>
                <w:sz w:val="18"/>
                <w:szCs w:val="18"/>
              </w:rPr>
              <w:t>568 </w:t>
            </w:r>
          </w:p>
        </w:tc>
        <w:tc>
          <w:tcPr>
            <w:tcW w:w="0" w:type="auto"/>
            <w:shd w:val="clear" w:color="auto" w:fill="auto"/>
            <w:tcMar>
              <w:top w:w="40" w:type="dxa"/>
              <w:bottom w:w="40" w:type="dxa"/>
              <w:right w:w="20" w:type="dxa"/>
            </w:tcMar>
            <w:vAlign w:val="bottom"/>
          </w:tcPr>
          <w:p w14:paraId="20AE1AF2"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AF3"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AF4" w14:textId="77777777" w:rsidR="00B626E7" w:rsidRDefault="00175C1D">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20AE1AF5"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AF6"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AF7" w14:textId="77777777" w:rsidR="00B626E7" w:rsidRDefault="00175C1D">
            <w:pPr>
              <w:jc w:val="right"/>
              <w:textAlignment w:val="bottom"/>
            </w:pPr>
            <w:r>
              <w:rPr>
                <w:rFonts w:ascii="Arial" w:eastAsia="宋体" w:hAnsi="Arial" w:cs="Arial"/>
                <w:color w:val="026DCE"/>
                <w:sz w:val="18"/>
                <w:szCs w:val="18"/>
              </w:rPr>
              <w:t>568 </w:t>
            </w:r>
          </w:p>
        </w:tc>
        <w:tc>
          <w:tcPr>
            <w:tcW w:w="0" w:type="auto"/>
            <w:shd w:val="clear" w:color="auto" w:fill="auto"/>
            <w:tcMar>
              <w:top w:w="40" w:type="dxa"/>
              <w:bottom w:w="40" w:type="dxa"/>
              <w:right w:w="20" w:type="dxa"/>
            </w:tcMar>
            <w:vAlign w:val="bottom"/>
          </w:tcPr>
          <w:p w14:paraId="20AE1AF8"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AF9"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AFA"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1AFB"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AFC"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AFD" w14:textId="77777777" w:rsidR="00B626E7" w:rsidRDefault="00175C1D">
            <w:pPr>
              <w:jc w:val="right"/>
              <w:textAlignment w:val="bottom"/>
            </w:pPr>
            <w:r>
              <w:rPr>
                <w:rFonts w:ascii="Arial" w:eastAsia="宋体" w:hAnsi="Arial" w:cs="Arial"/>
                <w:color w:val="333333"/>
                <w:sz w:val="18"/>
                <w:szCs w:val="18"/>
              </w:rPr>
              <w:t>553 </w:t>
            </w:r>
          </w:p>
        </w:tc>
        <w:tc>
          <w:tcPr>
            <w:tcW w:w="0" w:type="auto"/>
            <w:shd w:val="clear" w:color="auto" w:fill="auto"/>
            <w:tcMar>
              <w:top w:w="40" w:type="dxa"/>
              <w:bottom w:w="40" w:type="dxa"/>
              <w:right w:w="20" w:type="dxa"/>
            </w:tcMar>
            <w:vAlign w:val="bottom"/>
          </w:tcPr>
          <w:p w14:paraId="20AE1AFE"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AFF"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B00"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1B01"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B02"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B03" w14:textId="77777777" w:rsidR="00B626E7" w:rsidRDefault="00175C1D">
            <w:pPr>
              <w:jc w:val="right"/>
              <w:textAlignment w:val="bottom"/>
            </w:pPr>
            <w:r>
              <w:rPr>
                <w:rFonts w:ascii="Arial" w:eastAsia="宋体" w:hAnsi="Arial" w:cs="Arial"/>
                <w:color w:val="333333"/>
                <w:sz w:val="18"/>
                <w:szCs w:val="18"/>
              </w:rPr>
              <w:t>553 </w:t>
            </w:r>
          </w:p>
        </w:tc>
        <w:tc>
          <w:tcPr>
            <w:tcW w:w="0" w:type="auto"/>
            <w:shd w:val="clear" w:color="auto" w:fill="auto"/>
            <w:tcMar>
              <w:top w:w="40" w:type="dxa"/>
              <w:bottom w:w="40" w:type="dxa"/>
              <w:right w:w="20" w:type="dxa"/>
            </w:tcMar>
            <w:vAlign w:val="bottom"/>
          </w:tcPr>
          <w:p w14:paraId="20AE1B04"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B05" w14:textId="77777777" w:rsidR="00B626E7" w:rsidRDefault="00B626E7">
            <w:pPr>
              <w:rPr>
                <w:rFonts w:ascii="宋体"/>
              </w:rPr>
            </w:pPr>
          </w:p>
        </w:tc>
        <w:tc>
          <w:tcPr>
            <w:tcW w:w="0" w:type="auto"/>
            <w:shd w:val="clear" w:color="auto" w:fill="auto"/>
          </w:tcPr>
          <w:p w14:paraId="20AE1B06" w14:textId="77777777" w:rsidR="00B626E7" w:rsidRDefault="00B626E7">
            <w:pPr>
              <w:rPr>
                <w:rFonts w:ascii="宋体"/>
              </w:rPr>
            </w:pPr>
          </w:p>
        </w:tc>
        <w:tc>
          <w:tcPr>
            <w:tcW w:w="0" w:type="auto"/>
            <w:shd w:val="clear" w:color="auto" w:fill="auto"/>
          </w:tcPr>
          <w:p w14:paraId="20AE1B07" w14:textId="77777777" w:rsidR="00B626E7" w:rsidRDefault="00B626E7">
            <w:pPr>
              <w:rPr>
                <w:rFonts w:ascii="宋体"/>
              </w:rPr>
            </w:pPr>
          </w:p>
        </w:tc>
        <w:tc>
          <w:tcPr>
            <w:tcW w:w="0" w:type="auto"/>
            <w:shd w:val="clear" w:color="auto" w:fill="auto"/>
          </w:tcPr>
          <w:p w14:paraId="20AE1B08" w14:textId="77777777" w:rsidR="00B626E7" w:rsidRDefault="00B626E7">
            <w:pPr>
              <w:rPr>
                <w:rFonts w:ascii="宋体"/>
              </w:rPr>
            </w:pPr>
          </w:p>
        </w:tc>
        <w:tc>
          <w:tcPr>
            <w:tcW w:w="0" w:type="auto"/>
            <w:shd w:val="clear" w:color="auto" w:fill="auto"/>
          </w:tcPr>
          <w:p w14:paraId="20AE1B09" w14:textId="77777777" w:rsidR="00B626E7" w:rsidRDefault="00B626E7">
            <w:pPr>
              <w:rPr>
                <w:rFonts w:ascii="宋体"/>
              </w:rPr>
            </w:pPr>
          </w:p>
        </w:tc>
        <w:tc>
          <w:tcPr>
            <w:tcW w:w="0" w:type="auto"/>
            <w:shd w:val="clear" w:color="auto" w:fill="auto"/>
          </w:tcPr>
          <w:p w14:paraId="20AE1B0A" w14:textId="77777777" w:rsidR="00B626E7" w:rsidRDefault="00B626E7">
            <w:pPr>
              <w:rPr>
                <w:rFonts w:ascii="宋体"/>
              </w:rPr>
            </w:pPr>
          </w:p>
        </w:tc>
        <w:tc>
          <w:tcPr>
            <w:tcW w:w="0" w:type="auto"/>
            <w:shd w:val="clear" w:color="auto" w:fill="auto"/>
          </w:tcPr>
          <w:p w14:paraId="20AE1B0B" w14:textId="77777777" w:rsidR="00B626E7" w:rsidRDefault="00B626E7">
            <w:pPr>
              <w:rPr>
                <w:rFonts w:ascii="宋体"/>
              </w:rPr>
            </w:pPr>
          </w:p>
        </w:tc>
        <w:tc>
          <w:tcPr>
            <w:tcW w:w="0" w:type="auto"/>
            <w:shd w:val="clear" w:color="auto" w:fill="auto"/>
          </w:tcPr>
          <w:p w14:paraId="20AE1B0C" w14:textId="77777777" w:rsidR="00B626E7" w:rsidRDefault="00B626E7">
            <w:pPr>
              <w:rPr>
                <w:rFonts w:ascii="宋体"/>
              </w:rPr>
            </w:pPr>
          </w:p>
        </w:tc>
        <w:tc>
          <w:tcPr>
            <w:tcW w:w="0" w:type="auto"/>
            <w:shd w:val="clear" w:color="auto" w:fill="auto"/>
          </w:tcPr>
          <w:p w14:paraId="20AE1B0D" w14:textId="77777777" w:rsidR="00B626E7" w:rsidRDefault="00B626E7">
            <w:pPr>
              <w:rPr>
                <w:rFonts w:ascii="宋体"/>
              </w:rPr>
            </w:pPr>
          </w:p>
        </w:tc>
        <w:tc>
          <w:tcPr>
            <w:tcW w:w="0" w:type="auto"/>
            <w:shd w:val="clear" w:color="auto" w:fill="auto"/>
          </w:tcPr>
          <w:p w14:paraId="20AE1B0E" w14:textId="77777777" w:rsidR="00B626E7" w:rsidRDefault="00B626E7">
            <w:pPr>
              <w:rPr>
                <w:rFonts w:ascii="宋体"/>
              </w:rPr>
            </w:pPr>
          </w:p>
        </w:tc>
        <w:tc>
          <w:tcPr>
            <w:tcW w:w="0" w:type="auto"/>
            <w:shd w:val="clear" w:color="auto" w:fill="auto"/>
          </w:tcPr>
          <w:p w14:paraId="20AE1B0F" w14:textId="77777777" w:rsidR="00B626E7" w:rsidRDefault="00B626E7">
            <w:pPr>
              <w:rPr>
                <w:rFonts w:ascii="宋体"/>
              </w:rPr>
            </w:pPr>
          </w:p>
        </w:tc>
        <w:tc>
          <w:tcPr>
            <w:tcW w:w="0" w:type="auto"/>
            <w:shd w:val="clear" w:color="auto" w:fill="auto"/>
          </w:tcPr>
          <w:p w14:paraId="20AE1B10" w14:textId="77777777" w:rsidR="00B626E7" w:rsidRDefault="00B626E7">
            <w:pPr>
              <w:rPr>
                <w:rFonts w:ascii="宋体"/>
              </w:rPr>
            </w:pPr>
          </w:p>
        </w:tc>
      </w:tr>
      <w:tr w:rsidR="00B626E7" w14:paraId="20AE1B2F" w14:textId="77777777">
        <w:tc>
          <w:tcPr>
            <w:tcW w:w="0" w:type="auto"/>
            <w:gridSpan w:val="3"/>
            <w:shd w:val="clear" w:color="auto" w:fill="auto"/>
            <w:tcMar>
              <w:top w:w="40" w:type="dxa"/>
              <w:left w:w="20" w:type="dxa"/>
              <w:bottom w:w="40" w:type="dxa"/>
              <w:right w:w="20" w:type="dxa"/>
            </w:tcMar>
          </w:tcPr>
          <w:p w14:paraId="20AE1B12" w14:textId="77777777" w:rsidR="00B626E7" w:rsidRDefault="00175C1D">
            <w:pPr>
              <w:textAlignment w:val="top"/>
            </w:pPr>
            <w:r>
              <w:rPr>
                <w:rFonts w:ascii="Arial" w:eastAsia="宋体" w:hAnsi="Arial" w:cs="Arial"/>
                <w:color w:val="333333"/>
                <w:sz w:val="18"/>
                <w:szCs w:val="18"/>
              </w:rPr>
              <w:t>Other long-term assets:</w:t>
            </w:r>
          </w:p>
        </w:tc>
        <w:tc>
          <w:tcPr>
            <w:tcW w:w="0" w:type="auto"/>
            <w:gridSpan w:val="3"/>
            <w:shd w:val="clear" w:color="auto" w:fill="auto"/>
            <w:tcMar>
              <w:left w:w="20" w:type="dxa"/>
              <w:right w:w="20" w:type="dxa"/>
            </w:tcMar>
            <w:vAlign w:val="bottom"/>
          </w:tcPr>
          <w:p w14:paraId="20AE1B13"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B14"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B15"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B16"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B17"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B18"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B19"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B1A"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B1B"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B1C"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B1D"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B1E"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B1F"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B20"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B21"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B22" w14:textId="77777777" w:rsidR="00B626E7" w:rsidRDefault="00B626E7">
            <w:pPr>
              <w:rPr>
                <w:rFonts w:ascii="宋体"/>
              </w:rPr>
            </w:pPr>
          </w:p>
        </w:tc>
        <w:tc>
          <w:tcPr>
            <w:tcW w:w="0" w:type="auto"/>
            <w:shd w:val="clear" w:color="auto" w:fill="auto"/>
          </w:tcPr>
          <w:p w14:paraId="20AE1B23" w14:textId="77777777" w:rsidR="00B626E7" w:rsidRDefault="00B626E7">
            <w:pPr>
              <w:rPr>
                <w:rFonts w:ascii="宋体"/>
              </w:rPr>
            </w:pPr>
          </w:p>
        </w:tc>
        <w:tc>
          <w:tcPr>
            <w:tcW w:w="0" w:type="auto"/>
            <w:shd w:val="clear" w:color="auto" w:fill="auto"/>
          </w:tcPr>
          <w:p w14:paraId="20AE1B24" w14:textId="77777777" w:rsidR="00B626E7" w:rsidRDefault="00B626E7">
            <w:pPr>
              <w:rPr>
                <w:rFonts w:ascii="宋体"/>
              </w:rPr>
            </w:pPr>
          </w:p>
        </w:tc>
        <w:tc>
          <w:tcPr>
            <w:tcW w:w="0" w:type="auto"/>
            <w:shd w:val="clear" w:color="auto" w:fill="auto"/>
          </w:tcPr>
          <w:p w14:paraId="20AE1B25" w14:textId="77777777" w:rsidR="00B626E7" w:rsidRDefault="00B626E7">
            <w:pPr>
              <w:rPr>
                <w:rFonts w:ascii="宋体"/>
              </w:rPr>
            </w:pPr>
          </w:p>
        </w:tc>
        <w:tc>
          <w:tcPr>
            <w:tcW w:w="0" w:type="auto"/>
            <w:shd w:val="clear" w:color="auto" w:fill="auto"/>
          </w:tcPr>
          <w:p w14:paraId="20AE1B26" w14:textId="77777777" w:rsidR="00B626E7" w:rsidRDefault="00B626E7">
            <w:pPr>
              <w:rPr>
                <w:rFonts w:ascii="宋体"/>
              </w:rPr>
            </w:pPr>
          </w:p>
        </w:tc>
        <w:tc>
          <w:tcPr>
            <w:tcW w:w="0" w:type="auto"/>
            <w:shd w:val="clear" w:color="auto" w:fill="auto"/>
          </w:tcPr>
          <w:p w14:paraId="20AE1B27" w14:textId="77777777" w:rsidR="00B626E7" w:rsidRDefault="00B626E7">
            <w:pPr>
              <w:rPr>
                <w:rFonts w:ascii="宋体"/>
              </w:rPr>
            </w:pPr>
          </w:p>
        </w:tc>
        <w:tc>
          <w:tcPr>
            <w:tcW w:w="0" w:type="auto"/>
            <w:shd w:val="clear" w:color="auto" w:fill="auto"/>
          </w:tcPr>
          <w:p w14:paraId="20AE1B28" w14:textId="77777777" w:rsidR="00B626E7" w:rsidRDefault="00B626E7">
            <w:pPr>
              <w:rPr>
                <w:rFonts w:ascii="宋体"/>
              </w:rPr>
            </w:pPr>
          </w:p>
        </w:tc>
        <w:tc>
          <w:tcPr>
            <w:tcW w:w="0" w:type="auto"/>
            <w:shd w:val="clear" w:color="auto" w:fill="auto"/>
          </w:tcPr>
          <w:p w14:paraId="20AE1B29" w14:textId="77777777" w:rsidR="00B626E7" w:rsidRDefault="00B626E7">
            <w:pPr>
              <w:rPr>
                <w:rFonts w:ascii="宋体"/>
              </w:rPr>
            </w:pPr>
          </w:p>
        </w:tc>
        <w:tc>
          <w:tcPr>
            <w:tcW w:w="0" w:type="auto"/>
            <w:shd w:val="clear" w:color="auto" w:fill="auto"/>
          </w:tcPr>
          <w:p w14:paraId="20AE1B2A" w14:textId="77777777" w:rsidR="00B626E7" w:rsidRDefault="00B626E7">
            <w:pPr>
              <w:rPr>
                <w:rFonts w:ascii="宋体"/>
              </w:rPr>
            </w:pPr>
          </w:p>
        </w:tc>
        <w:tc>
          <w:tcPr>
            <w:tcW w:w="0" w:type="auto"/>
            <w:shd w:val="clear" w:color="auto" w:fill="auto"/>
          </w:tcPr>
          <w:p w14:paraId="20AE1B2B" w14:textId="77777777" w:rsidR="00B626E7" w:rsidRDefault="00B626E7">
            <w:pPr>
              <w:rPr>
                <w:rFonts w:ascii="宋体"/>
              </w:rPr>
            </w:pPr>
          </w:p>
        </w:tc>
        <w:tc>
          <w:tcPr>
            <w:tcW w:w="0" w:type="auto"/>
            <w:shd w:val="clear" w:color="auto" w:fill="auto"/>
          </w:tcPr>
          <w:p w14:paraId="20AE1B2C" w14:textId="77777777" w:rsidR="00B626E7" w:rsidRDefault="00B626E7">
            <w:pPr>
              <w:rPr>
                <w:rFonts w:ascii="宋体"/>
              </w:rPr>
            </w:pPr>
          </w:p>
        </w:tc>
        <w:tc>
          <w:tcPr>
            <w:tcW w:w="0" w:type="auto"/>
            <w:shd w:val="clear" w:color="auto" w:fill="auto"/>
          </w:tcPr>
          <w:p w14:paraId="20AE1B2D" w14:textId="77777777" w:rsidR="00B626E7" w:rsidRDefault="00B626E7">
            <w:pPr>
              <w:rPr>
                <w:rFonts w:ascii="宋体"/>
              </w:rPr>
            </w:pPr>
          </w:p>
        </w:tc>
        <w:tc>
          <w:tcPr>
            <w:tcW w:w="0" w:type="auto"/>
            <w:shd w:val="clear" w:color="auto" w:fill="auto"/>
          </w:tcPr>
          <w:p w14:paraId="20AE1B2E" w14:textId="77777777" w:rsidR="00B626E7" w:rsidRDefault="00B626E7">
            <w:pPr>
              <w:rPr>
                <w:rFonts w:ascii="宋体"/>
              </w:rPr>
            </w:pPr>
          </w:p>
        </w:tc>
      </w:tr>
      <w:tr w:rsidR="00B626E7" w14:paraId="20AE1B55" w14:textId="77777777">
        <w:tc>
          <w:tcPr>
            <w:tcW w:w="0" w:type="auto"/>
            <w:gridSpan w:val="3"/>
            <w:shd w:val="clear" w:color="auto" w:fill="auto"/>
            <w:tcMar>
              <w:top w:w="40" w:type="dxa"/>
              <w:left w:w="135" w:type="dxa"/>
              <w:bottom w:w="40" w:type="dxa"/>
              <w:right w:w="20" w:type="dxa"/>
            </w:tcMar>
          </w:tcPr>
          <w:p w14:paraId="20AE1B30" w14:textId="77777777" w:rsidR="00B626E7" w:rsidRDefault="00175C1D">
            <w:pPr>
              <w:textAlignment w:val="top"/>
            </w:pPr>
            <w:r>
              <w:rPr>
                <w:rFonts w:ascii="Arial" w:eastAsia="宋体" w:hAnsi="Arial" w:cs="Arial"/>
                <w:color w:val="333333"/>
                <w:sz w:val="18"/>
                <w:szCs w:val="18"/>
              </w:rPr>
              <w:t>Derivative assets</w:t>
            </w:r>
          </w:p>
        </w:tc>
        <w:tc>
          <w:tcPr>
            <w:tcW w:w="0" w:type="auto"/>
            <w:gridSpan w:val="3"/>
            <w:shd w:val="clear" w:color="auto" w:fill="auto"/>
            <w:tcMar>
              <w:left w:w="20" w:type="dxa"/>
              <w:right w:w="20" w:type="dxa"/>
            </w:tcMar>
            <w:vAlign w:val="bottom"/>
          </w:tcPr>
          <w:p w14:paraId="20AE1B31"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B32" w14:textId="77777777" w:rsidR="00B626E7" w:rsidRDefault="00175C1D">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20AE1B33"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B34"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B35" w14:textId="77777777" w:rsidR="00B626E7" w:rsidRDefault="00175C1D">
            <w:pPr>
              <w:jc w:val="right"/>
              <w:textAlignment w:val="bottom"/>
            </w:pPr>
            <w:r>
              <w:rPr>
                <w:rFonts w:ascii="Arial" w:eastAsia="宋体" w:hAnsi="Arial" w:cs="Arial"/>
                <w:color w:val="026DCE"/>
                <w:sz w:val="18"/>
                <w:szCs w:val="18"/>
              </w:rPr>
              <w:t>1,679 </w:t>
            </w:r>
          </w:p>
        </w:tc>
        <w:tc>
          <w:tcPr>
            <w:tcW w:w="0" w:type="auto"/>
            <w:shd w:val="clear" w:color="auto" w:fill="auto"/>
            <w:tcMar>
              <w:top w:w="40" w:type="dxa"/>
              <w:bottom w:w="40" w:type="dxa"/>
              <w:right w:w="20" w:type="dxa"/>
            </w:tcMar>
            <w:vAlign w:val="bottom"/>
          </w:tcPr>
          <w:p w14:paraId="20AE1B36"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B37"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B38" w14:textId="77777777" w:rsidR="00B626E7" w:rsidRDefault="00175C1D">
            <w:pPr>
              <w:jc w:val="right"/>
              <w:textAlignment w:val="bottom"/>
            </w:pPr>
            <w:r>
              <w:rPr>
                <w:rFonts w:ascii="Arial" w:eastAsia="宋体" w:hAnsi="Arial" w:cs="Arial"/>
                <w:color w:val="026DCE"/>
                <w:sz w:val="18"/>
                <w:szCs w:val="18"/>
              </w:rPr>
              <w:t>35 </w:t>
            </w:r>
          </w:p>
        </w:tc>
        <w:tc>
          <w:tcPr>
            <w:tcW w:w="0" w:type="auto"/>
            <w:shd w:val="clear" w:color="auto" w:fill="auto"/>
            <w:tcMar>
              <w:top w:w="40" w:type="dxa"/>
              <w:bottom w:w="40" w:type="dxa"/>
              <w:right w:w="20" w:type="dxa"/>
            </w:tcMar>
            <w:vAlign w:val="bottom"/>
          </w:tcPr>
          <w:p w14:paraId="20AE1B39"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B3A"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B3B" w14:textId="77777777" w:rsidR="00B626E7" w:rsidRDefault="00175C1D">
            <w:pPr>
              <w:jc w:val="right"/>
              <w:textAlignment w:val="bottom"/>
            </w:pPr>
            <w:r>
              <w:rPr>
                <w:rFonts w:ascii="Arial" w:eastAsia="宋体" w:hAnsi="Arial" w:cs="Arial"/>
                <w:color w:val="026DCE"/>
                <w:sz w:val="18"/>
                <w:szCs w:val="18"/>
              </w:rPr>
              <w:t>1,714 </w:t>
            </w:r>
          </w:p>
        </w:tc>
        <w:tc>
          <w:tcPr>
            <w:tcW w:w="0" w:type="auto"/>
            <w:shd w:val="clear" w:color="auto" w:fill="auto"/>
            <w:tcMar>
              <w:top w:w="40" w:type="dxa"/>
              <w:bottom w:w="40" w:type="dxa"/>
              <w:right w:w="20" w:type="dxa"/>
            </w:tcMar>
            <w:vAlign w:val="bottom"/>
          </w:tcPr>
          <w:p w14:paraId="20AE1B3C"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B3D"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B3E"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1B3F"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B40"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B41" w14:textId="77777777" w:rsidR="00B626E7" w:rsidRDefault="00175C1D">
            <w:pPr>
              <w:jc w:val="right"/>
              <w:textAlignment w:val="bottom"/>
            </w:pPr>
            <w:r>
              <w:rPr>
                <w:rFonts w:ascii="Arial" w:eastAsia="宋体" w:hAnsi="Arial" w:cs="Arial"/>
                <w:color w:val="333333"/>
                <w:sz w:val="18"/>
                <w:szCs w:val="18"/>
              </w:rPr>
              <w:t>690 </w:t>
            </w:r>
          </w:p>
        </w:tc>
        <w:tc>
          <w:tcPr>
            <w:tcW w:w="0" w:type="auto"/>
            <w:shd w:val="clear" w:color="auto" w:fill="auto"/>
            <w:tcMar>
              <w:top w:w="40" w:type="dxa"/>
              <w:bottom w:w="40" w:type="dxa"/>
              <w:right w:w="20" w:type="dxa"/>
            </w:tcMar>
            <w:vAlign w:val="bottom"/>
          </w:tcPr>
          <w:p w14:paraId="20AE1B42"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B43"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B44" w14:textId="77777777" w:rsidR="00B626E7" w:rsidRDefault="00175C1D">
            <w:pPr>
              <w:jc w:val="right"/>
              <w:textAlignment w:val="bottom"/>
            </w:pPr>
            <w:r>
              <w:rPr>
                <w:rFonts w:ascii="Arial" w:eastAsia="宋体" w:hAnsi="Arial" w:cs="Arial"/>
                <w:color w:val="333333"/>
                <w:sz w:val="18"/>
                <w:szCs w:val="18"/>
              </w:rPr>
              <w:t>16 </w:t>
            </w:r>
          </w:p>
        </w:tc>
        <w:tc>
          <w:tcPr>
            <w:tcW w:w="0" w:type="auto"/>
            <w:shd w:val="clear" w:color="auto" w:fill="auto"/>
            <w:tcMar>
              <w:top w:w="40" w:type="dxa"/>
              <w:bottom w:w="40" w:type="dxa"/>
              <w:right w:w="20" w:type="dxa"/>
            </w:tcMar>
            <w:vAlign w:val="bottom"/>
          </w:tcPr>
          <w:p w14:paraId="20AE1B45"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B46"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B47" w14:textId="77777777" w:rsidR="00B626E7" w:rsidRDefault="00175C1D">
            <w:pPr>
              <w:jc w:val="right"/>
              <w:textAlignment w:val="bottom"/>
            </w:pPr>
            <w:r>
              <w:rPr>
                <w:rFonts w:ascii="Arial" w:eastAsia="宋体" w:hAnsi="Arial" w:cs="Arial"/>
                <w:color w:val="333333"/>
                <w:sz w:val="18"/>
                <w:szCs w:val="18"/>
              </w:rPr>
              <w:t>706 </w:t>
            </w:r>
          </w:p>
        </w:tc>
        <w:tc>
          <w:tcPr>
            <w:tcW w:w="0" w:type="auto"/>
            <w:shd w:val="clear" w:color="auto" w:fill="auto"/>
            <w:tcMar>
              <w:top w:w="40" w:type="dxa"/>
              <w:bottom w:w="40" w:type="dxa"/>
              <w:right w:w="20" w:type="dxa"/>
            </w:tcMar>
            <w:vAlign w:val="bottom"/>
          </w:tcPr>
          <w:p w14:paraId="20AE1B48"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B49" w14:textId="77777777" w:rsidR="00B626E7" w:rsidRDefault="00B626E7">
            <w:pPr>
              <w:rPr>
                <w:rFonts w:ascii="宋体"/>
              </w:rPr>
            </w:pPr>
          </w:p>
        </w:tc>
        <w:tc>
          <w:tcPr>
            <w:tcW w:w="0" w:type="auto"/>
            <w:shd w:val="clear" w:color="auto" w:fill="auto"/>
          </w:tcPr>
          <w:p w14:paraId="20AE1B4A" w14:textId="77777777" w:rsidR="00B626E7" w:rsidRDefault="00B626E7">
            <w:pPr>
              <w:rPr>
                <w:rFonts w:ascii="宋体"/>
              </w:rPr>
            </w:pPr>
          </w:p>
        </w:tc>
        <w:tc>
          <w:tcPr>
            <w:tcW w:w="0" w:type="auto"/>
            <w:shd w:val="clear" w:color="auto" w:fill="auto"/>
          </w:tcPr>
          <w:p w14:paraId="20AE1B4B" w14:textId="77777777" w:rsidR="00B626E7" w:rsidRDefault="00B626E7">
            <w:pPr>
              <w:rPr>
                <w:rFonts w:ascii="宋体"/>
              </w:rPr>
            </w:pPr>
          </w:p>
        </w:tc>
        <w:tc>
          <w:tcPr>
            <w:tcW w:w="0" w:type="auto"/>
            <w:shd w:val="clear" w:color="auto" w:fill="auto"/>
          </w:tcPr>
          <w:p w14:paraId="20AE1B4C" w14:textId="77777777" w:rsidR="00B626E7" w:rsidRDefault="00B626E7">
            <w:pPr>
              <w:rPr>
                <w:rFonts w:ascii="宋体"/>
              </w:rPr>
            </w:pPr>
          </w:p>
        </w:tc>
        <w:tc>
          <w:tcPr>
            <w:tcW w:w="0" w:type="auto"/>
            <w:shd w:val="clear" w:color="auto" w:fill="auto"/>
          </w:tcPr>
          <w:p w14:paraId="20AE1B4D" w14:textId="77777777" w:rsidR="00B626E7" w:rsidRDefault="00B626E7">
            <w:pPr>
              <w:rPr>
                <w:rFonts w:ascii="宋体"/>
              </w:rPr>
            </w:pPr>
          </w:p>
        </w:tc>
        <w:tc>
          <w:tcPr>
            <w:tcW w:w="0" w:type="auto"/>
            <w:shd w:val="clear" w:color="auto" w:fill="auto"/>
          </w:tcPr>
          <w:p w14:paraId="20AE1B4E" w14:textId="77777777" w:rsidR="00B626E7" w:rsidRDefault="00B626E7">
            <w:pPr>
              <w:rPr>
                <w:rFonts w:ascii="宋体"/>
              </w:rPr>
            </w:pPr>
          </w:p>
        </w:tc>
        <w:tc>
          <w:tcPr>
            <w:tcW w:w="0" w:type="auto"/>
            <w:shd w:val="clear" w:color="auto" w:fill="auto"/>
          </w:tcPr>
          <w:p w14:paraId="20AE1B4F" w14:textId="77777777" w:rsidR="00B626E7" w:rsidRDefault="00B626E7">
            <w:pPr>
              <w:rPr>
                <w:rFonts w:ascii="宋体"/>
              </w:rPr>
            </w:pPr>
          </w:p>
        </w:tc>
        <w:tc>
          <w:tcPr>
            <w:tcW w:w="0" w:type="auto"/>
            <w:shd w:val="clear" w:color="auto" w:fill="auto"/>
          </w:tcPr>
          <w:p w14:paraId="20AE1B50" w14:textId="77777777" w:rsidR="00B626E7" w:rsidRDefault="00B626E7">
            <w:pPr>
              <w:rPr>
                <w:rFonts w:ascii="宋体"/>
              </w:rPr>
            </w:pPr>
          </w:p>
        </w:tc>
        <w:tc>
          <w:tcPr>
            <w:tcW w:w="0" w:type="auto"/>
            <w:shd w:val="clear" w:color="auto" w:fill="auto"/>
          </w:tcPr>
          <w:p w14:paraId="20AE1B51" w14:textId="77777777" w:rsidR="00B626E7" w:rsidRDefault="00B626E7">
            <w:pPr>
              <w:rPr>
                <w:rFonts w:ascii="宋体"/>
              </w:rPr>
            </w:pPr>
          </w:p>
        </w:tc>
        <w:tc>
          <w:tcPr>
            <w:tcW w:w="0" w:type="auto"/>
            <w:shd w:val="clear" w:color="auto" w:fill="auto"/>
          </w:tcPr>
          <w:p w14:paraId="20AE1B52" w14:textId="77777777" w:rsidR="00B626E7" w:rsidRDefault="00B626E7">
            <w:pPr>
              <w:rPr>
                <w:rFonts w:ascii="宋体"/>
              </w:rPr>
            </w:pPr>
          </w:p>
        </w:tc>
        <w:tc>
          <w:tcPr>
            <w:tcW w:w="0" w:type="auto"/>
            <w:shd w:val="clear" w:color="auto" w:fill="auto"/>
          </w:tcPr>
          <w:p w14:paraId="20AE1B53" w14:textId="77777777" w:rsidR="00B626E7" w:rsidRDefault="00B626E7">
            <w:pPr>
              <w:rPr>
                <w:rFonts w:ascii="宋体"/>
              </w:rPr>
            </w:pPr>
          </w:p>
        </w:tc>
        <w:tc>
          <w:tcPr>
            <w:tcW w:w="0" w:type="auto"/>
            <w:shd w:val="clear" w:color="auto" w:fill="auto"/>
          </w:tcPr>
          <w:p w14:paraId="20AE1B54" w14:textId="77777777" w:rsidR="00B626E7" w:rsidRDefault="00B626E7">
            <w:pPr>
              <w:rPr>
                <w:rFonts w:ascii="宋体"/>
              </w:rPr>
            </w:pPr>
          </w:p>
        </w:tc>
      </w:tr>
      <w:tr w:rsidR="00B626E7" w14:paraId="20AE1B7B" w14:textId="77777777">
        <w:tc>
          <w:tcPr>
            <w:tcW w:w="0" w:type="auto"/>
            <w:gridSpan w:val="3"/>
            <w:shd w:val="clear" w:color="auto" w:fill="auto"/>
            <w:tcMar>
              <w:top w:w="40" w:type="dxa"/>
              <w:left w:w="135" w:type="dxa"/>
              <w:bottom w:w="40" w:type="dxa"/>
              <w:right w:w="20" w:type="dxa"/>
            </w:tcMar>
          </w:tcPr>
          <w:p w14:paraId="20AE1B56" w14:textId="77777777" w:rsidR="00B626E7" w:rsidRDefault="00175C1D">
            <w:pPr>
              <w:textAlignment w:val="top"/>
            </w:pPr>
            <w:r>
              <w:rPr>
                <w:rFonts w:ascii="Arial" w:eastAsia="宋体" w:hAnsi="Arial" w:cs="Arial"/>
                <w:color w:val="333333"/>
                <w:sz w:val="18"/>
                <w:szCs w:val="18"/>
              </w:rPr>
              <w:t>Loans receivable³</w:t>
            </w:r>
          </w:p>
        </w:tc>
        <w:tc>
          <w:tcPr>
            <w:tcW w:w="0" w:type="auto"/>
            <w:gridSpan w:val="3"/>
            <w:shd w:val="clear" w:color="auto" w:fill="auto"/>
            <w:tcMar>
              <w:left w:w="20" w:type="dxa"/>
              <w:right w:w="20" w:type="dxa"/>
            </w:tcMar>
            <w:vAlign w:val="bottom"/>
          </w:tcPr>
          <w:p w14:paraId="20AE1B57"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B58" w14:textId="77777777" w:rsidR="00B626E7" w:rsidRDefault="00175C1D">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20AE1B59"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B5A"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B5B" w14:textId="77777777" w:rsidR="00B626E7" w:rsidRDefault="00175C1D">
            <w:pPr>
              <w:jc w:val="right"/>
              <w:textAlignment w:val="bottom"/>
            </w:pPr>
            <w:r>
              <w:rPr>
                <w:rFonts w:ascii="Arial" w:eastAsia="宋体" w:hAnsi="Arial" w:cs="Arial"/>
                <w:color w:val="026DCE"/>
                <w:sz w:val="18"/>
                <w:szCs w:val="18"/>
              </w:rPr>
              <w:t>212 </w:t>
            </w:r>
          </w:p>
        </w:tc>
        <w:tc>
          <w:tcPr>
            <w:tcW w:w="0" w:type="auto"/>
            <w:shd w:val="clear" w:color="auto" w:fill="auto"/>
            <w:tcMar>
              <w:top w:w="40" w:type="dxa"/>
              <w:bottom w:w="40" w:type="dxa"/>
              <w:right w:w="20" w:type="dxa"/>
            </w:tcMar>
            <w:vAlign w:val="bottom"/>
          </w:tcPr>
          <w:p w14:paraId="20AE1B5C"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B5D"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B5E" w14:textId="77777777" w:rsidR="00B626E7" w:rsidRDefault="00175C1D">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20AE1B5F"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B60"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B61" w14:textId="77777777" w:rsidR="00B626E7" w:rsidRDefault="00175C1D">
            <w:pPr>
              <w:jc w:val="right"/>
              <w:textAlignment w:val="bottom"/>
            </w:pPr>
            <w:r>
              <w:rPr>
                <w:rFonts w:ascii="Arial" w:eastAsia="宋体" w:hAnsi="Arial" w:cs="Arial"/>
                <w:color w:val="026DCE"/>
                <w:sz w:val="18"/>
                <w:szCs w:val="18"/>
              </w:rPr>
              <w:t>212 </w:t>
            </w:r>
          </w:p>
        </w:tc>
        <w:tc>
          <w:tcPr>
            <w:tcW w:w="0" w:type="auto"/>
            <w:shd w:val="clear" w:color="auto" w:fill="auto"/>
            <w:tcMar>
              <w:top w:w="40" w:type="dxa"/>
              <w:bottom w:w="40" w:type="dxa"/>
              <w:right w:w="20" w:type="dxa"/>
            </w:tcMar>
            <w:vAlign w:val="bottom"/>
          </w:tcPr>
          <w:p w14:paraId="20AE1B62"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B63"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B64"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1B65"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B66"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B67" w14:textId="77777777" w:rsidR="00B626E7" w:rsidRDefault="00175C1D">
            <w:pPr>
              <w:jc w:val="right"/>
              <w:textAlignment w:val="bottom"/>
            </w:pPr>
            <w:r>
              <w:rPr>
                <w:rFonts w:ascii="Arial" w:eastAsia="宋体" w:hAnsi="Arial" w:cs="Arial"/>
                <w:color w:val="333333"/>
                <w:sz w:val="18"/>
                <w:szCs w:val="18"/>
              </w:rPr>
              <w:t>554 </w:t>
            </w:r>
          </w:p>
        </w:tc>
        <w:tc>
          <w:tcPr>
            <w:tcW w:w="0" w:type="auto"/>
            <w:shd w:val="clear" w:color="auto" w:fill="auto"/>
            <w:tcMar>
              <w:top w:w="40" w:type="dxa"/>
              <w:bottom w:w="40" w:type="dxa"/>
              <w:right w:w="20" w:type="dxa"/>
            </w:tcMar>
            <w:vAlign w:val="bottom"/>
          </w:tcPr>
          <w:p w14:paraId="20AE1B68"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B69"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B6A"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1B6B"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B6C"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B6D" w14:textId="77777777" w:rsidR="00B626E7" w:rsidRDefault="00175C1D">
            <w:pPr>
              <w:jc w:val="right"/>
              <w:textAlignment w:val="bottom"/>
            </w:pPr>
            <w:r>
              <w:rPr>
                <w:rFonts w:ascii="Arial" w:eastAsia="宋体" w:hAnsi="Arial" w:cs="Arial"/>
                <w:color w:val="333333"/>
                <w:sz w:val="18"/>
                <w:szCs w:val="18"/>
              </w:rPr>
              <w:t>554 </w:t>
            </w:r>
          </w:p>
        </w:tc>
        <w:tc>
          <w:tcPr>
            <w:tcW w:w="0" w:type="auto"/>
            <w:shd w:val="clear" w:color="auto" w:fill="auto"/>
            <w:tcMar>
              <w:top w:w="40" w:type="dxa"/>
              <w:bottom w:w="40" w:type="dxa"/>
              <w:right w:w="20" w:type="dxa"/>
            </w:tcMar>
            <w:vAlign w:val="bottom"/>
          </w:tcPr>
          <w:p w14:paraId="20AE1B6E"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B6F" w14:textId="77777777" w:rsidR="00B626E7" w:rsidRDefault="00B626E7">
            <w:pPr>
              <w:rPr>
                <w:rFonts w:ascii="宋体"/>
              </w:rPr>
            </w:pPr>
          </w:p>
        </w:tc>
        <w:tc>
          <w:tcPr>
            <w:tcW w:w="0" w:type="auto"/>
            <w:shd w:val="clear" w:color="auto" w:fill="auto"/>
          </w:tcPr>
          <w:p w14:paraId="20AE1B70" w14:textId="77777777" w:rsidR="00B626E7" w:rsidRDefault="00B626E7">
            <w:pPr>
              <w:rPr>
                <w:rFonts w:ascii="宋体"/>
              </w:rPr>
            </w:pPr>
          </w:p>
        </w:tc>
        <w:tc>
          <w:tcPr>
            <w:tcW w:w="0" w:type="auto"/>
            <w:shd w:val="clear" w:color="auto" w:fill="auto"/>
          </w:tcPr>
          <w:p w14:paraId="20AE1B71" w14:textId="77777777" w:rsidR="00B626E7" w:rsidRDefault="00B626E7">
            <w:pPr>
              <w:rPr>
                <w:rFonts w:ascii="宋体"/>
              </w:rPr>
            </w:pPr>
          </w:p>
        </w:tc>
        <w:tc>
          <w:tcPr>
            <w:tcW w:w="0" w:type="auto"/>
            <w:shd w:val="clear" w:color="auto" w:fill="auto"/>
          </w:tcPr>
          <w:p w14:paraId="20AE1B72" w14:textId="77777777" w:rsidR="00B626E7" w:rsidRDefault="00B626E7">
            <w:pPr>
              <w:rPr>
                <w:rFonts w:ascii="宋体"/>
              </w:rPr>
            </w:pPr>
          </w:p>
        </w:tc>
        <w:tc>
          <w:tcPr>
            <w:tcW w:w="0" w:type="auto"/>
            <w:shd w:val="clear" w:color="auto" w:fill="auto"/>
          </w:tcPr>
          <w:p w14:paraId="20AE1B73" w14:textId="77777777" w:rsidR="00B626E7" w:rsidRDefault="00B626E7">
            <w:pPr>
              <w:rPr>
                <w:rFonts w:ascii="宋体"/>
              </w:rPr>
            </w:pPr>
          </w:p>
        </w:tc>
        <w:tc>
          <w:tcPr>
            <w:tcW w:w="0" w:type="auto"/>
            <w:shd w:val="clear" w:color="auto" w:fill="auto"/>
          </w:tcPr>
          <w:p w14:paraId="20AE1B74" w14:textId="77777777" w:rsidR="00B626E7" w:rsidRDefault="00B626E7">
            <w:pPr>
              <w:rPr>
                <w:rFonts w:ascii="宋体"/>
              </w:rPr>
            </w:pPr>
          </w:p>
        </w:tc>
        <w:tc>
          <w:tcPr>
            <w:tcW w:w="0" w:type="auto"/>
            <w:shd w:val="clear" w:color="auto" w:fill="auto"/>
          </w:tcPr>
          <w:p w14:paraId="20AE1B75" w14:textId="77777777" w:rsidR="00B626E7" w:rsidRDefault="00B626E7">
            <w:pPr>
              <w:rPr>
                <w:rFonts w:ascii="宋体"/>
              </w:rPr>
            </w:pPr>
          </w:p>
        </w:tc>
        <w:tc>
          <w:tcPr>
            <w:tcW w:w="0" w:type="auto"/>
            <w:shd w:val="clear" w:color="auto" w:fill="auto"/>
          </w:tcPr>
          <w:p w14:paraId="20AE1B76" w14:textId="77777777" w:rsidR="00B626E7" w:rsidRDefault="00B626E7">
            <w:pPr>
              <w:rPr>
                <w:rFonts w:ascii="宋体"/>
              </w:rPr>
            </w:pPr>
          </w:p>
        </w:tc>
        <w:tc>
          <w:tcPr>
            <w:tcW w:w="0" w:type="auto"/>
            <w:shd w:val="clear" w:color="auto" w:fill="auto"/>
          </w:tcPr>
          <w:p w14:paraId="20AE1B77" w14:textId="77777777" w:rsidR="00B626E7" w:rsidRDefault="00B626E7">
            <w:pPr>
              <w:rPr>
                <w:rFonts w:ascii="宋体"/>
              </w:rPr>
            </w:pPr>
          </w:p>
        </w:tc>
        <w:tc>
          <w:tcPr>
            <w:tcW w:w="0" w:type="auto"/>
            <w:shd w:val="clear" w:color="auto" w:fill="auto"/>
          </w:tcPr>
          <w:p w14:paraId="20AE1B78" w14:textId="77777777" w:rsidR="00B626E7" w:rsidRDefault="00B626E7">
            <w:pPr>
              <w:rPr>
                <w:rFonts w:ascii="宋体"/>
              </w:rPr>
            </w:pPr>
          </w:p>
        </w:tc>
        <w:tc>
          <w:tcPr>
            <w:tcW w:w="0" w:type="auto"/>
            <w:shd w:val="clear" w:color="auto" w:fill="auto"/>
          </w:tcPr>
          <w:p w14:paraId="20AE1B79" w14:textId="77777777" w:rsidR="00B626E7" w:rsidRDefault="00B626E7">
            <w:pPr>
              <w:rPr>
                <w:rFonts w:ascii="宋体"/>
              </w:rPr>
            </w:pPr>
          </w:p>
        </w:tc>
        <w:tc>
          <w:tcPr>
            <w:tcW w:w="0" w:type="auto"/>
            <w:shd w:val="clear" w:color="auto" w:fill="auto"/>
          </w:tcPr>
          <w:p w14:paraId="20AE1B7A" w14:textId="77777777" w:rsidR="00B626E7" w:rsidRDefault="00B626E7">
            <w:pPr>
              <w:rPr>
                <w:rFonts w:ascii="宋体"/>
              </w:rPr>
            </w:pPr>
          </w:p>
        </w:tc>
      </w:tr>
      <w:tr w:rsidR="00B626E7" w14:paraId="20AE1BA9" w14:textId="77777777">
        <w:tc>
          <w:tcPr>
            <w:tcW w:w="0" w:type="auto"/>
            <w:gridSpan w:val="3"/>
            <w:shd w:val="clear" w:color="auto" w:fill="auto"/>
            <w:tcMar>
              <w:top w:w="40" w:type="dxa"/>
              <w:left w:w="20" w:type="dxa"/>
              <w:bottom w:w="40" w:type="dxa"/>
              <w:right w:w="20" w:type="dxa"/>
            </w:tcMar>
          </w:tcPr>
          <w:p w14:paraId="20AE1B7C" w14:textId="77777777" w:rsidR="00B626E7" w:rsidRDefault="00175C1D">
            <w:pPr>
              <w:textAlignment w:val="top"/>
            </w:pPr>
            <w:r>
              <w:rPr>
                <w:rFonts w:ascii="Arial" w:eastAsia="宋体" w:hAnsi="Arial" w:cs="Arial"/>
                <w:b/>
                <w:bCs/>
                <w:color w:val="333333"/>
                <w:sz w:val="18"/>
                <w:szCs w:val="18"/>
              </w:rPr>
              <w:t>Total assets measured and recorded at fair value</w:t>
            </w:r>
          </w:p>
        </w:tc>
        <w:tc>
          <w:tcPr>
            <w:tcW w:w="0" w:type="auto"/>
            <w:gridSpan w:val="3"/>
            <w:shd w:val="clear" w:color="auto" w:fill="auto"/>
            <w:tcMar>
              <w:left w:w="20" w:type="dxa"/>
              <w:right w:w="20" w:type="dxa"/>
            </w:tcMar>
            <w:vAlign w:val="bottom"/>
          </w:tcPr>
          <w:p w14:paraId="20AE1B7D" w14:textId="77777777" w:rsidR="00B626E7" w:rsidRDefault="00B626E7">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20AE1B7E" w14:textId="77777777" w:rsidR="00B626E7" w:rsidRDefault="00175C1D">
            <w:pPr>
              <w:textAlignment w:val="bottom"/>
            </w:pPr>
            <w:r>
              <w:rPr>
                <w:rFonts w:ascii="Arial" w:eastAsia="宋体" w:hAnsi="Arial" w:cs="Arial"/>
                <w:b/>
                <w:bCs/>
                <w:color w:val="026DCE"/>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20AE1B7F" w14:textId="77777777" w:rsidR="00B626E7" w:rsidRDefault="00175C1D">
            <w:pPr>
              <w:jc w:val="right"/>
              <w:textAlignment w:val="bottom"/>
            </w:pPr>
            <w:r>
              <w:rPr>
                <w:rFonts w:ascii="Arial" w:eastAsia="宋体" w:hAnsi="Arial" w:cs="Arial"/>
                <w:b/>
                <w:bCs/>
                <w:color w:val="026DCE"/>
                <w:sz w:val="18"/>
                <w:szCs w:val="18"/>
              </w:rPr>
              <w:t>4,570 </w:t>
            </w:r>
          </w:p>
        </w:tc>
        <w:tc>
          <w:tcPr>
            <w:tcW w:w="0" w:type="auto"/>
            <w:tcBorders>
              <w:top w:val="single" w:sz="8" w:space="0" w:color="333333"/>
            </w:tcBorders>
            <w:shd w:val="clear" w:color="auto" w:fill="auto"/>
            <w:tcMar>
              <w:top w:w="40" w:type="dxa"/>
              <w:bottom w:w="40" w:type="dxa"/>
              <w:right w:w="20" w:type="dxa"/>
            </w:tcMar>
            <w:vAlign w:val="bottom"/>
          </w:tcPr>
          <w:p w14:paraId="20AE1B80"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1B81" w14:textId="77777777" w:rsidR="00B626E7" w:rsidRDefault="00B626E7">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20AE1B82" w14:textId="77777777" w:rsidR="00B626E7" w:rsidRDefault="00175C1D">
            <w:pPr>
              <w:textAlignment w:val="bottom"/>
            </w:pPr>
            <w:r>
              <w:rPr>
                <w:rFonts w:ascii="Arial" w:eastAsia="宋体" w:hAnsi="Arial" w:cs="Arial"/>
                <w:b/>
                <w:bCs/>
                <w:color w:val="026DCE"/>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20AE1B83" w14:textId="77777777" w:rsidR="00B626E7" w:rsidRDefault="00175C1D">
            <w:pPr>
              <w:jc w:val="right"/>
              <w:textAlignment w:val="bottom"/>
            </w:pPr>
            <w:r>
              <w:rPr>
                <w:rFonts w:ascii="Arial" w:eastAsia="宋体" w:hAnsi="Arial" w:cs="Arial"/>
                <w:b/>
                <w:bCs/>
                <w:color w:val="026DCE"/>
                <w:sz w:val="18"/>
                <w:szCs w:val="18"/>
              </w:rPr>
              <w:t>26,618 </w:t>
            </w:r>
          </w:p>
        </w:tc>
        <w:tc>
          <w:tcPr>
            <w:tcW w:w="0" w:type="auto"/>
            <w:tcBorders>
              <w:top w:val="single" w:sz="8" w:space="0" w:color="333333"/>
            </w:tcBorders>
            <w:shd w:val="clear" w:color="auto" w:fill="auto"/>
            <w:tcMar>
              <w:top w:w="40" w:type="dxa"/>
              <w:bottom w:w="40" w:type="dxa"/>
              <w:right w:w="20" w:type="dxa"/>
            </w:tcMar>
            <w:vAlign w:val="bottom"/>
          </w:tcPr>
          <w:p w14:paraId="20AE1B84"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1B85" w14:textId="77777777" w:rsidR="00B626E7" w:rsidRDefault="00B626E7">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20AE1B86" w14:textId="77777777" w:rsidR="00B626E7" w:rsidRDefault="00175C1D">
            <w:pPr>
              <w:textAlignment w:val="bottom"/>
            </w:pPr>
            <w:r>
              <w:rPr>
                <w:rFonts w:ascii="Arial" w:eastAsia="宋体" w:hAnsi="Arial" w:cs="Arial"/>
                <w:b/>
                <w:bCs/>
                <w:color w:val="026DCE"/>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20AE1B87" w14:textId="77777777" w:rsidR="00B626E7" w:rsidRDefault="00175C1D">
            <w:pPr>
              <w:jc w:val="right"/>
              <w:textAlignment w:val="bottom"/>
            </w:pPr>
            <w:r>
              <w:rPr>
                <w:rFonts w:ascii="Arial" w:eastAsia="宋体" w:hAnsi="Arial" w:cs="Arial"/>
                <w:b/>
                <w:bCs/>
                <w:color w:val="026DCE"/>
                <w:sz w:val="18"/>
                <w:szCs w:val="18"/>
              </w:rPr>
              <w:t>35 </w:t>
            </w:r>
          </w:p>
        </w:tc>
        <w:tc>
          <w:tcPr>
            <w:tcW w:w="0" w:type="auto"/>
            <w:tcBorders>
              <w:top w:val="single" w:sz="8" w:space="0" w:color="333333"/>
            </w:tcBorders>
            <w:shd w:val="clear" w:color="auto" w:fill="auto"/>
            <w:tcMar>
              <w:top w:w="40" w:type="dxa"/>
              <w:bottom w:w="40" w:type="dxa"/>
              <w:right w:w="20" w:type="dxa"/>
            </w:tcMar>
            <w:vAlign w:val="bottom"/>
          </w:tcPr>
          <w:p w14:paraId="20AE1B88"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1B89" w14:textId="77777777" w:rsidR="00B626E7" w:rsidRDefault="00B626E7">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20AE1B8A" w14:textId="77777777" w:rsidR="00B626E7" w:rsidRDefault="00175C1D">
            <w:pPr>
              <w:textAlignment w:val="bottom"/>
            </w:pPr>
            <w:r>
              <w:rPr>
                <w:rFonts w:ascii="Arial" w:eastAsia="宋体" w:hAnsi="Arial" w:cs="Arial"/>
                <w:b/>
                <w:bCs/>
                <w:color w:val="026DCE"/>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20AE1B8B" w14:textId="77777777" w:rsidR="00B626E7" w:rsidRDefault="00175C1D">
            <w:pPr>
              <w:jc w:val="right"/>
              <w:textAlignment w:val="bottom"/>
            </w:pPr>
            <w:r>
              <w:rPr>
                <w:rFonts w:ascii="Arial" w:eastAsia="宋体" w:hAnsi="Arial" w:cs="Arial"/>
                <w:b/>
                <w:bCs/>
                <w:color w:val="026DCE"/>
                <w:sz w:val="18"/>
                <w:szCs w:val="18"/>
              </w:rPr>
              <w:t>31,223 </w:t>
            </w:r>
          </w:p>
        </w:tc>
        <w:tc>
          <w:tcPr>
            <w:tcW w:w="0" w:type="auto"/>
            <w:tcBorders>
              <w:top w:val="single" w:sz="8" w:space="0" w:color="333333"/>
            </w:tcBorders>
            <w:shd w:val="clear" w:color="auto" w:fill="auto"/>
            <w:tcMar>
              <w:top w:w="40" w:type="dxa"/>
              <w:bottom w:w="40" w:type="dxa"/>
              <w:right w:w="20" w:type="dxa"/>
            </w:tcMar>
            <w:vAlign w:val="bottom"/>
          </w:tcPr>
          <w:p w14:paraId="20AE1B8C"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1B8D" w14:textId="77777777" w:rsidR="00B626E7" w:rsidRDefault="00B626E7">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20AE1B8E"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20AE1B8F" w14:textId="77777777" w:rsidR="00B626E7" w:rsidRDefault="00175C1D">
            <w:pPr>
              <w:jc w:val="right"/>
              <w:textAlignment w:val="bottom"/>
            </w:pPr>
            <w:r>
              <w:rPr>
                <w:rFonts w:ascii="Arial" w:eastAsia="宋体" w:hAnsi="Arial" w:cs="Arial"/>
                <w:b/>
                <w:bCs/>
                <w:color w:val="333333"/>
                <w:sz w:val="18"/>
                <w:szCs w:val="18"/>
              </w:rPr>
              <w:t>1,651 </w:t>
            </w:r>
          </w:p>
        </w:tc>
        <w:tc>
          <w:tcPr>
            <w:tcW w:w="0" w:type="auto"/>
            <w:tcBorders>
              <w:top w:val="single" w:sz="8" w:space="0" w:color="333333"/>
            </w:tcBorders>
            <w:shd w:val="clear" w:color="auto" w:fill="auto"/>
            <w:tcMar>
              <w:top w:w="40" w:type="dxa"/>
              <w:bottom w:w="40" w:type="dxa"/>
              <w:right w:w="20" w:type="dxa"/>
            </w:tcMar>
            <w:vAlign w:val="bottom"/>
          </w:tcPr>
          <w:p w14:paraId="20AE1B90"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1B91" w14:textId="77777777" w:rsidR="00B626E7" w:rsidRDefault="00B626E7">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20AE1B92"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20AE1B93" w14:textId="77777777" w:rsidR="00B626E7" w:rsidRDefault="00175C1D">
            <w:pPr>
              <w:jc w:val="right"/>
              <w:textAlignment w:val="bottom"/>
            </w:pPr>
            <w:r>
              <w:rPr>
                <w:rFonts w:ascii="Arial" w:eastAsia="宋体" w:hAnsi="Arial" w:cs="Arial"/>
                <w:b/>
                <w:bCs/>
                <w:color w:val="333333"/>
                <w:sz w:val="18"/>
                <w:szCs w:val="18"/>
              </w:rPr>
              <w:t>16,213 </w:t>
            </w:r>
          </w:p>
        </w:tc>
        <w:tc>
          <w:tcPr>
            <w:tcW w:w="0" w:type="auto"/>
            <w:tcBorders>
              <w:top w:val="single" w:sz="8" w:space="0" w:color="333333"/>
            </w:tcBorders>
            <w:shd w:val="clear" w:color="auto" w:fill="auto"/>
            <w:tcMar>
              <w:top w:w="40" w:type="dxa"/>
              <w:bottom w:w="40" w:type="dxa"/>
              <w:right w:w="20" w:type="dxa"/>
            </w:tcMar>
            <w:vAlign w:val="bottom"/>
          </w:tcPr>
          <w:p w14:paraId="20AE1B94"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1B95" w14:textId="77777777" w:rsidR="00B626E7" w:rsidRDefault="00B626E7">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20AE1B96"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20AE1B97" w14:textId="77777777" w:rsidR="00B626E7" w:rsidRDefault="00175C1D">
            <w:pPr>
              <w:jc w:val="right"/>
              <w:textAlignment w:val="bottom"/>
            </w:pPr>
            <w:r>
              <w:rPr>
                <w:rFonts w:ascii="Arial" w:eastAsia="宋体" w:hAnsi="Arial" w:cs="Arial"/>
                <w:b/>
                <w:bCs/>
                <w:color w:val="333333"/>
                <w:sz w:val="18"/>
                <w:szCs w:val="18"/>
              </w:rPr>
              <w:t>16 </w:t>
            </w:r>
          </w:p>
        </w:tc>
        <w:tc>
          <w:tcPr>
            <w:tcW w:w="0" w:type="auto"/>
            <w:tcBorders>
              <w:top w:val="single" w:sz="8" w:space="0" w:color="333333"/>
            </w:tcBorders>
            <w:shd w:val="clear" w:color="auto" w:fill="auto"/>
            <w:tcMar>
              <w:top w:w="40" w:type="dxa"/>
              <w:bottom w:w="40" w:type="dxa"/>
              <w:right w:w="20" w:type="dxa"/>
            </w:tcMar>
            <w:vAlign w:val="bottom"/>
          </w:tcPr>
          <w:p w14:paraId="20AE1B98"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1B99" w14:textId="77777777" w:rsidR="00B626E7" w:rsidRDefault="00B626E7">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20AE1B9A"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20AE1B9B" w14:textId="77777777" w:rsidR="00B626E7" w:rsidRDefault="00175C1D">
            <w:pPr>
              <w:jc w:val="right"/>
              <w:textAlignment w:val="bottom"/>
            </w:pPr>
            <w:r>
              <w:rPr>
                <w:rFonts w:ascii="Arial" w:eastAsia="宋体" w:hAnsi="Arial" w:cs="Arial"/>
                <w:b/>
                <w:bCs/>
                <w:color w:val="333333"/>
                <w:sz w:val="18"/>
                <w:szCs w:val="18"/>
              </w:rPr>
              <w:t>17,880 </w:t>
            </w:r>
          </w:p>
        </w:tc>
        <w:tc>
          <w:tcPr>
            <w:tcW w:w="0" w:type="auto"/>
            <w:tcBorders>
              <w:top w:val="single" w:sz="8" w:space="0" w:color="333333"/>
            </w:tcBorders>
            <w:shd w:val="clear" w:color="auto" w:fill="auto"/>
            <w:tcMar>
              <w:top w:w="40" w:type="dxa"/>
              <w:bottom w:w="40" w:type="dxa"/>
              <w:right w:w="20" w:type="dxa"/>
            </w:tcMar>
            <w:vAlign w:val="bottom"/>
          </w:tcPr>
          <w:p w14:paraId="20AE1B9C"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E1B9D" w14:textId="77777777" w:rsidR="00B626E7" w:rsidRDefault="00B626E7">
            <w:pPr>
              <w:rPr>
                <w:rFonts w:ascii="宋体"/>
              </w:rPr>
            </w:pPr>
          </w:p>
        </w:tc>
        <w:tc>
          <w:tcPr>
            <w:tcW w:w="0" w:type="auto"/>
            <w:shd w:val="clear" w:color="auto" w:fill="auto"/>
          </w:tcPr>
          <w:p w14:paraId="20AE1B9E" w14:textId="77777777" w:rsidR="00B626E7" w:rsidRDefault="00B626E7">
            <w:pPr>
              <w:rPr>
                <w:rFonts w:ascii="宋体"/>
              </w:rPr>
            </w:pPr>
          </w:p>
        </w:tc>
        <w:tc>
          <w:tcPr>
            <w:tcW w:w="0" w:type="auto"/>
            <w:shd w:val="clear" w:color="auto" w:fill="auto"/>
          </w:tcPr>
          <w:p w14:paraId="20AE1B9F" w14:textId="77777777" w:rsidR="00B626E7" w:rsidRDefault="00B626E7">
            <w:pPr>
              <w:rPr>
                <w:rFonts w:ascii="宋体"/>
              </w:rPr>
            </w:pPr>
          </w:p>
        </w:tc>
        <w:tc>
          <w:tcPr>
            <w:tcW w:w="0" w:type="auto"/>
            <w:shd w:val="clear" w:color="auto" w:fill="auto"/>
          </w:tcPr>
          <w:p w14:paraId="20AE1BA0" w14:textId="77777777" w:rsidR="00B626E7" w:rsidRDefault="00B626E7">
            <w:pPr>
              <w:rPr>
                <w:rFonts w:ascii="宋体"/>
              </w:rPr>
            </w:pPr>
          </w:p>
        </w:tc>
        <w:tc>
          <w:tcPr>
            <w:tcW w:w="0" w:type="auto"/>
            <w:shd w:val="clear" w:color="auto" w:fill="auto"/>
          </w:tcPr>
          <w:p w14:paraId="20AE1BA1" w14:textId="77777777" w:rsidR="00B626E7" w:rsidRDefault="00B626E7">
            <w:pPr>
              <w:rPr>
                <w:rFonts w:ascii="宋体"/>
              </w:rPr>
            </w:pPr>
          </w:p>
        </w:tc>
        <w:tc>
          <w:tcPr>
            <w:tcW w:w="0" w:type="auto"/>
            <w:shd w:val="clear" w:color="auto" w:fill="auto"/>
          </w:tcPr>
          <w:p w14:paraId="20AE1BA2" w14:textId="77777777" w:rsidR="00B626E7" w:rsidRDefault="00B626E7">
            <w:pPr>
              <w:rPr>
                <w:rFonts w:ascii="宋体"/>
              </w:rPr>
            </w:pPr>
          </w:p>
        </w:tc>
        <w:tc>
          <w:tcPr>
            <w:tcW w:w="0" w:type="auto"/>
            <w:shd w:val="clear" w:color="auto" w:fill="auto"/>
          </w:tcPr>
          <w:p w14:paraId="20AE1BA3" w14:textId="77777777" w:rsidR="00B626E7" w:rsidRDefault="00B626E7">
            <w:pPr>
              <w:rPr>
                <w:rFonts w:ascii="宋体"/>
              </w:rPr>
            </w:pPr>
          </w:p>
        </w:tc>
        <w:tc>
          <w:tcPr>
            <w:tcW w:w="0" w:type="auto"/>
            <w:shd w:val="clear" w:color="auto" w:fill="auto"/>
          </w:tcPr>
          <w:p w14:paraId="20AE1BA4" w14:textId="77777777" w:rsidR="00B626E7" w:rsidRDefault="00B626E7">
            <w:pPr>
              <w:rPr>
                <w:rFonts w:ascii="宋体"/>
              </w:rPr>
            </w:pPr>
          </w:p>
        </w:tc>
        <w:tc>
          <w:tcPr>
            <w:tcW w:w="0" w:type="auto"/>
            <w:shd w:val="clear" w:color="auto" w:fill="auto"/>
          </w:tcPr>
          <w:p w14:paraId="20AE1BA5" w14:textId="77777777" w:rsidR="00B626E7" w:rsidRDefault="00B626E7">
            <w:pPr>
              <w:rPr>
                <w:rFonts w:ascii="宋体"/>
              </w:rPr>
            </w:pPr>
          </w:p>
        </w:tc>
        <w:tc>
          <w:tcPr>
            <w:tcW w:w="0" w:type="auto"/>
            <w:shd w:val="clear" w:color="auto" w:fill="auto"/>
          </w:tcPr>
          <w:p w14:paraId="20AE1BA6" w14:textId="77777777" w:rsidR="00B626E7" w:rsidRDefault="00B626E7">
            <w:pPr>
              <w:rPr>
                <w:rFonts w:ascii="宋体"/>
              </w:rPr>
            </w:pPr>
          </w:p>
        </w:tc>
        <w:tc>
          <w:tcPr>
            <w:tcW w:w="0" w:type="auto"/>
            <w:shd w:val="clear" w:color="auto" w:fill="auto"/>
          </w:tcPr>
          <w:p w14:paraId="20AE1BA7" w14:textId="77777777" w:rsidR="00B626E7" w:rsidRDefault="00B626E7">
            <w:pPr>
              <w:rPr>
                <w:rFonts w:ascii="宋体"/>
              </w:rPr>
            </w:pPr>
          </w:p>
        </w:tc>
        <w:tc>
          <w:tcPr>
            <w:tcW w:w="0" w:type="auto"/>
            <w:shd w:val="clear" w:color="auto" w:fill="auto"/>
          </w:tcPr>
          <w:p w14:paraId="20AE1BA8" w14:textId="77777777" w:rsidR="00B626E7" w:rsidRDefault="00B626E7">
            <w:pPr>
              <w:rPr>
                <w:rFonts w:ascii="宋体"/>
              </w:rPr>
            </w:pPr>
          </w:p>
        </w:tc>
      </w:tr>
      <w:tr w:rsidR="00B626E7" w14:paraId="20AE1BC7" w14:textId="77777777">
        <w:tc>
          <w:tcPr>
            <w:tcW w:w="0" w:type="auto"/>
            <w:gridSpan w:val="3"/>
            <w:shd w:val="clear" w:color="auto" w:fill="auto"/>
            <w:tcMar>
              <w:top w:w="40" w:type="dxa"/>
              <w:left w:w="20" w:type="dxa"/>
              <w:bottom w:w="40" w:type="dxa"/>
              <w:right w:w="20" w:type="dxa"/>
            </w:tcMar>
          </w:tcPr>
          <w:p w14:paraId="20AE1BAA" w14:textId="77777777" w:rsidR="00B626E7" w:rsidRDefault="00175C1D">
            <w:pPr>
              <w:textAlignment w:val="top"/>
            </w:pPr>
            <w:r>
              <w:rPr>
                <w:rFonts w:ascii="Arial" w:eastAsia="宋体" w:hAnsi="Arial" w:cs="Arial"/>
                <w:b/>
                <w:bCs/>
                <w:color w:val="333333"/>
                <w:sz w:val="18"/>
                <w:szCs w:val="18"/>
              </w:rPr>
              <w:t>Liabilities</w:t>
            </w:r>
          </w:p>
        </w:tc>
        <w:tc>
          <w:tcPr>
            <w:tcW w:w="0" w:type="auto"/>
            <w:gridSpan w:val="3"/>
            <w:shd w:val="clear" w:color="auto" w:fill="auto"/>
            <w:tcMar>
              <w:left w:w="20" w:type="dxa"/>
              <w:right w:w="20" w:type="dxa"/>
            </w:tcMar>
            <w:vAlign w:val="bottom"/>
          </w:tcPr>
          <w:p w14:paraId="20AE1BAB" w14:textId="77777777" w:rsidR="00B626E7" w:rsidRDefault="00B626E7">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20AE1BAC"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BAD" w14:textId="77777777" w:rsidR="00B626E7" w:rsidRDefault="00B626E7">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20AE1BAE"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BAF" w14:textId="77777777" w:rsidR="00B626E7" w:rsidRDefault="00B626E7">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20AE1BB0"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BB1" w14:textId="77777777" w:rsidR="00B626E7" w:rsidRDefault="00B626E7">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20AE1BB2"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BB3" w14:textId="77777777" w:rsidR="00B626E7" w:rsidRDefault="00B626E7">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20AE1BB4"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BB5" w14:textId="77777777" w:rsidR="00B626E7" w:rsidRDefault="00B626E7">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20AE1BB6"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BB7" w14:textId="77777777" w:rsidR="00B626E7" w:rsidRDefault="00B626E7">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20AE1BB8"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BB9" w14:textId="77777777" w:rsidR="00B626E7" w:rsidRDefault="00B626E7">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20AE1BBA" w14:textId="77777777" w:rsidR="00B626E7" w:rsidRDefault="00B626E7">
            <w:pPr>
              <w:rPr>
                <w:rFonts w:ascii="宋体"/>
              </w:rPr>
            </w:pPr>
          </w:p>
        </w:tc>
        <w:tc>
          <w:tcPr>
            <w:tcW w:w="0" w:type="auto"/>
            <w:shd w:val="clear" w:color="auto" w:fill="auto"/>
          </w:tcPr>
          <w:p w14:paraId="20AE1BBB" w14:textId="77777777" w:rsidR="00B626E7" w:rsidRDefault="00B626E7">
            <w:pPr>
              <w:rPr>
                <w:rFonts w:ascii="宋体"/>
              </w:rPr>
            </w:pPr>
          </w:p>
        </w:tc>
        <w:tc>
          <w:tcPr>
            <w:tcW w:w="0" w:type="auto"/>
            <w:shd w:val="clear" w:color="auto" w:fill="auto"/>
          </w:tcPr>
          <w:p w14:paraId="20AE1BBC" w14:textId="77777777" w:rsidR="00B626E7" w:rsidRDefault="00B626E7">
            <w:pPr>
              <w:rPr>
                <w:rFonts w:ascii="宋体"/>
              </w:rPr>
            </w:pPr>
          </w:p>
        </w:tc>
        <w:tc>
          <w:tcPr>
            <w:tcW w:w="0" w:type="auto"/>
            <w:shd w:val="clear" w:color="auto" w:fill="auto"/>
          </w:tcPr>
          <w:p w14:paraId="20AE1BBD" w14:textId="77777777" w:rsidR="00B626E7" w:rsidRDefault="00B626E7">
            <w:pPr>
              <w:rPr>
                <w:rFonts w:ascii="宋体"/>
              </w:rPr>
            </w:pPr>
          </w:p>
        </w:tc>
        <w:tc>
          <w:tcPr>
            <w:tcW w:w="0" w:type="auto"/>
            <w:shd w:val="clear" w:color="auto" w:fill="auto"/>
          </w:tcPr>
          <w:p w14:paraId="20AE1BBE" w14:textId="77777777" w:rsidR="00B626E7" w:rsidRDefault="00B626E7">
            <w:pPr>
              <w:rPr>
                <w:rFonts w:ascii="宋体"/>
              </w:rPr>
            </w:pPr>
          </w:p>
        </w:tc>
        <w:tc>
          <w:tcPr>
            <w:tcW w:w="0" w:type="auto"/>
            <w:shd w:val="clear" w:color="auto" w:fill="auto"/>
          </w:tcPr>
          <w:p w14:paraId="20AE1BBF" w14:textId="77777777" w:rsidR="00B626E7" w:rsidRDefault="00B626E7">
            <w:pPr>
              <w:rPr>
                <w:rFonts w:ascii="宋体"/>
              </w:rPr>
            </w:pPr>
          </w:p>
        </w:tc>
        <w:tc>
          <w:tcPr>
            <w:tcW w:w="0" w:type="auto"/>
            <w:shd w:val="clear" w:color="auto" w:fill="auto"/>
          </w:tcPr>
          <w:p w14:paraId="20AE1BC0" w14:textId="77777777" w:rsidR="00B626E7" w:rsidRDefault="00B626E7">
            <w:pPr>
              <w:rPr>
                <w:rFonts w:ascii="宋体"/>
              </w:rPr>
            </w:pPr>
          </w:p>
        </w:tc>
        <w:tc>
          <w:tcPr>
            <w:tcW w:w="0" w:type="auto"/>
            <w:shd w:val="clear" w:color="auto" w:fill="auto"/>
          </w:tcPr>
          <w:p w14:paraId="20AE1BC1" w14:textId="77777777" w:rsidR="00B626E7" w:rsidRDefault="00B626E7">
            <w:pPr>
              <w:rPr>
                <w:rFonts w:ascii="宋体"/>
              </w:rPr>
            </w:pPr>
          </w:p>
        </w:tc>
        <w:tc>
          <w:tcPr>
            <w:tcW w:w="0" w:type="auto"/>
            <w:shd w:val="clear" w:color="auto" w:fill="auto"/>
          </w:tcPr>
          <w:p w14:paraId="20AE1BC2" w14:textId="77777777" w:rsidR="00B626E7" w:rsidRDefault="00B626E7">
            <w:pPr>
              <w:rPr>
                <w:rFonts w:ascii="宋体"/>
              </w:rPr>
            </w:pPr>
          </w:p>
        </w:tc>
        <w:tc>
          <w:tcPr>
            <w:tcW w:w="0" w:type="auto"/>
            <w:shd w:val="clear" w:color="auto" w:fill="auto"/>
          </w:tcPr>
          <w:p w14:paraId="20AE1BC3" w14:textId="77777777" w:rsidR="00B626E7" w:rsidRDefault="00B626E7">
            <w:pPr>
              <w:rPr>
                <w:rFonts w:ascii="宋体"/>
              </w:rPr>
            </w:pPr>
          </w:p>
        </w:tc>
        <w:tc>
          <w:tcPr>
            <w:tcW w:w="0" w:type="auto"/>
            <w:shd w:val="clear" w:color="auto" w:fill="auto"/>
          </w:tcPr>
          <w:p w14:paraId="20AE1BC4" w14:textId="77777777" w:rsidR="00B626E7" w:rsidRDefault="00B626E7">
            <w:pPr>
              <w:rPr>
                <w:rFonts w:ascii="宋体"/>
              </w:rPr>
            </w:pPr>
          </w:p>
        </w:tc>
        <w:tc>
          <w:tcPr>
            <w:tcW w:w="0" w:type="auto"/>
            <w:shd w:val="clear" w:color="auto" w:fill="auto"/>
          </w:tcPr>
          <w:p w14:paraId="20AE1BC5" w14:textId="77777777" w:rsidR="00B626E7" w:rsidRDefault="00B626E7">
            <w:pPr>
              <w:rPr>
                <w:rFonts w:ascii="宋体"/>
              </w:rPr>
            </w:pPr>
          </w:p>
        </w:tc>
        <w:tc>
          <w:tcPr>
            <w:tcW w:w="0" w:type="auto"/>
            <w:shd w:val="clear" w:color="auto" w:fill="auto"/>
          </w:tcPr>
          <w:p w14:paraId="20AE1BC6" w14:textId="77777777" w:rsidR="00B626E7" w:rsidRDefault="00B626E7">
            <w:pPr>
              <w:rPr>
                <w:rFonts w:ascii="宋体"/>
              </w:rPr>
            </w:pPr>
          </w:p>
        </w:tc>
      </w:tr>
      <w:tr w:rsidR="00B626E7" w14:paraId="20AE1BE5" w14:textId="77777777">
        <w:tc>
          <w:tcPr>
            <w:tcW w:w="0" w:type="auto"/>
            <w:gridSpan w:val="3"/>
            <w:shd w:val="clear" w:color="auto" w:fill="auto"/>
            <w:tcMar>
              <w:top w:w="40" w:type="dxa"/>
              <w:left w:w="20" w:type="dxa"/>
              <w:bottom w:w="40" w:type="dxa"/>
              <w:right w:w="20" w:type="dxa"/>
            </w:tcMar>
          </w:tcPr>
          <w:p w14:paraId="20AE1BC8" w14:textId="77777777" w:rsidR="00B626E7" w:rsidRDefault="00175C1D">
            <w:pPr>
              <w:textAlignment w:val="top"/>
            </w:pPr>
            <w:r>
              <w:rPr>
                <w:rFonts w:ascii="Arial" w:eastAsia="宋体" w:hAnsi="Arial" w:cs="Arial"/>
                <w:color w:val="333333"/>
                <w:sz w:val="18"/>
                <w:szCs w:val="18"/>
              </w:rPr>
              <w:t>Other accrued liabilities:</w:t>
            </w:r>
          </w:p>
        </w:tc>
        <w:tc>
          <w:tcPr>
            <w:tcW w:w="0" w:type="auto"/>
            <w:gridSpan w:val="3"/>
            <w:shd w:val="clear" w:color="auto" w:fill="auto"/>
            <w:tcMar>
              <w:left w:w="20" w:type="dxa"/>
              <w:right w:w="20" w:type="dxa"/>
            </w:tcMar>
            <w:vAlign w:val="bottom"/>
          </w:tcPr>
          <w:p w14:paraId="20AE1BC9"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BCA"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BCB"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BCC"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BCD"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BCE"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BCF"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BD0"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BD1"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BD2"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BD3"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BD4"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BD5"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BD6"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BD7"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BD8" w14:textId="77777777" w:rsidR="00B626E7" w:rsidRDefault="00B626E7">
            <w:pPr>
              <w:rPr>
                <w:rFonts w:ascii="宋体"/>
              </w:rPr>
            </w:pPr>
          </w:p>
        </w:tc>
        <w:tc>
          <w:tcPr>
            <w:tcW w:w="0" w:type="auto"/>
            <w:shd w:val="clear" w:color="auto" w:fill="auto"/>
          </w:tcPr>
          <w:p w14:paraId="20AE1BD9" w14:textId="77777777" w:rsidR="00B626E7" w:rsidRDefault="00B626E7">
            <w:pPr>
              <w:rPr>
                <w:rFonts w:ascii="宋体"/>
              </w:rPr>
            </w:pPr>
          </w:p>
        </w:tc>
        <w:tc>
          <w:tcPr>
            <w:tcW w:w="0" w:type="auto"/>
            <w:shd w:val="clear" w:color="auto" w:fill="auto"/>
          </w:tcPr>
          <w:p w14:paraId="20AE1BDA" w14:textId="77777777" w:rsidR="00B626E7" w:rsidRDefault="00B626E7">
            <w:pPr>
              <w:rPr>
                <w:rFonts w:ascii="宋体"/>
              </w:rPr>
            </w:pPr>
          </w:p>
        </w:tc>
        <w:tc>
          <w:tcPr>
            <w:tcW w:w="0" w:type="auto"/>
            <w:shd w:val="clear" w:color="auto" w:fill="auto"/>
          </w:tcPr>
          <w:p w14:paraId="20AE1BDB" w14:textId="77777777" w:rsidR="00B626E7" w:rsidRDefault="00B626E7">
            <w:pPr>
              <w:rPr>
                <w:rFonts w:ascii="宋体"/>
              </w:rPr>
            </w:pPr>
          </w:p>
        </w:tc>
        <w:tc>
          <w:tcPr>
            <w:tcW w:w="0" w:type="auto"/>
            <w:shd w:val="clear" w:color="auto" w:fill="auto"/>
          </w:tcPr>
          <w:p w14:paraId="20AE1BDC" w14:textId="77777777" w:rsidR="00B626E7" w:rsidRDefault="00B626E7">
            <w:pPr>
              <w:rPr>
                <w:rFonts w:ascii="宋体"/>
              </w:rPr>
            </w:pPr>
          </w:p>
        </w:tc>
        <w:tc>
          <w:tcPr>
            <w:tcW w:w="0" w:type="auto"/>
            <w:shd w:val="clear" w:color="auto" w:fill="auto"/>
          </w:tcPr>
          <w:p w14:paraId="20AE1BDD" w14:textId="77777777" w:rsidR="00B626E7" w:rsidRDefault="00B626E7">
            <w:pPr>
              <w:rPr>
                <w:rFonts w:ascii="宋体"/>
              </w:rPr>
            </w:pPr>
          </w:p>
        </w:tc>
        <w:tc>
          <w:tcPr>
            <w:tcW w:w="0" w:type="auto"/>
            <w:shd w:val="clear" w:color="auto" w:fill="auto"/>
          </w:tcPr>
          <w:p w14:paraId="20AE1BDE" w14:textId="77777777" w:rsidR="00B626E7" w:rsidRDefault="00B626E7">
            <w:pPr>
              <w:rPr>
                <w:rFonts w:ascii="宋体"/>
              </w:rPr>
            </w:pPr>
          </w:p>
        </w:tc>
        <w:tc>
          <w:tcPr>
            <w:tcW w:w="0" w:type="auto"/>
            <w:shd w:val="clear" w:color="auto" w:fill="auto"/>
          </w:tcPr>
          <w:p w14:paraId="20AE1BDF" w14:textId="77777777" w:rsidR="00B626E7" w:rsidRDefault="00B626E7">
            <w:pPr>
              <w:rPr>
                <w:rFonts w:ascii="宋体"/>
              </w:rPr>
            </w:pPr>
          </w:p>
        </w:tc>
        <w:tc>
          <w:tcPr>
            <w:tcW w:w="0" w:type="auto"/>
            <w:shd w:val="clear" w:color="auto" w:fill="auto"/>
          </w:tcPr>
          <w:p w14:paraId="20AE1BE0" w14:textId="77777777" w:rsidR="00B626E7" w:rsidRDefault="00B626E7">
            <w:pPr>
              <w:rPr>
                <w:rFonts w:ascii="宋体"/>
              </w:rPr>
            </w:pPr>
          </w:p>
        </w:tc>
        <w:tc>
          <w:tcPr>
            <w:tcW w:w="0" w:type="auto"/>
            <w:shd w:val="clear" w:color="auto" w:fill="auto"/>
          </w:tcPr>
          <w:p w14:paraId="20AE1BE1" w14:textId="77777777" w:rsidR="00B626E7" w:rsidRDefault="00B626E7">
            <w:pPr>
              <w:rPr>
                <w:rFonts w:ascii="宋体"/>
              </w:rPr>
            </w:pPr>
          </w:p>
        </w:tc>
        <w:tc>
          <w:tcPr>
            <w:tcW w:w="0" w:type="auto"/>
            <w:shd w:val="clear" w:color="auto" w:fill="auto"/>
          </w:tcPr>
          <w:p w14:paraId="20AE1BE2" w14:textId="77777777" w:rsidR="00B626E7" w:rsidRDefault="00B626E7">
            <w:pPr>
              <w:rPr>
                <w:rFonts w:ascii="宋体"/>
              </w:rPr>
            </w:pPr>
          </w:p>
        </w:tc>
        <w:tc>
          <w:tcPr>
            <w:tcW w:w="0" w:type="auto"/>
            <w:shd w:val="clear" w:color="auto" w:fill="auto"/>
          </w:tcPr>
          <w:p w14:paraId="20AE1BE3" w14:textId="77777777" w:rsidR="00B626E7" w:rsidRDefault="00B626E7">
            <w:pPr>
              <w:rPr>
                <w:rFonts w:ascii="宋体"/>
              </w:rPr>
            </w:pPr>
          </w:p>
        </w:tc>
        <w:tc>
          <w:tcPr>
            <w:tcW w:w="0" w:type="auto"/>
            <w:shd w:val="clear" w:color="auto" w:fill="auto"/>
          </w:tcPr>
          <w:p w14:paraId="20AE1BE4" w14:textId="77777777" w:rsidR="00B626E7" w:rsidRDefault="00B626E7">
            <w:pPr>
              <w:rPr>
                <w:rFonts w:ascii="宋体"/>
              </w:rPr>
            </w:pPr>
          </w:p>
        </w:tc>
      </w:tr>
      <w:tr w:rsidR="00B626E7" w14:paraId="20AE1C13" w14:textId="77777777">
        <w:tc>
          <w:tcPr>
            <w:tcW w:w="0" w:type="auto"/>
            <w:gridSpan w:val="3"/>
            <w:shd w:val="clear" w:color="auto" w:fill="auto"/>
            <w:tcMar>
              <w:top w:w="40" w:type="dxa"/>
              <w:left w:w="135" w:type="dxa"/>
              <w:bottom w:w="40" w:type="dxa"/>
              <w:right w:w="20" w:type="dxa"/>
            </w:tcMar>
          </w:tcPr>
          <w:p w14:paraId="20AE1BE6" w14:textId="77777777" w:rsidR="00B626E7" w:rsidRDefault="00175C1D">
            <w:pPr>
              <w:textAlignment w:val="top"/>
            </w:pPr>
            <w:r>
              <w:rPr>
                <w:rFonts w:ascii="Arial" w:eastAsia="宋体" w:hAnsi="Arial" w:cs="Arial"/>
                <w:color w:val="333333"/>
                <w:sz w:val="18"/>
                <w:szCs w:val="18"/>
              </w:rPr>
              <w:t>Derivative liabilities</w:t>
            </w:r>
          </w:p>
        </w:tc>
        <w:tc>
          <w:tcPr>
            <w:tcW w:w="0" w:type="auto"/>
            <w:gridSpan w:val="3"/>
            <w:shd w:val="clear" w:color="auto" w:fill="auto"/>
            <w:tcMar>
              <w:left w:w="20" w:type="dxa"/>
              <w:right w:w="20" w:type="dxa"/>
            </w:tcMar>
            <w:vAlign w:val="bottom"/>
          </w:tcPr>
          <w:p w14:paraId="20AE1BE7"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1BE8" w14:textId="77777777" w:rsidR="00B626E7" w:rsidRDefault="00175C1D">
            <w:pPr>
              <w:textAlignment w:val="bottom"/>
            </w:pPr>
            <w:r>
              <w:rPr>
                <w:rFonts w:ascii="Arial" w:eastAsia="宋体" w:hAnsi="Arial" w:cs="Arial"/>
                <w:color w:val="026DCE"/>
                <w:sz w:val="18"/>
                <w:szCs w:val="18"/>
              </w:rPr>
              <w:t>$</w:t>
            </w:r>
          </w:p>
        </w:tc>
        <w:tc>
          <w:tcPr>
            <w:tcW w:w="0" w:type="auto"/>
            <w:shd w:val="clear" w:color="auto" w:fill="auto"/>
            <w:tcMar>
              <w:top w:w="40" w:type="dxa"/>
              <w:bottom w:w="40" w:type="dxa"/>
              <w:right w:w="0" w:type="dxa"/>
            </w:tcMar>
            <w:vAlign w:val="bottom"/>
          </w:tcPr>
          <w:p w14:paraId="20AE1BE9" w14:textId="77777777" w:rsidR="00B626E7" w:rsidRDefault="00175C1D">
            <w:pPr>
              <w:jc w:val="right"/>
              <w:textAlignment w:val="bottom"/>
            </w:pPr>
            <w:r>
              <w:rPr>
                <w:rFonts w:ascii="Arial" w:eastAsia="宋体" w:hAnsi="Arial" w:cs="Arial"/>
                <w:color w:val="026DCE"/>
                <w:sz w:val="18"/>
                <w:szCs w:val="18"/>
              </w:rPr>
              <w:t>48 </w:t>
            </w:r>
          </w:p>
        </w:tc>
        <w:tc>
          <w:tcPr>
            <w:tcW w:w="0" w:type="auto"/>
            <w:shd w:val="clear" w:color="auto" w:fill="auto"/>
            <w:tcMar>
              <w:top w:w="40" w:type="dxa"/>
              <w:bottom w:w="40" w:type="dxa"/>
              <w:right w:w="20" w:type="dxa"/>
            </w:tcMar>
            <w:vAlign w:val="bottom"/>
          </w:tcPr>
          <w:p w14:paraId="20AE1BEA"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BEB"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1BEC" w14:textId="77777777" w:rsidR="00B626E7" w:rsidRDefault="00175C1D">
            <w:pPr>
              <w:textAlignment w:val="bottom"/>
            </w:pPr>
            <w:r>
              <w:rPr>
                <w:rFonts w:ascii="Arial" w:eastAsia="宋体" w:hAnsi="Arial" w:cs="Arial"/>
                <w:color w:val="026DCE"/>
                <w:sz w:val="18"/>
                <w:szCs w:val="18"/>
              </w:rPr>
              <w:t>$</w:t>
            </w:r>
          </w:p>
        </w:tc>
        <w:tc>
          <w:tcPr>
            <w:tcW w:w="0" w:type="auto"/>
            <w:shd w:val="clear" w:color="auto" w:fill="auto"/>
            <w:tcMar>
              <w:top w:w="40" w:type="dxa"/>
              <w:bottom w:w="40" w:type="dxa"/>
              <w:right w:w="0" w:type="dxa"/>
            </w:tcMar>
            <w:vAlign w:val="bottom"/>
          </w:tcPr>
          <w:p w14:paraId="20AE1BED" w14:textId="77777777" w:rsidR="00B626E7" w:rsidRDefault="00175C1D">
            <w:pPr>
              <w:jc w:val="right"/>
              <w:textAlignment w:val="bottom"/>
            </w:pPr>
            <w:r>
              <w:rPr>
                <w:rFonts w:ascii="Arial" w:eastAsia="宋体" w:hAnsi="Arial" w:cs="Arial"/>
                <w:color w:val="026DCE"/>
                <w:sz w:val="18"/>
                <w:szCs w:val="18"/>
              </w:rPr>
              <w:t>432 </w:t>
            </w:r>
          </w:p>
        </w:tc>
        <w:tc>
          <w:tcPr>
            <w:tcW w:w="0" w:type="auto"/>
            <w:shd w:val="clear" w:color="auto" w:fill="auto"/>
            <w:tcMar>
              <w:top w:w="40" w:type="dxa"/>
              <w:bottom w:w="40" w:type="dxa"/>
              <w:right w:w="20" w:type="dxa"/>
            </w:tcMar>
            <w:vAlign w:val="bottom"/>
          </w:tcPr>
          <w:p w14:paraId="20AE1BEE"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BEF"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1BF0" w14:textId="77777777" w:rsidR="00B626E7" w:rsidRDefault="00175C1D">
            <w:pPr>
              <w:textAlignment w:val="bottom"/>
            </w:pPr>
            <w:r>
              <w:rPr>
                <w:rFonts w:ascii="Arial" w:eastAsia="宋体" w:hAnsi="Arial" w:cs="Arial"/>
                <w:color w:val="026DCE"/>
                <w:sz w:val="18"/>
                <w:szCs w:val="18"/>
              </w:rPr>
              <w:t>$</w:t>
            </w:r>
          </w:p>
        </w:tc>
        <w:tc>
          <w:tcPr>
            <w:tcW w:w="0" w:type="auto"/>
            <w:shd w:val="clear" w:color="auto" w:fill="auto"/>
            <w:tcMar>
              <w:top w:w="40" w:type="dxa"/>
              <w:bottom w:w="40" w:type="dxa"/>
              <w:right w:w="0" w:type="dxa"/>
            </w:tcMar>
            <w:vAlign w:val="bottom"/>
          </w:tcPr>
          <w:p w14:paraId="20AE1BF1" w14:textId="77777777" w:rsidR="00B626E7" w:rsidRDefault="00175C1D">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20AE1BF2"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BF3"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1BF4" w14:textId="77777777" w:rsidR="00B626E7" w:rsidRDefault="00175C1D">
            <w:pPr>
              <w:textAlignment w:val="bottom"/>
            </w:pPr>
            <w:r>
              <w:rPr>
                <w:rFonts w:ascii="Arial" w:eastAsia="宋体" w:hAnsi="Arial" w:cs="Arial"/>
                <w:color w:val="026DCE"/>
                <w:sz w:val="18"/>
                <w:szCs w:val="18"/>
              </w:rPr>
              <w:t>$</w:t>
            </w:r>
          </w:p>
        </w:tc>
        <w:tc>
          <w:tcPr>
            <w:tcW w:w="0" w:type="auto"/>
            <w:shd w:val="clear" w:color="auto" w:fill="auto"/>
            <w:tcMar>
              <w:top w:w="40" w:type="dxa"/>
              <w:bottom w:w="40" w:type="dxa"/>
              <w:right w:w="0" w:type="dxa"/>
            </w:tcMar>
            <w:vAlign w:val="bottom"/>
          </w:tcPr>
          <w:p w14:paraId="20AE1BF5" w14:textId="77777777" w:rsidR="00B626E7" w:rsidRDefault="00175C1D">
            <w:pPr>
              <w:jc w:val="right"/>
              <w:textAlignment w:val="bottom"/>
            </w:pPr>
            <w:r>
              <w:rPr>
                <w:rFonts w:ascii="Arial" w:eastAsia="宋体" w:hAnsi="Arial" w:cs="Arial"/>
                <w:color w:val="026DCE"/>
                <w:sz w:val="18"/>
                <w:szCs w:val="18"/>
              </w:rPr>
              <w:t>480 </w:t>
            </w:r>
          </w:p>
        </w:tc>
        <w:tc>
          <w:tcPr>
            <w:tcW w:w="0" w:type="auto"/>
            <w:shd w:val="clear" w:color="auto" w:fill="auto"/>
            <w:tcMar>
              <w:top w:w="40" w:type="dxa"/>
              <w:bottom w:w="40" w:type="dxa"/>
              <w:right w:w="20" w:type="dxa"/>
            </w:tcMar>
            <w:vAlign w:val="bottom"/>
          </w:tcPr>
          <w:p w14:paraId="20AE1BF6"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BF7"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1BF8" w14:textId="77777777" w:rsidR="00B626E7" w:rsidRDefault="00175C1D">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20AE1BF9" w14:textId="77777777" w:rsidR="00B626E7" w:rsidRDefault="00175C1D">
            <w:pPr>
              <w:jc w:val="right"/>
              <w:textAlignment w:val="bottom"/>
            </w:pPr>
            <w:r>
              <w:rPr>
                <w:rFonts w:ascii="Arial" w:eastAsia="宋体" w:hAnsi="Arial" w:cs="Arial"/>
                <w:color w:val="333333"/>
                <w:sz w:val="18"/>
                <w:szCs w:val="18"/>
              </w:rPr>
              <w:t>3 </w:t>
            </w:r>
          </w:p>
        </w:tc>
        <w:tc>
          <w:tcPr>
            <w:tcW w:w="0" w:type="auto"/>
            <w:shd w:val="clear" w:color="auto" w:fill="auto"/>
            <w:tcMar>
              <w:top w:w="40" w:type="dxa"/>
              <w:bottom w:w="40" w:type="dxa"/>
              <w:right w:w="20" w:type="dxa"/>
            </w:tcMar>
            <w:vAlign w:val="bottom"/>
          </w:tcPr>
          <w:p w14:paraId="20AE1BFA"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BFB"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1BFC" w14:textId="77777777" w:rsidR="00B626E7" w:rsidRDefault="00175C1D">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20AE1BFD" w14:textId="77777777" w:rsidR="00B626E7" w:rsidRDefault="00175C1D">
            <w:pPr>
              <w:jc w:val="right"/>
              <w:textAlignment w:val="bottom"/>
            </w:pPr>
            <w:r>
              <w:rPr>
                <w:rFonts w:ascii="Arial" w:eastAsia="宋体" w:hAnsi="Arial" w:cs="Arial"/>
                <w:color w:val="333333"/>
                <w:sz w:val="18"/>
                <w:szCs w:val="18"/>
              </w:rPr>
              <w:t>287 </w:t>
            </w:r>
          </w:p>
        </w:tc>
        <w:tc>
          <w:tcPr>
            <w:tcW w:w="0" w:type="auto"/>
            <w:shd w:val="clear" w:color="auto" w:fill="auto"/>
            <w:tcMar>
              <w:top w:w="40" w:type="dxa"/>
              <w:bottom w:w="40" w:type="dxa"/>
              <w:right w:w="20" w:type="dxa"/>
            </w:tcMar>
            <w:vAlign w:val="bottom"/>
          </w:tcPr>
          <w:p w14:paraId="20AE1BFE"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BFF"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1C00" w14:textId="77777777" w:rsidR="00B626E7" w:rsidRDefault="00175C1D">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20AE1C01"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1C02"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C03"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1C04" w14:textId="77777777" w:rsidR="00B626E7" w:rsidRDefault="00175C1D">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20AE1C05" w14:textId="77777777" w:rsidR="00B626E7" w:rsidRDefault="00175C1D">
            <w:pPr>
              <w:jc w:val="right"/>
              <w:textAlignment w:val="bottom"/>
            </w:pPr>
            <w:r>
              <w:rPr>
                <w:rFonts w:ascii="Arial" w:eastAsia="宋体" w:hAnsi="Arial" w:cs="Arial"/>
                <w:color w:val="333333"/>
                <w:sz w:val="18"/>
                <w:szCs w:val="18"/>
              </w:rPr>
              <w:t>290 </w:t>
            </w:r>
          </w:p>
        </w:tc>
        <w:tc>
          <w:tcPr>
            <w:tcW w:w="0" w:type="auto"/>
            <w:shd w:val="clear" w:color="auto" w:fill="auto"/>
            <w:tcMar>
              <w:top w:w="40" w:type="dxa"/>
              <w:bottom w:w="40" w:type="dxa"/>
              <w:right w:w="20" w:type="dxa"/>
            </w:tcMar>
            <w:vAlign w:val="bottom"/>
          </w:tcPr>
          <w:p w14:paraId="20AE1C06"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C07" w14:textId="77777777" w:rsidR="00B626E7" w:rsidRDefault="00B626E7">
            <w:pPr>
              <w:rPr>
                <w:rFonts w:ascii="宋体"/>
              </w:rPr>
            </w:pPr>
          </w:p>
        </w:tc>
        <w:tc>
          <w:tcPr>
            <w:tcW w:w="0" w:type="auto"/>
            <w:shd w:val="clear" w:color="auto" w:fill="auto"/>
          </w:tcPr>
          <w:p w14:paraId="20AE1C08" w14:textId="77777777" w:rsidR="00B626E7" w:rsidRDefault="00B626E7">
            <w:pPr>
              <w:rPr>
                <w:rFonts w:ascii="宋体"/>
              </w:rPr>
            </w:pPr>
          </w:p>
        </w:tc>
        <w:tc>
          <w:tcPr>
            <w:tcW w:w="0" w:type="auto"/>
            <w:shd w:val="clear" w:color="auto" w:fill="auto"/>
          </w:tcPr>
          <w:p w14:paraId="20AE1C09" w14:textId="77777777" w:rsidR="00B626E7" w:rsidRDefault="00B626E7">
            <w:pPr>
              <w:rPr>
                <w:rFonts w:ascii="宋体"/>
              </w:rPr>
            </w:pPr>
          </w:p>
        </w:tc>
        <w:tc>
          <w:tcPr>
            <w:tcW w:w="0" w:type="auto"/>
            <w:shd w:val="clear" w:color="auto" w:fill="auto"/>
          </w:tcPr>
          <w:p w14:paraId="20AE1C0A" w14:textId="77777777" w:rsidR="00B626E7" w:rsidRDefault="00B626E7">
            <w:pPr>
              <w:rPr>
                <w:rFonts w:ascii="宋体"/>
              </w:rPr>
            </w:pPr>
          </w:p>
        </w:tc>
        <w:tc>
          <w:tcPr>
            <w:tcW w:w="0" w:type="auto"/>
            <w:shd w:val="clear" w:color="auto" w:fill="auto"/>
          </w:tcPr>
          <w:p w14:paraId="20AE1C0B" w14:textId="77777777" w:rsidR="00B626E7" w:rsidRDefault="00B626E7">
            <w:pPr>
              <w:rPr>
                <w:rFonts w:ascii="宋体"/>
              </w:rPr>
            </w:pPr>
          </w:p>
        </w:tc>
        <w:tc>
          <w:tcPr>
            <w:tcW w:w="0" w:type="auto"/>
            <w:shd w:val="clear" w:color="auto" w:fill="auto"/>
          </w:tcPr>
          <w:p w14:paraId="20AE1C0C" w14:textId="77777777" w:rsidR="00B626E7" w:rsidRDefault="00B626E7">
            <w:pPr>
              <w:rPr>
                <w:rFonts w:ascii="宋体"/>
              </w:rPr>
            </w:pPr>
          </w:p>
        </w:tc>
        <w:tc>
          <w:tcPr>
            <w:tcW w:w="0" w:type="auto"/>
            <w:shd w:val="clear" w:color="auto" w:fill="auto"/>
          </w:tcPr>
          <w:p w14:paraId="20AE1C0D" w14:textId="77777777" w:rsidR="00B626E7" w:rsidRDefault="00B626E7">
            <w:pPr>
              <w:rPr>
                <w:rFonts w:ascii="宋体"/>
              </w:rPr>
            </w:pPr>
          </w:p>
        </w:tc>
        <w:tc>
          <w:tcPr>
            <w:tcW w:w="0" w:type="auto"/>
            <w:shd w:val="clear" w:color="auto" w:fill="auto"/>
          </w:tcPr>
          <w:p w14:paraId="20AE1C0E" w14:textId="77777777" w:rsidR="00B626E7" w:rsidRDefault="00B626E7">
            <w:pPr>
              <w:rPr>
                <w:rFonts w:ascii="宋体"/>
              </w:rPr>
            </w:pPr>
          </w:p>
        </w:tc>
        <w:tc>
          <w:tcPr>
            <w:tcW w:w="0" w:type="auto"/>
            <w:shd w:val="clear" w:color="auto" w:fill="auto"/>
          </w:tcPr>
          <w:p w14:paraId="20AE1C0F" w14:textId="77777777" w:rsidR="00B626E7" w:rsidRDefault="00B626E7">
            <w:pPr>
              <w:rPr>
                <w:rFonts w:ascii="宋体"/>
              </w:rPr>
            </w:pPr>
          </w:p>
        </w:tc>
        <w:tc>
          <w:tcPr>
            <w:tcW w:w="0" w:type="auto"/>
            <w:shd w:val="clear" w:color="auto" w:fill="auto"/>
          </w:tcPr>
          <w:p w14:paraId="20AE1C10" w14:textId="77777777" w:rsidR="00B626E7" w:rsidRDefault="00B626E7">
            <w:pPr>
              <w:rPr>
                <w:rFonts w:ascii="宋体"/>
              </w:rPr>
            </w:pPr>
          </w:p>
        </w:tc>
        <w:tc>
          <w:tcPr>
            <w:tcW w:w="0" w:type="auto"/>
            <w:shd w:val="clear" w:color="auto" w:fill="auto"/>
          </w:tcPr>
          <w:p w14:paraId="20AE1C11" w14:textId="77777777" w:rsidR="00B626E7" w:rsidRDefault="00B626E7">
            <w:pPr>
              <w:rPr>
                <w:rFonts w:ascii="宋体"/>
              </w:rPr>
            </w:pPr>
          </w:p>
        </w:tc>
        <w:tc>
          <w:tcPr>
            <w:tcW w:w="0" w:type="auto"/>
            <w:shd w:val="clear" w:color="auto" w:fill="auto"/>
          </w:tcPr>
          <w:p w14:paraId="20AE1C12" w14:textId="77777777" w:rsidR="00B626E7" w:rsidRDefault="00B626E7">
            <w:pPr>
              <w:rPr>
                <w:rFonts w:ascii="宋体"/>
              </w:rPr>
            </w:pPr>
          </w:p>
        </w:tc>
      </w:tr>
      <w:tr w:rsidR="00B626E7" w14:paraId="20AE1C31" w14:textId="77777777">
        <w:trPr>
          <w:hidden/>
        </w:trPr>
        <w:tc>
          <w:tcPr>
            <w:tcW w:w="0" w:type="auto"/>
            <w:gridSpan w:val="3"/>
            <w:shd w:val="clear" w:color="auto" w:fill="auto"/>
          </w:tcPr>
          <w:p w14:paraId="20AE1C14" w14:textId="77777777" w:rsidR="00B626E7" w:rsidRDefault="00B626E7">
            <w:pPr>
              <w:rPr>
                <w:rFonts w:ascii="宋体"/>
                <w:vanish/>
              </w:rPr>
            </w:pPr>
          </w:p>
        </w:tc>
        <w:tc>
          <w:tcPr>
            <w:tcW w:w="0" w:type="auto"/>
            <w:gridSpan w:val="3"/>
            <w:shd w:val="clear" w:color="auto" w:fill="auto"/>
          </w:tcPr>
          <w:p w14:paraId="20AE1C15" w14:textId="77777777" w:rsidR="00B626E7" w:rsidRDefault="00B626E7">
            <w:pPr>
              <w:rPr>
                <w:rFonts w:ascii="宋体"/>
                <w:vanish/>
              </w:rPr>
            </w:pPr>
          </w:p>
        </w:tc>
        <w:tc>
          <w:tcPr>
            <w:tcW w:w="0" w:type="auto"/>
            <w:gridSpan w:val="3"/>
            <w:shd w:val="clear" w:color="auto" w:fill="auto"/>
          </w:tcPr>
          <w:p w14:paraId="20AE1C16" w14:textId="77777777" w:rsidR="00B626E7" w:rsidRDefault="00B626E7">
            <w:pPr>
              <w:rPr>
                <w:rFonts w:ascii="宋体"/>
                <w:vanish/>
              </w:rPr>
            </w:pPr>
          </w:p>
        </w:tc>
        <w:tc>
          <w:tcPr>
            <w:tcW w:w="0" w:type="auto"/>
            <w:gridSpan w:val="3"/>
            <w:shd w:val="clear" w:color="auto" w:fill="auto"/>
          </w:tcPr>
          <w:p w14:paraId="20AE1C17" w14:textId="77777777" w:rsidR="00B626E7" w:rsidRDefault="00B626E7">
            <w:pPr>
              <w:rPr>
                <w:rFonts w:ascii="宋体"/>
                <w:vanish/>
              </w:rPr>
            </w:pPr>
          </w:p>
        </w:tc>
        <w:tc>
          <w:tcPr>
            <w:tcW w:w="0" w:type="auto"/>
            <w:gridSpan w:val="3"/>
            <w:shd w:val="clear" w:color="auto" w:fill="auto"/>
          </w:tcPr>
          <w:p w14:paraId="20AE1C18" w14:textId="77777777" w:rsidR="00B626E7" w:rsidRDefault="00B626E7">
            <w:pPr>
              <w:rPr>
                <w:rFonts w:ascii="宋体"/>
                <w:vanish/>
              </w:rPr>
            </w:pPr>
          </w:p>
        </w:tc>
        <w:tc>
          <w:tcPr>
            <w:tcW w:w="0" w:type="auto"/>
            <w:gridSpan w:val="3"/>
            <w:shd w:val="clear" w:color="auto" w:fill="auto"/>
          </w:tcPr>
          <w:p w14:paraId="20AE1C19" w14:textId="77777777" w:rsidR="00B626E7" w:rsidRDefault="00B626E7">
            <w:pPr>
              <w:rPr>
                <w:rFonts w:ascii="宋体"/>
                <w:vanish/>
              </w:rPr>
            </w:pPr>
          </w:p>
        </w:tc>
        <w:tc>
          <w:tcPr>
            <w:tcW w:w="0" w:type="auto"/>
            <w:gridSpan w:val="3"/>
            <w:shd w:val="clear" w:color="auto" w:fill="auto"/>
          </w:tcPr>
          <w:p w14:paraId="20AE1C1A" w14:textId="77777777" w:rsidR="00B626E7" w:rsidRDefault="00B626E7">
            <w:pPr>
              <w:rPr>
                <w:rFonts w:ascii="宋体"/>
                <w:vanish/>
              </w:rPr>
            </w:pPr>
          </w:p>
        </w:tc>
        <w:tc>
          <w:tcPr>
            <w:tcW w:w="0" w:type="auto"/>
            <w:gridSpan w:val="3"/>
            <w:shd w:val="clear" w:color="auto" w:fill="auto"/>
          </w:tcPr>
          <w:p w14:paraId="20AE1C1B" w14:textId="77777777" w:rsidR="00B626E7" w:rsidRDefault="00B626E7">
            <w:pPr>
              <w:rPr>
                <w:rFonts w:ascii="宋体"/>
                <w:vanish/>
              </w:rPr>
            </w:pPr>
          </w:p>
        </w:tc>
        <w:tc>
          <w:tcPr>
            <w:tcW w:w="0" w:type="auto"/>
            <w:gridSpan w:val="3"/>
            <w:shd w:val="clear" w:color="auto" w:fill="auto"/>
          </w:tcPr>
          <w:p w14:paraId="20AE1C1C" w14:textId="77777777" w:rsidR="00B626E7" w:rsidRDefault="00B626E7">
            <w:pPr>
              <w:rPr>
                <w:rFonts w:ascii="宋体"/>
                <w:vanish/>
              </w:rPr>
            </w:pPr>
          </w:p>
        </w:tc>
        <w:tc>
          <w:tcPr>
            <w:tcW w:w="0" w:type="auto"/>
            <w:gridSpan w:val="3"/>
            <w:shd w:val="clear" w:color="auto" w:fill="auto"/>
          </w:tcPr>
          <w:p w14:paraId="20AE1C1D" w14:textId="77777777" w:rsidR="00B626E7" w:rsidRDefault="00B626E7">
            <w:pPr>
              <w:rPr>
                <w:rFonts w:ascii="宋体"/>
                <w:vanish/>
              </w:rPr>
            </w:pPr>
          </w:p>
        </w:tc>
        <w:tc>
          <w:tcPr>
            <w:tcW w:w="0" w:type="auto"/>
            <w:gridSpan w:val="3"/>
            <w:shd w:val="clear" w:color="auto" w:fill="auto"/>
          </w:tcPr>
          <w:p w14:paraId="20AE1C1E" w14:textId="77777777" w:rsidR="00B626E7" w:rsidRDefault="00B626E7">
            <w:pPr>
              <w:rPr>
                <w:rFonts w:ascii="宋体"/>
                <w:vanish/>
              </w:rPr>
            </w:pPr>
          </w:p>
        </w:tc>
        <w:tc>
          <w:tcPr>
            <w:tcW w:w="0" w:type="auto"/>
            <w:gridSpan w:val="3"/>
            <w:shd w:val="clear" w:color="auto" w:fill="auto"/>
          </w:tcPr>
          <w:p w14:paraId="20AE1C1F" w14:textId="77777777" w:rsidR="00B626E7" w:rsidRDefault="00B626E7">
            <w:pPr>
              <w:rPr>
                <w:rFonts w:ascii="宋体"/>
                <w:vanish/>
              </w:rPr>
            </w:pPr>
          </w:p>
        </w:tc>
        <w:tc>
          <w:tcPr>
            <w:tcW w:w="0" w:type="auto"/>
            <w:gridSpan w:val="3"/>
            <w:shd w:val="clear" w:color="auto" w:fill="auto"/>
          </w:tcPr>
          <w:p w14:paraId="20AE1C20" w14:textId="77777777" w:rsidR="00B626E7" w:rsidRDefault="00B626E7">
            <w:pPr>
              <w:rPr>
                <w:rFonts w:ascii="宋体"/>
                <w:vanish/>
              </w:rPr>
            </w:pPr>
          </w:p>
        </w:tc>
        <w:tc>
          <w:tcPr>
            <w:tcW w:w="0" w:type="auto"/>
            <w:gridSpan w:val="3"/>
            <w:shd w:val="clear" w:color="auto" w:fill="auto"/>
          </w:tcPr>
          <w:p w14:paraId="20AE1C21" w14:textId="77777777" w:rsidR="00B626E7" w:rsidRDefault="00B626E7">
            <w:pPr>
              <w:rPr>
                <w:rFonts w:ascii="宋体"/>
                <w:vanish/>
              </w:rPr>
            </w:pPr>
          </w:p>
        </w:tc>
        <w:tc>
          <w:tcPr>
            <w:tcW w:w="0" w:type="auto"/>
            <w:gridSpan w:val="3"/>
            <w:shd w:val="clear" w:color="auto" w:fill="auto"/>
          </w:tcPr>
          <w:p w14:paraId="20AE1C22" w14:textId="77777777" w:rsidR="00B626E7" w:rsidRDefault="00B626E7">
            <w:pPr>
              <w:rPr>
                <w:rFonts w:ascii="宋体"/>
                <w:vanish/>
              </w:rPr>
            </w:pPr>
          </w:p>
        </w:tc>
        <w:tc>
          <w:tcPr>
            <w:tcW w:w="0" w:type="auto"/>
            <w:gridSpan w:val="3"/>
            <w:shd w:val="clear" w:color="auto" w:fill="auto"/>
          </w:tcPr>
          <w:p w14:paraId="20AE1C23" w14:textId="77777777" w:rsidR="00B626E7" w:rsidRDefault="00B626E7">
            <w:pPr>
              <w:rPr>
                <w:rFonts w:ascii="宋体"/>
                <w:vanish/>
              </w:rPr>
            </w:pPr>
          </w:p>
        </w:tc>
        <w:tc>
          <w:tcPr>
            <w:tcW w:w="0" w:type="auto"/>
            <w:gridSpan w:val="3"/>
            <w:shd w:val="clear" w:color="auto" w:fill="auto"/>
          </w:tcPr>
          <w:p w14:paraId="20AE1C24" w14:textId="77777777" w:rsidR="00B626E7" w:rsidRDefault="00B626E7">
            <w:pPr>
              <w:rPr>
                <w:rFonts w:ascii="宋体"/>
                <w:vanish/>
              </w:rPr>
            </w:pPr>
          </w:p>
        </w:tc>
        <w:tc>
          <w:tcPr>
            <w:tcW w:w="0" w:type="auto"/>
            <w:shd w:val="clear" w:color="auto" w:fill="auto"/>
          </w:tcPr>
          <w:p w14:paraId="20AE1C25" w14:textId="77777777" w:rsidR="00B626E7" w:rsidRDefault="00B626E7">
            <w:pPr>
              <w:rPr>
                <w:rFonts w:ascii="宋体"/>
              </w:rPr>
            </w:pPr>
          </w:p>
        </w:tc>
        <w:tc>
          <w:tcPr>
            <w:tcW w:w="0" w:type="auto"/>
            <w:shd w:val="clear" w:color="auto" w:fill="auto"/>
          </w:tcPr>
          <w:p w14:paraId="20AE1C26" w14:textId="77777777" w:rsidR="00B626E7" w:rsidRDefault="00B626E7">
            <w:pPr>
              <w:rPr>
                <w:rFonts w:ascii="宋体"/>
              </w:rPr>
            </w:pPr>
          </w:p>
        </w:tc>
        <w:tc>
          <w:tcPr>
            <w:tcW w:w="0" w:type="auto"/>
            <w:shd w:val="clear" w:color="auto" w:fill="auto"/>
          </w:tcPr>
          <w:p w14:paraId="20AE1C27" w14:textId="77777777" w:rsidR="00B626E7" w:rsidRDefault="00B626E7">
            <w:pPr>
              <w:rPr>
                <w:rFonts w:ascii="宋体"/>
              </w:rPr>
            </w:pPr>
          </w:p>
        </w:tc>
        <w:tc>
          <w:tcPr>
            <w:tcW w:w="0" w:type="auto"/>
            <w:shd w:val="clear" w:color="auto" w:fill="auto"/>
          </w:tcPr>
          <w:p w14:paraId="20AE1C28" w14:textId="77777777" w:rsidR="00B626E7" w:rsidRDefault="00B626E7">
            <w:pPr>
              <w:rPr>
                <w:rFonts w:ascii="宋体"/>
              </w:rPr>
            </w:pPr>
          </w:p>
        </w:tc>
        <w:tc>
          <w:tcPr>
            <w:tcW w:w="0" w:type="auto"/>
            <w:shd w:val="clear" w:color="auto" w:fill="auto"/>
          </w:tcPr>
          <w:p w14:paraId="20AE1C29" w14:textId="77777777" w:rsidR="00B626E7" w:rsidRDefault="00B626E7">
            <w:pPr>
              <w:rPr>
                <w:rFonts w:ascii="宋体"/>
              </w:rPr>
            </w:pPr>
          </w:p>
        </w:tc>
        <w:tc>
          <w:tcPr>
            <w:tcW w:w="0" w:type="auto"/>
            <w:shd w:val="clear" w:color="auto" w:fill="auto"/>
          </w:tcPr>
          <w:p w14:paraId="20AE1C2A" w14:textId="77777777" w:rsidR="00B626E7" w:rsidRDefault="00B626E7">
            <w:pPr>
              <w:rPr>
                <w:rFonts w:ascii="宋体"/>
              </w:rPr>
            </w:pPr>
          </w:p>
        </w:tc>
        <w:tc>
          <w:tcPr>
            <w:tcW w:w="0" w:type="auto"/>
            <w:shd w:val="clear" w:color="auto" w:fill="auto"/>
          </w:tcPr>
          <w:p w14:paraId="20AE1C2B" w14:textId="77777777" w:rsidR="00B626E7" w:rsidRDefault="00B626E7">
            <w:pPr>
              <w:rPr>
                <w:rFonts w:ascii="宋体"/>
              </w:rPr>
            </w:pPr>
          </w:p>
        </w:tc>
        <w:tc>
          <w:tcPr>
            <w:tcW w:w="0" w:type="auto"/>
            <w:shd w:val="clear" w:color="auto" w:fill="auto"/>
          </w:tcPr>
          <w:p w14:paraId="20AE1C2C" w14:textId="77777777" w:rsidR="00B626E7" w:rsidRDefault="00B626E7">
            <w:pPr>
              <w:rPr>
                <w:rFonts w:ascii="宋体"/>
              </w:rPr>
            </w:pPr>
          </w:p>
        </w:tc>
        <w:tc>
          <w:tcPr>
            <w:tcW w:w="0" w:type="auto"/>
            <w:shd w:val="clear" w:color="auto" w:fill="auto"/>
          </w:tcPr>
          <w:p w14:paraId="20AE1C2D" w14:textId="77777777" w:rsidR="00B626E7" w:rsidRDefault="00B626E7">
            <w:pPr>
              <w:rPr>
                <w:rFonts w:ascii="宋体"/>
              </w:rPr>
            </w:pPr>
          </w:p>
        </w:tc>
        <w:tc>
          <w:tcPr>
            <w:tcW w:w="0" w:type="auto"/>
            <w:shd w:val="clear" w:color="auto" w:fill="auto"/>
          </w:tcPr>
          <w:p w14:paraId="20AE1C2E" w14:textId="77777777" w:rsidR="00B626E7" w:rsidRDefault="00B626E7">
            <w:pPr>
              <w:rPr>
                <w:rFonts w:ascii="宋体"/>
              </w:rPr>
            </w:pPr>
          </w:p>
        </w:tc>
        <w:tc>
          <w:tcPr>
            <w:tcW w:w="0" w:type="auto"/>
            <w:shd w:val="clear" w:color="auto" w:fill="auto"/>
          </w:tcPr>
          <w:p w14:paraId="20AE1C2F" w14:textId="77777777" w:rsidR="00B626E7" w:rsidRDefault="00B626E7">
            <w:pPr>
              <w:rPr>
                <w:rFonts w:ascii="宋体"/>
              </w:rPr>
            </w:pPr>
          </w:p>
        </w:tc>
        <w:tc>
          <w:tcPr>
            <w:tcW w:w="0" w:type="auto"/>
            <w:shd w:val="clear" w:color="auto" w:fill="auto"/>
          </w:tcPr>
          <w:p w14:paraId="20AE1C30" w14:textId="77777777" w:rsidR="00B626E7" w:rsidRDefault="00B626E7">
            <w:pPr>
              <w:rPr>
                <w:rFonts w:ascii="宋体"/>
              </w:rPr>
            </w:pPr>
          </w:p>
        </w:tc>
      </w:tr>
      <w:tr w:rsidR="00B626E7" w14:paraId="20AE1C4F" w14:textId="77777777">
        <w:tc>
          <w:tcPr>
            <w:tcW w:w="0" w:type="auto"/>
            <w:gridSpan w:val="3"/>
            <w:shd w:val="clear" w:color="auto" w:fill="auto"/>
            <w:tcMar>
              <w:top w:w="40" w:type="dxa"/>
              <w:left w:w="20" w:type="dxa"/>
              <w:bottom w:w="40" w:type="dxa"/>
              <w:right w:w="20" w:type="dxa"/>
            </w:tcMar>
          </w:tcPr>
          <w:p w14:paraId="20AE1C32" w14:textId="77777777" w:rsidR="00B626E7" w:rsidRDefault="00175C1D">
            <w:pPr>
              <w:textAlignment w:val="top"/>
            </w:pPr>
            <w:r>
              <w:rPr>
                <w:rFonts w:ascii="Arial" w:eastAsia="宋体" w:hAnsi="Arial" w:cs="Arial"/>
                <w:color w:val="333333"/>
                <w:sz w:val="18"/>
                <w:szCs w:val="18"/>
              </w:rPr>
              <w:t>Other long-term liabilities:</w:t>
            </w:r>
          </w:p>
        </w:tc>
        <w:tc>
          <w:tcPr>
            <w:tcW w:w="0" w:type="auto"/>
            <w:gridSpan w:val="3"/>
            <w:shd w:val="clear" w:color="auto" w:fill="auto"/>
            <w:tcMar>
              <w:left w:w="20" w:type="dxa"/>
              <w:right w:w="20" w:type="dxa"/>
            </w:tcMar>
            <w:vAlign w:val="bottom"/>
          </w:tcPr>
          <w:p w14:paraId="20AE1C33"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C34"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C35"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C36"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C37"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C38"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C39"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C3A"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C3B"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C3C"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C3D"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C3E"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C3F"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C40"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C41"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C42" w14:textId="77777777" w:rsidR="00B626E7" w:rsidRDefault="00B626E7">
            <w:pPr>
              <w:rPr>
                <w:rFonts w:ascii="宋体"/>
              </w:rPr>
            </w:pPr>
          </w:p>
        </w:tc>
        <w:tc>
          <w:tcPr>
            <w:tcW w:w="0" w:type="auto"/>
            <w:shd w:val="clear" w:color="auto" w:fill="auto"/>
          </w:tcPr>
          <w:p w14:paraId="20AE1C43" w14:textId="77777777" w:rsidR="00B626E7" w:rsidRDefault="00B626E7">
            <w:pPr>
              <w:rPr>
                <w:rFonts w:ascii="宋体"/>
              </w:rPr>
            </w:pPr>
          </w:p>
        </w:tc>
        <w:tc>
          <w:tcPr>
            <w:tcW w:w="0" w:type="auto"/>
            <w:shd w:val="clear" w:color="auto" w:fill="auto"/>
          </w:tcPr>
          <w:p w14:paraId="20AE1C44" w14:textId="77777777" w:rsidR="00B626E7" w:rsidRDefault="00B626E7">
            <w:pPr>
              <w:rPr>
                <w:rFonts w:ascii="宋体"/>
              </w:rPr>
            </w:pPr>
          </w:p>
        </w:tc>
        <w:tc>
          <w:tcPr>
            <w:tcW w:w="0" w:type="auto"/>
            <w:shd w:val="clear" w:color="auto" w:fill="auto"/>
          </w:tcPr>
          <w:p w14:paraId="20AE1C45" w14:textId="77777777" w:rsidR="00B626E7" w:rsidRDefault="00B626E7">
            <w:pPr>
              <w:rPr>
                <w:rFonts w:ascii="宋体"/>
              </w:rPr>
            </w:pPr>
          </w:p>
        </w:tc>
        <w:tc>
          <w:tcPr>
            <w:tcW w:w="0" w:type="auto"/>
            <w:shd w:val="clear" w:color="auto" w:fill="auto"/>
          </w:tcPr>
          <w:p w14:paraId="20AE1C46" w14:textId="77777777" w:rsidR="00B626E7" w:rsidRDefault="00B626E7">
            <w:pPr>
              <w:rPr>
                <w:rFonts w:ascii="宋体"/>
              </w:rPr>
            </w:pPr>
          </w:p>
        </w:tc>
        <w:tc>
          <w:tcPr>
            <w:tcW w:w="0" w:type="auto"/>
            <w:shd w:val="clear" w:color="auto" w:fill="auto"/>
          </w:tcPr>
          <w:p w14:paraId="20AE1C47" w14:textId="77777777" w:rsidR="00B626E7" w:rsidRDefault="00B626E7">
            <w:pPr>
              <w:rPr>
                <w:rFonts w:ascii="宋体"/>
              </w:rPr>
            </w:pPr>
          </w:p>
        </w:tc>
        <w:tc>
          <w:tcPr>
            <w:tcW w:w="0" w:type="auto"/>
            <w:shd w:val="clear" w:color="auto" w:fill="auto"/>
          </w:tcPr>
          <w:p w14:paraId="20AE1C48" w14:textId="77777777" w:rsidR="00B626E7" w:rsidRDefault="00B626E7">
            <w:pPr>
              <w:rPr>
                <w:rFonts w:ascii="宋体"/>
              </w:rPr>
            </w:pPr>
          </w:p>
        </w:tc>
        <w:tc>
          <w:tcPr>
            <w:tcW w:w="0" w:type="auto"/>
            <w:shd w:val="clear" w:color="auto" w:fill="auto"/>
          </w:tcPr>
          <w:p w14:paraId="20AE1C49" w14:textId="77777777" w:rsidR="00B626E7" w:rsidRDefault="00B626E7">
            <w:pPr>
              <w:rPr>
                <w:rFonts w:ascii="宋体"/>
              </w:rPr>
            </w:pPr>
          </w:p>
        </w:tc>
        <w:tc>
          <w:tcPr>
            <w:tcW w:w="0" w:type="auto"/>
            <w:shd w:val="clear" w:color="auto" w:fill="auto"/>
          </w:tcPr>
          <w:p w14:paraId="20AE1C4A" w14:textId="77777777" w:rsidR="00B626E7" w:rsidRDefault="00B626E7">
            <w:pPr>
              <w:rPr>
                <w:rFonts w:ascii="宋体"/>
              </w:rPr>
            </w:pPr>
          </w:p>
        </w:tc>
        <w:tc>
          <w:tcPr>
            <w:tcW w:w="0" w:type="auto"/>
            <w:shd w:val="clear" w:color="auto" w:fill="auto"/>
          </w:tcPr>
          <w:p w14:paraId="20AE1C4B" w14:textId="77777777" w:rsidR="00B626E7" w:rsidRDefault="00B626E7">
            <w:pPr>
              <w:rPr>
                <w:rFonts w:ascii="宋体"/>
              </w:rPr>
            </w:pPr>
          </w:p>
        </w:tc>
        <w:tc>
          <w:tcPr>
            <w:tcW w:w="0" w:type="auto"/>
            <w:shd w:val="clear" w:color="auto" w:fill="auto"/>
          </w:tcPr>
          <w:p w14:paraId="20AE1C4C" w14:textId="77777777" w:rsidR="00B626E7" w:rsidRDefault="00B626E7">
            <w:pPr>
              <w:rPr>
                <w:rFonts w:ascii="宋体"/>
              </w:rPr>
            </w:pPr>
          </w:p>
        </w:tc>
        <w:tc>
          <w:tcPr>
            <w:tcW w:w="0" w:type="auto"/>
            <w:shd w:val="clear" w:color="auto" w:fill="auto"/>
          </w:tcPr>
          <w:p w14:paraId="20AE1C4D" w14:textId="77777777" w:rsidR="00B626E7" w:rsidRDefault="00B626E7">
            <w:pPr>
              <w:rPr>
                <w:rFonts w:ascii="宋体"/>
              </w:rPr>
            </w:pPr>
          </w:p>
        </w:tc>
        <w:tc>
          <w:tcPr>
            <w:tcW w:w="0" w:type="auto"/>
            <w:shd w:val="clear" w:color="auto" w:fill="auto"/>
          </w:tcPr>
          <w:p w14:paraId="20AE1C4E" w14:textId="77777777" w:rsidR="00B626E7" w:rsidRDefault="00B626E7">
            <w:pPr>
              <w:rPr>
                <w:rFonts w:ascii="宋体"/>
              </w:rPr>
            </w:pPr>
          </w:p>
        </w:tc>
      </w:tr>
      <w:tr w:rsidR="00B626E7" w14:paraId="20AE1C75" w14:textId="77777777">
        <w:tc>
          <w:tcPr>
            <w:tcW w:w="0" w:type="auto"/>
            <w:gridSpan w:val="3"/>
            <w:shd w:val="clear" w:color="auto" w:fill="auto"/>
            <w:tcMar>
              <w:top w:w="40" w:type="dxa"/>
              <w:left w:w="135" w:type="dxa"/>
              <w:bottom w:w="40" w:type="dxa"/>
              <w:right w:w="20" w:type="dxa"/>
            </w:tcMar>
          </w:tcPr>
          <w:p w14:paraId="20AE1C50" w14:textId="77777777" w:rsidR="00B626E7" w:rsidRDefault="00175C1D">
            <w:pPr>
              <w:textAlignment w:val="top"/>
            </w:pPr>
            <w:r>
              <w:rPr>
                <w:rFonts w:ascii="Arial" w:eastAsia="宋体" w:hAnsi="Arial" w:cs="Arial"/>
                <w:color w:val="333333"/>
                <w:sz w:val="18"/>
                <w:szCs w:val="18"/>
              </w:rPr>
              <w:t>Derivative liabilities</w:t>
            </w:r>
          </w:p>
        </w:tc>
        <w:tc>
          <w:tcPr>
            <w:tcW w:w="0" w:type="auto"/>
            <w:gridSpan w:val="3"/>
            <w:shd w:val="clear" w:color="auto" w:fill="auto"/>
            <w:tcMar>
              <w:left w:w="20" w:type="dxa"/>
              <w:right w:w="20" w:type="dxa"/>
            </w:tcMar>
            <w:vAlign w:val="bottom"/>
          </w:tcPr>
          <w:p w14:paraId="20AE1C51"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C52" w14:textId="77777777" w:rsidR="00B626E7" w:rsidRDefault="00175C1D">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20AE1C53"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C54"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C55" w14:textId="77777777" w:rsidR="00B626E7" w:rsidRDefault="00175C1D">
            <w:pPr>
              <w:jc w:val="right"/>
              <w:textAlignment w:val="bottom"/>
            </w:pPr>
            <w:r>
              <w:rPr>
                <w:rFonts w:ascii="Arial" w:eastAsia="宋体" w:hAnsi="Arial" w:cs="Arial"/>
                <w:color w:val="026DCE"/>
                <w:sz w:val="18"/>
                <w:szCs w:val="18"/>
              </w:rPr>
              <w:t>22 </w:t>
            </w:r>
          </w:p>
        </w:tc>
        <w:tc>
          <w:tcPr>
            <w:tcW w:w="0" w:type="auto"/>
            <w:shd w:val="clear" w:color="auto" w:fill="auto"/>
            <w:tcMar>
              <w:top w:w="40" w:type="dxa"/>
              <w:bottom w:w="40" w:type="dxa"/>
              <w:right w:w="20" w:type="dxa"/>
            </w:tcMar>
            <w:vAlign w:val="bottom"/>
          </w:tcPr>
          <w:p w14:paraId="20AE1C56"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C57"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C58" w14:textId="77777777" w:rsidR="00B626E7" w:rsidRDefault="00175C1D">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20AE1C59"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C5A"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C5B" w14:textId="77777777" w:rsidR="00B626E7" w:rsidRDefault="00175C1D">
            <w:pPr>
              <w:jc w:val="right"/>
              <w:textAlignment w:val="bottom"/>
            </w:pPr>
            <w:r>
              <w:rPr>
                <w:rFonts w:ascii="Arial" w:eastAsia="宋体" w:hAnsi="Arial" w:cs="Arial"/>
                <w:color w:val="026DCE"/>
                <w:sz w:val="18"/>
                <w:szCs w:val="18"/>
              </w:rPr>
              <w:t>22 </w:t>
            </w:r>
          </w:p>
        </w:tc>
        <w:tc>
          <w:tcPr>
            <w:tcW w:w="0" w:type="auto"/>
            <w:shd w:val="clear" w:color="auto" w:fill="auto"/>
            <w:tcMar>
              <w:top w:w="40" w:type="dxa"/>
              <w:bottom w:w="40" w:type="dxa"/>
              <w:right w:w="20" w:type="dxa"/>
            </w:tcMar>
            <w:vAlign w:val="bottom"/>
          </w:tcPr>
          <w:p w14:paraId="20AE1C5C"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C5D"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C5E"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1C5F"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C60"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C61" w14:textId="77777777" w:rsidR="00B626E7" w:rsidRDefault="00175C1D">
            <w:pPr>
              <w:jc w:val="right"/>
              <w:textAlignment w:val="bottom"/>
            </w:pPr>
            <w:r>
              <w:rPr>
                <w:rFonts w:ascii="Arial" w:eastAsia="宋体" w:hAnsi="Arial" w:cs="Arial"/>
                <w:color w:val="333333"/>
                <w:sz w:val="18"/>
                <w:szCs w:val="18"/>
              </w:rPr>
              <w:t>13 </w:t>
            </w:r>
          </w:p>
        </w:tc>
        <w:tc>
          <w:tcPr>
            <w:tcW w:w="0" w:type="auto"/>
            <w:shd w:val="clear" w:color="auto" w:fill="auto"/>
            <w:tcMar>
              <w:top w:w="40" w:type="dxa"/>
              <w:bottom w:w="40" w:type="dxa"/>
              <w:right w:w="20" w:type="dxa"/>
            </w:tcMar>
            <w:vAlign w:val="bottom"/>
          </w:tcPr>
          <w:p w14:paraId="20AE1C62"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C63"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C64"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1C65"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C66"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C67" w14:textId="77777777" w:rsidR="00B626E7" w:rsidRDefault="00175C1D">
            <w:pPr>
              <w:jc w:val="right"/>
              <w:textAlignment w:val="bottom"/>
            </w:pPr>
            <w:r>
              <w:rPr>
                <w:rFonts w:ascii="Arial" w:eastAsia="宋体" w:hAnsi="Arial" w:cs="Arial"/>
                <w:color w:val="333333"/>
                <w:sz w:val="18"/>
                <w:szCs w:val="18"/>
              </w:rPr>
              <w:t>13 </w:t>
            </w:r>
          </w:p>
        </w:tc>
        <w:tc>
          <w:tcPr>
            <w:tcW w:w="0" w:type="auto"/>
            <w:shd w:val="clear" w:color="auto" w:fill="auto"/>
            <w:tcMar>
              <w:top w:w="40" w:type="dxa"/>
              <w:bottom w:w="40" w:type="dxa"/>
              <w:right w:w="20" w:type="dxa"/>
            </w:tcMar>
            <w:vAlign w:val="bottom"/>
          </w:tcPr>
          <w:p w14:paraId="20AE1C68"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C69" w14:textId="77777777" w:rsidR="00B626E7" w:rsidRDefault="00B626E7">
            <w:pPr>
              <w:rPr>
                <w:rFonts w:ascii="宋体"/>
              </w:rPr>
            </w:pPr>
          </w:p>
        </w:tc>
        <w:tc>
          <w:tcPr>
            <w:tcW w:w="0" w:type="auto"/>
            <w:shd w:val="clear" w:color="auto" w:fill="auto"/>
          </w:tcPr>
          <w:p w14:paraId="20AE1C6A" w14:textId="77777777" w:rsidR="00B626E7" w:rsidRDefault="00B626E7">
            <w:pPr>
              <w:rPr>
                <w:rFonts w:ascii="宋体"/>
              </w:rPr>
            </w:pPr>
          </w:p>
        </w:tc>
        <w:tc>
          <w:tcPr>
            <w:tcW w:w="0" w:type="auto"/>
            <w:shd w:val="clear" w:color="auto" w:fill="auto"/>
          </w:tcPr>
          <w:p w14:paraId="20AE1C6B" w14:textId="77777777" w:rsidR="00B626E7" w:rsidRDefault="00B626E7">
            <w:pPr>
              <w:rPr>
                <w:rFonts w:ascii="宋体"/>
              </w:rPr>
            </w:pPr>
          </w:p>
        </w:tc>
        <w:tc>
          <w:tcPr>
            <w:tcW w:w="0" w:type="auto"/>
            <w:shd w:val="clear" w:color="auto" w:fill="auto"/>
          </w:tcPr>
          <w:p w14:paraId="20AE1C6C" w14:textId="77777777" w:rsidR="00B626E7" w:rsidRDefault="00B626E7">
            <w:pPr>
              <w:rPr>
                <w:rFonts w:ascii="宋体"/>
              </w:rPr>
            </w:pPr>
          </w:p>
        </w:tc>
        <w:tc>
          <w:tcPr>
            <w:tcW w:w="0" w:type="auto"/>
            <w:shd w:val="clear" w:color="auto" w:fill="auto"/>
          </w:tcPr>
          <w:p w14:paraId="20AE1C6D" w14:textId="77777777" w:rsidR="00B626E7" w:rsidRDefault="00B626E7">
            <w:pPr>
              <w:rPr>
                <w:rFonts w:ascii="宋体"/>
              </w:rPr>
            </w:pPr>
          </w:p>
        </w:tc>
        <w:tc>
          <w:tcPr>
            <w:tcW w:w="0" w:type="auto"/>
            <w:shd w:val="clear" w:color="auto" w:fill="auto"/>
          </w:tcPr>
          <w:p w14:paraId="20AE1C6E" w14:textId="77777777" w:rsidR="00B626E7" w:rsidRDefault="00B626E7">
            <w:pPr>
              <w:rPr>
                <w:rFonts w:ascii="宋体"/>
              </w:rPr>
            </w:pPr>
          </w:p>
        </w:tc>
        <w:tc>
          <w:tcPr>
            <w:tcW w:w="0" w:type="auto"/>
            <w:shd w:val="clear" w:color="auto" w:fill="auto"/>
          </w:tcPr>
          <w:p w14:paraId="20AE1C6F" w14:textId="77777777" w:rsidR="00B626E7" w:rsidRDefault="00B626E7">
            <w:pPr>
              <w:rPr>
                <w:rFonts w:ascii="宋体"/>
              </w:rPr>
            </w:pPr>
          </w:p>
        </w:tc>
        <w:tc>
          <w:tcPr>
            <w:tcW w:w="0" w:type="auto"/>
            <w:shd w:val="clear" w:color="auto" w:fill="auto"/>
          </w:tcPr>
          <w:p w14:paraId="20AE1C70" w14:textId="77777777" w:rsidR="00B626E7" w:rsidRDefault="00B626E7">
            <w:pPr>
              <w:rPr>
                <w:rFonts w:ascii="宋体"/>
              </w:rPr>
            </w:pPr>
          </w:p>
        </w:tc>
        <w:tc>
          <w:tcPr>
            <w:tcW w:w="0" w:type="auto"/>
            <w:shd w:val="clear" w:color="auto" w:fill="auto"/>
          </w:tcPr>
          <w:p w14:paraId="20AE1C71" w14:textId="77777777" w:rsidR="00B626E7" w:rsidRDefault="00B626E7">
            <w:pPr>
              <w:rPr>
                <w:rFonts w:ascii="宋体"/>
              </w:rPr>
            </w:pPr>
          </w:p>
        </w:tc>
        <w:tc>
          <w:tcPr>
            <w:tcW w:w="0" w:type="auto"/>
            <w:shd w:val="clear" w:color="auto" w:fill="auto"/>
          </w:tcPr>
          <w:p w14:paraId="20AE1C72" w14:textId="77777777" w:rsidR="00B626E7" w:rsidRDefault="00B626E7">
            <w:pPr>
              <w:rPr>
                <w:rFonts w:ascii="宋体"/>
              </w:rPr>
            </w:pPr>
          </w:p>
        </w:tc>
        <w:tc>
          <w:tcPr>
            <w:tcW w:w="0" w:type="auto"/>
            <w:shd w:val="clear" w:color="auto" w:fill="auto"/>
          </w:tcPr>
          <w:p w14:paraId="20AE1C73" w14:textId="77777777" w:rsidR="00B626E7" w:rsidRDefault="00B626E7">
            <w:pPr>
              <w:rPr>
                <w:rFonts w:ascii="宋体"/>
              </w:rPr>
            </w:pPr>
          </w:p>
        </w:tc>
        <w:tc>
          <w:tcPr>
            <w:tcW w:w="0" w:type="auto"/>
            <w:shd w:val="clear" w:color="auto" w:fill="auto"/>
          </w:tcPr>
          <w:p w14:paraId="20AE1C74" w14:textId="77777777" w:rsidR="00B626E7" w:rsidRDefault="00B626E7">
            <w:pPr>
              <w:rPr>
                <w:rFonts w:ascii="宋体"/>
              </w:rPr>
            </w:pPr>
          </w:p>
        </w:tc>
      </w:tr>
      <w:tr w:rsidR="00B626E7" w14:paraId="20AE1CA3" w14:textId="77777777">
        <w:tc>
          <w:tcPr>
            <w:tcW w:w="0" w:type="auto"/>
            <w:gridSpan w:val="3"/>
            <w:shd w:val="clear" w:color="auto" w:fill="auto"/>
            <w:tcMar>
              <w:top w:w="40" w:type="dxa"/>
              <w:left w:w="20" w:type="dxa"/>
              <w:bottom w:w="40" w:type="dxa"/>
              <w:right w:w="20" w:type="dxa"/>
            </w:tcMar>
          </w:tcPr>
          <w:p w14:paraId="20AE1C76" w14:textId="77777777" w:rsidR="00B626E7" w:rsidRDefault="00175C1D">
            <w:pPr>
              <w:textAlignment w:val="top"/>
            </w:pPr>
            <w:r>
              <w:rPr>
                <w:rFonts w:ascii="Arial" w:eastAsia="宋体" w:hAnsi="Arial" w:cs="Arial"/>
                <w:b/>
                <w:bCs/>
                <w:color w:val="333333"/>
                <w:sz w:val="18"/>
                <w:szCs w:val="18"/>
              </w:rPr>
              <w:t>Total liabilities measured and recorded at fair value</w:t>
            </w:r>
          </w:p>
        </w:tc>
        <w:tc>
          <w:tcPr>
            <w:tcW w:w="0" w:type="auto"/>
            <w:gridSpan w:val="3"/>
            <w:shd w:val="clear" w:color="auto" w:fill="auto"/>
            <w:tcMar>
              <w:left w:w="20" w:type="dxa"/>
              <w:right w:w="20" w:type="dxa"/>
            </w:tcMar>
            <w:vAlign w:val="bottom"/>
          </w:tcPr>
          <w:p w14:paraId="20AE1C77"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1C78" w14:textId="77777777" w:rsidR="00B626E7" w:rsidRDefault="00175C1D">
            <w:pPr>
              <w:textAlignment w:val="bottom"/>
            </w:pPr>
            <w:r>
              <w:rPr>
                <w:rFonts w:ascii="Arial" w:eastAsia="宋体" w:hAnsi="Arial" w:cs="Arial"/>
                <w:b/>
                <w:bCs/>
                <w:color w:val="026DCE"/>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1C79" w14:textId="77777777" w:rsidR="00B626E7" w:rsidRDefault="00175C1D">
            <w:pPr>
              <w:jc w:val="right"/>
              <w:textAlignment w:val="bottom"/>
            </w:pPr>
            <w:r>
              <w:rPr>
                <w:rFonts w:ascii="Arial" w:eastAsia="宋体" w:hAnsi="Arial" w:cs="Arial"/>
                <w:b/>
                <w:bCs/>
                <w:color w:val="026DCE"/>
                <w:sz w:val="18"/>
                <w:szCs w:val="18"/>
              </w:rPr>
              <w:t>48 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1C7A"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1C7B"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1C7C" w14:textId="77777777" w:rsidR="00B626E7" w:rsidRDefault="00175C1D">
            <w:pPr>
              <w:textAlignment w:val="bottom"/>
            </w:pPr>
            <w:r>
              <w:rPr>
                <w:rFonts w:ascii="Arial" w:eastAsia="宋体" w:hAnsi="Arial" w:cs="Arial"/>
                <w:b/>
                <w:bCs/>
                <w:color w:val="026DCE"/>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1C7D" w14:textId="77777777" w:rsidR="00B626E7" w:rsidRDefault="00175C1D">
            <w:pPr>
              <w:jc w:val="right"/>
              <w:textAlignment w:val="bottom"/>
            </w:pPr>
            <w:r>
              <w:rPr>
                <w:rFonts w:ascii="Arial" w:eastAsia="宋体" w:hAnsi="Arial" w:cs="Arial"/>
                <w:b/>
                <w:bCs/>
                <w:color w:val="026DCE"/>
                <w:sz w:val="18"/>
                <w:szCs w:val="18"/>
              </w:rPr>
              <w:t>454 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1C7E"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1C7F"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1C80" w14:textId="77777777" w:rsidR="00B626E7" w:rsidRDefault="00175C1D">
            <w:pPr>
              <w:textAlignment w:val="bottom"/>
            </w:pPr>
            <w:r>
              <w:rPr>
                <w:rFonts w:ascii="Arial" w:eastAsia="宋体" w:hAnsi="Arial" w:cs="Arial"/>
                <w:b/>
                <w:bCs/>
                <w:color w:val="026DCE"/>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1C81" w14:textId="77777777" w:rsidR="00B626E7" w:rsidRDefault="00175C1D">
            <w:pPr>
              <w:jc w:val="right"/>
              <w:textAlignment w:val="bottom"/>
            </w:pPr>
            <w:r>
              <w:rPr>
                <w:rFonts w:ascii="Arial" w:eastAsia="宋体" w:hAnsi="Arial" w:cs="Arial"/>
                <w:b/>
                <w:bCs/>
                <w:color w:val="026DCE"/>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1C82"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1C83"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1C84" w14:textId="77777777" w:rsidR="00B626E7" w:rsidRDefault="00175C1D">
            <w:pPr>
              <w:textAlignment w:val="bottom"/>
            </w:pPr>
            <w:r>
              <w:rPr>
                <w:rFonts w:ascii="Arial" w:eastAsia="宋体" w:hAnsi="Arial" w:cs="Arial"/>
                <w:b/>
                <w:bCs/>
                <w:color w:val="026DCE"/>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1C85" w14:textId="77777777" w:rsidR="00B626E7" w:rsidRDefault="00175C1D">
            <w:pPr>
              <w:jc w:val="right"/>
              <w:textAlignment w:val="bottom"/>
            </w:pPr>
            <w:r>
              <w:rPr>
                <w:rFonts w:ascii="Arial" w:eastAsia="宋体" w:hAnsi="Arial" w:cs="Arial"/>
                <w:b/>
                <w:bCs/>
                <w:color w:val="026DCE"/>
                <w:sz w:val="18"/>
                <w:szCs w:val="18"/>
              </w:rPr>
              <w:t>502 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1C86"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1C87"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1C88"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1C89" w14:textId="77777777" w:rsidR="00B626E7" w:rsidRDefault="00175C1D">
            <w:pPr>
              <w:jc w:val="right"/>
              <w:textAlignment w:val="bottom"/>
            </w:pPr>
            <w:r>
              <w:rPr>
                <w:rFonts w:ascii="Arial" w:eastAsia="宋体" w:hAnsi="Arial" w:cs="Arial"/>
                <w:b/>
                <w:bCs/>
                <w:color w:val="333333"/>
                <w:sz w:val="18"/>
                <w:szCs w:val="18"/>
              </w:rPr>
              <w:t>3 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1C8A"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1C8B"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1C8C"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1C8D" w14:textId="77777777" w:rsidR="00B626E7" w:rsidRDefault="00175C1D">
            <w:pPr>
              <w:jc w:val="right"/>
              <w:textAlignment w:val="bottom"/>
            </w:pPr>
            <w:r>
              <w:rPr>
                <w:rFonts w:ascii="Arial" w:eastAsia="宋体" w:hAnsi="Arial" w:cs="Arial"/>
                <w:b/>
                <w:bCs/>
                <w:color w:val="333333"/>
                <w:sz w:val="18"/>
                <w:szCs w:val="18"/>
              </w:rPr>
              <w:t>300 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1C8E"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1C8F"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1C90"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1C91" w14:textId="77777777" w:rsidR="00B626E7" w:rsidRDefault="00175C1D">
            <w:pPr>
              <w:jc w:val="right"/>
              <w:textAlignment w:val="bottom"/>
            </w:pPr>
            <w:r>
              <w:rPr>
                <w:rFonts w:ascii="Arial" w:eastAsia="宋体" w:hAnsi="Arial" w:cs="Arial"/>
                <w:b/>
                <w:bCs/>
                <w:color w:val="333333"/>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1C92"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1C93"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1C94"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1C95" w14:textId="77777777" w:rsidR="00B626E7" w:rsidRDefault="00175C1D">
            <w:pPr>
              <w:jc w:val="right"/>
              <w:textAlignment w:val="bottom"/>
            </w:pPr>
            <w:r>
              <w:rPr>
                <w:rFonts w:ascii="Arial" w:eastAsia="宋体" w:hAnsi="Arial" w:cs="Arial"/>
                <w:b/>
                <w:bCs/>
                <w:color w:val="333333"/>
                <w:sz w:val="18"/>
                <w:szCs w:val="18"/>
              </w:rPr>
              <w:t>303 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1C96"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E1C97" w14:textId="77777777" w:rsidR="00B626E7" w:rsidRDefault="00B626E7">
            <w:pPr>
              <w:rPr>
                <w:rFonts w:ascii="宋体"/>
              </w:rPr>
            </w:pPr>
          </w:p>
        </w:tc>
        <w:tc>
          <w:tcPr>
            <w:tcW w:w="0" w:type="auto"/>
            <w:shd w:val="clear" w:color="auto" w:fill="auto"/>
          </w:tcPr>
          <w:p w14:paraId="20AE1C98" w14:textId="77777777" w:rsidR="00B626E7" w:rsidRDefault="00B626E7">
            <w:pPr>
              <w:rPr>
                <w:rFonts w:ascii="宋体"/>
              </w:rPr>
            </w:pPr>
          </w:p>
        </w:tc>
        <w:tc>
          <w:tcPr>
            <w:tcW w:w="0" w:type="auto"/>
            <w:shd w:val="clear" w:color="auto" w:fill="auto"/>
          </w:tcPr>
          <w:p w14:paraId="20AE1C99" w14:textId="77777777" w:rsidR="00B626E7" w:rsidRDefault="00B626E7">
            <w:pPr>
              <w:rPr>
                <w:rFonts w:ascii="宋体"/>
              </w:rPr>
            </w:pPr>
          </w:p>
        </w:tc>
        <w:tc>
          <w:tcPr>
            <w:tcW w:w="0" w:type="auto"/>
            <w:shd w:val="clear" w:color="auto" w:fill="auto"/>
          </w:tcPr>
          <w:p w14:paraId="20AE1C9A" w14:textId="77777777" w:rsidR="00B626E7" w:rsidRDefault="00B626E7">
            <w:pPr>
              <w:rPr>
                <w:rFonts w:ascii="宋体"/>
              </w:rPr>
            </w:pPr>
          </w:p>
        </w:tc>
        <w:tc>
          <w:tcPr>
            <w:tcW w:w="0" w:type="auto"/>
            <w:shd w:val="clear" w:color="auto" w:fill="auto"/>
          </w:tcPr>
          <w:p w14:paraId="20AE1C9B" w14:textId="77777777" w:rsidR="00B626E7" w:rsidRDefault="00B626E7">
            <w:pPr>
              <w:rPr>
                <w:rFonts w:ascii="宋体"/>
              </w:rPr>
            </w:pPr>
          </w:p>
        </w:tc>
        <w:tc>
          <w:tcPr>
            <w:tcW w:w="0" w:type="auto"/>
            <w:shd w:val="clear" w:color="auto" w:fill="auto"/>
          </w:tcPr>
          <w:p w14:paraId="20AE1C9C" w14:textId="77777777" w:rsidR="00B626E7" w:rsidRDefault="00B626E7">
            <w:pPr>
              <w:rPr>
                <w:rFonts w:ascii="宋体"/>
              </w:rPr>
            </w:pPr>
          </w:p>
        </w:tc>
        <w:tc>
          <w:tcPr>
            <w:tcW w:w="0" w:type="auto"/>
            <w:shd w:val="clear" w:color="auto" w:fill="auto"/>
          </w:tcPr>
          <w:p w14:paraId="20AE1C9D" w14:textId="77777777" w:rsidR="00B626E7" w:rsidRDefault="00B626E7">
            <w:pPr>
              <w:rPr>
                <w:rFonts w:ascii="宋体"/>
              </w:rPr>
            </w:pPr>
          </w:p>
        </w:tc>
        <w:tc>
          <w:tcPr>
            <w:tcW w:w="0" w:type="auto"/>
            <w:shd w:val="clear" w:color="auto" w:fill="auto"/>
          </w:tcPr>
          <w:p w14:paraId="20AE1C9E" w14:textId="77777777" w:rsidR="00B626E7" w:rsidRDefault="00B626E7">
            <w:pPr>
              <w:rPr>
                <w:rFonts w:ascii="宋体"/>
              </w:rPr>
            </w:pPr>
          </w:p>
        </w:tc>
        <w:tc>
          <w:tcPr>
            <w:tcW w:w="0" w:type="auto"/>
            <w:shd w:val="clear" w:color="auto" w:fill="auto"/>
          </w:tcPr>
          <w:p w14:paraId="20AE1C9F" w14:textId="77777777" w:rsidR="00B626E7" w:rsidRDefault="00B626E7">
            <w:pPr>
              <w:rPr>
                <w:rFonts w:ascii="宋体"/>
              </w:rPr>
            </w:pPr>
          </w:p>
        </w:tc>
        <w:tc>
          <w:tcPr>
            <w:tcW w:w="0" w:type="auto"/>
            <w:shd w:val="clear" w:color="auto" w:fill="auto"/>
          </w:tcPr>
          <w:p w14:paraId="20AE1CA0" w14:textId="77777777" w:rsidR="00B626E7" w:rsidRDefault="00B626E7">
            <w:pPr>
              <w:rPr>
                <w:rFonts w:ascii="宋体"/>
              </w:rPr>
            </w:pPr>
          </w:p>
        </w:tc>
        <w:tc>
          <w:tcPr>
            <w:tcW w:w="0" w:type="auto"/>
            <w:shd w:val="clear" w:color="auto" w:fill="auto"/>
          </w:tcPr>
          <w:p w14:paraId="20AE1CA1" w14:textId="77777777" w:rsidR="00B626E7" w:rsidRDefault="00B626E7">
            <w:pPr>
              <w:rPr>
                <w:rFonts w:ascii="宋体"/>
              </w:rPr>
            </w:pPr>
          </w:p>
        </w:tc>
        <w:tc>
          <w:tcPr>
            <w:tcW w:w="0" w:type="auto"/>
            <w:shd w:val="clear" w:color="auto" w:fill="auto"/>
          </w:tcPr>
          <w:p w14:paraId="20AE1CA2" w14:textId="77777777" w:rsidR="00B626E7" w:rsidRDefault="00B626E7">
            <w:pPr>
              <w:rPr>
                <w:rFonts w:ascii="宋体"/>
              </w:rPr>
            </w:pPr>
          </w:p>
        </w:tc>
      </w:tr>
    </w:tbl>
    <w:p w14:paraId="20AE1CA4" w14:textId="77777777" w:rsidR="00B626E7" w:rsidRDefault="00175C1D">
      <w:pPr>
        <w:ind w:hanging="180"/>
      </w:pPr>
      <w:r>
        <w:rPr>
          <w:rFonts w:ascii="Arial" w:eastAsia="宋体" w:hAnsi="Arial" w:cs="Arial"/>
          <w:i/>
          <w:iCs/>
          <w:color w:val="333333"/>
          <w:sz w:val="10"/>
          <w:szCs w:val="10"/>
        </w:rPr>
        <w:t>1</w:t>
      </w:r>
      <w:r>
        <w:rPr>
          <w:rFonts w:ascii="Arial" w:eastAsia="宋体" w:hAnsi="Arial" w:cs="Arial"/>
          <w:i/>
          <w:iCs/>
          <w:color w:val="333333"/>
          <w:sz w:val="16"/>
          <w:szCs w:val="16"/>
        </w:rPr>
        <w:t>Level 1 investment</w:t>
      </w:r>
      <w:r>
        <w:rPr>
          <w:rFonts w:ascii="Arial" w:eastAsia="宋体" w:hAnsi="Arial" w:cs="Arial"/>
          <w:i/>
          <w:iCs/>
          <w:color w:val="333333"/>
          <w:sz w:val="16"/>
          <w:szCs w:val="16"/>
        </w:rPr>
        <w:t>s consist of money market funds. Level 2 investments consist primarily of commercial paper, certificates of deposit, time deposits, and notes and bonds issued by financial institutions.</w:t>
      </w:r>
    </w:p>
    <w:p w14:paraId="20AE1CA5" w14:textId="77777777" w:rsidR="00B626E7" w:rsidRDefault="00175C1D">
      <w:pPr>
        <w:ind w:hanging="180"/>
      </w:pPr>
      <w:r>
        <w:rPr>
          <w:rFonts w:ascii="Arial" w:eastAsia="宋体" w:hAnsi="Arial" w:cs="Arial"/>
          <w:i/>
          <w:iCs/>
          <w:color w:val="333333"/>
          <w:sz w:val="10"/>
          <w:szCs w:val="10"/>
        </w:rPr>
        <w:t>2</w:t>
      </w:r>
      <w:r>
        <w:rPr>
          <w:rFonts w:ascii="Arial" w:eastAsia="宋体" w:hAnsi="Arial" w:cs="Arial"/>
          <w:i/>
          <w:iCs/>
          <w:color w:val="333333"/>
          <w:sz w:val="16"/>
          <w:szCs w:val="16"/>
        </w:rPr>
        <w:t>Level 2 investments consist primarily of U.S. agency notes and non-U.</w:t>
      </w:r>
      <w:r>
        <w:rPr>
          <w:rFonts w:ascii="Arial" w:eastAsia="宋体" w:hAnsi="Arial" w:cs="Arial"/>
          <w:i/>
          <w:iCs/>
          <w:color w:val="333333"/>
          <w:sz w:val="16"/>
          <w:szCs w:val="16"/>
        </w:rPr>
        <w:t>S. government debt.</w:t>
      </w:r>
    </w:p>
    <w:p w14:paraId="20AE1CA6" w14:textId="77777777" w:rsidR="00B626E7" w:rsidRDefault="00175C1D">
      <w:pPr>
        <w:spacing w:after="180"/>
        <w:ind w:hanging="180"/>
      </w:pPr>
      <w:r>
        <w:rPr>
          <w:rFonts w:ascii="Arial" w:eastAsia="宋体" w:hAnsi="Arial" w:cs="Arial"/>
          <w:i/>
          <w:iCs/>
          <w:color w:val="333333"/>
          <w:sz w:val="10"/>
          <w:szCs w:val="10"/>
        </w:rPr>
        <w:t>3</w:t>
      </w:r>
      <w:r>
        <w:rPr>
          <w:rFonts w:ascii="Arial" w:eastAsia="宋体" w:hAnsi="Arial" w:cs="Arial"/>
          <w:i/>
          <w:iCs/>
          <w:color w:val="333333"/>
          <w:sz w:val="16"/>
          <w:szCs w:val="16"/>
        </w:rPr>
        <w:t>The fair value of our loans receivable for which we elected the fair value option did not significantly differ from the contractual principal balance based on the contractual currency.</w:t>
      </w:r>
    </w:p>
    <w:p w14:paraId="20AE1CA7" w14:textId="77777777" w:rsidR="00B626E7" w:rsidRDefault="00B626E7">
      <w:pPr>
        <w:spacing w:after="180"/>
      </w:pPr>
    </w:p>
    <w:p w14:paraId="20AE1CA8" w14:textId="77777777" w:rsidR="00B626E7" w:rsidRDefault="00B626E7">
      <w:pPr>
        <w:spacing w:after="180"/>
      </w:pPr>
    </w:p>
    <w:p w14:paraId="20AE1CA9" w14:textId="77777777" w:rsidR="00B626E7" w:rsidRDefault="00B626E7">
      <w:pPr>
        <w:spacing w:after="180"/>
      </w:pPr>
    </w:p>
    <w:p w14:paraId="20AE1CAA" w14:textId="77777777" w:rsidR="00B626E7" w:rsidRDefault="00B626E7">
      <w:pPr>
        <w:spacing w:after="180"/>
      </w:pPr>
    </w:p>
    <w:p w14:paraId="20AE1CAB" w14:textId="77777777" w:rsidR="00B626E7" w:rsidRDefault="00B626E7">
      <w:pPr>
        <w:spacing w:after="180"/>
      </w:pPr>
    </w:p>
    <w:p w14:paraId="20AE1CAC" w14:textId="77777777" w:rsidR="00B626E7" w:rsidRDefault="00B626E7">
      <w:pPr>
        <w:spacing w:after="180"/>
      </w:pPr>
    </w:p>
    <w:p w14:paraId="20AE1CAD" w14:textId="77777777" w:rsidR="00B626E7" w:rsidRDefault="00B626E7">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4"/>
        <w:gridCol w:w="2423"/>
        <w:gridCol w:w="84"/>
        <w:gridCol w:w="83"/>
        <w:gridCol w:w="3471"/>
        <w:gridCol w:w="83"/>
        <w:gridCol w:w="83"/>
        <w:gridCol w:w="1942"/>
        <w:gridCol w:w="83"/>
      </w:tblGrid>
      <w:tr w:rsidR="00B626E7" w14:paraId="20AE1CB7" w14:textId="77777777">
        <w:tc>
          <w:tcPr>
            <w:tcW w:w="50" w:type="pct"/>
            <w:shd w:val="clear" w:color="auto" w:fill="auto"/>
            <w:vAlign w:val="bottom"/>
          </w:tcPr>
          <w:p w14:paraId="20AE1CAE" w14:textId="77777777" w:rsidR="00B626E7" w:rsidRDefault="00B626E7">
            <w:pPr>
              <w:rPr>
                <w:rFonts w:ascii="宋体"/>
              </w:rPr>
            </w:pPr>
          </w:p>
        </w:tc>
        <w:tc>
          <w:tcPr>
            <w:tcW w:w="1452" w:type="pct"/>
            <w:shd w:val="clear" w:color="auto" w:fill="auto"/>
            <w:vAlign w:val="bottom"/>
          </w:tcPr>
          <w:p w14:paraId="20AE1CAF" w14:textId="77777777" w:rsidR="00B626E7" w:rsidRDefault="00B626E7">
            <w:pPr>
              <w:rPr>
                <w:rFonts w:ascii="宋体"/>
              </w:rPr>
            </w:pPr>
          </w:p>
        </w:tc>
        <w:tc>
          <w:tcPr>
            <w:tcW w:w="50" w:type="pct"/>
            <w:shd w:val="clear" w:color="auto" w:fill="auto"/>
            <w:vAlign w:val="bottom"/>
          </w:tcPr>
          <w:p w14:paraId="20AE1CB0" w14:textId="77777777" w:rsidR="00B626E7" w:rsidRDefault="00B626E7">
            <w:pPr>
              <w:rPr>
                <w:rFonts w:ascii="宋体"/>
              </w:rPr>
            </w:pPr>
          </w:p>
        </w:tc>
        <w:tc>
          <w:tcPr>
            <w:tcW w:w="50" w:type="pct"/>
            <w:shd w:val="clear" w:color="auto" w:fill="auto"/>
            <w:vAlign w:val="bottom"/>
          </w:tcPr>
          <w:p w14:paraId="20AE1CB1" w14:textId="77777777" w:rsidR="00B626E7" w:rsidRDefault="00B626E7">
            <w:pPr>
              <w:rPr>
                <w:rFonts w:ascii="宋体"/>
              </w:rPr>
            </w:pPr>
          </w:p>
        </w:tc>
        <w:tc>
          <w:tcPr>
            <w:tcW w:w="2081" w:type="pct"/>
            <w:shd w:val="clear" w:color="auto" w:fill="auto"/>
            <w:vAlign w:val="bottom"/>
          </w:tcPr>
          <w:p w14:paraId="20AE1CB2" w14:textId="77777777" w:rsidR="00B626E7" w:rsidRDefault="00B626E7">
            <w:pPr>
              <w:rPr>
                <w:rFonts w:ascii="宋体"/>
              </w:rPr>
            </w:pPr>
          </w:p>
        </w:tc>
        <w:tc>
          <w:tcPr>
            <w:tcW w:w="50" w:type="pct"/>
            <w:shd w:val="clear" w:color="auto" w:fill="auto"/>
            <w:vAlign w:val="bottom"/>
          </w:tcPr>
          <w:p w14:paraId="20AE1CB3" w14:textId="77777777" w:rsidR="00B626E7" w:rsidRDefault="00B626E7">
            <w:pPr>
              <w:rPr>
                <w:rFonts w:ascii="宋体"/>
              </w:rPr>
            </w:pPr>
          </w:p>
        </w:tc>
        <w:tc>
          <w:tcPr>
            <w:tcW w:w="50" w:type="pct"/>
            <w:shd w:val="clear" w:color="auto" w:fill="auto"/>
            <w:vAlign w:val="bottom"/>
          </w:tcPr>
          <w:p w14:paraId="20AE1CB4" w14:textId="77777777" w:rsidR="00B626E7" w:rsidRDefault="00B626E7">
            <w:pPr>
              <w:rPr>
                <w:rFonts w:ascii="宋体"/>
              </w:rPr>
            </w:pPr>
          </w:p>
        </w:tc>
        <w:tc>
          <w:tcPr>
            <w:tcW w:w="1165" w:type="pct"/>
            <w:shd w:val="clear" w:color="auto" w:fill="auto"/>
            <w:vAlign w:val="bottom"/>
          </w:tcPr>
          <w:p w14:paraId="20AE1CB5" w14:textId="77777777" w:rsidR="00B626E7" w:rsidRDefault="00B626E7">
            <w:pPr>
              <w:rPr>
                <w:rFonts w:ascii="宋体"/>
              </w:rPr>
            </w:pPr>
          </w:p>
        </w:tc>
        <w:tc>
          <w:tcPr>
            <w:tcW w:w="50" w:type="pct"/>
            <w:shd w:val="clear" w:color="auto" w:fill="auto"/>
            <w:vAlign w:val="bottom"/>
          </w:tcPr>
          <w:p w14:paraId="20AE1CB6" w14:textId="77777777" w:rsidR="00B626E7" w:rsidRDefault="00B626E7">
            <w:pPr>
              <w:rPr>
                <w:rFonts w:ascii="宋体"/>
              </w:rPr>
            </w:pPr>
          </w:p>
        </w:tc>
      </w:tr>
      <w:tr w:rsidR="00B626E7" w14:paraId="20AE1CBB" w14:textId="77777777">
        <w:tc>
          <w:tcPr>
            <w:tcW w:w="0" w:type="auto"/>
            <w:gridSpan w:val="3"/>
            <w:tcBorders>
              <w:top w:val="single" w:sz="8" w:space="0" w:color="0071C5"/>
            </w:tcBorders>
            <w:shd w:val="clear" w:color="auto" w:fill="auto"/>
            <w:tcMar>
              <w:top w:w="40" w:type="dxa"/>
              <w:left w:w="20" w:type="dxa"/>
              <w:bottom w:w="40" w:type="dxa"/>
              <w:right w:w="20" w:type="dxa"/>
            </w:tcMar>
            <w:vAlign w:val="center"/>
          </w:tcPr>
          <w:p w14:paraId="20AE1CB8" w14:textId="77777777" w:rsidR="00B626E7" w:rsidRDefault="00175C1D">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Viewer10_files/intc-20200627_g15.jpg"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50" wp14:editId="20AE3C51">
                  <wp:extent cx="304800" cy="304800"/>
                  <wp:effectExtent l="0" t="0" r="0" b="0"/>
                  <wp:docPr id="44" name="图片 77"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77" descr="IMG_28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Arial" w:eastAsia="宋体" w:hAnsi="Arial" w:cs="Arial"/>
                <w:color w:val="333333"/>
                <w:sz w:val="16"/>
                <w:szCs w:val="16"/>
              </w:rPr>
              <w:t>FINANCIAL STATEMENTS</w:t>
            </w:r>
          </w:p>
        </w:tc>
        <w:tc>
          <w:tcPr>
            <w:tcW w:w="0" w:type="auto"/>
            <w:gridSpan w:val="3"/>
            <w:tcBorders>
              <w:top w:val="single" w:sz="8" w:space="0" w:color="0071C5"/>
              <w:left w:val="single" w:sz="24" w:space="0" w:color="0071C5"/>
            </w:tcBorders>
            <w:shd w:val="clear" w:color="auto" w:fill="auto"/>
            <w:tcMar>
              <w:top w:w="40" w:type="dxa"/>
              <w:left w:w="20" w:type="dxa"/>
              <w:bottom w:w="40" w:type="dxa"/>
              <w:right w:w="20" w:type="dxa"/>
            </w:tcMar>
            <w:vAlign w:val="bottom"/>
          </w:tcPr>
          <w:p w14:paraId="20AE1CB9" w14:textId="77777777" w:rsidR="00B626E7" w:rsidRDefault="00175C1D">
            <w:pPr>
              <w:textAlignment w:val="bottom"/>
            </w:pPr>
            <w:r>
              <w:rPr>
                <w:rFonts w:ascii="Arial" w:eastAsia="宋体" w:hAnsi="Arial" w:cs="Arial"/>
                <w:color w:val="333333"/>
                <w:sz w:val="16"/>
                <w:szCs w:val="16"/>
              </w:rPr>
              <w:t>  Notes to Financial Statements</w:t>
            </w: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1CBA" w14:textId="77777777" w:rsidR="00B626E7" w:rsidRDefault="00175C1D">
            <w:pPr>
              <w:jc w:val="right"/>
              <w:textAlignment w:val="bottom"/>
            </w:pPr>
            <w:r>
              <w:rPr>
                <w:rFonts w:ascii="Arial" w:eastAsia="宋体" w:hAnsi="Arial" w:cs="Arial"/>
                <w:color w:val="333333"/>
                <w:sz w:val="16"/>
                <w:szCs w:val="16"/>
              </w:rPr>
              <w:t>19</w:t>
            </w:r>
          </w:p>
        </w:tc>
      </w:tr>
    </w:tbl>
    <w:p w14:paraId="20AE1CBC" w14:textId="77777777" w:rsidR="00B626E7" w:rsidRDefault="00175C1D">
      <w:r>
        <w:pict w14:anchorId="20AE3C52">
          <v:rect id="_x0000_i1045" style="width:415.3pt;height:1.5pt" o:hralign="center" o:hrstd="t" o:hr="t" fillcolor="#a0a0a0" stroked="f"/>
        </w:pict>
      </w:r>
    </w:p>
    <w:p w14:paraId="20AE1CBD" w14:textId="77777777" w:rsidR="00B626E7" w:rsidRDefault="00175C1D">
      <w:pPr>
        <w:spacing w:after="180"/>
        <w:jc w:val="right"/>
      </w:pPr>
      <w:hyperlink r:id="rId46" w:anchor="ib035cc8759904e51927d703ec8414366_7" w:history="1">
        <w:r>
          <w:rPr>
            <w:rStyle w:val="a5"/>
            <w:rFonts w:ascii="Arial" w:eastAsia="宋体" w:hAnsi="Arial" w:cs="Arial"/>
            <w:b/>
            <w:bCs/>
            <w:sz w:val="16"/>
            <w:szCs w:val="16"/>
          </w:rPr>
          <w:t>Table of Contents</w:t>
        </w:r>
      </w:hyperlink>
    </w:p>
    <w:p w14:paraId="20AE1CBE" w14:textId="77777777" w:rsidR="00B626E7" w:rsidRDefault="00B626E7">
      <w:pPr>
        <w:spacing w:after="180"/>
        <w:jc w:val="right"/>
      </w:pPr>
    </w:p>
    <w:p w14:paraId="20AE1CBF" w14:textId="77777777" w:rsidR="00B626E7" w:rsidRDefault="00175C1D">
      <w:pPr>
        <w:spacing w:after="180"/>
      </w:pPr>
      <w:r>
        <w:rPr>
          <w:rFonts w:ascii="Arial" w:eastAsia="宋体" w:hAnsi="Arial" w:cs="Arial"/>
          <w:b/>
          <w:bCs/>
          <w:color w:val="0071C5"/>
        </w:rPr>
        <w:t>ASSETS MEASURED AND RECORDED AT FAIR VALUE ON A NON-RECURRING BASIS</w:t>
      </w:r>
    </w:p>
    <w:p w14:paraId="20AE1CC0" w14:textId="77777777" w:rsidR="00B626E7" w:rsidRDefault="00175C1D">
      <w:pPr>
        <w:spacing w:after="180"/>
      </w:pPr>
      <w:r>
        <w:rPr>
          <w:rFonts w:ascii="Arial" w:eastAsia="宋体" w:hAnsi="Arial" w:cs="Arial"/>
          <w:color w:val="333333"/>
          <w:sz w:val="18"/>
          <w:szCs w:val="18"/>
        </w:rPr>
        <w:t>Our non-marketab</w:t>
      </w:r>
      <w:r>
        <w:rPr>
          <w:rFonts w:ascii="Arial" w:eastAsia="宋体" w:hAnsi="Arial" w:cs="Arial"/>
          <w:color w:val="333333"/>
          <w:sz w:val="18"/>
          <w:szCs w:val="18"/>
        </w:rPr>
        <w:t>le equity securities, equity method investments, and certain non-financial assets, such as intangible assets and property, plant and equipment, are recorded at fair value only if an impairment or observable price adjustment is recognized in the current per</w:t>
      </w:r>
      <w:r>
        <w:rPr>
          <w:rFonts w:ascii="Arial" w:eastAsia="宋体" w:hAnsi="Arial" w:cs="Arial"/>
          <w:color w:val="333333"/>
          <w:sz w:val="18"/>
          <w:szCs w:val="18"/>
        </w:rPr>
        <w:t xml:space="preserve">iod. If an observable price adjustment or impairment is recognized on our non-marketable equity securities during the period, we classify these assets as Level 3 within the fair value hierarchy based on the nature of the fair value inputs. </w:t>
      </w:r>
    </w:p>
    <w:p w14:paraId="20AE1CC1" w14:textId="77777777" w:rsidR="00B626E7" w:rsidRDefault="00175C1D">
      <w:pPr>
        <w:spacing w:after="180"/>
      </w:pPr>
      <w:r>
        <w:rPr>
          <w:rFonts w:ascii="Arial" w:eastAsia="宋体" w:hAnsi="Arial" w:cs="Arial"/>
          <w:b/>
          <w:bCs/>
          <w:color w:val="0071C5"/>
        </w:rPr>
        <w:t>FINANCIAL INSTR</w:t>
      </w:r>
      <w:r>
        <w:rPr>
          <w:rFonts w:ascii="Arial" w:eastAsia="宋体" w:hAnsi="Arial" w:cs="Arial"/>
          <w:b/>
          <w:bCs/>
          <w:color w:val="0071C5"/>
        </w:rPr>
        <w:t>UMENTS NOT RECORDED AT FAIR VALUE ON A RECURRING BASIS</w:t>
      </w:r>
    </w:p>
    <w:p w14:paraId="20AE1CC2" w14:textId="77777777" w:rsidR="00B626E7" w:rsidRDefault="00175C1D">
      <w:pPr>
        <w:spacing w:after="180"/>
      </w:pPr>
      <w:r>
        <w:rPr>
          <w:rFonts w:ascii="Arial" w:eastAsia="宋体" w:hAnsi="Arial" w:cs="Arial"/>
          <w:color w:val="333333"/>
          <w:sz w:val="18"/>
          <w:szCs w:val="18"/>
        </w:rPr>
        <w:t>Financial instruments not recorded at fair value on a recurring basis include non-marketable equity securities and equity method investments that have not been remeasured or impaired in the current per</w:t>
      </w:r>
      <w:r>
        <w:rPr>
          <w:rFonts w:ascii="Arial" w:eastAsia="宋体" w:hAnsi="Arial" w:cs="Arial"/>
          <w:color w:val="333333"/>
          <w:sz w:val="18"/>
          <w:szCs w:val="18"/>
        </w:rPr>
        <w:t>iod, grants receivable, loans receivable, reverse repurchase agreements with original maturities greater than three months, and issued debt.</w:t>
      </w:r>
    </w:p>
    <w:p w14:paraId="20AE1CC3" w14:textId="77777777" w:rsidR="00B626E7" w:rsidRDefault="00175C1D">
      <w:pPr>
        <w:spacing w:after="180"/>
      </w:pPr>
      <w:r>
        <w:rPr>
          <w:rFonts w:ascii="Arial" w:eastAsia="宋体" w:hAnsi="Arial" w:cs="Arial"/>
          <w:color w:val="333333"/>
          <w:sz w:val="18"/>
          <w:szCs w:val="18"/>
        </w:rPr>
        <w:t>As of June 27, 2020, the aggregate carrying value of grants receivable and reverse repurchase agreements with origi</w:t>
      </w:r>
      <w:r>
        <w:rPr>
          <w:rFonts w:ascii="Arial" w:eastAsia="宋体" w:hAnsi="Arial" w:cs="Arial"/>
          <w:color w:val="333333"/>
          <w:sz w:val="18"/>
          <w:szCs w:val="18"/>
        </w:rPr>
        <w:t xml:space="preserve">nal maturities greater than three months was $301 million ($543 million as of December 28, 2019). The estimated fair value of these financial instruments approximates their carrying value and is categorized as Level 2 within the fair value hierarchy based </w:t>
      </w:r>
      <w:r>
        <w:rPr>
          <w:rFonts w:ascii="Arial" w:eastAsia="宋体" w:hAnsi="Arial" w:cs="Arial"/>
          <w:color w:val="333333"/>
          <w:sz w:val="18"/>
          <w:szCs w:val="18"/>
        </w:rPr>
        <w:t>on the nature of the fair value inputs.</w:t>
      </w:r>
    </w:p>
    <w:p w14:paraId="20AE1CC4" w14:textId="77777777" w:rsidR="00B626E7" w:rsidRDefault="00175C1D">
      <w:pPr>
        <w:spacing w:after="180"/>
      </w:pPr>
      <w:r>
        <w:rPr>
          <w:rFonts w:ascii="Arial" w:eastAsia="宋体" w:hAnsi="Arial" w:cs="Arial"/>
          <w:color w:val="333333"/>
          <w:sz w:val="18"/>
          <w:szCs w:val="18"/>
        </w:rPr>
        <w:t>As of June 27, 2020, the fair value of our issued debt was</w:t>
      </w:r>
      <w:r>
        <w:rPr>
          <w:rFonts w:ascii="Arial" w:eastAsia="宋体" w:hAnsi="Arial" w:cs="Arial"/>
          <w:b/>
          <w:bCs/>
          <w:color w:val="333333"/>
          <w:sz w:val="18"/>
          <w:szCs w:val="18"/>
        </w:rPr>
        <w:t xml:space="preserve"> </w:t>
      </w:r>
      <w:r>
        <w:rPr>
          <w:rFonts w:ascii="Arial" w:eastAsia="宋体" w:hAnsi="Arial" w:cs="Arial"/>
          <w:color w:val="333333"/>
          <w:sz w:val="18"/>
          <w:szCs w:val="18"/>
        </w:rPr>
        <w:t>$42.5 billion</w:t>
      </w:r>
      <w:r>
        <w:rPr>
          <w:rFonts w:ascii="Arial" w:eastAsia="宋体" w:hAnsi="Arial" w:cs="Arial"/>
          <w:b/>
          <w:bCs/>
          <w:color w:val="333333"/>
          <w:sz w:val="18"/>
          <w:szCs w:val="18"/>
        </w:rPr>
        <w:t xml:space="preserve"> </w:t>
      </w:r>
      <w:r>
        <w:rPr>
          <w:rFonts w:ascii="Arial" w:eastAsia="宋体" w:hAnsi="Arial" w:cs="Arial"/>
          <w:color w:val="333333"/>
          <w:sz w:val="18"/>
          <w:szCs w:val="18"/>
        </w:rPr>
        <w:t>($30.6 billion as of December 28, 2019). These liabilities are classified as Level 2 within the fair value hierarchy based on the nature of the</w:t>
      </w:r>
      <w:r>
        <w:rPr>
          <w:rFonts w:ascii="Arial" w:eastAsia="宋体" w:hAnsi="Arial" w:cs="Arial"/>
          <w:color w:val="333333"/>
          <w:sz w:val="18"/>
          <w:szCs w:val="18"/>
        </w:rPr>
        <w:t xml:space="preserve"> fair value inputs. </w:t>
      </w:r>
    </w:p>
    <w:tbl>
      <w:tblPr>
        <w:tblW w:w="5000" w:type="pct"/>
        <w:tblCellMar>
          <w:top w:w="15" w:type="dxa"/>
          <w:left w:w="15" w:type="dxa"/>
          <w:bottom w:w="15" w:type="dxa"/>
          <w:right w:w="15" w:type="dxa"/>
        </w:tblCellMar>
        <w:tblLook w:val="04A0" w:firstRow="1" w:lastRow="0" w:firstColumn="1" w:lastColumn="0" w:noHBand="0" w:noVBand="1"/>
      </w:tblPr>
      <w:tblGrid>
        <w:gridCol w:w="84"/>
        <w:gridCol w:w="937"/>
        <w:gridCol w:w="83"/>
        <w:gridCol w:w="83"/>
        <w:gridCol w:w="7066"/>
        <w:gridCol w:w="83"/>
      </w:tblGrid>
      <w:tr w:rsidR="00B626E7" w14:paraId="20AE1CCB" w14:textId="77777777">
        <w:tc>
          <w:tcPr>
            <w:tcW w:w="50" w:type="pct"/>
            <w:shd w:val="clear" w:color="auto" w:fill="auto"/>
          </w:tcPr>
          <w:p w14:paraId="20AE1CC5" w14:textId="77777777" w:rsidR="00B626E7" w:rsidRDefault="00B626E7">
            <w:pPr>
              <w:rPr>
                <w:rFonts w:ascii="宋体"/>
              </w:rPr>
            </w:pPr>
          </w:p>
        </w:tc>
        <w:tc>
          <w:tcPr>
            <w:tcW w:w="562" w:type="pct"/>
            <w:shd w:val="clear" w:color="auto" w:fill="auto"/>
          </w:tcPr>
          <w:p w14:paraId="20AE1CC6" w14:textId="77777777" w:rsidR="00B626E7" w:rsidRDefault="00B626E7">
            <w:pPr>
              <w:rPr>
                <w:rFonts w:ascii="宋体"/>
              </w:rPr>
            </w:pPr>
          </w:p>
        </w:tc>
        <w:tc>
          <w:tcPr>
            <w:tcW w:w="50" w:type="pct"/>
            <w:shd w:val="clear" w:color="auto" w:fill="auto"/>
          </w:tcPr>
          <w:p w14:paraId="20AE1CC7" w14:textId="77777777" w:rsidR="00B626E7" w:rsidRDefault="00B626E7">
            <w:pPr>
              <w:rPr>
                <w:rFonts w:ascii="宋体"/>
              </w:rPr>
            </w:pPr>
          </w:p>
        </w:tc>
        <w:tc>
          <w:tcPr>
            <w:tcW w:w="50" w:type="pct"/>
            <w:shd w:val="clear" w:color="auto" w:fill="auto"/>
          </w:tcPr>
          <w:p w14:paraId="20AE1CC8" w14:textId="77777777" w:rsidR="00B626E7" w:rsidRDefault="00B626E7">
            <w:pPr>
              <w:rPr>
                <w:rFonts w:ascii="宋体"/>
              </w:rPr>
            </w:pPr>
          </w:p>
        </w:tc>
        <w:tc>
          <w:tcPr>
            <w:tcW w:w="4237" w:type="pct"/>
            <w:shd w:val="clear" w:color="auto" w:fill="auto"/>
          </w:tcPr>
          <w:p w14:paraId="20AE1CC9" w14:textId="77777777" w:rsidR="00B626E7" w:rsidRDefault="00B626E7">
            <w:pPr>
              <w:rPr>
                <w:rFonts w:ascii="宋体"/>
              </w:rPr>
            </w:pPr>
          </w:p>
        </w:tc>
        <w:tc>
          <w:tcPr>
            <w:tcW w:w="50" w:type="pct"/>
            <w:shd w:val="clear" w:color="auto" w:fill="auto"/>
          </w:tcPr>
          <w:p w14:paraId="20AE1CCA" w14:textId="77777777" w:rsidR="00B626E7" w:rsidRDefault="00B626E7">
            <w:pPr>
              <w:rPr>
                <w:rFonts w:ascii="宋体"/>
              </w:rPr>
            </w:pPr>
          </w:p>
        </w:tc>
      </w:tr>
      <w:tr w:rsidR="00B626E7" w14:paraId="20AE1CCE" w14:textId="77777777">
        <w:tc>
          <w:tcPr>
            <w:tcW w:w="0" w:type="auto"/>
            <w:gridSpan w:val="3"/>
            <w:tcBorders>
              <w:bottom w:val="single" w:sz="8" w:space="0" w:color="0071C5"/>
            </w:tcBorders>
            <w:shd w:val="clear" w:color="auto" w:fill="0071C5"/>
            <w:tcMar>
              <w:top w:w="40" w:type="dxa"/>
              <w:left w:w="20" w:type="dxa"/>
              <w:bottom w:w="40" w:type="dxa"/>
              <w:right w:w="20" w:type="dxa"/>
            </w:tcMar>
            <w:vAlign w:val="bottom"/>
          </w:tcPr>
          <w:p w14:paraId="20AE1CCC" w14:textId="77777777" w:rsidR="00B626E7" w:rsidRDefault="00175C1D">
            <w:pPr>
              <w:textAlignment w:val="bottom"/>
            </w:pPr>
            <w:r>
              <w:rPr>
                <w:rFonts w:ascii="Arial" w:eastAsia="宋体" w:hAnsi="Arial" w:cs="Arial"/>
                <w:b/>
                <w:bCs/>
                <w:color w:val="FFFFFF"/>
                <w:sz w:val="28"/>
                <w:szCs w:val="28"/>
              </w:rPr>
              <w:t xml:space="preserve">NOTE 11 : </w:t>
            </w:r>
          </w:p>
        </w:tc>
        <w:tc>
          <w:tcPr>
            <w:tcW w:w="0" w:type="auto"/>
            <w:gridSpan w:val="3"/>
            <w:tcBorders>
              <w:bottom w:val="single" w:sz="8" w:space="0" w:color="0071C5"/>
            </w:tcBorders>
            <w:shd w:val="clear" w:color="auto" w:fill="auto"/>
            <w:tcMar>
              <w:top w:w="40" w:type="dxa"/>
              <w:left w:w="20" w:type="dxa"/>
              <w:bottom w:w="40" w:type="dxa"/>
              <w:right w:w="20" w:type="dxa"/>
            </w:tcMar>
            <w:vAlign w:val="bottom"/>
          </w:tcPr>
          <w:p w14:paraId="20AE1CCD" w14:textId="77777777" w:rsidR="00B626E7" w:rsidRDefault="00175C1D">
            <w:pPr>
              <w:textAlignment w:val="bottom"/>
            </w:pPr>
            <w:r>
              <w:rPr>
                <w:rFonts w:ascii="Arial" w:eastAsia="宋体" w:hAnsi="Arial" w:cs="Arial"/>
                <w:b/>
                <w:bCs/>
                <w:color w:val="0071C5"/>
                <w:sz w:val="28"/>
                <w:szCs w:val="28"/>
              </w:rPr>
              <w:t>OTHER COMPREHENSIVE INCOME (LOSS)</w:t>
            </w:r>
          </w:p>
        </w:tc>
      </w:tr>
    </w:tbl>
    <w:p w14:paraId="20AE1CCF" w14:textId="77777777" w:rsidR="00B626E7" w:rsidRDefault="00175C1D">
      <w:pPr>
        <w:spacing w:before="180" w:after="120"/>
      </w:pPr>
      <w:r>
        <w:rPr>
          <w:rFonts w:ascii="Arial" w:eastAsia="宋体" w:hAnsi="Arial" w:cs="Arial"/>
          <w:color w:val="333333"/>
          <w:sz w:val="18"/>
          <w:szCs w:val="18"/>
        </w:rPr>
        <w:t>The changes in accumulated other comprehensive income (loss) by component and related tax effects in the first six months of 2020 were as follows:</w:t>
      </w:r>
    </w:p>
    <w:tbl>
      <w:tblPr>
        <w:tblW w:w="4993" w:type="pct"/>
        <w:tblCellMar>
          <w:top w:w="15" w:type="dxa"/>
          <w:left w:w="15" w:type="dxa"/>
          <w:bottom w:w="15" w:type="dxa"/>
          <w:right w:w="15" w:type="dxa"/>
        </w:tblCellMar>
        <w:tblLook w:val="04A0" w:firstRow="1" w:lastRow="0" w:firstColumn="1" w:lastColumn="0" w:noHBand="0" w:noVBand="1"/>
      </w:tblPr>
      <w:tblGrid>
        <w:gridCol w:w="40"/>
        <w:gridCol w:w="3704"/>
        <w:gridCol w:w="39"/>
        <w:gridCol w:w="36"/>
        <w:gridCol w:w="36"/>
        <w:gridCol w:w="36"/>
        <w:gridCol w:w="36"/>
        <w:gridCol w:w="36"/>
        <w:gridCol w:w="36"/>
        <w:gridCol w:w="36"/>
        <w:gridCol w:w="137"/>
        <w:gridCol w:w="820"/>
        <w:gridCol w:w="90"/>
        <w:gridCol w:w="36"/>
        <w:gridCol w:w="36"/>
        <w:gridCol w:w="36"/>
        <w:gridCol w:w="137"/>
        <w:gridCol w:w="722"/>
        <w:gridCol w:w="86"/>
        <w:gridCol w:w="36"/>
        <w:gridCol w:w="36"/>
        <w:gridCol w:w="36"/>
        <w:gridCol w:w="137"/>
        <w:gridCol w:w="926"/>
        <w:gridCol w:w="102"/>
        <w:gridCol w:w="36"/>
        <w:gridCol w:w="36"/>
        <w:gridCol w:w="36"/>
        <w:gridCol w:w="136"/>
        <w:gridCol w:w="586"/>
        <w:gridCol w:w="86"/>
      </w:tblGrid>
      <w:tr w:rsidR="00B626E7" w14:paraId="20AE1CEF" w14:textId="77777777">
        <w:tc>
          <w:tcPr>
            <w:tcW w:w="50" w:type="pct"/>
            <w:shd w:val="clear" w:color="auto" w:fill="auto"/>
          </w:tcPr>
          <w:p w14:paraId="20AE1CD0" w14:textId="77777777" w:rsidR="00B626E7" w:rsidRDefault="00B626E7">
            <w:pPr>
              <w:rPr>
                <w:rFonts w:ascii="宋体"/>
              </w:rPr>
            </w:pPr>
          </w:p>
        </w:tc>
        <w:tc>
          <w:tcPr>
            <w:tcW w:w="2547" w:type="pct"/>
            <w:shd w:val="clear" w:color="auto" w:fill="auto"/>
          </w:tcPr>
          <w:p w14:paraId="20AE1CD1" w14:textId="77777777" w:rsidR="00B626E7" w:rsidRDefault="00B626E7">
            <w:pPr>
              <w:rPr>
                <w:rFonts w:ascii="宋体"/>
              </w:rPr>
            </w:pPr>
          </w:p>
        </w:tc>
        <w:tc>
          <w:tcPr>
            <w:tcW w:w="50" w:type="pct"/>
            <w:shd w:val="clear" w:color="auto" w:fill="auto"/>
          </w:tcPr>
          <w:p w14:paraId="20AE1CD2" w14:textId="77777777" w:rsidR="00B626E7" w:rsidRDefault="00B626E7">
            <w:pPr>
              <w:rPr>
                <w:rFonts w:ascii="宋体"/>
              </w:rPr>
            </w:pPr>
          </w:p>
        </w:tc>
        <w:tc>
          <w:tcPr>
            <w:tcW w:w="0" w:type="auto"/>
            <w:shd w:val="clear" w:color="auto" w:fill="auto"/>
          </w:tcPr>
          <w:p w14:paraId="20AE1CD3" w14:textId="77777777" w:rsidR="00B626E7" w:rsidRDefault="00B626E7">
            <w:pPr>
              <w:rPr>
                <w:rFonts w:ascii="宋体"/>
                <w:vanish/>
              </w:rPr>
            </w:pPr>
          </w:p>
        </w:tc>
        <w:tc>
          <w:tcPr>
            <w:tcW w:w="0" w:type="auto"/>
            <w:shd w:val="clear" w:color="auto" w:fill="auto"/>
          </w:tcPr>
          <w:p w14:paraId="20AE1CD4" w14:textId="77777777" w:rsidR="00B626E7" w:rsidRDefault="00B626E7">
            <w:pPr>
              <w:rPr>
                <w:rFonts w:ascii="宋体"/>
                <w:vanish/>
              </w:rPr>
            </w:pPr>
          </w:p>
        </w:tc>
        <w:tc>
          <w:tcPr>
            <w:tcW w:w="0" w:type="auto"/>
            <w:shd w:val="clear" w:color="auto" w:fill="auto"/>
          </w:tcPr>
          <w:p w14:paraId="20AE1CD5" w14:textId="77777777" w:rsidR="00B626E7" w:rsidRDefault="00B626E7">
            <w:pPr>
              <w:rPr>
                <w:rFonts w:ascii="宋体"/>
                <w:vanish/>
              </w:rPr>
            </w:pPr>
          </w:p>
        </w:tc>
        <w:tc>
          <w:tcPr>
            <w:tcW w:w="0" w:type="auto"/>
            <w:shd w:val="clear" w:color="auto" w:fill="auto"/>
          </w:tcPr>
          <w:p w14:paraId="20AE1CD6" w14:textId="77777777" w:rsidR="00B626E7" w:rsidRDefault="00B626E7">
            <w:pPr>
              <w:rPr>
                <w:rFonts w:ascii="宋体"/>
                <w:vanish/>
              </w:rPr>
            </w:pPr>
          </w:p>
        </w:tc>
        <w:tc>
          <w:tcPr>
            <w:tcW w:w="5" w:type="pct"/>
            <w:shd w:val="clear" w:color="auto" w:fill="auto"/>
          </w:tcPr>
          <w:p w14:paraId="20AE1CD7" w14:textId="77777777" w:rsidR="00B626E7" w:rsidRDefault="00B626E7">
            <w:pPr>
              <w:rPr>
                <w:rFonts w:ascii="宋体"/>
              </w:rPr>
            </w:pPr>
          </w:p>
        </w:tc>
        <w:tc>
          <w:tcPr>
            <w:tcW w:w="24" w:type="pct"/>
            <w:shd w:val="clear" w:color="auto" w:fill="auto"/>
          </w:tcPr>
          <w:p w14:paraId="20AE1CD8" w14:textId="77777777" w:rsidR="00B626E7" w:rsidRDefault="00B626E7">
            <w:pPr>
              <w:rPr>
                <w:rFonts w:ascii="宋体"/>
              </w:rPr>
            </w:pPr>
          </w:p>
        </w:tc>
        <w:tc>
          <w:tcPr>
            <w:tcW w:w="5" w:type="pct"/>
            <w:shd w:val="clear" w:color="auto" w:fill="auto"/>
          </w:tcPr>
          <w:p w14:paraId="20AE1CD9" w14:textId="77777777" w:rsidR="00B626E7" w:rsidRDefault="00B626E7">
            <w:pPr>
              <w:rPr>
                <w:rFonts w:ascii="宋体"/>
              </w:rPr>
            </w:pPr>
          </w:p>
        </w:tc>
        <w:tc>
          <w:tcPr>
            <w:tcW w:w="50" w:type="pct"/>
            <w:shd w:val="clear" w:color="auto" w:fill="auto"/>
          </w:tcPr>
          <w:p w14:paraId="20AE1CDA" w14:textId="77777777" w:rsidR="00B626E7" w:rsidRDefault="00B626E7">
            <w:pPr>
              <w:rPr>
                <w:rFonts w:ascii="宋体"/>
              </w:rPr>
            </w:pPr>
          </w:p>
        </w:tc>
        <w:tc>
          <w:tcPr>
            <w:tcW w:w="454" w:type="pct"/>
            <w:shd w:val="clear" w:color="auto" w:fill="auto"/>
          </w:tcPr>
          <w:p w14:paraId="20AE1CDB" w14:textId="77777777" w:rsidR="00B626E7" w:rsidRDefault="00B626E7">
            <w:pPr>
              <w:rPr>
                <w:rFonts w:ascii="宋体"/>
              </w:rPr>
            </w:pPr>
          </w:p>
        </w:tc>
        <w:tc>
          <w:tcPr>
            <w:tcW w:w="50" w:type="pct"/>
            <w:shd w:val="clear" w:color="auto" w:fill="auto"/>
          </w:tcPr>
          <w:p w14:paraId="20AE1CDC" w14:textId="77777777" w:rsidR="00B626E7" w:rsidRDefault="00B626E7">
            <w:pPr>
              <w:rPr>
                <w:rFonts w:ascii="宋体"/>
              </w:rPr>
            </w:pPr>
          </w:p>
        </w:tc>
        <w:tc>
          <w:tcPr>
            <w:tcW w:w="5" w:type="pct"/>
            <w:shd w:val="clear" w:color="auto" w:fill="auto"/>
          </w:tcPr>
          <w:p w14:paraId="20AE1CDD" w14:textId="77777777" w:rsidR="00B626E7" w:rsidRDefault="00B626E7">
            <w:pPr>
              <w:rPr>
                <w:rFonts w:ascii="宋体"/>
              </w:rPr>
            </w:pPr>
          </w:p>
        </w:tc>
        <w:tc>
          <w:tcPr>
            <w:tcW w:w="24" w:type="pct"/>
            <w:shd w:val="clear" w:color="auto" w:fill="auto"/>
          </w:tcPr>
          <w:p w14:paraId="20AE1CDE" w14:textId="77777777" w:rsidR="00B626E7" w:rsidRDefault="00B626E7">
            <w:pPr>
              <w:rPr>
                <w:rFonts w:ascii="宋体"/>
              </w:rPr>
            </w:pPr>
          </w:p>
        </w:tc>
        <w:tc>
          <w:tcPr>
            <w:tcW w:w="5" w:type="pct"/>
            <w:shd w:val="clear" w:color="auto" w:fill="auto"/>
          </w:tcPr>
          <w:p w14:paraId="20AE1CDF" w14:textId="77777777" w:rsidR="00B626E7" w:rsidRDefault="00B626E7">
            <w:pPr>
              <w:rPr>
                <w:rFonts w:ascii="宋体"/>
              </w:rPr>
            </w:pPr>
          </w:p>
        </w:tc>
        <w:tc>
          <w:tcPr>
            <w:tcW w:w="50" w:type="pct"/>
            <w:shd w:val="clear" w:color="auto" w:fill="auto"/>
          </w:tcPr>
          <w:p w14:paraId="20AE1CE0" w14:textId="77777777" w:rsidR="00B626E7" w:rsidRDefault="00B626E7">
            <w:pPr>
              <w:rPr>
                <w:rFonts w:ascii="宋体"/>
              </w:rPr>
            </w:pPr>
          </w:p>
        </w:tc>
        <w:tc>
          <w:tcPr>
            <w:tcW w:w="454" w:type="pct"/>
            <w:shd w:val="clear" w:color="auto" w:fill="auto"/>
          </w:tcPr>
          <w:p w14:paraId="20AE1CE1" w14:textId="77777777" w:rsidR="00B626E7" w:rsidRDefault="00B626E7">
            <w:pPr>
              <w:rPr>
                <w:rFonts w:ascii="宋体"/>
              </w:rPr>
            </w:pPr>
          </w:p>
        </w:tc>
        <w:tc>
          <w:tcPr>
            <w:tcW w:w="50" w:type="pct"/>
            <w:shd w:val="clear" w:color="auto" w:fill="auto"/>
          </w:tcPr>
          <w:p w14:paraId="20AE1CE2" w14:textId="77777777" w:rsidR="00B626E7" w:rsidRDefault="00B626E7">
            <w:pPr>
              <w:rPr>
                <w:rFonts w:ascii="宋体"/>
              </w:rPr>
            </w:pPr>
          </w:p>
        </w:tc>
        <w:tc>
          <w:tcPr>
            <w:tcW w:w="5" w:type="pct"/>
            <w:shd w:val="clear" w:color="auto" w:fill="auto"/>
          </w:tcPr>
          <w:p w14:paraId="20AE1CE3" w14:textId="77777777" w:rsidR="00B626E7" w:rsidRDefault="00B626E7">
            <w:pPr>
              <w:rPr>
                <w:rFonts w:ascii="宋体"/>
              </w:rPr>
            </w:pPr>
          </w:p>
        </w:tc>
        <w:tc>
          <w:tcPr>
            <w:tcW w:w="24" w:type="pct"/>
            <w:shd w:val="clear" w:color="auto" w:fill="auto"/>
          </w:tcPr>
          <w:p w14:paraId="20AE1CE4" w14:textId="77777777" w:rsidR="00B626E7" w:rsidRDefault="00B626E7">
            <w:pPr>
              <w:rPr>
                <w:rFonts w:ascii="宋体"/>
              </w:rPr>
            </w:pPr>
          </w:p>
        </w:tc>
        <w:tc>
          <w:tcPr>
            <w:tcW w:w="5" w:type="pct"/>
            <w:shd w:val="clear" w:color="auto" w:fill="auto"/>
          </w:tcPr>
          <w:p w14:paraId="20AE1CE5" w14:textId="77777777" w:rsidR="00B626E7" w:rsidRDefault="00B626E7">
            <w:pPr>
              <w:rPr>
                <w:rFonts w:ascii="宋体"/>
              </w:rPr>
            </w:pPr>
          </w:p>
        </w:tc>
        <w:tc>
          <w:tcPr>
            <w:tcW w:w="50" w:type="pct"/>
            <w:shd w:val="clear" w:color="auto" w:fill="auto"/>
          </w:tcPr>
          <w:p w14:paraId="20AE1CE6" w14:textId="77777777" w:rsidR="00B626E7" w:rsidRDefault="00B626E7">
            <w:pPr>
              <w:rPr>
                <w:rFonts w:ascii="宋体"/>
              </w:rPr>
            </w:pPr>
          </w:p>
        </w:tc>
        <w:tc>
          <w:tcPr>
            <w:tcW w:w="454" w:type="pct"/>
            <w:shd w:val="clear" w:color="auto" w:fill="auto"/>
          </w:tcPr>
          <w:p w14:paraId="20AE1CE7" w14:textId="77777777" w:rsidR="00B626E7" w:rsidRDefault="00B626E7">
            <w:pPr>
              <w:rPr>
                <w:rFonts w:ascii="宋体"/>
              </w:rPr>
            </w:pPr>
          </w:p>
        </w:tc>
        <w:tc>
          <w:tcPr>
            <w:tcW w:w="50" w:type="pct"/>
            <w:shd w:val="clear" w:color="auto" w:fill="auto"/>
          </w:tcPr>
          <w:p w14:paraId="20AE1CE8" w14:textId="77777777" w:rsidR="00B626E7" w:rsidRDefault="00B626E7">
            <w:pPr>
              <w:rPr>
                <w:rFonts w:ascii="宋体"/>
              </w:rPr>
            </w:pPr>
          </w:p>
        </w:tc>
        <w:tc>
          <w:tcPr>
            <w:tcW w:w="5" w:type="pct"/>
            <w:shd w:val="clear" w:color="auto" w:fill="auto"/>
          </w:tcPr>
          <w:p w14:paraId="20AE1CE9" w14:textId="77777777" w:rsidR="00B626E7" w:rsidRDefault="00B626E7">
            <w:pPr>
              <w:rPr>
                <w:rFonts w:ascii="宋体"/>
              </w:rPr>
            </w:pPr>
          </w:p>
        </w:tc>
        <w:tc>
          <w:tcPr>
            <w:tcW w:w="24" w:type="pct"/>
            <w:shd w:val="clear" w:color="auto" w:fill="auto"/>
          </w:tcPr>
          <w:p w14:paraId="20AE1CEA" w14:textId="77777777" w:rsidR="00B626E7" w:rsidRDefault="00B626E7">
            <w:pPr>
              <w:rPr>
                <w:rFonts w:ascii="宋体"/>
              </w:rPr>
            </w:pPr>
          </w:p>
        </w:tc>
        <w:tc>
          <w:tcPr>
            <w:tcW w:w="5" w:type="pct"/>
            <w:shd w:val="clear" w:color="auto" w:fill="auto"/>
          </w:tcPr>
          <w:p w14:paraId="20AE1CEB" w14:textId="77777777" w:rsidR="00B626E7" w:rsidRDefault="00B626E7">
            <w:pPr>
              <w:rPr>
                <w:rFonts w:ascii="宋体"/>
              </w:rPr>
            </w:pPr>
          </w:p>
        </w:tc>
        <w:tc>
          <w:tcPr>
            <w:tcW w:w="50" w:type="pct"/>
            <w:shd w:val="clear" w:color="auto" w:fill="auto"/>
          </w:tcPr>
          <w:p w14:paraId="20AE1CEC" w14:textId="77777777" w:rsidR="00B626E7" w:rsidRDefault="00B626E7">
            <w:pPr>
              <w:rPr>
                <w:rFonts w:ascii="宋体"/>
              </w:rPr>
            </w:pPr>
          </w:p>
        </w:tc>
        <w:tc>
          <w:tcPr>
            <w:tcW w:w="454" w:type="pct"/>
            <w:shd w:val="clear" w:color="auto" w:fill="auto"/>
          </w:tcPr>
          <w:p w14:paraId="20AE1CED" w14:textId="77777777" w:rsidR="00B626E7" w:rsidRDefault="00B626E7">
            <w:pPr>
              <w:rPr>
                <w:rFonts w:ascii="宋体"/>
              </w:rPr>
            </w:pPr>
          </w:p>
        </w:tc>
        <w:tc>
          <w:tcPr>
            <w:tcW w:w="50" w:type="pct"/>
            <w:shd w:val="clear" w:color="auto" w:fill="auto"/>
          </w:tcPr>
          <w:p w14:paraId="20AE1CEE" w14:textId="77777777" w:rsidR="00B626E7" w:rsidRDefault="00B626E7">
            <w:pPr>
              <w:rPr>
                <w:rFonts w:ascii="宋体"/>
              </w:rPr>
            </w:pPr>
          </w:p>
        </w:tc>
      </w:tr>
      <w:tr w:rsidR="00B626E7" w14:paraId="20AE1CFD" w14:textId="77777777">
        <w:tc>
          <w:tcPr>
            <w:tcW w:w="0" w:type="auto"/>
            <w:gridSpan w:val="3"/>
            <w:shd w:val="clear" w:color="auto" w:fill="auto"/>
            <w:tcMar>
              <w:top w:w="40" w:type="dxa"/>
              <w:left w:w="20" w:type="dxa"/>
              <w:bottom w:w="40" w:type="dxa"/>
              <w:right w:w="20" w:type="dxa"/>
            </w:tcMar>
            <w:vAlign w:val="bottom"/>
          </w:tcPr>
          <w:p w14:paraId="20AE1CF0" w14:textId="77777777" w:rsidR="00B626E7" w:rsidRDefault="00175C1D">
            <w:pPr>
              <w:textAlignment w:val="bottom"/>
            </w:pPr>
            <w:r>
              <w:rPr>
                <w:rFonts w:ascii="Arial" w:eastAsia="宋体" w:hAnsi="Arial" w:cs="Arial"/>
                <w:b/>
                <w:bCs/>
                <w:color w:val="333333"/>
                <w:sz w:val="18"/>
                <w:szCs w:val="18"/>
              </w:rPr>
              <w:t>(In Millions)</w:t>
            </w:r>
          </w:p>
        </w:tc>
        <w:tc>
          <w:tcPr>
            <w:tcW w:w="0" w:type="auto"/>
            <w:shd w:val="clear" w:color="auto" w:fill="auto"/>
          </w:tcPr>
          <w:p w14:paraId="20AE1CF1" w14:textId="77777777" w:rsidR="00B626E7" w:rsidRDefault="00B626E7">
            <w:pPr>
              <w:rPr>
                <w:rFonts w:ascii="宋体"/>
                <w:vanish/>
              </w:rPr>
            </w:pPr>
          </w:p>
        </w:tc>
        <w:tc>
          <w:tcPr>
            <w:tcW w:w="0" w:type="auto"/>
            <w:shd w:val="clear" w:color="auto" w:fill="auto"/>
          </w:tcPr>
          <w:p w14:paraId="20AE1CF2" w14:textId="77777777" w:rsidR="00B626E7" w:rsidRDefault="00B626E7">
            <w:pPr>
              <w:rPr>
                <w:rFonts w:ascii="宋体"/>
                <w:vanish/>
              </w:rPr>
            </w:pPr>
          </w:p>
        </w:tc>
        <w:tc>
          <w:tcPr>
            <w:tcW w:w="0" w:type="auto"/>
            <w:shd w:val="clear" w:color="auto" w:fill="auto"/>
          </w:tcPr>
          <w:p w14:paraId="20AE1CF3" w14:textId="77777777" w:rsidR="00B626E7" w:rsidRDefault="00B626E7">
            <w:pPr>
              <w:rPr>
                <w:rFonts w:ascii="宋体"/>
                <w:vanish/>
              </w:rPr>
            </w:pPr>
          </w:p>
        </w:tc>
        <w:tc>
          <w:tcPr>
            <w:tcW w:w="0" w:type="auto"/>
            <w:shd w:val="clear" w:color="auto" w:fill="auto"/>
          </w:tcPr>
          <w:p w14:paraId="20AE1CF4" w14:textId="77777777" w:rsidR="00B626E7" w:rsidRDefault="00B626E7">
            <w:pPr>
              <w:rPr>
                <w:rFonts w:ascii="宋体"/>
                <w:vanish/>
              </w:rPr>
            </w:pPr>
          </w:p>
        </w:tc>
        <w:tc>
          <w:tcPr>
            <w:tcW w:w="0" w:type="auto"/>
            <w:gridSpan w:val="3"/>
            <w:shd w:val="clear" w:color="auto" w:fill="auto"/>
            <w:tcMar>
              <w:left w:w="20" w:type="dxa"/>
              <w:right w:w="20" w:type="dxa"/>
            </w:tcMar>
            <w:vAlign w:val="bottom"/>
          </w:tcPr>
          <w:p w14:paraId="20AE1CF5"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bottom"/>
          </w:tcPr>
          <w:p w14:paraId="20AE1CF6" w14:textId="77777777" w:rsidR="00B626E7" w:rsidRDefault="00175C1D">
            <w:pPr>
              <w:jc w:val="center"/>
              <w:textAlignment w:val="bottom"/>
            </w:pPr>
            <w:r>
              <w:rPr>
                <w:rFonts w:ascii="Arial" w:eastAsia="宋体" w:hAnsi="Arial" w:cs="Arial"/>
                <w:b/>
                <w:bCs/>
                <w:color w:val="333333"/>
                <w:sz w:val="18"/>
                <w:szCs w:val="18"/>
              </w:rPr>
              <w:t>Unrealized Holding Gains (Losses) on Derivatives</w:t>
            </w:r>
          </w:p>
        </w:tc>
        <w:tc>
          <w:tcPr>
            <w:tcW w:w="0" w:type="auto"/>
            <w:gridSpan w:val="3"/>
            <w:shd w:val="clear" w:color="auto" w:fill="auto"/>
            <w:tcMar>
              <w:left w:w="20" w:type="dxa"/>
              <w:right w:w="20" w:type="dxa"/>
            </w:tcMar>
            <w:vAlign w:val="bottom"/>
          </w:tcPr>
          <w:p w14:paraId="20AE1CF7"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bottom"/>
          </w:tcPr>
          <w:p w14:paraId="20AE1CF8" w14:textId="77777777" w:rsidR="00B626E7" w:rsidRDefault="00175C1D">
            <w:pPr>
              <w:jc w:val="center"/>
              <w:textAlignment w:val="bottom"/>
            </w:pPr>
            <w:r>
              <w:rPr>
                <w:rFonts w:ascii="Arial" w:eastAsia="宋体" w:hAnsi="Arial" w:cs="Arial"/>
                <w:b/>
                <w:bCs/>
                <w:color w:val="333333"/>
                <w:sz w:val="18"/>
                <w:szCs w:val="18"/>
              </w:rPr>
              <w:t>Actuarial Valuation and Other Pension Expenses</w:t>
            </w:r>
          </w:p>
        </w:tc>
        <w:tc>
          <w:tcPr>
            <w:tcW w:w="0" w:type="auto"/>
            <w:gridSpan w:val="3"/>
            <w:shd w:val="clear" w:color="auto" w:fill="auto"/>
            <w:tcMar>
              <w:left w:w="20" w:type="dxa"/>
              <w:right w:w="20" w:type="dxa"/>
            </w:tcMar>
            <w:vAlign w:val="bottom"/>
          </w:tcPr>
          <w:p w14:paraId="20AE1CF9"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bottom"/>
          </w:tcPr>
          <w:p w14:paraId="20AE1CFA" w14:textId="77777777" w:rsidR="00B626E7" w:rsidRDefault="00175C1D">
            <w:pPr>
              <w:jc w:val="center"/>
              <w:textAlignment w:val="bottom"/>
            </w:pPr>
            <w:r>
              <w:rPr>
                <w:rFonts w:ascii="Arial" w:eastAsia="宋体" w:hAnsi="Arial" w:cs="Arial"/>
                <w:b/>
                <w:bCs/>
                <w:color w:val="333333"/>
                <w:sz w:val="18"/>
                <w:szCs w:val="18"/>
              </w:rPr>
              <w:t>Translation Adjustments and Other</w:t>
            </w:r>
          </w:p>
        </w:tc>
        <w:tc>
          <w:tcPr>
            <w:tcW w:w="0" w:type="auto"/>
            <w:gridSpan w:val="3"/>
            <w:shd w:val="clear" w:color="auto" w:fill="auto"/>
            <w:tcMar>
              <w:left w:w="20" w:type="dxa"/>
              <w:right w:w="20" w:type="dxa"/>
            </w:tcMar>
            <w:vAlign w:val="bottom"/>
          </w:tcPr>
          <w:p w14:paraId="20AE1CFB"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bottom"/>
          </w:tcPr>
          <w:p w14:paraId="20AE1CFC" w14:textId="77777777" w:rsidR="00B626E7" w:rsidRDefault="00175C1D">
            <w:pPr>
              <w:jc w:val="center"/>
              <w:textAlignment w:val="bottom"/>
            </w:pPr>
            <w:r>
              <w:rPr>
                <w:rFonts w:ascii="Arial" w:eastAsia="宋体" w:hAnsi="Arial" w:cs="Arial"/>
                <w:b/>
                <w:bCs/>
                <w:color w:val="333333"/>
                <w:sz w:val="18"/>
                <w:szCs w:val="18"/>
              </w:rPr>
              <w:t>Total</w:t>
            </w:r>
          </w:p>
        </w:tc>
      </w:tr>
      <w:tr w:rsidR="00B626E7" w14:paraId="20AE1D13" w14:textId="77777777">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1CFE" w14:textId="77777777" w:rsidR="00B626E7" w:rsidRDefault="00175C1D">
            <w:pPr>
              <w:textAlignment w:val="bottom"/>
            </w:pPr>
            <w:r>
              <w:rPr>
                <w:rFonts w:ascii="Arial" w:eastAsia="宋体" w:hAnsi="Arial" w:cs="Arial"/>
                <w:b/>
                <w:bCs/>
                <w:color w:val="333333"/>
                <w:sz w:val="18"/>
                <w:szCs w:val="18"/>
              </w:rPr>
              <w:t>Balance as of December 28, 2019</w:t>
            </w:r>
          </w:p>
        </w:tc>
        <w:tc>
          <w:tcPr>
            <w:tcW w:w="0" w:type="auto"/>
            <w:shd w:val="clear" w:color="auto" w:fill="auto"/>
          </w:tcPr>
          <w:p w14:paraId="20AE1CFF" w14:textId="77777777" w:rsidR="00B626E7" w:rsidRDefault="00B626E7">
            <w:pPr>
              <w:rPr>
                <w:rFonts w:ascii="宋体"/>
                <w:vanish/>
              </w:rPr>
            </w:pPr>
          </w:p>
        </w:tc>
        <w:tc>
          <w:tcPr>
            <w:tcW w:w="0" w:type="auto"/>
            <w:shd w:val="clear" w:color="auto" w:fill="auto"/>
          </w:tcPr>
          <w:p w14:paraId="20AE1D00" w14:textId="77777777" w:rsidR="00B626E7" w:rsidRDefault="00B626E7">
            <w:pPr>
              <w:rPr>
                <w:rFonts w:ascii="宋体"/>
                <w:vanish/>
              </w:rPr>
            </w:pPr>
          </w:p>
        </w:tc>
        <w:tc>
          <w:tcPr>
            <w:tcW w:w="0" w:type="auto"/>
            <w:shd w:val="clear" w:color="auto" w:fill="auto"/>
          </w:tcPr>
          <w:p w14:paraId="20AE1D01" w14:textId="77777777" w:rsidR="00B626E7" w:rsidRDefault="00B626E7">
            <w:pPr>
              <w:rPr>
                <w:rFonts w:ascii="宋体"/>
                <w:vanish/>
              </w:rPr>
            </w:pPr>
          </w:p>
        </w:tc>
        <w:tc>
          <w:tcPr>
            <w:tcW w:w="0" w:type="auto"/>
            <w:shd w:val="clear" w:color="auto" w:fill="auto"/>
          </w:tcPr>
          <w:p w14:paraId="20AE1D02" w14:textId="77777777" w:rsidR="00B626E7" w:rsidRDefault="00B626E7">
            <w:pPr>
              <w:rPr>
                <w:rFonts w:ascii="宋体"/>
                <w:vanish/>
              </w:rPr>
            </w:pPr>
          </w:p>
        </w:tc>
        <w:tc>
          <w:tcPr>
            <w:tcW w:w="0" w:type="auto"/>
            <w:gridSpan w:val="3"/>
            <w:shd w:val="clear" w:color="auto" w:fill="auto"/>
            <w:tcMar>
              <w:left w:w="20" w:type="dxa"/>
              <w:right w:w="20" w:type="dxa"/>
            </w:tcMar>
            <w:vAlign w:val="bottom"/>
          </w:tcPr>
          <w:p w14:paraId="20AE1D03"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1D04"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1D05" w14:textId="77777777" w:rsidR="00B626E7" w:rsidRDefault="00175C1D">
            <w:pPr>
              <w:jc w:val="right"/>
              <w:textAlignment w:val="bottom"/>
            </w:pPr>
            <w:r>
              <w:rPr>
                <w:rFonts w:ascii="Arial" w:eastAsia="宋体" w:hAnsi="Arial" w:cs="Arial"/>
                <w:b/>
                <w:bCs/>
                <w:color w:val="333333"/>
                <w:sz w:val="18"/>
                <w:szCs w:val="18"/>
              </w:rPr>
              <w:t>54 </w:t>
            </w:r>
          </w:p>
        </w:tc>
        <w:tc>
          <w:tcPr>
            <w:tcW w:w="0" w:type="auto"/>
            <w:tcBorders>
              <w:top w:val="single" w:sz="8" w:space="0" w:color="0071C5"/>
            </w:tcBorders>
            <w:shd w:val="clear" w:color="auto" w:fill="auto"/>
            <w:tcMar>
              <w:top w:w="40" w:type="dxa"/>
              <w:bottom w:w="40" w:type="dxa"/>
              <w:right w:w="20" w:type="dxa"/>
            </w:tcMar>
            <w:vAlign w:val="bottom"/>
          </w:tcPr>
          <w:p w14:paraId="20AE1D06"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1D07"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1D08"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1D09" w14:textId="77777777" w:rsidR="00B626E7" w:rsidRDefault="00175C1D">
            <w:pPr>
              <w:jc w:val="right"/>
              <w:textAlignment w:val="bottom"/>
            </w:pPr>
            <w:r>
              <w:rPr>
                <w:rFonts w:ascii="Arial" w:eastAsia="宋体" w:hAnsi="Arial" w:cs="Arial"/>
                <w:b/>
                <w:bCs/>
                <w:color w:val="333333"/>
                <w:sz w:val="18"/>
                <w:szCs w:val="18"/>
              </w:rPr>
              <w:t>(1,382)</w:t>
            </w:r>
          </w:p>
        </w:tc>
        <w:tc>
          <w:tcPr>
            <w:tcW w:w="0" w:type="auto"/>
            <w:tcBorders>
              <w:top w:val="single" w:sz="8" w:space="0" w:color="0071C5"/>
            </w:tcBorders>
            <w:shd w:val="clear" w:color="auto" w:fill="auto"/>
            <w:tcMar>
              <w:top w:w="40" w:type="dxa"/>
              <w:bottom w:w="40" w:type="dxa"/>
              <w:right w:w="20" w:type="dxa"/>
            </w:tcMar>
            <w:vAlign w:val="bottom"/>
          </w:tcPr>
          <w:p w14:paraId="20AE1D0A"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1D0B"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1D0C"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1D0D" w14:textId="77777777" w:rsidR="00B626E7" w:rsidRDefault="00175C1D">
            <w:pPr>
              <w:jc w:val="right"/>
              <w:textAlignment w:val="bottom"/>
            </w:pPr>
            <w:r>
              <w:rPr>
                <w:rFonts w:ascii="Arial" w:eastAsia="宋体" w:hAnsi="Arial" w:cs="Arial"/>
                <w:b/>
                <w:bCs/>
                <w:color w:val="333333"/>
                <w:sz w:val="18"/>
                <w:szCs w:val="18"/>
              </w:rPr>
              <w:t>48 </w:t>
            </w:r>
          </w:p>
        </w:tc>
        <w:tc>
          <w:tcPr>
            <w:tcW w:w="0" w:type="auto"/>
            <w:tcBorders>
              <w:top w:val="single" w:sz="8" w:space="0" w:color="0071C5"/>
            </w:tcBorders>
            <w:shd w:val="clear" w:color="auto" w:fill="auto"/>
            <w:tcMar>
              <w:top w:w="40" w:type="dxa"/>
              <w:bottom w:w="40" w:type="dxa"/>
              <w:right w:w="20" w:type="dxa"/>
            </w:tcMar>
            <w:vAlign w:val="bottom"/>
          </w:tcPr>
          <w:p w14:paraId="20AE1D0E"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1D0F"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1D10"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1D11" w14:textId="77777777" w:rsidR="00B626E7" w:rsidRDefault="00175C1D">
            <w:pPr>
              <w:jc w:val="right"/>
              <w:textAlignment w:val="bottom"/>
            </w:pPr>
            <w:r>
              <w:rPr>
                <w:rFonts w:ascii="Arial" w:eastAsia="宋体" w:hAnsi="Arial" w:cs="Arial"/>
                <w:b/>
                <w:bCs/>
                <w:color w:val="333333"/>
                <w:sz w:val="18"/>
                <w:szCs w:val="18"/>
              </w:rPr>
              <w:t>(1,280)</w:t>
            </w:r>
          </w:p>
        </w:tc>
        <w:tc>
          <w:tcPr>
            <w:tcW w:w="0" w:type="auto"/>
            <w:tcBorders>
              <w:top w:val="single" w:sz="8" w:space="0" w:color="0071C5"/>
            </w:tcBorders>
            <w:shd w:val="clear" w:color="auto" w:fill="auto"/>
            <w:tcMar>
              <w:top w:w="40" w:type="dxa"/>
              <w:bottom w:w="40" w:type="dxa"/>
              <w:right w:w="20" w:type="dxa"/>
            </w:tcMar>
            <w:vAlign w:val="bottom"/>
          </w:tcPr>
          <w:p w14:paraId="20AE1D12" w14:textId="77777777" w:rsidR="00B626E7" w:rsidRDefault="00175C1D">
            <w:pPr>
              <w:jc w:val="right"/>
              <w:textAlignment w:val="bottom"/>
            </w:pPr>
            <w:r>
              <w:rPr>
                <w:rFonts w:ascii="Arial" w:eastAsia="宋体" w:hAnsi="Arial" w:cs="Arial"/>
                <w:b/>
                <w:bCs/>
                <w:color w:val="333333"/>
                <w:sz w:val="18"/>
                <w:szCs w:val="18"/>
              </w:rPr>
              <w:t> </w:t>
            </w:r>
          </w:p>
        </w:tc>
      </w:tr>
      <w:tr w:rsidR="00B626E7" w14:paraId="20AE1D25" w14:textId="77777777">
        <w:tc>
          <w:tcPr>
            <w:tcW w:w="0" w:type="auto"/>
            <w:gridSpan w:val="3"/>
            <w:shd w:val="clear" w:color="auto" w:fill="auto"/>
            <w:tcMar>
              <w:top w:w="40" w:type="dxa"/>
              <w:left w:w="20" w:type="dxa"/>
              <w:bottom w:w="40" w:type="dxa"/>
              <w:right w:w="20" w:type="dxa"/>
            </w:tcMar>
            <w:vAlign w:val="bottom"/>
          </w:tcPr>
          <w:p w14:paraId="20AE1D14" w14:textId="77777777" w:rsidR="00B626E7" w:rsidRDefault="00175C1D">
            <w:pPr>
              <w:ind w:hanging="180"/>
              <w:textAlignment w:val="bottom"/>
            </w:pPr>
            <w:r>
              <w:rPr>
                <w:rFonts w:ascii="Arial" w:eastAsia="宋体" w:hAnsi="Arial" w:cs="Arial"/>
                <w:color w:val="333333"/>
                <w:sz w:val="18"/>
                <w:szCs w:val="18"/>
              </w:rPr>
              <w:t>Other comprehensive income (loss) before reclassifications</w:t>
            </w:r>
          </w:p>
        </w:tc>
        <w:tc>
          <w:tcPr>
            <w:tcW w:w="0" w:type="auto"/>
            <w:shd w:val="clear" w:color="auto" w:fill="auto"/>
          </w:tcPr>
          <w:p w14:paraId="20AE1D15" w14:textId="77777777" w:rsidR="00B626E7" w:rsidRDefault="00B626E7">
            <w:pPr>
              <w:rPr>
                <w:rFonts w:ascii="宋体"/>
                <w:vanish/>
              </w:rPr>
            </w:pPr>
          </w:p>
        </w:tc>
        <w:tc>
          <w:tcPr>
            <w:tcW w:w="0" w:type="auto"/>
            <w:shd w:val="clear" w:color="auto" w:fill="auto"/>
          </w:tcPr>
          <w:p w14:paraId="20AE1D16" w14:textId="77777777" w:rsidR="00B626E7" w:rsidRDefault="00B626E7">
            <w:pPr>
              <w:rPr>
                <w:rFonts w:ascii="宋体"/>
                <w:vanish/>
              </w:rPr>
            </w:pPr>
          </w:p>
        </w:tc>
        <w:tc>
          <w:tcPr>
            <w:tcW w:w="0" w:type="auto"/>
            <w:shd w:val="clear" w:color="auto" w:fill="auto"/>
          </w:tcPr>
          <w:p w14:paraId="20AE1D17" w14:textId="77777777" w:rsidR="00B626E7" w:rsidRDefault="00B626E7">
            <w:pPr>
              <w:rPr>
                <w:rFonts w:ascii="宋体"/>
                <w:vanish/>
              </w:rPr>
            </w:pPr>
          </w:p>
        </w:tc>
        <w:tc>
          <w:tcPr>
            <w:tcW w:w="0" w:type="auto"/>
            <w:shd w:val="clear" w:color="auto" w:fill="auto"/>
          </w:tcPr>
          <w:p w14:paraId="20AE1D18" w14:textId="77777777" w:rsidR="00B626E7" w:rsidRDefault="00B626E7">
            <w:pPr>
              <w:rPr>
                <w:rFonts w:ascii="宋体"/>
                <w:vanish/>
              </w:rPr>
            </w:pPr>
          </w:p>
        </w:tc>
        <w:tc>
          <w:tcPr>
            <w:tcW w:w="0" w:type="auto"/>
            <w:gridSpan w:val="3"/>
            <w:shd w:val="clear" w:color="auto" w:fill="auto"/>
            <w:tcMar>
              <w:left w:w="20" w:type="dxa"/>
              <w:right w:w="20" w:type="dxa"/>
            </w:tcMar>
            <w:vAlign w:val="bottom"/>
          </w:tcPr>
          <w:p w14:paraId="20AE1D19"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D1A" w14:textId="77777777" w:rsidR="00B626E7" w:rsidRDefault="00175C1D">
            <w:pPr>
              <w:jc w:val="right"/>
              <w:textAlignment w:val="bottom"/>
            </w:pPr>
            <w:r>
              <w:rPr>
                <w:rFonts w:ascii="Arial" w:eastAsia="宋体" w:hAnsi="Arial" w:cs="Arial"/>
                <w:color w:val="0071C5"/>
                <w:sz w:val="18"/>
                <w:szCs w:val="18"/>
              </w:rPr>
              <w:t>19 </w:t>
            </w:r>
          </w:p>
        </w:tc>
        <w:tc>
          <w:tcPr>
            <w:tcW w:w="0" w:type="auto"/>
            <w:shd w:val="clear" w:color="auto" w:fill="auto"/>
            <w:tcMar>
              <w:top w:w="40" w:type="dxa"/>
              <w:bottom w:w="40" w:type="dxa"/>
              <w:right w:w="20" w:type="dxa"/>
            </w:tcMar>
            <w:vAlign w:val="bottom"/>
          </w:tcPr>
          <w:p w14:paraId="20AE1D1B"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1D1C"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D1D" w14:textId="77777777" w:rsidR="00B626E7" w:rsidRDefault="00175C1D">
            <w:pPr>
              <w:jc w:val="right"/>
              <w:textAlignment w:val="bottom"/>
            </w:pPr>
            <w:r>
              <w:rPr>
                <w:rFonts w:ascii="Arial" w:eastAsia="宋体" w:hAnsi="Arial" w:cs="Arial"/>
                <w:color w:val="0071C5"/>
                <w:sz w:val="18"/>
                <w:szCs w:val="18"/>
              </w:rPr>
              <w:t>(2)</w:t>
            </w:r>
          </w:p>
        </w:tc>
        <w:tc>
          <w:tcPr>
            <w:tcW w:w="0" w:type="auto"/>
            <w:shd w:val="clear" w:color="auto" w:fill="auto"/>
            <w:tcMar>
              <w:top w:w="40" w:type="dxa"/>
              <w:bottom w:w="40" w:type="dxa"/>
              <w:right w:w="20" w:type="dxa"/>
            </w:tcMar>
            <w:vAlign w:val="bottom"/>
          </w:tcPr>
          <w:p w14:paraId="20AE1D1E"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1D1F"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D20" w14:textId="77777777" w:rsidR="00B626E7" w:rsidRDefault="00175C1D">
            <w:pPr>
              <w:jc w:val="right"/>
              <w:textAlignment w:val="bottom"/>
            </w:pPr>
            <w:r>
              <w:rPr>
                <w:rFonts w:ascii="Arial" w:eastAsia="宋体" w:hAnsi="Arial" w:cs="Arial"/>
                <w:color w:val="0071C5"/>
                <w:sz w:val="18"/>
                <w:szCs w:val="18"/>
              </w:rPr>
              <w:t>69 </w:t>
            </w:r>
          </w:p>
        </w:tc>
        <w:tc>
          <w:tcPr>
            <w:tcW w:w="0" w:type="auto"/>
            <w:shd w:val="clear" w:color="auto" w:fill="auto"/>
            <w:tcMar>
              <w:top w:w="40" w:type="dxa"/>
              <w:bottom w:w="40" w:type="dxa"/>
              <w:right w:w="20" w:type="dxa"/>
            </w:tcMar>
            <w:vAlign w:val="bottom"/>
          </w:tcPr>
          <w:p w14:paraId="20AE1D21"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1D22"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D23" w14:textId="77777777" w:rsidR="00B626E7" w:rsidRDefault="00175C1D">
            <w:pPr>
              <w:jc w:val="right"/>
              <w:textAlignment w:val="bottom"/>
            </w:pPr>
            <w:r>
              <w:rPr>
                <w:rFonts w:ascii="Arial" w:eastAsia="宋体" w:hAnsi="Arial" w:cs="Arial"/>
                <w:color w:val="0071C5"/>
                <w:sz w:val="18"/>
                <w:szCs w:val="18"/>
              </w:rPr>
              <w:t>86 </w:t>
            </w:r>
          </w:p>
        </w:tc>
        <w:tc>
          <w:tcPr>
            <w:tcW w:w="0" w:type="auto"/>
            <w:shd w:val="clear" w:color="auto" w:fill="auto"/>
            <w:tcMar>
              <w:top w:w="40" w:type="dxa"/>
              <w:bottom w:w="40" w:type="dxa"/>
              <w:right w:w="20" w:type="dxa"/>
            </w:tcMar>
            <w:vAlign w:val="bottom"/>
          </w:tcPr>
          <w:p w14:paraId="20AE1D24" w14:textId="77777777" w:rsidR="00B626E7" w:rsidRDefault="00175C1D">
            <w:pPr>
              <w:jc w:val="right"/>
              <w:textAlignment w:val="bottom"/>
            </w:pPr>
            <w:r>
              <w:rPr>
                <w:rFonts w:ascii="Arial" w:eastAsia="宋体" w:hAnsi="Arial" w:cs="Arial"/>
                <w:color w:val="0071C5"/>
                <w:sz w:val="18"/>
                <w:szCs w:val="18"/>
              </w:rPr>
              <w:t> </w:t>
            </w:r>
          </w:p>
        </w:tc>
      </w:tr>
      <w:tr w:rsidR="00B626E7" w14:paraId="20AE1D37" w14:textId="77777777">
        <w:tc>
          <w:tcPr>
            <w:tcW w:w="0" w:type="auto"/>
            <w:gridSpan w:val="3"/>
            <w:shd w:val="clear" w:color="auto" w:fill="auto"/>
            <w:tcMar>
              <w:top w:w="40" w:type="dxa"/>
              <w:left w:w="20" w:type="dxa"/>
              <w:bottom w:w="40" w:type="dxa"/>
              <w:right w:w="20" w:type="dxa"/>
            </w:tcMar>
          </w:tcPr>
          <w:p w14:paraId="20AE1D26" w14:textId="77777777" w:rsidR="00B626E7" w:rsidRDefault="00175C1D">
            <w:pPr>
              <w:textAlignment w:val="top"/>
            </w:pPr>
            <w:r>
              <w:rPr>
                <w:rFonts w:ascii="Arial" w:eastAsia="宋体" w:hAnsi="Arial" w:cs="Arial"/>
                <w:color w:val="333333"/>
                <w:sz w:val="18"/>
                <w:szCs w:val="18"/>
              </w:rPr>
              <w:t>Amounts reclassified out of accumulated other comprehensive income (loss)</w:t>
            </w:r>
          </w:p>
        </w:tc>
        <w:tc>
          <w:tcPr>
            <w:tcW w:w="0" w:type="auto"/>
            <w:shd w:val="clear" w:color="auto" w:fill="auto"/>
          </w:tcPr>
          <w:p w14:paraId="20AE1D27" w14:textId="77777777" w:rsidR="00B626E7" w:rsidRDefault="00B626E7">
            <w:pPr>
              <w:rPr>
                <w:rFonts w:ascii="宋体"/>
                <w:vanish/>
              </w:rPr>
            </w:pPr>
          </w:p>
        </w:tc>
        <w:tc>
          <w:tcPr>
            <w:tcW w:w="0" w:type="auto"/>
            <w:shd w:val="clear" w:color="auto" w:fill="auto"/>
          </w:tcPr>
          <w:p w14:paraId="20AE1D28" w14:textId="77777777" w:rsidR="00B626E7" w:rsidRDefault="00B626E7">
            <w:pPr>
              <w:rPr>
                <w:rFonts w:ascii="宋体"/>
                <w:vanish/>
              </w:rPr>
            </w:pPr>
          </w:p>
        </w:tc>
        <w:tc>
          <w:tcPr>
            <w:tcW w:w="0" w:type="auto"/>
            <w:shd w:val="clear" w:color="auto" w:fill="auto"/>
          </w:tcPr>
          <w:p w14:paraId="20AE1D29" w14:textId="77777777" w:rsidR="00B626E7" w:rsidRDefault="00B626E7">
            <w:pPr>
              <w:rPr>
                <w:rFonts w:ascii="宋体"/>
                <w:vanish/>
              </w:rPr>
            </w:pPr>
          </w:p>
        </w:tc>
        <w:tc>
          <w:tcPr>
            <w:tcW w:w="0" w:type="auto"/>
            <w:shd w:val="clear" w:color="auto" w:fill="auto"/>
          </w:tcPr>
          <w:p w14:paraId="20AE1D2A" w14:textId="77777777" w:rsidR="00B626E7" w:rsidRDefault="00B626E7">
            <w:pPr>
              <w:rPr>
                <w:rFonts w:ascii="宋体"/>
                <w:vanish/>
              </w:rPr>
            </w:pPr>
          </w:p>
        </w:tc>
        <w:tc>
          <w:tcPr>
            <w:tcW w:w="0" w:type="auto"/>
            <w:gridSpan w:val="3"/>
            <w:shd w:val="clear" w:color="auto" w:fill="auto"/>
            <w:tcMar>
              <w:left w:w="20" w:type="dxa"/>
              <w:right w:w="20" w:type="dxa"/>
            </w:tcMar>
            <w:vAlign w:val="bottom"/>
          </w:tcPr>
          <w:p w14:paraId="20AE1D2B"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D2C" w14:textId="77777777" w:rsidR="00B626E7" w:rsidRDefault="00175C1D">
            <w:pPr>
              <w:jc w:val="right"/>
              <w:textAlignment w:val="bottom"/>
            </w:pPr>
            <w:r>
              <w:rPr>
                <w:rFonts w:ascii="Arial" w:eastAsia="宋体" w:hAnsi="Arial" w:cs="Arial"/>
                <w:color w:val="0071C5"/>
                <w:sz w:val="18"/>
                <w:szCs w:val="18"/>
              </w:rPr>
              <w:t>60 </w:t>
            </w:r>
          </w:p>
        </w:tc>
        <w:tc>
          <w:tcPr>
            <w:tcW w:w="0" w:type="auto"/>
            <w:shd w:val="clear" w:color="auto" w:fill="auto"/>
            <w:tcMar>
              <w:top w:w="40" w:type="dxa"/>
              <w:bottom w:w="40" w:type="dxa"/>
              <w:right w:w="20" w:type="dxa"/>
            </w:tcMar>
            <w:vAlign w:val="bottom"/>
          </w:tcPr>
          <w:p w14:paraId="20AE1D2D"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1D2E"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D2F" w14:textId="77777777" w:rsidR="00B626E7" w:rsidRDefault="00175C1D">
            <w:pPr>
              <w:jc w:val="right"/>
              <w:textAlignment w:val="bottom"/>
            </w:pPr>
            <w:r>
              <w:rPr>
                <w:rFonts w:ascii="Arial" w:eastAsia="宋体" w:hAnsi="Arial" w:cs="Arial"/>
                <w:color w:val="0071C5"/>
                <w:sz w:val="18"/>
                <w:szCs w:val="18"/>
              </w:rPr>
              <w:t>28 </w:t>
            </w:r>
          </w:p>
        </w:tc>
        <w:tc>
          <w:tcPr>
            <w:tcW w:w="0" w:type="auto"/>
            <w:shd w:val="clear" w:color="auto" w:fill="auto"/>
            <w:tcMar>
              <w:top w:w="40" w:type="dxa"/>
              <w:bottom w:w="40" w:type="dxa"/>
              <w:right w:w="20" w:type="dxa"/>
            </w:tcMar>
            <w:vAlign w:val="bottom"/>
          </w:tcPr>
          <w:p w14:paraId="20AE1D30"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1D31"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D32"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20AE1D33"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1D34"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D35" w14:textId="77777777" w:rsidR="00B626E7" w:rsidRDefault="00175C1D">
            <w:pPr>
              <w:jc w:val="right"/>
              <w:textAlignment w:val="bottom"/>
            </w:pPr>
            <w:r>
              <w:rPr>
                <w:rFonts w:ascii="Arial" w:eastAsia="宋体" w:hAnsi="Arial" w:cs="Arial"/>
                <w:color w:val="0071C5"/>
                <w:sz w:val="18"/>
                <w:szCs w:val="18"/>
              </w:rPr>
              <w:t>88 </w:t>
            </w:r>
          </w:p>
        </w:tc>
        <w:tc>
          <w:tcPr>
            <w:tcW w:w="0" w:type="auto"/>
            <w:shd w:val="clear" w:color="auto" w:fill="auto"/>
            <w:tcMar>
              <w:top w:w="40" w:type="dxa"/>
              <w:bottom w:w="40" w:type="dxa"/>
              <w:right w:w="20" w:type="dxa"/>
            </w:tcMar>
            <w:vAlign w:val="bottom"/>
          </w:tcPr>
          <w:p w14:paraId="20AE1D36" w14:textId="77777777" w:rsidR="00B626E7" w:rsidRDefault="00175C1D">
            <w:pPr>
              <w:jc w:val="right"/>
              <w:textAlignment w:val="bottom"/>
            </w:pPr>
            <w:r>
              <w:rPr>
                <w:rFonts w:ascii="Arial" w:eastAsia="宋体" w:hAnsi="Arial" w:cs="Arial"/>
                <w:color w:val="0071C5"/>
                <w:sz w:val="18"/>
                <w:szCs w:val="18"/>
              </w:rPr>
              <w:t> </w:t>
            </w:r>
          </w:p>
        </w:tc>
      </w:tr>
      <w:tr w:rsidR="00B626E7" w14:paraId="20AE1D49" w14:textId="77777777">
        <w:tc>
          <w:tcPr>
            <w:tcW w:w="0" w:type="auto"/>
            <w:gridSpan w:val="3"/>
            <w:shd w:val="clear" w:color="auto" w:fill="auto"/>
            <w:tcMar>
              <w:top w:w="40" w:type="dxa"/>
              <w:left w:w="20" w:type="dxa"/>
              <w:bottom w:w="40" w:type="dxa"/>
              <w:right w:w="20" w:type="dxa"/>
            </w:tcMar>
            <w:vAlign w:val="bottom"/>
          </w:tcPr>
          <w:p w14:paraId="20AE1D38" w14:textId="77777777" w:rsidR="00B626E7" w:rsidRDefault="00175C1D">
            <w:pPr>
              <w:textAlignment w:val="bottom"/>
            </w:pPr>
            <w:r>
              <w:rPr>
                <w:rFonts w:ascii="Arial" w:eastAsia="宋体" w:hAnsi="Arial" w:cs="Arial"/>
                <w:color w:val="333333"/>
                <w:sz w:val="18"/>
                <w:szCs w:val="18"/>
              </w:rPr>
              <w:t>Tax effects</w:t>
            </w:r>
          </w:p>
        </w:tc>
        <w:tc>
          <w:tcPr>
            <w:tcW w:w="0" w:type="auto"/>
            <w:shd w:val="clear" w:color="auto" w:fill="auto"/>
          </w:tcPr>
          <w:p w14:paraId="20AE1D39" w14:textId="77777777" w:rsidR="00B626E7" w:rsidRDefault="00B626E7">
            <w:pPr>
              <w:rPr>
                <w:rFonts w:ascii="宋体"/>
                <w:vanish/>
              </w:rPr>
            </w:pPr>
          </w:p>
        </w:tc>
        <w:tc>
          <w:tcPr>
            <w:tcW w:w="0" w:type="auto"/>
            <w:shd w:val="clear" w:color="auto" w:fill="auto"/>
          </w:tcPr>
          <w:p w14:paraId="20AE1D3A" w14:textId="77777777" w:rsidR="00B626E7" w:rsidRDefault="00B626E7">
            <w:pPr>
              <w:rPr>
                <w:rFonts w:ascii="宋体"/>
                <w:vanish/>
              </w:rPr>
            </w:pPr>
          </w:p>
        </w:tc>
        <w:tc>
          <w:tcPr>
            <w:tcW w:w="0" w:type="auto"/>
            <w:shd w:val="clear" w:color="auto" w:fill="auto"/>
          </w:tcPr>
          <w:p w14:paraId="20AE1D3B" w14:textId="77777777" w:rsidR="00B626E7" w:rsidRDefault="00B626E7">
            <w:pPr>
              <w:rPr>
                <w:rFonts w:ascii="宋体"/>
                <w:vanish/>
              </w:rPr>
            </w:pPr>
          </w:p>
        </w:tc>
        <w:tc>
          <w:tcPr>
            <w:tcW w:w="0" w:type="auto"/>
            <w:shd w:val="clear" w:color="auto" w:fill="auto"/>
          </w:tcPr>
          <w:p w14:paraId="20AE1D3C" w14:textId="77777777" w:rsidR="00B626E7" w:rsidRDefault="00B626E7">
            <w:pPr>
              <w:rPr>
                <w:rFonts w:ascii="宋体"/>
                <w:vanish/>
              </w:rPr>
            </w:pPr>
          </w:p>
        </w:tc>
        <w:tc>
          <w:tcPr>
            <w:tcW w:w="0" w:type="auto"/>
            <w:gridSpan w:val="3"/>
            <w:shd w:val="clear" w:color="auto" w:fill="auto"/>
            <w:tcMar>
              <w:left w:w="20" w:type="dxa"/>
              <w:right w:w="20" w:type="dxa"/>
            </w:tcMar>
            <w:vAlign w:val="bottom"/>
          </w:tcPr>
          <w:p w14:paraId="20AE1D3D"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D3E" w14:textId="77777777" w:rsidR="00B626E7" w:rsidRDefault="00175C1D">
            <w:pPr>
              <w:jc w:val="right"/>
              <w:textAlignment w:val="bottom"/>
            </w:pPr>
            <w:r>
              <w:rPr>
                <w:rFonts w:ascii="Arial" w:eastAsia="宋体" w:hAnsi="Arial" w:cs="Arial"/>
                <w:color w:val="0071C5"/>
                <w:sz w:val="18"/>
                <w:szCs w:val="18"/>
              </w:rPr>
              <w:t>(28)</w:t>
            </w:r>
          </w:p>
        </w:tc>
        <w:tc>
          <w:tcPr>
            <w:tcW w:w="0" w:type="auto"/>
            <w:shd w:val="clear" w:color="auto" w:fill="auto"/>
            <w:tcMar>
              <w:top w:w="40" w:type="dxa"/>
              <w:bottom w:w="40" w:type="dxa"/>
              <w:right w:w="20" w:type="dxa"/>
            </w:tcMar>
            <w:vAlign w:val="bottom"/>
          </w:tcPr>
          <w:p w14:paraId="20AE1D3F"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1D40"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D41" w14:textId="77777777" w:rsidR="00B626E7" w:rsidRDefault="00175C1D">
            <w:pPr>
              <w:jc w:val="right"/>
              <w:textAlignment w:val="bottom"/>
            </w:pPr>
            <w:r>
              <w:rPr>
                <w:rFonts w:ascii="Arial" w:eastAsia="宋体" w:hAnsi="Arial" w:cs="Arial"/>
                <w:color w:val="0071C5"/>
                <w:sz w:val="18"/>
                <w:szCs w:val="18"/>
              </w:rPr>
              <w:t>(3)</w:t>
            </w:r>
          </w:p>
        </w:tc>
        <w:tc>
          <w:tcPr>
            <w:tcW w:w="0" w:type="auto"/>
            <w:shd w:val="clear" w:color="auto" w:fill="auto"/>
            <w:tcMar>
              <w:top w:w="40" w:type="dxa"/>
              <w:bottom w:w="40" w:type="dxa"/>
              <w:right w:w="20" w:type="dxa"/>
            </w:tcMar>
            <w:vAlign w:val="bottom"/>
          </w:tcPr>
          <w:p w14:paraId="20AE1D42"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1D43"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D44" w14:textId="77777777" w:rsidR="00B626E7" w:rsidRDefault="00175C1D">
            <w:pPr>
              <w:jc w:val="right"/>
              <w:textAlignment w:val="bottom"/>
            </w:pPr>
            <w:r>
              <w:rPr>
                <w:rFonts w:ascii="Arial" w:eastAsia="宋体" w:hAnsi="Arial" w:cs="Arial"/>
                <w:color w:val="0071C5"/>
                <w:sz w:val="18"/>
                <w:szCs w:val="18"/>
              </w:rPr>
              <w:t>(15)</w:t>
            </w:r>
          </w:p>
        </w:tc>
        <w:tc>
          <w:tcPr>
            <w:tcW w:w="0" w:type="auto"/>
            <w:shd w:val="clear" w:color="auto" w:fill="auto"/>
            <w:tcMar>
              <w:top w:w="40" w:type="dxa"/>
              <w:bottom w:w="40" w:type="dxa"/>
              <w:right w:w="20" w:type="dxa"/>
            </w:tcMar>
            <w:vAlign w:val="bottom"/>
          </w:tcPr>
          <w:p w14:paraId="20AE1D45"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1D46"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D47" w14:textId="77777777" w:rsidR="00B626E7" w:rsidRDefault="00175C1D">
            <w:pPr>
              <w:jc w:val="right"/>
              <w:textAlignment w:val="bottom"/>
            </w:pPr>
            <w:r>
              <w:rPr>
                <w:rFonts w:ascii="Arial" w:eastAsia="宋体" w:hAnsi="Arial" w:cs="Arial"/>
                <w:color w:val="0071C5"/>
                <w:sz w:val="18"/>
                <w:szCs w:val="18"/>
              </w:rPr>
              <w:t>(46)</w:t>
            </w:r>
          </w:p>
        </w:tc>
        <w:tc>
          <w:tcPr>
            <w:tcW w:w="0" w:type="auto"/>
            <w:shd w:val="clear" w:color="auto" w:fill="auto"/>
            <w:tcMar>
              <w:top w:w="40" w:type="dxa"/>
              <w:bottom w:w="40" w:type="dxa"/>
              <w:right w:w="20" w:type="dxa"/>
            </w:tcMar>
            <w:vAlign w:val="bottom"/>
          </w:tcPr>
          <w:p w14:paraId="20AE1D48" w14:textId="77777777" w:rsidR="00B626E7" w:rsidRDefault="00175C1D">
            <w:pPr>
              <w:jc w:val="right"/>
              <w:textAlignment w:val="bottom"/>
            </w:pPr>
            <w:r>
              <w:rPr>
                <w:rFonts w:ascii="Arial" w:eastAsia="宋体" w:hAnsi="Arial" w:cs="Arial"/>
                <w:color w:val="0071C5"/>
                <w:sz w:val="18"/>
                <w:szCs w:val="18"/>
              </w:rPr>
              <w:t> </w:t>
            </w:r>
          </w:p>
        </w:tc>
      </w:tr>
      <w:tr w:rsidR="00B626E7" w14:paraId="20AE1D5B" w14:textId="77777777">
        <w:tc>
          <w:tcPr>
            <w:tcW w:w="0" w:type="auto"/>
            <w:gridSpan w:val="3"/>
            <w:shd w:val="clear" w:color="auto" w:fill="auto"/>
            <w:tcMar>
              <w:top w:w="40" w:type="dxa"/>
              <w:left w:w="20" w:type="dxa"/>
              <w:bottom w:w="40" w:type="dxa"/>
              <w:right w:w="20" w:type="dxa"/>
            </w:tcMar>
            <w:vAlign w:val="bottom"/>
          </w:tcPr>
          <w:p w14:paraId="20AE1D4A" w14:textId="77777777" w:rsidR="00B626E7" w:rsidRDefault="00175C1D">
            <w:pPr>
              <w:ind w:hanging="180"/>
              <w:textAlignment w:val="bottom"/>
            </w:pPr>
            <w:r>
              <w:rPr>
                <w:rFonts w:ascii="Arial" w:eastAsia="宋体" w:hAnsi="Arial" w:cs="Arial"/>
                <w:b/>
                <w:bCs/>
                <w:color w:val="333333"/>
                <w:sz w:val="18"/>
                <w:szCs w:val="18"/>
              </w:rPr>
              <w:t>Other comprehensive income (loss)</w:t>
            </w:r>
          </w:p>
        </w:tc>
        <w:tc>
          <w:tcPr>
            <w:tcW w:w="0" w:type="auto"/>
            <w:shd w:val="clear" w:color="auto" w:fill="auto"/>
          </w:tcPr>
          <w:p w14:paraId="20AE1D4B" w14:textId="77777777" w:rsidR="00B626E7" w:rsidRDefault="00B626E7">
            <w:pPr>
              <w:rPr>
                <w:rFonts w:ascii="宋体"/>
                <w:vanish/>
              </w:rPr>
            </w:pPr>
          </w:p>
        </w:tc>
        <w:tc>
          <w:tcPr>
            <w:tcW w:w="0" w:type="auto"/>
            <w:shd w:val="clear" w:color="auto" w:fill="auto"/>
          </w:tcPr>
          <w:p w14:paraId="20AE1D4C" w14:textId="77777777" w:rsidR="00B626E7" w:rsidRDefault="00B626E7">
            <w:pPr>
              <w:rPr>
                <w:rFonts w:ascii="宋体"/>
                <w:vanish/>
              </w:rPr>
            </w:pPr>
          </w:p>
        </w:tc>
        <w:tc>
          <w:tcPr>
            <w:tcW w:w="0" w:type="auto"/>
            <w:shd w:val="clear" w:color="auto" w:fill="auto"/>
          </w:tcPr>
          <w:p w14:paraId="20AE1D4D" w14:textId="77777777" w:rsidR="00B626E7" w:rsidRDefault="00B626E7">
            <w:pPr>
              <w:rPr>
                <w:rFonts w:ascii="宋体"/>
                <w:vanish/>
              </w:rPr>
            </w:pPr>
          </w:p>
        </w:tc>
        <w:tc>
          <w:tcPr>
            <w:tcW w:w="0" w:type="auto"/>
            <w:shd w:val="clear" w:color="auto" w:fill="auto"/>
          </w:tcPr>
          <w:p w14:paraId="20AE1D4E" w14:textId="77777777" w:rsidR="00B626E7" w:rsidRDefault="00B626E7">
            <w:pPr>
              <w:rPr>
                <w:rFonts w:ascii="宋体"/>
                <w:vanish/>
              </w:rPr>
            </w:pPr>
          </w:p>
        </w:tc>
        <w:tc>
          <w:tcPr>
            <w:tcW w:w="0" w:type="auto"/>
            <w:gridSpan w:val="3"/>
            <w:shd w:val="clear" w:color="auto" w:fill="auto"/>
            <w:tcMar>
              <w:left w:w="20" w:type="dxa"/>
              <w:right w:w="20" w:type="dxa"/>
            </w:tcMar>
            <w:vAlign w:val="bottom"/>
          </w:tcPr>
          <w:p w14:paraId="20AE1D4F"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1D50" w14:textId="77777777" w:rsidR="00B626E7" w:rsidRDefault="00175C1D">
            <w:pPr>
              <w:jc w:val="right"/>
              <w:textAlignment w:val="bottom"/>
            </w:pPr>
            <w:r>
              <w:rPr>
                <w:rFonts w:ascii="Arial" w:eastAsia="宋体" w:hAnsi="Arial" w:cs="Arial"/>
                <w:b/>
                <w:bCs/>
                <w:color w:val="0071C5"/>
                <w:sz w:val="18"/>
                <w:szCs w:val="18"/>
              </w:rPr>
              <w:t>51 </w:t>
            </w:r>
          </w:p>
        </w:tc>
        <w:tc>
          <w:tcPr>
            <w:tcW w:w="0" w:type="auto"/>
            <w:tcBorders>
              <w:top w:val="single" w:sz="8" w:space="0" w:color="333333"/>
            </w:tcBorders>
            <w:shd w:val="clear" w:color="auto" w:fill="auto"/>
            <w:tcMar>
              <w:top w:w="40" w:type="dxa"/>
              <w:bottom w:w="40" w:type="dxa"/>
              <w:right w:w="20" w:type="dxa"/>
            </w:tcMar>
            <w:vAlign w:val="bottom"/>
          </w:tcPr>
          <w:p w14:paraId="20AE1D51"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1D52"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1D53" w14:textId="77777777" w:rsidR="00B626E7" w:rsidRDefault="00175C1D">
            <w:pPr>
              <w:jc w:val="right"/>
              <w:textAlignment w:val="bottom"/>
            </w:pPr>
            <w:r>
              <w:rPr>
                <w:rFonts w:ascii="Arial" w:eastAsia="宋体" w:hAnsi="Arial" w:cs="Arial"/>
                <w:b/>
                <w:bCs/>
                <w:color w:val="0071C5"/>
                <w:sz w:val="18"/>
                <w:szCs w:val="18"/>
              </w:rPr>
              <w:t>23 </w:t>
            </w:r>
          </w:p>
        </w:tc>
        <w:tc>
          <w:tcPr>
            <w:tcW w:w="0" w:type="auto"/>
            <w:tcBorders>
              <w:top w:val="single" w:sz="8" w:space="0" w:color="333333"/>
            </w:tcBorders>
            <w:shd w:val="clear" w:color="auto" w:fill="auto"/>
            <w:tcMar>
              <w:top w:w="40" w:type="dxa"/>
              <w:bottom w:w="40" w:type="dxa"/>
              <w:right w:w="20" w:type="dxa"/>
            </w:tcMar>
            <w:vAlign w:val="bottom"/>
          </w:tcPr>
          <w:p w14:paraId="20AE1D54"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1D55"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1D56" w14:textId="77777777" w:rsidR="00B626E7" w:rsidRDefault="00175C1D">
            <w:pPr>
              <w:jc w:val="right"/>
              <w:textAlignment w:val="bottom"/>
            </w:pPr>
            <w:r>
              <w:rPr>
                <w:rFonts w:ascii="Arial" w:eastAsia="宋体" w:hAnsi="Arial" w:cs="Arial"/>
                <w:b/>
                <w:bCs/>
                <w:color w:val="0071C5"/>
                <w:sz w:val="18"/>
                <w:szCs w:val="18"/>
              </w:rPr>
              <w:t>54 </w:t>
            </w:r>
          </w:p>
        </w:tc>
        <w:tc>
          <w:tcPr>
            <w:tcW w:w="0" w:type="auto"/>
            <w:tcBorders>
              <w:top w:val="single" w:sz="8" w:space="0" w:color="333333"/>
            </w:tcBorders>
            <w:shd w:val="clear" w:color="auto" w:fill="auto"/>
            <w:tcMar>
              <w:top w:w="40" w:type="dxa"/>
              <w:bottom w:w="40" w:type="dxa"/>
              <w:right w:w="20" w:type="dxa"/>
            </w:tcMar>
            <w:vAlign w:val="bottom"/>
          </w:tcPr>
          <w:p w14:paraId="20AE1D57"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1D58"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1D59" w14:textId="77777777" w:rsidR="00B626E7" w:rsidRDefault="00175C1D">
            <w:pPr>
              <w:jc w:val="right"/>
              <w:textAlignment w:val="bottom"/>
            </w:pPr>
            <w:r>
              <w:rPr>
                <w:rFonts w:ascii="Arial" w:eastAsia="宋体" w:hAnsi="Arial" w:cs="Arial"/>
                <w:b/>
                <w:bCs/>
                <w:color w:val="0071C5"/>
                <w:sz w:val="18"/>
                <w:szCs w:val="18"/>
              </w:rPr>
              <w:t>128 </w:t>
            </w:r>
          </w:p>
        </w:tc>
        <w:tc>
          <w:tcPr>
            <w:tcW w:w="0" w:type="auto"/>
            <w:tcBorders>
              <w:top w:val="single" w:sz="8" w:space="0" w:color="333333"/>
            </w:tcBorders>
            <w:shd w:val="clear" w:color="auto" w:fill="auto"/>
            <w:tcMar>
              <w:top w:w="40" w:type="dxa"/>
              <w:bottom w:w="40" w:type="dxa"/>
              <w:right w:w="20" w:type="dxa"/>
            </w:tcMar>
            <w:vAlign w:val="bottom"/>
          </w:tcPr>
          <w:p w14:paraId="20AE1D5A" w14:textId="77777777" w:rsidR="00B626E7" w:rsidRDefault="00175C1D">
            <w:pPr>
              <w:jc w:val="right"/>
              <w:textAlignment w:val="bottom"/>
            </w:pPr>
            <w:r>
              <w:rPr>
                <w:rFonts w:ascii="Arial" w:eastAsia="宋体" w:hAnsi="Arial" w:cs="Arial"/>
                <w:b/>
                <w:bCs/>
                <w:color w:val="0071C5"/>
                <w:sz w:val="18"/>
                <w:szCs w:val="18"/>
              </w:rPr>
              <w:t> </w:t>
            </w:r>
          </w:p>
        </w:tc>
      </w:tr>
      <w:tr w:rsidR="00B626E7" w14:paraId="20AE1D71" w14:textId="77777777">
        <w:tc>
          <w:tcPr>
            <w:tcW w:w="0" w:type="auto"/>
            <w:gridSpan w:val="3"/>
            <w:shd w:val="clear" w:color="auto" w:fill="auto"/>
            <w:tcMar>
              <w:top w:w="40" w:type="dxa"/>
              <w:left w:w="20" w:type="dxa"/>
              <w:bottom w:w="40" w:type="dxa"/>
              <w:right w:w="20" w:type="dxa"/>
            </w:tcMar>
            <w:vAlign w:val="bottom"/>
          </w:tcPr>
          <w:p w14:paraId="20AE1D5C" w14:textId="77777777" w:rsidR="00B626E7" w:rsidRDefault="00175C1D">
            <w:pPr>
              <w:textAlignment w:val="bottom"/>
            </w:pPr>
            <w:r>
              <w:rPr>
                <w:rFonts w:ascii="Arial" w:eastAsia="宋体" w:hAnsi="Arial" w:cs="Arial"/>
                <w:b/>
                <w:bCs/>
                <w:color w:val="333333"/>
                <w:sz w:val="18"/>
                <w:szCs w:val="18"/>
              </w:rPr>
              <w:t>Balance as of June 27, 2020</w:t>
            </w:r>
          </w:p>
        </w:tc>
        <w:tc>
          <w:tcPr>
            <w:tcW w:w="0" w:type="auto"/>
            <w:shd w:val="clear" w:color="auto" w:fill="auto"/>
          </w:tcPr>
          <w:p w14:paraId="20AE1D5D" w14:textId="77777777" w:rsidR="00B626E7" w:rsidRDefault="00B626E7">
            <w:pPr>
              <w:rPr>
                <w:rFonts w:ascii="宋体"/>
                <w:vanish/>
              </w:rPr>
            </w:pPr>
          </w:p>
        </w:tc>
        <w:tc>
          <w:tcPr>
            <w:tcW w:w="0" w:type="auto"/>
            <w:shd w:val="clear" w:color="auto" w:fill="auto"/>
          </w:tcPr>
          <w:p w14:paraId="20AE1D5E" w14:textId="77777777" w:rsidR="00B626E7" w:rsidRDefault="00B626E7">
            <w:pPr>
              <w:rPr>
                <w:rFonts w:ascii="宋体"/>
                <w:vanish/>
              </w:rPr>
            </w:pPr>
          </w:p>
        </w:tc>
        <w:tc>
          <w:tcPr>
            <w:tcW w:w="0" w:type="auto"/>
            <w:shd w:val="clear" w:color="auto" w:fill="auto"/>
          </w:tcPr>
          <w:p w14:paraId="20AE1D5F" w14:textId="77777777" w:rsidR="00B626E7" w:rsidRDefault="00B626E7">
            <w:pPr>
              <w:rPr>
                <w:rFonts w:ascii="宋体"/>
                <w:vanish/>
              </w:rPr>
            </w:pPr>
          </w:p>
        </w:tc>
        <w:tc>
          <w:tcPr>
            <w:tcW w:w="0" w:type="auto"/>
            <w:shd w:val="clear" w:color="auto" w:fill="auto"/>
          </w:tcPr>
          <w:p w14:paraId="20AE1D60" w14:textId="77777777" w:rsidR="00B626E7" w:rsidRDefault="00B626E7">
            <w:pPr>
              <w:rPr>
                <w:rFonts w:ascii="宋体"/>
                <w:vanish/>
              </w:rPr>
            </w:pPr>
          </w:p>
        </w:tc>
        <w:tc>
          <w:tcPr>
            <w:tcW w:w="0" w:type="auto"/>
            <w:gridSpan w:val="3"/>
            <w:shd w:val="clear" w:color="auto" w:fill="auto"/>
            <w:tcMar>
              <w:left w:w="20" w:type="dxa"/>
              <w:right w:w="20" w:type="dxa"/>
            </w:tcMar>
            <w:vAlign w:val="bottom"/>
          </w:tcPr>
          <w:p w14:paraId="20AE1D61"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1D62" w14:textId="77777777" w:rsidR="00B626E7" w:rsidRDefault="00175C1D">
            <w:pPr>
              <w:textAlignment w:val="bottom"/>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1D63" w14:textId="77777777" w:rsidR="00B626E7" w:rsidRDefault="00175C1D">
            <w:pPr>
              <w:jc w:val="right"/>
              <w:textAlignment w:val="bottom"/>
            </w:pPr>
            <w:r>
              <w:rPr>
                <w:rFonts w:ascii="Arial" w:eastAsia="宋体" w:hAnsi="Arial" w:cs="Arial"/>
                <w:b/>
                <w:bCs/>
                <w:color w:val="0071C5"/>
                <w:sz w:val="18"/>
                <w:szCs w:val="18"/>
              </w:rPr>
              <w:t>105 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1D64"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1D65"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1D66" w14:textId="77777777" w:rsidR="00B626E7" w:rsidRDefault="00175C1D">
            <w:pPr>
              <w:textAlignment w:val="bottom"/>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1D67" w14:textId="77777777" w:rsidR="00B626E7" w:rsidRDefault="00175C1D">
            <w:pPr>
              <w:jc w:val="right"/>
              <w:textAlignment w:val="bottom"/>
            </w:pPr>
            <w:r>
              <w:rPr>
                <w:rFonts w:ascii="Arial" w:eastAsia="宋体" w:hAnsi="Arial" w:cs="Arial"/>
                <w:b/>
                <w:bCs/>
                <w:color w:val="0071C5"/>
                <w:sz w:val="18"/>
                <w:szCs w:val="18"/>
              </w:rPr>
              <w:t>(1,359)</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1D68"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1D69"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1D6A" w14:textId="77777777" w:rsidR="00B626E7" w:rsidRDefault="00175C1D">
            <w:pPr>
              <w:textAlignment w:val="bottom"/>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1D6B" w14:textId="77777777" w:rsidR="00B626E7" w:rsidRDefault="00175C1D">
            <w:pPr>
              <w:jc w:val="right"/>
              <w:textAlignment w:val="bottom"/>
            </w:pPr>
            <w:r>
              <w:rPr>
                <w:rFonts w:ascii="Arial" w:eastAsia="宋体" w:hAnsi="Arial" w:cs="Arial"/>
                <w:b/>
                <w:bCs/>
                <w:color w:val="0071C5"/>
                <w:sz w:val="18"/>
                <w:szCs w:val="18"/>
              </w:rPr>
              <w:t>102 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1D6C"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1D6D"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1D6E" w14:textId="77777777" w:rsidR="00B626E7" w:rsidRDefault="00175C1D">
            <w:pPr>
              <w:textAlignment w:val="bottom"/>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1D6F" w14:textId="77777777" w:rsidR="00B626E7" w:rsidRDefault="00175C1D">
            <w:pPr>
              <w:jc w:val="right"/>
              <w:textAlignment w:val="bottom"/>
            </w:pPr>
            <w:r>
              <w:rPr>
                <w:rFonts w:ascii="Arial" w:eastAsia="宋体" w:hAnsi="Arial" w:cs="Arial"/>
                <w:b/>
                <w:bCs/>
                <w:color w:val="0071C5"/>
                <w:sz w:val="18"/>
                <w:szCs w:val="18"/>
              </w:rPr>
              <w:t>(1,152)</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1D70" w14:textId="77777777" w:rsidR="00B626E7" w:rsidRDefault="00175C1D">
            <w:pPr>
              <w:jc w:val="right"/>
              <w:textAlignment w:val="bottom"/>
            </w:pPr>
            <w:r>
              <w:rPr>
                <w:rFonts w:ascii="Arial" w:eastAsia="宋体" w:hAnsi="Arial" w:cs="Arial"/>
                <w:b/>
                <w:bCs/>
                <w:color w:val="0071C5"/>
                <w:sz w:val="18"/>
                <w:szCs w:val="18"/>
              </w:rPr>
              <w:t> </w:t>
            </w:r>
          </w:p>
        </w:tc>
      </w:tr>
    </w:tbl>
    <w:p w14:paraId="20AE1D72" w14:textId="77777777" w:rsidR="00B626E7" w:rsidRDefault="00175C1D">
      <w:pPr>
        <w:spacing w:before="300" w:after="180"/>
      </w:pPr>
      <w:r>
        <w:rPr>
          <w:rFonts w:ascii="Arial" w:eastAsia="宋体" w:hAnsi="Arial" w:cs="Arial"/>
          <w:color w:val="333333"/>
          <w:sz w:val="18"/>
          <w:szCs w:val="18"/>
        </w:rPr>
        <w:t>We estimate that we will reclassify approximately $48 million (before taxes) of net derivative gains included in accumulat</w:t>
      </w:r>
      <w:r>
        <w:rPr>
          <w:rFonts w:ascii="Arial" w:eastAsia="宋体" w:hAnsi="Arial" w:cs="Arial"/>
          <w:color w:val="333333"/>
          <w:sz w:val="18"/>
          <w:szCs w:val="18"/>
        </w:rPr>
        <w:t xml:space="preserve">ed other comprehensive income (loss) into earnings within the next 12 months. </w:t>
      </w:r>
    </w:p>
    <w:p w14:paraId="20AE1D73" w14:textId="77777777" w:rsidR="00B626E7" w:rsidRDefault="00B626E7">
      <w:pPr>
        <w:spacing w:after="180"/>
      </w:pPr>
    </w:p>
    <w:p w14:paraId="20AE1D74" w14:textId="77777777" w:rsidR="00B626E7" w:rsidRDefault="00B626E7">
      <w:pPr>
        <w:spacing w:after="180"/>
      </w:pPr>
    </w:p>
    <w:p w14:paraId="20AE1D75" w14:textId="77777777" w:rsidR="00B626E7" w:rsidRDefault="00B626E7">
      <w:pPr>
        <w:spacing w:after="180"/>
      </w:pPr>
    </w:p>
    <w:p w14:paraId="20AE1D76" w14:textId="77777777" w:rsidR="00B626E7" w:rsidRDefault="00B626E7">
      <w:pPr>
        <w:spacing w:after="180"/>
      </w:pPr>
    </w:p>
    <w:p w14:paraId="20AE1D77" w14:textId="77777777" w:rsidR="00B626E7" w:rsidRDefault="00B626E7">
      <w:pPr>
        <w:spacing w:after="180"/>
      </w:pPr>
    </w:p>
    <w:p w14:paraId="20AE1D78" w14:textId="77777777" w:rsidR="00B626E7" w:rsidRDefault="00B626E7">
      <w:pPr>
        <w:spacing w:after="180"/>
      </w:pPr>
    </w:p>
    <w:p w14:paraId="20AE1D79" w14:textId="77777777" w:rsidR="00B626E7" w:rsidRDefault="00B626E7">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4"/>
        <w:gridCol w:w="2423"/>
        <w:gridCol w:w="84"/>
        <w:gridCol w:w="83"/>
        <w:gridCol w:w="3471"/>
        <w:gridCol w:w="83"/>
        <w:gridCol w:w="83"/>
        <w:gridCol w:w="1942"/>
        <w:gridCol w:w="83"/>
      </w:tblGrid>
      <w:tr w:rsidR="00B626E7" w14:paraId="20AE1D83" w14:textId="77777777">
        <w:tc>
          <w:tcPr>
            <w:tcW w:w="50" w:type="pct"/>
            <w:shd w:val="clear" w:color="auto" w:fill="auto"/>
            <w:vAlign w:val="bottom"/>
          </w:tcPr>
          <w:p w14:paraId="20AE1D7A" w14:textId="77777777" w:rsidR="00B626E7" w:rsidRDefault="00B626E7">
            <w:pPr>
              <w:rPr>
                <w:rFonts w:ascii="宋体"/>
              </w:rPr>
            </w:pPr>
          </w:p>
        </w:tc>
        <w:tc>
          <w:tcPr>
            <w:tcW w:w="1452" w:type="pct"/>
            <w:shd w:val="clear" w:color="auto" w:fill="auto"/>
            <w:vAlign w:val="bottom"/>
          </w:tcPr>
          <w:p w14:paraId="20AE1D7B" w14:textId="77777777" w:rsidR="00B626E7" w:rsidRDefault="00B626E7">
            <w:pPr>
              <w:rPr>
                <w:rFonts w:ascii="宋体"/>
              </w:rPr>
            </w:pPr>
          </w:p>
        </w:tc>
        <w:tc>
          <w:tcPr>
            <w:tcW w:w="50" w:type="pct"/>
            <w:shd w:val="clear" w:color="auto" w:fill="auto"/>
            <w:vAlign w:val="bottom"/>
          </w:tcPr>
          <w:p w14:paraId="20AE1D7C" w14:textId="77777777" w:rsidR="00B626E7" w:rsidRDefault="00B626E7">
            <w:pPr>
              <w:rPr>
                <w:rFonts w:ascii="宋体"/>
              </w:rPr>
            </w:pPr>
          </w:p>
        </w:tc>
        <w:tc>
          <w:tcPr>
            <w:tcW w:w="50" w:type="pct"/>
            <w:shd w:val="clear" w:color="auto" w:fill="auto"/>
            <w:vAlign w:val="bottom"/>
          </w:tcPr>
          <w:p w14:paraId="20AE1D7D" w14:textId="77777777" w:rsidR="00B626E7" w:rsidRDefault="00B626E7">
            <w:pPr>
              <w:rPr>
                <w:rFonts w:ascii="宋体"/>
              </w:rPr>
            </w:pPr>
          </w:p>
        </w:tc>
        <w:tc>
          <w:tcPr>
            <w:tcW w:w="2081" w:type="pct"/>
            <w:shd w:val="clear" w:color="auto" w:fill="auto"/>
            <w:vAlign w:val="bottom"/>
          </w:tcPr>
          <w:p w14:paraId="20AE1D7E" w14:textId="77777777" w:rsidR="00B626E7" w:rsidRDefault="00B626E7">
            <w:pPr>
              <w:rPr>
                <w:rFonts w:ascii="宋体"/>
              </w:rPr>
            </w:pPr>
          </w:p>
        </w:tc>
        <w:tc>
          <w:tcPr>
            <w:tcW w:w="50" w:type="pct"/>
            <w:shd w:val="clear" w:color="auto" w:fill="auto"/>
            <w:vAlign w:val="bottom"/>
          </w:tcPr>
          <w:p w14:paraId="20AE1D7F" w14:textId="77777777" w:rsidR="00B626E7" w:rsidRDefault="00B626E7">
            <w:pPr>
              <w:rPr>
                <w:rFonts w:ascii="宋体"/>
              </w:rPr>
            </w:pPr>
          </w:p>
        </w:tc>
        <w:tc>
          <w:tcPr>
            <w:tcW w:w="50" w:type="pct"/>
            <w:shd w:val="clear" w:color="auto" w:fill="auto"/>
            <w:vAlign w:val="bottom"/>
          </w:tcPr>
          <w:p w14:paraId="20AE1D80" w14:textId="77777777" w:rsidR="00B626E7" w:rsidRDefault="00B626E7">
            <w:pPr>
              <w:rPr>
                <w:rFonts w:ascii="宋体"/>
              </w:rPr>
            </w:pPr>
          </w:p>
        </w:tc>
        <w:tc>
          <w:tcPr>
            <w:tcW w:w="1165" w:type="pct"/>
            <w:shd w:val="clear" w:color="auto" w:fill="auto"/>
            <w:vAlign w:val="bottom"/>
          </w:tcPr>
          <w:p w14:paraId="20AE1D81" w14:textId="77777777" w:rsidR="00B626E7" w:rsidRDefault="00B626E7">
            <w:pPr>
              <w:rPr>
                <w:rFonts w:ascii="宋体"/>
              </w:rPr>
            </w:pPr>
          </w:p>
        </w:tc>
        <w:tc>
          <w:tcPr>
            <w:tcW w:w="50" w:type="pct"/>
            <w:shd w:val="clear" w:color="auto" w:fill="auto"/>
            <w:vAlign w:val="bottom"/>
          </w:tcPr>
          <w:p w14:paraId="20AE1D82" w14:textId="77777777" w:rsidR="00B626E7" w:rsidRDefault="00B626E7">
            <w:pPr>
              <w:rPr>
                <w:rFonts w:ascii="宋体"/>
              </w:rPr>
            </w:pPr>
          </w:p>
        </w:tc>
      </w:tr>
      <w:tr w:rsidR="00B626E7" w14:paraId="20AE1D87" w14:textId="77777777">
        <w:tc>
          <w:tcPr>
            <w:tcW w:w="0" w:type="auto"/>
            <w:gridSpan w:val="3"/>
            <w:tcBorders>
              <w:top w:val="single" w:sz="8" w:space="0" w:color="0071C5"/>
            </w:tcBorders>
            <w:shd w:val="clear" w:color="auto" w:fill="auto"/>
            <w:tcMar>
              <w:top w:w="40" w:type="dxa"/>
              <w:left w:w="20" w:type="dxa"/>
              <w:bottom w:w="40" w:type="dxa"/>
              <w:right w:w="20" w:type="dxa"/>
            </w:tcMar>
            <w:vAlign w:val="center"/>
          </w:tcPr>
          <w:p w14:paraId="20AE1D84" w14:textId="77777777" w:rsidR="00B626E7" w:rsidRDefault="00175C1D">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Viewer10_files/intc-20200627_g15.jpg"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53" wp14:editId="20AE3C54">
                  <wp:extent cx="304800" cy="304800"/>
                  <wp:effectExtent l="0" t="0" r="0" b="0"/>
                  <wp:docPr id="45" name="图片 79"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79" descr="IMG_28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Arial" w:eastAsia="宋体" w:hAnsi="Arial" w:cs="Arial"/>
                <w:color w:val="333333"/>
                <w:sz w:val="16"/>
                <w:szCs w:val="16"/>
              </w:rPr>
              <w:t>FINANCIAL STATEMENTS</w:t>
            </w:r>
          </w:p>
        </w:tc>
        <w:tc>
          <w:tcPr>
            <w:tcW w:w="0" w:type="auto"/>
            <w:gridSpan w:val="3"/>
            <w:tcBorders>
              <w:top w:val="single" w:sz="8" w:space="0" w:color="0071C5"/>
              <w:left w:val="single" w:sz="24" w:space="0" w:color="0071C5"/>
            </w:tcBorders>
            <w:shd w:val="clear" w:color="auto" w:fill="auto"/>
            <w:tcMar>
              <w:top w:w="40" w:type="dxa"/>
              <w:left w:w="20" w:type="dxa"/>
              <w:bottom w:w="40" w:type="dxa"/>
              <w:right w:w="20" w:type="dxa"/>
            </w:tcMar>
            <w:vAlign w:val="bottom"/>
          </w:tcPr>
          <w:p w14:paraId="20AE1D85" w14:textId="77777777" w:rsidR="00B626E7" w:rsidRDefault="00175C1D">
            <w:pPr>
              <w:textAlignment w:val="bottom"/>
            </w:pPr>
            <w:r>
              <w:rPr>
                <w:rFonts w:ascii="Arial" w:eastAsia="宋体" w:hAnsi="Arial" w:cs="Arial"/>
                <w:color w:val="333333"/>
                <w:sz w:val="16"/>
                <w:szCs w:val="16"/>
              </w:rPr>
              <w:t>  Notes to Financial Statements</w:t>
            </w: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1D86" w14:textId="77777777" w:rsidR="00B626E7" w:rsidRDefault="00175C1D">
            <w:pPr>
              <w:jc w:val="right"/>
              <w:textAlignment w:val="bottom"/>
            </w:pPr>
            <w:r>
              <w:rPr>
                <w:rFonts w:ascii="Arial" w:eastAsia="宋体" w:hAnsi="Arial" w:cs="Arial"/>
                <w:color w:val="333333"/>
                <w:sz w:val="16"/>
                <w:szCs w:val="16"/>
              </w:rPr>
              <w:t>20</w:t>
            </w:r>
          </w:p>
        </w:tc>
      </w:tr>
    </w:tbl>
    <w:p w14:paraId="20AE1D88" w14:textId="77777777" w:rsidR="00B626E7" w:rsidRDefault="00175C1D">
      <w:r>
        <w:pict w14:anchorId="20AE3C55">
          <v:rect id="_x0000_i1046" style="width:415.3pt;height:1.5pt" o:hralign="center" o:hrstd="t" o:hr="t" fillcolor="#a0a0a0" stroked="f"/>
        </w:pict>
      </w:r>
    </w:p>
    <w:p w14:paraId="20AE1D89" w14:textId="77777777" w:rsidR="00B626E7" w:rsidRDefault="00175C1D">
      <w:pPr>
        <w:spacing w:after="180"/>
        <w:jc w:val="right"/>
      </w:pPr>
      <w:hyperlink r:id="rId47" w:anchor="ib035cc8759904e51927d703ec8414366_7" w:history="1">
        <w:r>
          <w:rPr>
            <w:rStyle w:val="a5"/>
            <w:rFonts w:ascii="Arial" w:eastAsia="宋体" w:hAnsi="Arial" w:cs="Arial"/>
            <w:b/>
            <w:bCs/>
            <w:sz w:val="16"/>
            <w:szCs w:val="16"/>
          </w:rPr>
          <w:t>Table of Contents</w:t>
        </w:r>
      </w:hyperlink>
    </w:p>
    <w:p w14:paraId="20AE1D8A" w14:textId="77777777" w:rsidR="00B626E7" w:rsidRDefault="00B626E7">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84"/>
        <w:gridCol w:w="937"/>
        <w:gridCol w:w="83"/>
        <w:gridCol w:w="83"/>
        <w:gridCol w:w="7066"/>
        <w:gridCol w:w="83"/>
      </w:tblGrid>
      <w:tr w:rsidR="00B626E7" w14:paraId="20AE1D91" w14:textId="77777777">
        <w:tc>
          <w:tcPr>
            <w:tcW w:w="50" w:type="pct"/>
            <w:shd w:val="clear" w:color="auto" w:fill="auto"/>
          </w:tcPr>
          <w:p w14:paraId="20AE1D8B" w14:textId="77777777" w:rsidR="00B626E7" w:rsidRDefault="00B626E7">
            <w:pPr>
              <w:rPr>
                <w:rFonts w:ascii="宋体"/>
              </w:rPr>
            </w:pPr>
          </w:p>
        </w:tc>
        <w:tc>
          <w:tcPr>
            <w:tcW w:w="562" w:type="pct"/>
            <w:shd w:val="clear" w:color="auto" w:fill="auto"/>
          </w:tcPr>
          <w:p w14:paraId="20AE1D8C" w14:textId="77777777" w:rsidR="00B626E7" w:rsidRDefault="00B626E7">
            <w:pPr>
              <w:rPr>
                <w:rFonts w:ascii="宋体"/>
              </w:rPr>
            </w:pPr>
          </w:p>
        </w:tc>
        <w:tc>
          <w:tcPr>
            <w:tcW w:w="50" w:type="pct"/>
            <w:shd w:val="clear" w:color="auto" w:fill="auto"/>
          </w:tcPr>
          <w:p w14:paraId="20AE1D8D" w14:textId="77777777" w:rsidR="00B626E7" w:rsidRDefault="00B626E7">
            <w:pPr>
              <w:rPr>
                <w:rFonts w:ascii="宋体"/>
              </w:rPr>
            </w:pPr>
          </w:p>
        </w:tc>
        <w:tc>
          <w:tcPr>
            <w:tcW w:w="50" w:type="pct"/>
            <w:shd w:val="clear" w:color="auto" w:fill="auto"/>
          </w:tcPr>
          <w:p w14:paraId="20AE1D8E" w14:textId="77777777" w:rsidR="00B626E7" w:rsidRDefault="00B626E7">
            <w:pPr>
              <w:rPr>
                <w:rFonts w:ascii="宋体"/>
              </w:rPr>
            </w:pPr>
          </w:p>
        </w:tc>
        <w:tc>
          <w:tcPr>
            <w:tcW w:w="4237" w:type="pct"/>
            <w:shd w:val="clear" w:color="auto" w:fill="auto"/>
          </w:tcPr>
          <w:p w14:paraId="20AE1D8F" w14:textId="77777777" w:rsidR="00B626E7" w:rsidRDefault="00B626E7">
            <w:pPr>
              <w:rPr>
                <w:rFonts w:ascii="宋体"/>
              </w:rPr>
            </w:pPr>
          </w:p>
        </w:tc>
        <w:tc>
          <w:tcPr>
            <w:tcW w:w="50" w:type="pct"/>
            <w:shd w:val="clear" w:color="auto" w:fill="auto"/>
          </w:tcPr>
          <w:p w14:paraId="20AE1D90" w14:textId="77777777" w:rsidR="00B626E7" w:rsidRDefault="00B626E7">
            <w:pPr>
              <w:rPr>
                <w:rFonts w:ascii="宋体"/>
              </w:rPr>
            </w:pPr>
          </w:p>
        </w:tc>
      </w:tr>
      <w:tr w:rsidR="00B626E7" w14:paraId="20AE1D94" w14:textId="77777777">
        <w:tc>
          <w:tcPr>
            <w:tcW w:w="0" w:type="auto"/>
            <w:gridSpan w:val="3"/>
            <w:tcBorders>
              <w:bottom w:val="single" w:sz="8" w:space="0" w:color="0071C5"/>
            </w:tcBorders>
            <w:shd w:val="clear" w:color="auto" w:fill="0071C5"/>
            <w:tcMar>
              <w:top w:w="40" w:type="dxa"/>
              <w:left w:w="20" w:type="dxa"/>
              <w:bottom w:w="40" w:type="dxa"/>
              <w:right w:w="20" w:type="dxa"/>
            </w:tcMar>
            <w:vAlign w:val="bottom"/>
          </w:tcPr>
          <w:p w14:paraId="20AE1D92" w14:textId="77777777" w:rsidR="00B626E7" w:rsidRDefault="00175C1D">
            <w:pPr>
              <w:textAlignment w:val="bottom"/>
            </w:pPr>
            <w:r>
              <w:rPr>
                <w:rFonts w:ascii="Arial" w:eastAsia="宋体" w:hAnsi="Arial" w:cs="Arial"/>
                <w:b/>
                <w:bCs/>
                <w:color w:val="FFFFFF"/>
                <w:sz w:val="28"/>
                <w:szCs w:val="28"/>
              </w:rPr>
              <w:t xml:space="preserve">NOTE 12 : </w:t>
            </w:r>
          </w:p>
        </w:tc>
        <w:tc>
          <w:tcPr>
            <w:tcW w:w="0" w:type="auto"/>
            <w:gridSpan w:val="3"/>
            <w:tcBorders>
              <w:bottom w:val="single" w:sz="8" w:space="0" w:color="0071C5"/>
            </w:tcBorders>
            <w:shd w:val="clear" w:color="auto" w:fill="auto"/>
            <w:tcMar>
              <w:top w:w="40" w:type="dxa"/>
              <w:left w:w="20" w:type="dxa"/>
              <w:bottom w:w="40" w:type="dxa"/>
              <w:right w:w="20" w:type="dxa"/>
            </w:tcMar>
            <w:vAlign w:val="bottom"/>
          </w:tcPr>
          <w:p w14:paraId="20AE1D93" w14:textId="77777777" w:rsidR="00B626E7" w:rsidRDefault="00175C1D">
            <w:pPr>
              <w:textAlignment w:val="bottom"/>
            </w:pPr>
            <w:r>
              <w:rPr>
                <w:rFonts w:ascii="Arial" w:eastAsia="宋体" w:hAnsi="Arial" w:cs="Arial"/>
                <w:b/>
                <w:bCs/>
                <w:color w:val="0071C5"/>
                <w:sz w:val="28"/>
                <w:szCs w:val="28"/>
              </w:rPr>
              <w:t>DERIVATIVE FINANCIAL INSTRUMENTS</w:t>
            </w:r>
          </w:p>
        </w:tc>
      </w:tr>
    </w:tbl>
    <w:p w14:paraId="20AE1D95" w14:textId="77777777" w:rsidR="00B626E7" w:rsidRDefault="00175C1D">
      <w:pPr>
        <w:spacing w:before="300" w:after="180"/>
      </w:pPr>
      <w:r>
        <w:rPr>
          <w:rFonts w:ascii="Arial" w:eastAsia="宋体" w:hAnsi="Arial" w:cs="Arial"/>
          <w:b/>
          <w:bCs/>
          <w:color w:val="0071C5"/>
        </w:rPr>
        <w:t xml:space="preserve">VOLUME OF DERIVATIVE </w:t>
      </w:r>
      <w:r>
        <w:rPr>
          <w:rFonts w:ascii="Arial" w:eastAsia="宋体" w:hAnsi="Arial" w:cs="Arial"/>
          <w:b/>
          <w:bCs/>
          <w:color w:val="0071C5"/>
        </w:rPr>
        <w:t>ACTIVITY</w:t>
      </w:r>
    </w:p>
    <w:p w14:paraId="20AE1D96" w14:textId="77777777" w:rsidR="00B626E7" w:rsidRDefault="00175C1D">
      <w:pPr>
        <w:spacing w:after="120"/>
      </w:pPr>
      <w:r>
        <w:rPr>
          <w:rFonts w:ascii="Arial" w:eastAsia="宋体" w:hAnsi="Arial" w:cs="Arial"/>
          <w:color w:val="333333"/>
          <w:sz w:val="18"/>
          <w:szCs w:val="18"/>
        </w:rPr>
        <w:t>Total gross notional amounts for outstanding derivatives (recorded at fair value) at the end of each period were as follows: </w:t>
      </w:r>
    </w:p>
    <w:tbl>
      <w:tblPr>
        <w:tblW w:w="5000" w:type="pct"/>
        <w:tblCellMar>
          <w:top w:w="15" w:type="dxa"/>
          <w:left w:w="15" w:type="dxa"/>
          <w:bottom w:w="15" w:type="dxa"/>
          <w:right w:w="15" w:type="dxa"/>
        </w:tblCellMar>
        <w:tblLook w:val="04A0" w:firstRow="1" w:lastRow="0" w:firstColumn="1" w:lastColumn="0" w:noHBand="0" w:noVBand="1"/>
      </w:tblPr>
      <w:tblGrid>
        <w:gridCol w:w="50"/>
        <w:gridCol w:w="5989"/>
        <w:gridCol w:w="51"/>
        <w:gridCol w:w="36"/>
        <w:gridCol w:w="36"/>
        <w:gridCol w:w="36"/>
        <w:gridCol w:w="136"/>
        <w:gridCol w:w="757"/>
        <w:gridCol w:w="86"/>
        <w:gridCol w:w="36"/>
        <w:gridCol w:w="36"/>
        <w:gridCol w:w="36"/>
        <w:gridCol w:w="136"/>
        <w:gridCol w:w="757"/>
        <w:gridCol w:w="86"/>
        <w:gridCol w:w="36"/>
        <w:gridCol w:w="36"/>
      </w:tblGrid>
      <w:tr w:rsidR="00B626E7" w14:paraId="20AE1DA8" w14:textId="77777777">
        <w:tc>
          <w:tcPr>
            <w:tcW w:w="50" w:type="pct"/>
            <w:shd w:val="clear" w:color="auto" w:fill="auto"/>
          </w:tcPr>
          <w:p w14:paraId="20AE1D97" w14:textId="77777777" w:rsidR="00B626E7" w:rsidRDefault="00B626E7">
            <w:pPr>
              <w:rPr>
                <w:rFonts w:ascii="宋体"/>
              </w:rPr>
            </w:pPr>
          </w:p>
        </w:tc>
        <w:tc>
          <w:tcPr>
            <w:tcW w:w="3643" w:type="pct"/>
            <w:shd w:val="clear" w:color="auto" w:fill="auto"/>
          </w:tcPr>
          <w:p w14:paraId="20AE1D98" w14:textId="77777777" w:rsidR="00B626E7" w:rsidRDefault="00B626E7">
            <w:pPr>
              <w:rPr>
                <w:rFonts w:ascii="宋体"/>
              </w:rPr>
            </w:pPr>
          </w:p>
        </w:tc>
        <w:tc>
          <w:tcPr>
            <w:tcW w:w="50" w:type="pct"/>
            <w:shd w:val="clear" w:color="auto" w:fill="auto"/>
          </w:tcPr>
          <w:p w14:paraId="20AE1D99" w14:textId="77777777" w:rsidR="00B626E7" w:rsidRDefault="00B626E7">
            <w:pPr>
              <w:rPr>
                <w:rFonts w:ascii="宋体"/>
              </w:rPr>
            </w:pPr>
          </w:p>
        </w:tc>
        <w:tc>
          <w:tcPr>
            <w:tcW w:w="5" w:type="pct"/>
            <w:shd w:val="clear" w:color="auto" w:fill="auto"/>
          </w:tcPr>
          <w:p w14:paraId="20AE1D9A" w14:textId="77777777" w:rsidR="00B626E7" w:rsidRDefault="00B626E7">
            <w:pPr>
              <w:rPr>
                <w:rFonts w:ascii="宋体"/>
              </w:rPr>
            </w:pPr>
          </w:p>
        </w:tc>
        <w:tc>
          <w:tcPr>
            <w:tcW w:w="24" w:type="pct"/>
            <w:shd w:val="clear" w:color="auto" w:fill="auto"/>
          </w:tcPr>
          <w:p w14:paraId="20AE1D9B" w14:textId="77777777" w:rsidR="00B626E7" w:rsidRDefault="00B626E7">
            <w:pPr>
              <w:rPr>
                <w:rFonts w:ascii="宋体"/>
              </w:rPr>
            </w:pPr>
          </w:p>
        </w:tc>
        <w:tc>
          <w:tcPr>
            <w:tcW w:w="5" w:type="pct"/>
            <w:shd w:val="clear" w:color="auto" w:fill="auto"/>
          </w:tcPr>
          <w:p w14:paraId="20AE1D9C" w14:textId="77777777" w:rsidR="00B626E7" w:rsidRDefault="00B626E7">
            <w:pPr>
              <w:rPr>
                <w:rFonts w:ascii="宋体"/>
              </w:rPr>
            </w:pPr>
          </w:p>
        </w:tc>
        <w:tc>
          <w:tcPr>
            <w:tcW w:w="50" w:type="pct"/>
            <w:shd w:val="clear" w:color="auto" w:fill="auto"/>
          </w:tcPr>
          <w:p w14:paraId="20AE1D9D" w14:textId="77777777" w:rsidR="00B626E7" w:rsidRDefault="00B626E7">
            <w:pPr>
              <w:rPr>
                <w:rFonts w:ascii="宋体"/>
              </w:rPr>
            </w:pPr>
          </w:p>
        </w:tc>
        <w:tc>
          <w:tcPr>
            <w:tcW w:w="494" w:type="pct"/>
            <w:shd w:val="clear" w:color="auto" w:fill="auto"/>
          </w:tcPr>
          <w:p w14:paraId="20AE1D9E" w14:textId="77777777" w:rsidR="00B626E7" w:rsidRDefault="00B626E7">
            <w:pPr>
              <w:rPr>
                <w:rFonts w:ascii="宋体"/>
              </w:rPr>
            </w:pPr>
          </w:p>
        </w:tc>
        <w:tc>
          <w:tcPr>
            <w:tcW w:w="50" w:type="pct"/>
            <w:shd w:val="clear" w:color="auto" w:fill="auto"/>
          </w:tcPr>
          <w:p w14:paraId="20AE1D9F" w14:textId="77777777" w:rsidR="00B626E7" w:rsidRDefault="00B626E7">
            <w:pPr>
              <w:rPr>
                <w:rFonts w:ascii="宋体"/>
              </w:rPr>
            </w:pPr>
          </w:p>
        </w:tc>
        <w:tc>
          <w:tcPr>
            <w:tcW w:w="5" w:type="pct"/>
            <w:shd w:val="clear" w:color="auto" w:fill="auto"/>
          </w:tcPr>
          <w:p w14:paraId="20AE1DA0" w14:textId="77777777" w:rsidR="00B626E7" w:rsidRDefault="00B626E7">
            <w:pPr>
              <w:rPr>
                <w:rFonts w:ascii="宋体"/>
              </w:rPr>
            </w:pPr>
          </w:p>
        </w:tc>
        <w:tc>
          <w:tcPr>
            <w:tcW w:w="24" w:type="pct"/>
            <w:shd w:val="clear" w:color="auto" w:fill="auto"/>
          </w:tcPr>
          <w:p w14:paraId="20AE1DA1" w14:textId="77777777" w:rsidR="00B626E7" w:rsidRDefault="00B626E7">
            <w:pPr>
              <w:rPr>
                <w:rFonts w:ascii="宋体"/>
              </w:rPr>
            </w:pPr>
          </w:p>
        </w:tc>
        <w:tc>
          <w:tcPr>
            <w:tcW w:w="5" w:type="pct"/>
            <w:shd w:val="clear" w:color="auto" w:fill="auto"/>
          </w:tcPr>
          <w:p w14:paraId="20AE1DA2" w14:textId="77777777" w:rsidR="00B626E7" w:rsidRDefault="00B626E7">
            <w:pPr>
              <w:rPr>
                <w:rFonts w:ascii="宋体"/>
              </w:rPr>
            </w:pPr>
          </w:p>
        </w:tc>
        <w:tc>
          <w:tcPr>
            <w:tcW w:w="50" w:type="pct"/>
            <w:shd w:val="clear" w:color="auto" w:fill="auto"/>
          </w:tcPr>
          <w:p w14:paraId="20AE1DA3" w14:textId="77777777" w:rsidR="00B626E7" w:rsidRDefault="00B626E7">
            <w:pPr>
              <w:rPr>
                <w:rFonts w:ascii="宋体"/>
              </w:rPr>
            </w:pPr>
          </w:p>
        </w:tc>
        <w:tc>
          <w:tcPr>
            <w:tcW w:w="494" w:type="pct"/>
            <w:shd w:val="clear" w:color="auto" w:fill="auto"/>
          </w:tcPr>
          <w:p w14:paraId="20AE1DA4" w14:textId="77777777" w:rsidR="00B626E7" w:rsidRDefault="00B626E7">
            <w:pPr>
              <w:rPr>
                <w:rFonts w:ascii="宋体"/>
              </w:rPr>
            </w:pPr>
          </w:p>
        </w:tc>
        <w:tc>
          <w:tcPr>
            <w:tcW w:w="50" w:type="pct"/>
            <w:shd w:val="clear" w:color="auto" w:fill="auto"/>
          </w:tcPr>
          <w:p w14:paraId="20AE1DA5" w14:textId="77777777" w:rsidR="00B626E7" w:rsidRDefault="00B626E7">
            <w:pPr>
              <w:rPr>
                <w:rFonts w:ascii="宋体"/>
              </w:rPr>
            </w:pPr>
          </w:p>
        </w:tc>
        <w:tc>
          <w:tcPr>
            <w:tcW w:w="0" w:type="auto"/>
            <w:shd w:val="clear" w:color="auto" w:fill="auto"/>
          </w:tcPr>
          <w:p w14:paraId="20AE1DA6" w14:textId="77777777" w:rsidR="00B626E7" w:rsidRDefault="00B626E7">
            <w:pPr>
              <w:rPr>
                <w:rFonts w:ascii="宋体"/>
                <w:vanish/>
              </w:rPr>
            </w:pPr>
          </w:p>
        </w:tc>
        <w:tc>
          <w:tcPr>
            <w:tcW w:w="0" w:type="auto"/>
            <w:shd w:val="clear" w:color="auto" w:fill="auto"/>
          </w:tcPr>
          <w:p w14:paraId="20AE1DA7" w14:textId="77777777" w:rsidR="00B626E7" w:rsidRDefault="00B626E7">
            <w:pPr>
              <w:rPr>
                <w:rFonts w:ascii="宋体"/>
                <w:vanish/>
              </w:rPr>
            </w:pPr>
          </w:p>
        </w:tc>
      </w:tr>
      <w:tr w:rsidR="00B626E7" w14:paraId="20AE1DB0" w14:textId="77777777">
        <w:tc>
          <w:tcPr>
            <w:tcW w:w="0" w:type="auto"/>
            <w:gridSpan w:val="3"/>
            <w:shd w:val="clear" w:color="auto" w:fill="auto"/>
            <w:tcMar>
              <w:top w:w="40" w:type="dxa"/>
              <w:left w:w="20" w:type="dxa"/>
              <w:bottom w:w="40" w:type="dxa"/>
              <w:right w:w="20" w:type="dxa"/>
            </w:tcMar>
            <w:vAlign w:val="bottom"/>
          </w:tcPr>
          <w:p w14:paraId="20AE1DA9" w14:textId="77777777" w:rsidR="00B626E7" w:rsidRDefault="00175C1D">
            <w:pPr>
              <w:ind w:hanging="180"/>
              <w:textAlignment w:val="bottom"/>
            </w:pPr>
            <w:r>
              <w:rPr>
                <w:rFonts w:ascii="Arial" w:eastAsia="宋体" w:hAnsi="Arial" w:cs="Arial"/>
                <w:b/>
                <w:bCs/>
                <w:color w:val="333333"/>
                <w:sz w:val="18"/>
                <w:szCs w:val="18"/>
              </w:rPr>
              <w:t>(In Millions)</w:t>
            </w:r>
          </w:p>
        </w:tc>
        <w:tc>
          <w:tcPr>
            <w:tcW w:w="0" w:type="auto"/>
            <w:gridSpan w:val="3"/>
            <w:shd w:val="clear" w:color="auto" w:fill="auto"/>
            <w:tcMar>
              <w:left w:w="20" w:type="dxa"/>
              <w:right w:w="20" w:type="dxa"/>
            </w:tcMar>
            <w:vAlign w:val="bottom"/>
          </w:tcPr>
          <w:p w14:paraId="20AE1DAA"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bottom"/>
          </w:tcPr>
          <w:p w14:paraId="20AE1DAB" w14:textId="77777777" w:rsidR="00B626E7" w:rsidRDefault="00175C1D">
            <w:pPr>
              <w:jc w:val="center"/>
              <w:textAlignment w:val="bottom"/>
            </w:pPr>
            <w:r>
              <w:rPr>
                <w:rFonts w:ascii="Arial" w:eastAsia="宋体" w:hAnsi="Arial" w:cs="Arial"/>
                <w:b/>
                <w:bCs/>
                <w:color w:val="333333"/>
                <w:sz w:val="18"/>
                <w:szCs w:val="18"/>
              </w:rPr>
              <w:t>Jun 27, 2020</w:t>
            </w:r>
          </w:p>
        </w:tc>
        <w:tc>
          <w:tcPr>
            <w:tcW w:w="0" w:type="auto"/>
            <w:gridSpan w:val="3"/>
            <w:shd w:val="clear" w:color="auto" w:fill="auto"/>
            <w:tcMar>
              <w:left w:w="20" w:type="dxa"/>
              <w:right w:w="20" w:type="dxa"/>
            </w:tcMar>
            <w:vAlign w:val="bottom"/>
          </w:tcPr>
          <w:p w14:paraId="20AE1DAC"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bottom"/>
          </w:tcPr>
          <w:p w14:paraId="20AE1DAD" w14:textId="77777777" w:rsidR="00B626E7" w:rsidRDefault="00175C1D">
            <w:pPr>
              <w:jc w:val="center"/>
              <w:textAlignment w:val="bottom"/>
            </w:pPr>
            <w:r>
              <w:rPr>
                <w:rFonts w:ascii="Arial" w:eastAsia="宋体" w:hAnsi="Arial" w:cs="Arial"/>
                <w:b/>
                <w:bCs/>
                <w:color w:val="333333"/>
                <w:sz w:val="18"/>
                <w:szCs w:val="18"/>
              </w:rPr>
              <w:t>Dec 28, 2019</w:t>
            </w:r>
          </w:p>
        </w:tc>
        <w:tc>
          <w:tcPr>
            <w:tcW w:w="0" w:type="auto"/>
            <w:shd w:val="clear" w:color="auto" w:fill="auto"/>
          </w:tcPr>
          <w:p w14:paraId="20AE1DAE" w14:textId="77777777" w:rsidR="00B626E7" w:rsidRDefault="00B626E7">
            <w:pPr>
              <w:rPr>
                <w:rFonts w:ascii="宋体"/>
                <w:vanish/>
              </w:rPr>
            </w:pPr>
          </w:p>
        </w:tc>
        <w:tc>
          <w:tcPr>
            <w:tcW w:w="0" w:type="auto"/>
            <w:shd w:val="clear" w:color="auto" w:fill="auto"/>
          </w:tcPr>
          <w:p w14:paraId="20AE1DAF" w14:textId="77777777" w:rsidR="00B626E7" w:rsidRDefault="00B626E7">
            <w:pPr>
              <w:rPr>
                <w:rFonts w:ascii="宋体"/>
                <w:vanish/>
              </w:rPr>
            </w:pPr>
          </w:p>
        </w:tc>
      </w:tr>
      <w:tr w:rsidR="00B626E7" w14:paraId="20AE1DBC" w14:textId="77777777">
        <w:tc>
          <w:tcPr>
            <w:tcW w:w="0" w:type="auto"/>
            <w:gridSpan w:val="3"/>
            <w:tcBorders>
              <w:top w:val="single" w:sz="8" w:space="0" w:color="0071C5"/>
            </w:tcBorders>
            <w:shd w:val="clear" w:color="auto" w:fill="auto"/>
            <w:tcMar>
              <w:top w:w="40" w:type="dxa"/>
              <w:left w:w="20" w:type="dxa"/>
              <w:bottom w:w="40" w:type="dxa"/>
              <w:right w:w="20" w:type="dxa"/>
            </w:tcMar>
          </w:tcPr>
          <w:p w14:paraId="20AE1DB1" w14:textId="77777777" w:rsidR="00B626E7" w:rsidRDefault="00175C1D">
            <w:pPr>
              <w:ind w:hanging="180"/>
              <w:textAlignment w:val="top"/>
            </w:pPr>
            <w:r>
              <w:rPr>
                <w:rFonts w:ascii="Arial" w:eastAsia="宋体" w:hAnsi="Arial" w:cs="Arial"/>
                <w:color w:val="333333"/>
                <w:sz w:val="18"/>
                <w:szCs w:val="18"/>
              </w:rPr>
              <w:t>Foreign currency contracts</w:t>
            </w:r>
          </w:p>
        </w:tc>
        <w:tc>
          <w:tcPr>
            <w:tcW w:w="0" w:type="auto"/>
            <w:gridSpan w:val="3"/>
            <w:shd w:val="clear" w:color="auto" w:fill="auto"/>
            <w:tcMar>
              <w:left w:w="20" w:type="dxa"/>
              <w:right w:w="20" w:type="dxa"/>
            </w:tcMar>
            <w:vAlign w:val="bottom"/>
          </w:tcPr>
          <w:p w14:paraId="20AE1DB2"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1DB3" w14:textId="77777777" w:rsidR="00B626E7" w:rsidRDefault="00175C1D">
            <w:pPr>
              <w:textAlignment w:val="bottom"/>
            </w:pPr>
            <w:r>
              <w:rPr>
                <w:rFonts w:ascii="Arial" w:eastAsia="宋体" w:hAnsi="Arial" w:cs="Arial"/>
                <w:color w:val="026DCE"/>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1DB4" w14:textId="77777777" w:rsidR="00B626E7" w:rsidRDefault="00175C1D">
            <w:pPr>
              <w:jc w:val="right"/>
              <w:textAlignment w:val="bottom"/>
            </w:pPr>
            <w:r>
              <w:rPr>
                <w:rFonts w:ascii="Arial" w:eastAsia="宋体" w:hAnsi="Arial" w:cs="Arial"/>
                <w:color w:val="026DCE"/>
                <w:sz w:val="18"/>
                <w:szCs w:val="18"/>
              </w:rPr>
              <w:t>29,129 </w:t>
            </w:r>
          </w:p>
        </w:tc>
        <w:tc>
          <w:tcPr>
            <w:tcW w:w="0" w:type="auto"/>
            <w:tcBorders>
              <w:top w:val="single" w:sz="8" w:space="0" w:color="0071C5"/>
            </w:tcBorders>
            <w:shd w:val="clear" w:color="auto" w:fill="auto"/>
            <w:tcMar>
              <w:top w:w="40" w:type="dxa"/>
              <w:bottom w:w="40" w:type="dxa"/>
              <w:right w:w="20" w:type="dxa"/>
            </w:tcMar>
            <w:vAlign w:val="bottom"/>
          </w:tcPr>
          <w:p w14:paraId="20AE1DB5"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DB6"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1DB7" w14:textId="77777777" w:rsidR="00B626E7" w:rsidRDefault="00175C1D">
            <w:pPr>
              <w:textAlignment w:val="bottom"/>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1DB8" w14:textId="77777777" w:rsidR="00B626E7" w:rsidRDefault="00175C1D">
            <w:pPr>
              <w:jc w:val="right"/>
              <w:textAlignment w:val="bottom"/>
            </w:pPr>
            <w:r>
              <w:rPr>
                <w:rFonts w:ascii="Arial" w:eastAsia="宋体" w:hAnsi="Arial" w:cs="Arial"/>
                <w:color w:val="333333"/>
                <w:sz w:val="18"/>
                <w:szCs w:val="18"/>
              </w:rPr>
              <w:t>23,981 </w:t>
            </w:r>
          </w:p>
        </w:tc>
        <w:tc>
          <w:tcPr>
            <w:tcW w:w="0" w:type="auto"/>
            <w:tcBorders>
              <w:top w:val="single" w:sz="8" w:space="0" w:color="0071C5"/>
            </w:tcBorders>
            <w:shd w:val="clear" w:color="auto" w:fill="auto"/>
            <w:tcMar>
              <w:top w:w="40" w:type="dxa"/>
              <w:bottom w:w="40" w:type="dxa"/>
              <w:right w:w="20" w:type="dxa"/>
            </w:tcMar>
            <w:vAlign w:val="bottom"/>
          </w:tcPr>
          <w:p w14:paraId="20AE1DB9"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DBA" w14:textId="77777777" w:rsidR="00B626E7" w:rsidRDefault="00B626E7">
            <w:pPr>
              <w:rPr>
                <w:rFonts w:ascii="宋体"/>
                <w:vanish/>
              </w:rPr>
            </w:pPr>
          </w:p>
        </w:tc>
        <w:tc>
          <w:tcPr>
            <w:tcW w:w="0" w:type="auto"/>
            <w:shd w:val="clear" w:color="auto" w:fill="auto"/>
          </w:tcPr>
          <w:p w14:paraId="20AE1DBB" w14:textId="77777777" w:rsidR="00B626E7" w:rsidRDefault="00B626E7">
            <w:pPr>
              <w:rPr>
                <w:rFonts w:ascii="宋体"/>
                <w:vanish/>
              </w:rPr>
            </w:pPr>
          </w:p>
        </w:tc>
      </w:tr>
      <w:tr w:rsidR="00B626E7" w14:paraId="20AE1DC6" w14:textId="77777777">
        <w:tc>
          <w:tcPr>
            <w:tcW w:w="0" w:type="auto"/>
            <w:gridSpan w:val="3"/>
            <w:shd w:val="clear" w:color="auto" w:fill="auto"/>
            <w:tcMar>
              <w:top w:w="40" w:type="dxa"/>
              <w:left w:w="20" w:type="dxa"/>
              <w:bottom w:w="40" w:type="dxa"/>
              <w:right w:w="20" w:type="dxa"/>
            </w:tcMar>
          </w:tcPr>
          <w:p w14:paraId="20AE1DBD" w14:textId="77777777" w:rsidR="00B626E7" w:rsidRDefault="00175C1D">
            <w:pPr>
              <w:ind w:hanging="180"/>
              <w:textAlignment w:val="top"/>
            </w:pPr>
            <w:r>
              <w:rPr>
                <w:rFonts w:ascii="Arial" w:eastAsia="宋体" w:hAnsi="Arial" w:cs="Arial"/>
                <w:color w:val="333333"/>
                <w:sz w:val="18"/>
                <w:szCs w:val="18"/>
              </w:rPr>
              <w:t>Interest rate contracts</w:t>
            </w:r>
          </w:p>
        </w:tc>
        <w:tc>
          <w:tcPr>
            <w:tcW w:w="0" w:type="auto"/>
            <w:gridSpan w:val="3"/>
            <w:shd w:val="clear" w:color="auto" w:fill="auto"/>
            <w:tcMar>
              <w:left w:w="20" w:type="dxa"/>
              <w:right w:w="20" w:type="dxa"/>
            </w:tcMar>
            <w:vAlign w:val="bottom"/>
          </w:tcPr>
          <w:p w14:paraId="20AE1DBE"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DBF" w14:textId="77777777" w:rsidR="00B626E7" w:rsidRDefault="00175C1D">
            <w:pPr>
              <w:jc w:val="right"/>
              <w:textAlignment w:val="bottom"/>
            </w:pPr>
            <w:r>
              <w:rPr>
                <w:rFonts w:ascii="Arial" w:eastAsia="宋体" w:hAnsi="Arial" w:cs="Arial"/>
                <w:color w:val="026DCE"/>
                <w:sz w:val="18"/>
                <w:szCs w:val="18"/>
              </w:rPr>
              <w:t>14,349 </w:t>
            </w:r>
          </w:p>
        </w:tc>
        <w:tc>
          <w:tcPr>
            <w:tcW w:w="0" w:type="auto"/>
            <w:shd w:val="clear" w:color="auto" w:fill="auto"/>
            <w:tcMar>
              <w:top w:w="40" w:type="dxa"/>
              <w:bottom w:w="40" w:type="dxa"/>
              <w:right w:w="20" w:type="dxa"/>
            </w:tcMar>
            <w:vAlign w:val="bottom"/>
          </w:tcPr>
          <w:p w14:paraId="20AE1DC0"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DC1"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DC2" w14:textId="77777777" w:rsidR="00B626E7" w:rsidRDefault="00175C1D">
            <w:pPr>
              <w:jc w:val="right"/>
              <w:textAlignment w:val="bottom"/>
            </w:pPr>
            <w:r>
              <w:rPr>
                <w:rFonts w:ascii="Arial" w:eastAsia="宋体" w:hAnsi="Arial" w:cs="Arial"/>
                <w:color w:val="333333"/>
                <w:sz w:val="18"/>
                <w:szCs w:val="18"/>
              </w:rPr>
              <w:t>14,302 </w:t>
            </w:r>
          </w:p>
        </w:tc>
        <w:tc>
          <w:tcPr>
            <w:tcW w:w="0" w:type="auto"/>
            <w:shd w:val="clear" w:color="auto" w:fill="auto"/>
            <w:tcMar>
              <w:top w:w="40" w:type="dxa"/>
              <w:bottom w:w="40" w:type="dxa"/>
              <w:right w:w="20" w:type="dxa"/>
            </w:tcMar>
            <w:vAlign w:val="bottom"/>
          </w:tcPr>
          <w:p w14:paraId="20AE1DC3"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DC4" w14:textId="77777777" w:rsidR="00B626E7" w:rsidRDefault="00B626E7">
            <w:pPr>
              <w:rPr>
                <w:rFonts w:ascii="宋体"/>
                <w:vanish/>
              </w:rPr>
            </w:pPr>
          </w:p>
        </w:tc>
        <w:tc>
          <w:tcPr>
            <w:tcW w:w="0" w:type="auto"/>
            <w:shd w:val="clear" w:color="auto" w:fill="auto"/>
          </w:tcPr>
          <w:p w14:paraId="20AE1DC5" w14:textId="77777777" w:rsidR="00B626E7" w:rsidRDefault="00B626E7">
            <w:pPr>
              <w:rPr>
                <w:rFonts w:ascii="宋体"/>
                <w:vanish/>
              </w:rPr>
            </w:pPr>
          </w:p>
        </w:tc>
      </w:tr>
      <w:tr w:rsidR="00B626E7" w14:paraId="20AE1DD0" w14:textId="77777777">
        <w:tc>
          <w:tcPr>
            <w:tcW w:w="0" w:type="auto"/>
            <w:gridSpan w:val="3"/>
            <w:shd w:val="clear" w:color="auto" w:fill="auto"/>
            <w:tcMar>
              <w:top w:w="40" w:type="dxa"/>
              <w:left w:w="20" w:type="dxa"/>
              <w:bottom w:w="40" w:type="dxa"/>
              <w:right w:w="20" w:type="dxa"/>
            </w:tcMar>
          </w:tcPr>
          <w:p w14:paraId="20AE1DC7" w14:textId="77777777" w:rsidR="00B626E7" w:rsidRDefault="00175C1D">
            <w:pPr>
              <w:ind w:hanging="180"/>
              <w:textAlignment w:val="top"/>
            </w:pPr>
            <w:r>
              <w:rPr>
                <w:rFonts w:ascii="Arial" w:eastAsia="宋体" w:hAnsi="Arial" w:cs="Arial"/>
                <w:color w:val="333333"/>
                <w:sz w:val="18"/>
                <w:szCs w:val="18"/>
              </w:rPr>
              <w:t>Other</w:t>
            </w:r>
          </w:p>
        </w:tc>
        <w:tc>
          <w:tcPr>
            <w:tcW w:w="0" w:type="auto"/>
            <w:gridSpan w:val="3"/>
            <w:shd w:val="clear" w:color="auto" w:fill="auto"/>
            <w:tcMar>
              <w:left w:w="20" w:type="dxa"/>
              <w:right w:w="20" w:type="dxa"/>
            </w:tcMar>
            <w:vAlign w:val="bottom"/>
          </w:tcPr>
          <w:p w14:paraId="20AE1DC8"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DC9" w14:textId="77777777" w:rsidR="00B626E7" w:rsidRDefault="00175C1D">
            <w:pPr>
              <w:jc w:val="right"/>
              <w:textAlignment w:val="bottom"/>
            </w:pPr>
            <w:r>
              <w:rPr>
                <w:rFonts w:ascii="Arial" w:eastAsia="宋体" w:hAnsi="Arial" w:cs="Arial"/>
                <w:color w:val="026DCE"/>
                <w:sz w:val="18"/>
                <w:szCs w:val="18"/>
              </w:rPr>
              <w:t>1,787 </w:t>
            </w:r>
          </w:p>
        </w:tc>
        <w:tc>
          <w:tcPr>
            <w:tcW w:w="0" w:type="auto"/>
            <w:shd w:val="clear" w:color="auto" w:fill="auto"/>
            <w:tcMar>
              <w:top w:w="40" w:type="dxa"/>
              <w:bottom w:w="40" w:type="dxa"/>
              <w:right w:w="20" w:type="dxa"/>
            </w:tcMar>
            <w:vAlign w:val="bottom"/>
          </w:tcPr>
          <w:p w14:paraId="20AE1DCA"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DCB"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DCC" w14:textId="77777777" w:rsidR="00B626E7" w:rsidRDefault="00175C1D">
            <w:pPr>
              <w:jc w:val="right"/>
              <w:textAlignment w:val="bottom"/>
            </w:pPr>
            <w:r>
              <w:rPr>
                <w:rFonts w:ascii="Arial" w:eastAsia="宋体" w:hAnsi="Arial" w:cs="Arial"/>
                <w:color w:val="333333"/>
                <w:sz w:val="18"/>
                <w:szCs w:val="18"/>
              </w:rPr>
              <w:t>1,753 </w:t>
            </w:r>
          </w:p>
        </w:tc>
        <w:tc>
          <w:tcPr>
            <w:tcW w:w="0" w:type="auto"/>
            <w:shd w:val="clear" w:color="auto" w:fill="auto"/>
            <w:tcMar>
              <w:top w:w="40" w:type="dxa"/>
              <w:bottom w:w="40" w:type="dxa"/>
              <w:right w:w="20" w:type="dxa"/>
            </w:tcMar>
            <w:vAlign w:val="bottom"/>
          </w:tcPr>
          <w:p w14:paraId="20AE1DCD"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DCE" w14:textId="77777777" w:rsidR="00B626E7" w:rsidRDefault="00B626E7">
            <w:pPr>
              <w:rPr>
                <w:rFonts w:ascii="宋体"/>
                <w:vanish/>
              </w:rPr>
            </w:pPr>
          </w:p>
        </w:tc>
        <w:tc>
          <w:tcPr>
            <w:tcW w:w="0" w:type="auto"/>
            <w:shd w:val="clear" w:color="auto" w:fill="auto"/>
          </w:tcPr>
          <w:p w14:paraId="20AE1DCF" w14:textId="77777777" w:rsidR="00B626E7" w:rsidRDefault="00B626E7">
            <w:pPr>
              <w:rPr>
                <w:rFonts w:ascii="宋体"/>
                <w:vanish/>
              </w:rPr>
            </w:pPr>
          </w:p>
        </w:tc>
      </w:tr>
      <w:tr w:rsidR="00B626E7" w14:paraId="20AE1DDC" w14:textId="77777777">
        <w:tc>
          <w:tcPr>
            <w:tcW w:w="0" w:type="auto"/>
            <w:gridSpan w:val="3"/>
            <w:shd w:val="clear" w:color="auto" w:fill="auto"/>
            <w:tcMar>
              <w:top w:w="40" w:type="dxa"/>
              <w:left w:w="20" w:type="dxa"/>
              <w:bottom w:w="40" w:type="dxa"/>
              <w:right w:w="20" w:type="dxa"/>
            </w:tcMar>
          </w:tcPr>
          <w:p w14:paraId="20AE1DD1" w14:textId="77777777" w:rsidR="00B626E7" w:rsidRDefault="00175C1D">
            <w:pPr>
              <w:ind w:hanging="180"/>
              <w:textAlignment w:val="top"/>
            </w:pPr>
            <w:r>
              <w:rPr>
                <w:rFonts w:ascii="Arial" w:eastAsia="宋体" w:hAnsi="Arial" w:cs="Arial"/>
                <w:b/>
                <w:bCs/>
                <w:color w:val="333333"/>
                <w:sz w:val="18"/>
                <w:szCs w:val="18"/>
              </w:rPr>
              <w:t>Total</w:t>
            </w:r>
          </w:p>
        </w:tc>
        <w:tc>
          <w:tcPr>
            <w:tcW w:w="0" w:type="auto"/>
            <w:gridSpan w:val="3"/>
            <w:shd w:val="clear" w:color="auto" w:fill="auto"/>
            <w:tcMar>
              <w:left w:w="20" w:type="dxa"/>
              <w:right w:w="20" w:type="dxa"/>
            </w:tcMar>
            <w:vAlign w:val="bottom"/>
          </w:tcPr>
          <w:p w14:paraId="20AE1DD2"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1DD3" w14:textId="77777777" w:rsidR="00B626E7" w:rsidRDefault="00175C1D">
            <w:pPr>
              <w:textAlignment w:val="bottom"/>
            </w:pPr>
            <w:r>
              <w:rPr>
                <w:rFonts w:ascii="Arial" w:eastAsia="宋体" w:hAnsi="Arial" w:cs="Arial"/>
                <w:b/>
                <w:bCs/>
                <w:color w:val="026DCE"/>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1DD4" w14:textId="77777777" w:rsidR="00B626E7" w:rsidRDefault="00175C1D">
            <w:pPr>
              <w:jc w:val="right"/>
              <w:textAlignment w:val="bottom"/>
            </w:pPr>
            <w:r>
              <w:rPr>
                <w:rFonts w:ascii="Arial" w:eastAsia="宋体" w:hAnsi="Arial" w:cs="Arial"/>
                <w:b/>
                <w:bCs/>
                <w:color w:val="026DCE"/>
                <w:sz w:val="18"/>
                <w:szCs w:val="18"/>
              </w:rPr>
              <w:t>45,265 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1DD5"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1DD6"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1DD7"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1DD8" w14:textId="77777777" w:rsidR="00B626E7" w:rsidRDefault="00175C1D">
            <w:pPr>
              <w:jc w:val="right"/>
              <w:textAlignment w:val="bottom"/>
            </w:pPr>
            <w:r>
              <w:rPr>
                <w:rFonts w:ascii="Arial" w:eastAsia="宋体" w:hAnsi="Arial" w:cs="Arial"/>
                <w:b/>
                <w:bCs/>
                <w:color w:val="333333"/>
                <w:sz w:val="18"/>
                <w:szCs w:val="18"/>
              </w:rPr>
              <w:t>40,036 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1DD9"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E1DDA" w14:textId="77777777" w:rsidR="00B626E7" w:rsidRDefault="00B626E7">
            <w:pPr>
              <w:rPr>
                <w:rFonts w:ascii="宋体"/>
                <w:vanish/>
              </w:rPr>
            </w:pPr>
          </w:p>
        </w:tc>
        <w:tc>
          <w:tcPr>
            <w:tcW w:w="0" w:type="auto"/>
            <w:shd w:val="clear" w:color="auto" w:fill="auto"/>
          </w:tcPr>
          <w:p w14:paraId="20AE1DDB" w14:textId="77777777" w:rsidR="00B626E7" w:rsidRDefault="00B626E7">
            <w:pPr>
              <w:rPr>
                <w:rFonts w:ascii="宋体"/>
                <w:vanish/>
              </w:rPr>
            </w:pPr>
          </w:p>
        </w:tc>
      </w:tr>
    </w:tbl>
    <w:p w14:paraId="20AE1DDD" w14:textId="77777777" w:rsidR="00B626E7" w:rsidRDefault="00175C1D">
      <w:pPr>
        <w:spacing w:before="300" w:after="180"/>
      </w:pPr>
      <w:r>
        <w:rPr>
          <w:rFonts w:ascii="Arial" w:eastAsia="宋体" w:hAnsi="Arial" w:cs="Arial"/>
          <w:b/>
          <w:bCs/>
          <w:color w:val="0071C5"/>
        </w:rPr>
        <w:t xml:space="preserve">FAIR VALUE OF DERIVATIVE INSTRUMENTS </w:t>
      </w:r>
    </w:p>
    <w:tbl>
      <w:tblPr>
        <w:tblW w:w="5000" w:type="pct"/>
        <w:tblCellMar>
          <w:top w:w="15" w:type="dxa"/>
          <w:left w:w="15" w:type="dxa"/>
          <w:bottom w:w="15" w:type="dxa"/>
          <w:right w:w="15" w:type="dxa"/>
        </w:tblCellMar>
        <w:tblLook w:val="04A0" w:firstRow="1" w:lastRow="0" w:firstColumn="1" w:lastColumn="0" w:noHBand="0" w:noVBand="1"/>
      </w:tblPr>
      <w:tblGrid>
        <w:gridCol w:w="40"/>
        <w:gridCol w:w="3696"/>
        <w:gridCol w:w="39"/>
        <w:gridCol w:w="36"/>
        <w:gridCol w:w="36"/>
        <w:gridCol w:w="36"/>
        <w:gridCol w:w="136"/>
        <w:gridCol w:w="665"/>
        <w:gridCol w:w="86"/>
        <w:gridCol w:w="36"/>
        <w:gridCol w:w="36"/>
        <w:gridCol w:w="36"/>
        <w:gridCol w:w="137"/>
        <w:gridCol w:w="775"/>
        <w:gridCol w:w="86"/>
        <w:gridCol w:w="36"/>
        <w:gridCol w:w="36"/>
        <w:gridCol w:w="36"/>
        <w:gridCol w:w="137"/>
        <w:gridCol w:w="591"/>
        <w:gridCol w:w="86"/>
        <w:gridCol w:w="36"/>
        <w:gridCol w:w="36"/>
        <w:gridCol w:w="36"/>
        <w:gridCol w:w="137"/>
        <w:gridCol w:w="775"/>
        <w:gridCol w:w="86"/>
        <w:gridCol w:w="36"/>
        <w:gridCol w:w="36"/>
        <w:gridCol w:w="36"/>
        <w:gridCol w:w="36"/>
        <w:gridCol w:w="36"/>
        <w:gridCol w:w="36"/>
        <w:gridCol w:w="36"/>
        <w:gridCol w:w="36"/>
        <w:gridCol w:w="36"/>
        <w:gridCol w:w="36"/>
        <w:gridCol w:w="36"/>
        <w:gridCol w:w="36"/>
      </w:tblGrid>
      <w:tr w:rsidR="00B626E7" w14:paraId="20AE1DF9" w14:textId="77777777">
        <w:trPr>
          <w:gridAfter w:val="12"/>
        </w:trPr>
        <w:tc>
          <w:tcPr>
            <w:tcW w:w="50" w:type="pct"/>
            <w:shd w:val="clear" w:color="auto" w:fill="auto"/>
          </w:tcPr>
          <w:p w14:paraId="20AE1DDE" w14:textId="77777777" w:rsidR="00B626E7" w:rsidRDefault="00B626E7">
            <w:pPr>
              <w:rPr>
                <w:rFonts w:ascii="宋体"/>
              </w:rPr>
            </w:pPr>
          </w:p>
        </w:tc>
        <w:tc>
          <w:tcPr>
            <w:tcW w:w="2386" w:type="pct"/>
            <w:shd w:val="clear" w:color="auto" w:fill="auto"/>
          </w:tcPr>
          <w:p w14:paraId="20AE1DDF" w14:textId="77777777" w:rsidR="00B626E7" w:rsidRDefault="00B626E7">
            <w:pPr>
              <w:rPr>
                <w:rFonts w:ascii="宋体"/>
              </w:rPr>
            </w:pPr>
          </w:p>
        </w:tc>
        <w:tc>
          <w:tcPr>
            <w:tcW w:w="50" w:type="pct"/>
            <w:shd w:val="clear" w:color="auto" w:fill="auto"/>
          </w:tcPr>
          <w:p w14:paraId="20AE1DE0" w14:textId="77777777" w:rsidR="00B626E7" w:rsidRDefault="00B626E7">
            <w:pPr>
              <w:rPr>
                <w:rFonts w:ascii="宋体"/>
              </w:rPr>
            </w:pPr>
          </w:p>
        </w:tc>
        <w:tc>
          <w:tcPr>
            <w:tcW w:w="5" w:type="pct"/>
            <w:shd w:val="clear" w:color="auto" w:fill="auto"/>
          </w:tcPr>
          <w:p w14:paraId="20AE1DE1" w14:textId="77777777" w:rsidR="00B626E7" w:rsidRDefault="00B626E7">
            <w:pPr>
              <w:rPr>
                <w:rFonts w:ascii="宋体"/>
              </w:rPr>
            </w:pPr>
          </w:p>
        </w:tc>
        <w:tc>
          <w:tcPr>
            <w:tcW w:w="24" w:type="pct"/>
            <w:shd w:val="clear" w:color="auto" w:fill="auto"/>
          </w:tcPr>
          <w:p w14:paraId="20AE1DE2" w14:textId="77777777" w:rsidR="00B626E7" w:rsidRDefault="00B626E7">
            <w:pPr>
              <w:rPr>
                <w:rFonts w:ascii="宋体"/>
              </w:rPr>
            </w:pPr>
          </w:p>
        </w:tc>
        <w:tc>
          <w:tcPr>
            <w:tcW w:w="5" w:type="pct"/>
            <w:shd w:val="clear" w:color="auto" w:fill="auto"/>
          </w:tcPr>
          <w:p w14:paraId="20AE1DE3" w14:textId="77777777" w:rsidR="00B626E7" w:rsidRDefault="00B626E7">
            <w:pPr>
              <w:rPr>
                <w:rFonts w:ascii="宋体"/>
              </w:rPr>
            </w:pPr>
          </w:p>
        </w:tc>
        <w:tc>
          <w:tcPr>
            <w:tcW w:w="50" w:type="pct"/>
            <w:shd w:val="clear" w:color="auto" w:fill="auto"/>
          </w:tcPr>
          <w:p w14:paraId="20AE1DE4" w14:textId="77777777" w:rsidR="00B626E7" w:rsidRDefault="00B626E7">
            <w:pPr>
              <w:rPr>
                <w:rFonts w:ascii="宋体"/>
              </w:rPr>
            </w:pPr>
          </w:p>
        </w:tc>
        <w:tc>
          <w:tcPr>
            <w:tcW w:w="494" w:type="pct"/>
            <w:shd w:val="clear" w:color="auto" w:fill="auto"/>
          </w:tcPr>
          <w:p w14:paraId="20AE1DE5" w14:textId="77777777" w:rsidR="00B626E7" w:rsidRDefault="00B626E7">
            <w:pPr>
              <w:rPr>
                <w:rFonts w:ascii="宋体"/>
              </w:rPr>
            </w:pPr>
          </w:p>
        </w:tc>
        <w:tc>
          <w:tcPr>
            <w:tcW w:w="50" w:type="pct"/>
            <w:shd w:val="clear" w:color="auto" w:fill="auto"/>
          </w:tcPr>
          <w:p w14:paraId="20AE1DE6" w14:textId="77777777" w:rsidR="00B626E7" w:rsidRDefault="00B626E7">
            <w:pPr>
              <w:rPr>
                <w:rFonts w:ascii="宋体"/>
              </w:rPr>
            </w:pPr>
          </w:p>
        </w:tc>
        <w:tc>
          <w:tcPr>
            <w:tcW w:w="5" w:type="pct"/>
            <w:shd w:val="clear" w:color="auto" w:fill="auto"/>
          </w:tcPr>
          <w:p w14:paraId="20AE1DE7" w14:textId="77777777" w:rsidR="00B626E7" w:rsidRDefault="00B626E7">
            <w:pPr>
              <w:rPr>
                <w:rFonts w:ascii="宋体"/>
              </w:rPr>
            </w:pPr>
          </w:p>
        </w:tc>
        <w:tc>
          <w:tcPr>
            <w:tcW w:w="24" w:type="pct"/>
            <w:shd w:val="clear" w:color="auto" w:fill="auto"/>
          </w:tcPr>
          <w:p w14:paraId="20AE1DE8" w14:textId="77777777" w:rsidR="00B626E7" w:rsidRDefault="00B626E7">
            <w:pPr>
              <w:rPr>
                <w:rFonts w:ascii="宋体"/>
              </w:rPr>
            </w:pPr>
          </w:p>
        </w:tc>
        <w:tc>
          <w:tcPr>
            <w:tcW w:w="5" w:type="pct"/>
            <w:shd w:val="clear" w:color="auto" w:fill="auto"/>
          </w:tcPr>
          <w:p w14:paraId="20AE1DE9" w14:textId="77777777" w:rsidR="00B626E7" w:rsidRDefault="00B626E7">
            <w:pPr>
              <w:rPr>
                <w:rFonts w:ascii="宋体"/>
              </w:rPr>
            </w:pPr>
          </w:p>
        </w:tc>
        <w:tc>
          <w:tcPr>
            <w:tcW w:w="50" w:type="pct"/>
            <w:shd w:val="clear" w:color="auto" w:fill="auto"/>
          </w:tcPr>
          <w:p w14:paraId="20AE1DEA" w14:textId="77777777" w:rsidR="00B626E7" w:rsidRDefault="00B626E7">
            <w:pPr>
              <w:rPr>
                <w:rFonts w:ascii="宋体"/>
              </w:rPr>
            </w:pPr>
          </w:p>
        </w:tc>
        <w:tc>
          <w:tcPr>
            <w:tcW w:w="494" w:type="pct"/>
            <w:shd w:val="clear" w:color="auto" w:fill="auto"/>
          </w:tcPr>
          <w:p w14:paraId="20AE1DEB" w14:textId="77777777" w:rsidR="00B626E7" w:rsidRDefault="00B626E7">
            <w:pPr>
              <w:rPr>
                <w:rFonts w:ascii="宋体"/>
              </w:rPr>
            </w:pPr>
          </w:p>
        </w:tc>
        <w:tc>
          <w:tcPr>
            <w:tcW w:w="50" w:type="pct"/>
            <w:shd w:val="clear" w:color="auto" w:fill="auto"/>
          </w:tcPr>
          <w:p w14:paraId="20AE1DEC" w14:textId="77777777" w:rsidR="00B626E7" w:rsidRDefault="00B626E7">
            <w:pPr>
              <w:rPr>
                <w:rFonts w:ascii="宋体"/>
              </w:rPr>
            </w:pPr>
          </w:p>
        </w:tc>
        <w:tc>
          <w:tcPr>
            <w:tcW w:w="5" w:type="pct"/>
            <w:shd w:val="clear" w:color="auto" w:fill="auto"/>
          </w:tcPr>
          <w:p w14:paraId="20AE1DED" w14:textId="77777777" w:rsidR="00B626E7" w:rsidRDefault="00B626E7">
            <w:pPr>
              <w:rPr>
                <w:rFonts w:ascii="宋体"/>
              </w:rPr>
            </w:pPr>
          </w:p>
        </w:tc>
        <w:tc>
          <w:tcPr>
            <w:tcW w:w="24" w:type="pct"/>
            <w:shd w:val="clear" w:color="auto" w:fill="auto"/>
          </w:tcPr>
          <w:p w14:paraId="20AE1DEE" w14:textId="77777777" w:rsidR="00B626E7" w:rsidRDefault="00B626E7">
            <w:pPr>
              <w:rPr>
                <w:rFonts w:ascii="宋体"/>
              </w:rPr>
            </w:pPr>
          </w:p>
        </w:tc>
        <w:tc>
          <w:tcPr>
            <w:tcW w:w="5" w:type="pct"/>
            <w:shd w:val="clear" w:color="auto" w:fill="auto"/>
          </w:tcPr>
          <w:p w14:paraId="20AE1DEF" w14:textId="77777777" w:rsidR="00B626E7" w:rsidRDefault="00B626E7">
            <w:pPr>
              <w:rPr>
                <w:rFonts w:ascii="宋体"/>
              </w:rPr>
            </w:pPr>
          </w:p>
        </w:tc>
        <w:tc>
          <w:tcPr>
            <w:tcW w:w="50" w:type="pct"/>
            <w:shd w:val="clear" w:color="auto" w:fill="auto"/>
          </w:tcPr>
          <w:p w14:paraId="20AE1DF0" w14:textId="77777777" w:rsidR="00B626E7" w:rsidRDefault="00B626E7">
            <w:pPr>
              <w:rPr>
                <w:rFonts w:ascii="宋体"/>
              </w:rPr>
            </w:pPr>
          </w:p>
        </w:tc>
        <w:tc>
          <w:tcPr>
            <w:tcW w:w="494" w:type="pct"/>
            <w:shd w:val="clear" w:color="auto" w:fill="auto"/>
          </w:tcPr>
          <w:p w14:paraId="20AE1DF1" w14:textId="77777777" w:rsidR="00B626E7" w:rsidRDefault="00B626E7">
            <w:pPr>
              <w:rPr>
                <w:rFonts w:ascii="宋体"/>
              </w:rPr>
            </w:pPr>
          </w:p>
        </w:tc>
        <w:tc>
          <w:tcPr>
            <w:tcW w:w="50" w:type="pct"/>
            <w:shd w:val="clear" w:color="auto" w:fill="auto"/>
          </w:tcPr>
          <w:p w14:paraId="20AE1DF2" w14:textId="77777777" w:rsidR="00B626E7" w:rsidRDefault="00B626E7">
            <w:pPr>
              <w:rPr>
                <w:rFonts w:ascii="宋体"/>
              </w:rPr>
            </w:pPr>
          </w:p>
        </w:tc>
        <w:tc>
          <w:tcPr>
            <w:tcW w:w="5" w:type="pct"/>
            <w:shd w:val="clear" w:color="auto" w:fill="auto"/>
          </w:tcPr>
          <w:p w14:paraId="20AE1DF3" w14:textId="77777777" w:rsidR="00B626E7" w:rsidRDefault="00B626E7">
            <w:pPr>
              <w:rPr>
                <w:rFonts w:ascii="宋体"/>
              </w:rPr>
            </w:pPr>
          </w:p>
        </w:tc>
        <w:tc>
          <w:tcPr>
            <w:tcW w:w="24" w:type="pct"/>
            <w:shd w:val="clear" w:color="auto" w:fill="auto"/>
          </w:tcPr>
          <w:p w14:paraId="20AE1DF4" w14:textId="77777777" w:rsidR="00B626E7" w:rsidRDefault="00B626E7">
            <w:pPr>
              <w:rPr>
                <w:rFonts w:ascii="宋体"/>
              </w:rPr>
            </w:pPr>
          </w:p>
        </w:tc>
        <w:tc>
          <w:tcPr>
            <w:tcW w:w="5" w:type="pct"/>
            <w:shd w:val="clear" w:color="auto" w:fill="auto"/>
          </w:tcPr>
          <w:p w14:paraId="20AE1DF5" w14:textId="77777777" w:rsidR="00B626E7" w:rsidRDefault="00B626E7">
            <w:pPr>
              <w:rPr>
                <w:rFonts w:ascii="宋体"/>
              </w:rPr>
            </w:pPr>
          </w:p>
        </w:tc>
        <w:tc>
          <w:tcPr>
            <w:tcW w:w="50" w:type="pct"/>
            <w:shd w:val="clear" w:color="auto" w:fill="auto"/>
          </w:tcPr>
          <w:p w14:paraId="20AE1DF6" w14:textId="77777777" w:rsidR="00B626E7" w:rsidRDefault="00B626E7">
            <w:pPr>
              <w:rPr>
                <w:rFonts w:ascii="宋体"/>
              </w:rPr>
            </w:pPr>
          </w:p>
        </w:tc>
        <w:tc>
          <w:tcPr>
            <w:tcW w:w="494" w:type="pct"/>
            <w:shd w:val="clear" w:color="auto" w:fill="auto"/>
          </w:tcPr>
          <w:p w14:paraId="20AE1DF7" w14:textId="77777777" w:rsidR="00B626E7" w:rsidRDefault="00B626E7">
            <w:pPr>
              <w:rPr>
                <w:rFonts w:ascii="宋体"/>
              </w:rPr>
            </w:pPr>
          </w:p>
        </w:tc>
        <w:tc>
          <w:tcPr>
            <w:tcW w:w="50" w:type="pct"/>
            <w:shd w:val="clear" w:color="auto" w:fill="auto"/>
          </w:tcPr>
          <w:p w14:paraId="20AE1DF8" w14:textId="77777777" w:rsidR="00B626E7" w:rsidRDefault="00B626E7">
            <w:pPr>
              <w:rPr>
                <w:rFonts w:ascii="宋体"/>
              </w:rPr>
            </w:pPr>
          </w:p>
        </w:tc>
      </w:tr>
      <w:tr w:rsidR="00B626E7" w14:paraId="20AE1E03" w14:textId="77777777">
        <w:tc>
          <w:tcPr>
            <w:tcW w:w="0" w:type="auto"/>
            <w:gridSpan w:val="3"/>
            <w:shd w:val="clear" w:color="auto" w:fill="auto"/>
            <w:tcMar>
              <w:top w:w="40" w:type="dxa"/>
              <w:left w:w="20" w:type="dxa"/>
              <w:bottom w:w="40" w:type="dxa"/>
              <w:right w:w="20" w:type="dxa"/>
            </w:tcMar>
            <w:vAlign w:val="bottom"/>
          </w:tcPr>
          <w:p w14:paraId="20AE1DFA" w14:textId="77777777" w:rsidR="00B626E7" w:rsidRDefault="00175C1D">
            <w:pPr>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1DFB" w14:textId="77777777" w:rsidR="00B626E7" w:rsidRDefault="00B626E7">
            <w:pPr>
              <w:rPr>
                <w:rFonts w:ascii="宋体"/>
              </w:rPr>
            </w:pPr>
          </w:p>
        </w:tc>
        <w:tc>
          <w:tcPr>
            <w:tcW w:w="0" w:type="auto"/>
            <w:gridSpan w:val="9"/>
            <w:shd w:val="clear" w:color="auto" w:fill="auto"/>
            <w:tcMar>
              <w:top w:w="40" w:type="dxa"/>
              <w:left w:w="20" w:type="dxa"/>
              <w:bottom w:w="40" w:type="dxa"/>
              <w:right w:w="20" w:type="dxa"/>
            </w:tcMar>
            <w:vAlign w:val="bottom"/>
          </w:tcPr>
          <w:p w14:paraId="20AE1DFC" w14:textId="77777777" w:rsidR="00B626E7" w:rsidRDefault="00175C1D">
            <w:pPr>
              <w:jc w:val="center"/>
              <w:textAlignment w:val="bottom"/>
            </w:pPr>
            <w:r>
              <w:rPr>
                <w:rFonts w:ascii="Arial" w:eastAsia="宋体" w:hAnsi="Arial" w:cs="Arial"/>
                <w:b/>
                <w:bCs/>
                <w:color w:val="333333"/>
                <w:sz w:val="18"/>
                <w:szCs w:val="18"/>
              </w:rPr>
              <w:t>Jun 27, 2020</w:t>
            </w:r>
          </w:p>
        </w:tc>
        <w:tc>
          <w:tcPr>
            <w:tcW w:w="0" w:type="auto"/>
            <w:gridSpan w:val="3"/>
            <w:shd w:val="clear" w:color="auto" w:fill="auto"/>
          </w:tcPr>
          <w:p w14:paraId="20AE1DFD" w14:textId="77777777" w:rsidR="00B626E7" w:rsidRDefault="00B626E7">
            <w:pPr>
              <w:rPr>
                <w:rFonts w:ascii="宋体"/>
                <w:vanish/>
              </w:rPr>
            </w:pPr>
          </w:p>
        </w:tc>
        <w:tc>
          <w:tcPr>
            <w:tcW w:w="0" w:type="auto"/>
            <w:gridSpan w:val="3"/>
            <w:shd w:val="clear" w:color="auto" w:fill="auto"/>
          </w:tcPr>
          <w:p w14:paraId="20AE1DFE" w14:textId="77777777" w:rsidR="00B626E7" w:rsidRDefault="00B626E7">
            <w:pPr>
              <w:rPr>
                <w:rFonts w:ascii="宋体"/>
                <w:vanish/>
              </w:rPr>
            </w:pPr>
          </w:p>
        </w:tc>
        <w:tc>
          <w:tcPr>
            <w:tcW w:w="0" w:type="auto"/>
            <w:gridSpan w:val="3"/>
            <w:shd w:val="clear" w:color="auto" w:fill="auto"/>
            <w:tcMar>
              <w:left w:w="20" w:type="dxa"/>
              <w:right w:w="20" w:type="dxa"/>
            </w:tcMar>
            <w:vAlign w:val="bottom"/>
          </w:tcPr>
          <w:p w14:paraId="20AE1DFF" w14:textId="77777777" w:rsidR="00B626E7" w:rsidRDefault="00B626E7">
            <w:pPr>
              <w:rPr>
                <w:rFonts w:ascii="宋体"/>
              </w:rPr>
            </w:pPr>
          </w:p>
        </w:tc>
        <w:tc>
          <w:tcPr>
            <w:tcW w:w="0" w:type="auto"/>
            <w:gridSpan w:val="9"/>
            <w:shd w:val="clear" w:color="auto" w:fill="auto"/>
            <w:tcMar>
              <w:top w:w="40" w:type="dxa"/>
              <w:left w:w="20" w:type="dxa"/>
              <w:bottom w:w="40" w:type="dxa"/>
              <w:right w:w="20" w:type="dxa"/>
            </w:tcMar>
            <w:vAlign w:val="bottom"/>
          </w:tcPr>
          <w:p w14:paraId="20AE1E00" w14:textId="77777777" w:rsidR="00B626E7" w:rsidRDefault="00175C1D">
            <w:pPr>
              <w:jc w:val="center"/>
              <w:textAlignment w:val="bottom"/>
            </w:pPr>
            <w:r>
              <w:rPr>
                <w:rFonts w:ascii="Arial" w:eastAsia="宋体" w:hAnsi="Arial" w:cs="Arial"/>
                <w:b/>
                <w:bCs/>
                <w:color w:val="333333"/>
                <w:sz w:val="18"/>
                <w:szCs w:val="18"/>
              </w:rPr>
              <w:t>Dec 28, 2019</w:t>
            </w:r>
          </w:p>
        </w:tc>
        <w:tc>
          <w:tcPr>
            <w:tcW w:w="0" w:type="auto"/>
            <w:gridSpan w:val="3"/>
            <w:shd w:val="clear" w:color="auto" w:fill="auto"/>
          </w:tcPr>
          <w:p w14:paraId="20AE1E01" w14:textId="77777777" w:rsidR="00B626E7" w:rsidRDefault="00B626E7">
            <w:pPr>
              <w:rPr>
                <w:rFonts w:ascii="宋体"/>
                <w:vanish/>
              </w:rPr>
            </w:pPr>
          </w:p>
        </w:tc>
        <w:tc>
          <w:tcPr>
            <w:tcW w:w="0" w:type="auto"/>
            <w:gridSpan w:val="3"/>
            <w:shd w:val="clear" w:color="auto" w:fill="auto"/>
          </w:tcPr>
          <w:p w14:paraId="20AE1E02" w14:textId="77777777" w:rsidR="00B626E7" w:rsidRDefault="00B626E7">
            <w:pPr>
              <w:rPr>
                <w:rFonts w:ascii="宋体"/>
                <w:vanish/>
              </w:rPr>
            </w:pPr>
          </w:p>
        </w:tc>
      </w:tr>
      <w:tr w:rsidR="00B626E7" w14:paraId="20AE1E19" w14:textId="77777777">
        <w:tc>
          <w:tcPr>
            <w:tcW w:w="0" w:type="auto"/>
            <w:gridSpan w:val="3"/>
            <w:shd w:val="clear" w:color="auto" w:fill="auto"/>
            <w:tcMar>
              <w:top w:w="40" w:type="dxa"/>
              <w:left w:w="20" w:type="dxa"/>
              <w:bottom w:w="40" w:type="dxa"/>
              <w:right w:w="20" w:type="dxa"/>
            </w:tcMar>
            <w:vAlign w:val="bottom"/>
          </w:tcPr>
          <w:p w14:paraId="20AE1E04" w14:textId="77777777" w:rsidR="00B626E7" w:rsidRDefault="00175C1D">
            <w:pPr>
              <w:textAlignment w:val="bottom"/>
            </w:pPr>
            <w:r>
              <w:rPr>
                <w:rFonts w:ascii="Arial" w:eastAsia="宋体" w:hAnsi="Arial" w:cs="Arial"/>
                <w:b/>
                <w:bCs/>
                <w:color w:val="333333"/>
                <w:sz w:val="18"/>
                <w:szCs w:val="18"/>
              </w:rPr>
              <w:t>(In Millions)</w:t>
            </w:r>
          </w:p>
        </w:tc>
        <w:tc>
          <w:tcPr>
            <w:tcW w:w="0" w:type="auto"/>
            <w:gridSpan w:val="3"/>
            <w:shd w:val="clear" w:color="auto" w:fill="auto"/>
            <w:tcMar>
              <w:left w:w="20" w:type="dxa"/>
              <w:right w:w="20" w:type="dxa"/>
            </w:tcMar>
            <w:vAlign w:val="bottom"/>
          </w:tcPr>
          <w:p w14:paraId="20AE1E05"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1E06" w14:textId="77777777" w:rsidR="00B626E7" w:rsidRDefault="00175C1D">
            <w:pPr>
              <w:jc w:val="center"/>
              <w:textAlignment w:val="bottom"/>
            </w:pPr>
            <w:r>
              <w:rPr>
                <w:rFonts w:ascii="Arial" w:eastAsia="宋体" w:hAnsi="Arial" w:cs="Arial"/>
                <w:b/>
                <w:bCs/>
                <w:color w:val="333333"/>
                <w:sz w:val="18"/>
                <w:szCs w:val="18"/>
              </w:rPr>
              <w:t>Assets</w:t>
            </w:r>
            <w:r>
              <w:rPr>
                <w:rFonts w:ascii="Arial" w:eastAsia="宋体" w:hAnsi="Arial" w:cs="Arial"/>
                <w:b/>
                <w:bCs/>
                <w:color w:val="333333"/>
                <w:sz w:val="11"/>
                <w:szCs w:val="11"/>
              </w:rPr>
              <w:t>1</w:t>
            </w:r>
          </w:p>
        </w:tc>
        <w:tc>
          <w:tcPr>
            <w:tcW w:w="0" w:type="auto"/>
            <w:gridSpan w:val="3"/>
            <w:tcBorders>
              <w:top w:val="single" w:sz="8" w:space="0" w:color="0071C5"/>
            </w:tcBorders>
            <w:shd w:val="clear" w:color="auto" w:fill="auto"/>
            <w:tcMar>
              <w:left w:w="20" w:type="dxa"/>
              <w:right w:w="20" w:type="dxa"/>
            </w:tcMar>
            <w:vAlign w:val="bottom"/>
          </w:tcPr>
          <w:p w14:paraId="20AE1E07"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1E08" w14:textId="77777777" w:rsidR="00B626E7" w:rsidRDefault="00175C1D">
            <w:pPr>
              <w:jc w:val="center"/>
              <w:textAlignment w:val="bottom"/>
            </w:pPr>
            <w:r>
              <w:rPr>
                <w:rFonts w:ascii="Arial" w:eastAsia="宋体" w:hAnsi="Arial" w:cs="Arial"/>
                <w:b/>
                <w:bCs/>
                <w:color w:val="333333"/>
                <w:sz w:val="18"/>
                <w:szCs w:val="18"/>
              </w:rPr>
              <w:t>Liabilities</w:t>
            </w:r>
            <w:r>
              <w:rPr>
                <w:rFonts w:ascii="Arial" w:eastAsia="宋体" w:hAnsi="Arial" w:cs="Arial"/>
                <w:b/>
                <w:bCs/>
                <w:color w:val="333333"/>
                <w:sz w:val="11"/>
                <w:szCs w:val="11"/>
              </w:rPr>
              <w:t>2</w:t>
            </w:r>
          </w:p>
        </w:tc>
        <w:tc>
          <w:tcPr>
            <w:tcW w:w="0" w:type="auto"/>
            <w:gridSpan w:val="3"/>
            <w:shd w:val="clear" w:color="auto" w:fill="auto"/>
            <w:tcMar>
              <w:left w:w="20" w:type="dxa"/>
              <w:right w:w="20" w:type="dxa"/>
            </w:tcMar>
            <w:vAlign w:val="bottom"/>
          </w:tcPr>
          <w:p w14:paraId="20AE1E09"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1E0A" w14:textId="77777777" w:rsidR="00B626E7" w:rsidRDefault="00175C1D">
            <w:pPr>
              <w:jc w:val="center"/>
              <w:textAlignment w:val="bottom"/>
            </w:pPr>
            <w:r>
              <w:rPr>
                <w:rFonts w:ascii="Arial" w:eastAsia="宋体" w:hAnsi="Arial" w:cs="Arial"/>
                <w:b/>
                <w:bCs/>
                <w:color w:val="333333"/>
                <w:sz w:val="18"/>
                <w:szCs w:val="18"/>
              </w:rPr>
              <w:t>Assets</w:t>
            </w:r>
            <w:r>
              <w:rPr>
                <w:rFonts w:ascii="Arial" w:eastAsia="宋体" w:hAnsi="Arial" w:cs="Arial"/>
                <w:b/>
                <w:bCs/>
                <w:color w:val="333333"/>
                <w:sz w:val="11"/>
                <w:szCs w:val="11"/>
              </w:rPr>
              <w:t>1</w:t>
            </w:r>
          </w:p>
        </w:tc>
        <w:tc>
          <w:tcPr>
            <w:tcW w:w="0" w:type="auto"/>
            <w:gridSpan w:val="3"/>
            <w:tcBorders>
              <w:top w:val="single" w:sz="8" w:space="0" w:color="0071C5"/>
            </w:tcBorders>
            <w:shd w:val="clear" w:color="auto" w:fill="auto"/>
            <w:tcMar>
              <w:left w:w="20" w:type="dxa"/>
              <w:right w:w="20" w:type="dxa"/>
            </w:tcMar>
            <w:vAlign w:val="bottom"/>
          </w:tcPr>
          <w:p w14:paraId="20AE1E0B"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1E0C" w14:textId="77777777" w:rsidR="00B626E7" w:rsidRDefault="00175C1D">
            <w:pPr>
              <w:jc w:val="center"/>
              <w:textAlignment w:val="bottom"/>
            </w:pPr>
            <w:r>
              <w:rPr>
                <w:rFonts w:ascii="Arial" w:eastAsia="宋体" w:hAnsi="Arial" w:cs="Arial"/>
                <w:b/>
                <w:bCs/>
                <w:color w:val="333333"/>
                <w:sz w:val="18"/>
                <w:szCs w:val="18"/>
              </w:rPr>
              <w:t>Liabilities</w:t>
            </w:r>
            <w:r>
              <w:rPr>
                <w:rFonts w:ascii="Arial" w:eastAsia="宋体" w:hAnsi="Arial" w:cs="Arial"/>
                <w:b/>
                <w:bCs/>
                <w:color w:val="333333"/>
                <w:sz w:val="11"/>
                <w:szCs w:val="11"/>
              </w:rPr>
              <w:t>2</w:t>
            </w:r>
          </w:p>
        </w:tc>
        <w:tc>
          <w:tcPr>
            <w:tcW w:w="0" w:type="auto"/>
            <w:shd w:val="clear" w:color="auto" w:fill="auto"/>
          </w:tcPr>
          <w:p w14:paraId="20AE1E0D" w14:textId="77777777" w:rsidR="00B626E7" w:rsidRDefault="00B626E7">
            <w:pPr>
              <w:rPr>
                <w:rFonts w:ascii="宋体"/>
              </w:rPr>
            </w:pPr>
          </w:p>
        </w:tc>
        <w:tc>
          <w:tcPr>
            <w:tcW w:w="0" w:type="auto"/>
            <w:shd w:val="clear" w:color="auto" w:fill="auto"/>
          </w:tcPr>
          <w:p w14:paraId="20AE1E0E" w14:textId="77777777" w:rsidR="00B626E7" w:rsidRDefault="00B626E7">
            <w:pPr>
              <w:rPr>
                <w:rFonts w:ascii="宋体"/>
              </w:rPr>
            </w:pPr>
          </w:p>
        </w:tc>
        <w:tc>
          <w:tcPr>
            <w:tcW w:w="0" w:type="auto"/>
            <w:shd w:val="clear" w:color="auto" w:fill="auto"/>
          </w:tcPr>
          <w:p w14:paraId="20AE1E0F" w14:textId="77777777" w:rsidR="00B626E7" w:rsidRDefault="00B626E7">
            <w:pPr>
              <w:rPr>
                <w:rFonts w:ascii="宋体"/>
              </w:rPr>
            </w:pPr>
          </w:p>
        </w:tc>
        <w:tc>
          <w:tcPr>
            <w:tcW w:w="0" w:type="auto"/>
            <w:shd w:val="clear" w:color="auto" w:fill="auto"/>
          </w:tcPr>
          <w:p w14:paraId="20AE1E10" w14:textId="77777777" w:rsidR="00B626E7" w:rsidRDefault="00B626E7">
            <w:pPr>
              <w:rPr>
                <w:rFonts w:ascii="宋体"/>
              </w:rPr>
            </w:pPr>
          </w:p>
        </w:tc>
        <w:tc>
          <w:tcPr>
            <w:tcW w:w="0" w:type="auto"/>
            <w:shd w:val="clear" w:color="auto" w:fill="auto"/>
          </w:tcPr>
          <w:p w14:paraId="20AE1E11" w14:textId="77777777" w:rsidR="00B626E7" w:rsidRDefault="00B626E7">
            <w:pPr>
              <w:rPr>
                <w:rFonts w:ascii="宋体"/>
              </w:rPr>
            </w:pPr>
          </w:p>
        </w:tc>
        <w:tc>
          <w:tcPr>
            <w:tcW w:w="0" w:type="auto"/>
            <w:shd w:val="clear" w:color="auto" w:fill="auto"/>
          </w:tcPr>
          <w:p w14:paraId="20AE1E12" w14:textId="77777777" w:rsidR="00B626E7" w:rsidRDefault="00B626E7">
            <w:pPr>
              <w:rPr>
                <w:rFonts w:ascii="宋体"/>
              </w:rPr>
            </w:pPr>
          </w:p>
        </w:tc>
        <w:tc>
          <w:tcPr>
            <w:tcW w:w="0" w:type="auto"/>
            <w:shd w:val="clear" w:color="auto" w:fill="auto"/>
          </w:tcPr>
          <w:p w14:paraId="20AE1E13" w14:textId="77777777" w:rsidR="00B626E7" w:rsidRDefault="00B626E7">
            <w:pPr>
              <w:rPr>
                <w:rFonts w:ascii="宋体"/>
              </w:rPr>
            </w:pPr>
          </w:p>
        </w:tc>
        <w:tc>
          <w:tcPr>
            <w:tcW w:w="0" w:type="auto"/>
            <w:shd w:val="clear" w:color="auto" w:fill="auto"/>
          </w:tcPr>
          <w:p w14:paraId="20AE1E14" w14:textId="77777777" w:rsidR="00B626E7" w:rsidRDefault="00B626E7">
            <w:pPr>
              <w:rPr>
                <w:rFonts w:ascii="宋体"/>
              </w:rPr>
            </w:pPr>
          </w:p>
        </w:tc>
        <w:tc>
          <w:tcPr>
            <w:tcW w:w="0" w:type="auto"/>
            <w:shd w:val="clear" w:color="auto" w:fill="auto"/>
          </w:tcPr>
          <w:p w14:paraId="20AE1E15" w14:textId="77777777" w:rsidR="00B626E7" w:rsidRDefault="00B626E7">
            <w:pPr>
              <w:rPr>
                <w:rFonts w:ascii="宋体"/>
              </w:rPr>
            </w:pPr>
          </w:p>
        </w:tc>
        <w:tc>
          <w:tcPr>
            <w:tcW w:w="0" w:type="auto"/>
            <w:shd w:val="clear" w:color="auto" w:fill="auto"/>
          </w:tcPr>
          <w:p w14:paraId="20AE1E16" w14:textId="77777777" w:rsidR="00B626E7" w:rsidRDefault="00B626E7">
            <w:pPr>
              <w:rPr>
                <w:rFonts w:ascii="宋体"/>
              </w:rPr>
            </w:pPr>
          </w:p>
        </w:tc>
        <w:tc>
          <w:tcPr>
            <w:tcW w:w="0" w:type="auto"/>
            <w:shd w:val="clear" w:color="auto" w:fill="auto"/>
          </w:tcPr>
          <w:p w14:paraId="20AE1E17" w14:textId="77777777" w:rsidR="00B626E7" w:rsidRDefault="00B626E7">
            <w:pPr>
              <w:rPr>
                <w:rFonts w:ascii="宋体"/>
              </w:rPr>
            </w:pPr>
          </w:p>
        </w:tc>
        <w:tc>
          <w:tcPr>
            <w:tcW w:w="0" w:type="auto"/>
            <w:shd w:val="clear" w:color="auto" w:fill="auto"/>
          </w:tcPr>
          <w:p w14:paraId="20AE1E18" w14:textId="77777777" w:rsidR="00B626E7" w:rsidRDefault="00B626E7">
            <w:pPr>
              <w:rPr>
                <w:rFonts w:ascii="宋体"/>
              </w:rPr>
            </w:pPr>
          </w:p>
        </w:tc>
      </w:tr>
      <w:tr w:rsidR="00B626E7" w14:paraId="20AE1E2F" w14:textId="77777777">
        <w:tc>
          <w:tcPr>
            <w:tcW w:w="0" w:type="auto"/>
            <w:gridSpan w:val="3"/>
            <w:tcBorders>
              <w:top w:val="single" w:sz="8" w:space="0" w:color="0071C5"/>
            </w:tcBorders>
            <w:shd w:val="clear" w:color="auto" w:fill="auto"/>
            <w:tcMar>
              <w:top w:w="40" w:type="dxa"/>
              <w:left w:w="20" w:type="dxa"/>
              <w:bottom w:w="40" w:type="dxa"/>
              <w:right w:w="20" w:type="dxa"/>
            </w:tcMar>
          </w:tcPr>
          <w:p w14:paraId="20AE1E1A" w14:textId="77777777" w:rsidR="00B626E7" w:rsidRDefault="00175C1D">
            <w:pPr>
              <w:ind w:hanging="180"/>
              <w:textAlignment w:val="top"/>
            </w:pPr>
            <w:r>
              <w:rPr>
                <w:rFonts w:ascii="Arial" w:eastAsia="宋体" w:hAnsi="Arial" w:cs="Arial"/>
                <w:color w:val="333333"/>
                <w:sz w:val="18"/>
                <w:szCs w:val="18"/>
              </w:rPr>
              <w:t>Deri</w:t>
            </w:r>
            <w:r>
              <w:rPr>
                <w:rFonts w:ascii="Arial" w:eastAsia="宋体" w:hAnsi="Arial" w:cs="Arial"/>
                <w:color w:val="333333"/>
                <w:sz w:val="18"/>
                <w:szCs w:val="18"/>
              </w:rPr>
              <w:t>vatives designated as hedging instruments:</w:t>
            </w:r>
          </w:p>
        </w:tc>
        <w:tc>
          <w:tcPr>
            <w:tcW w:w="0" w:type="auto"/>
            <w:gridSpan w:val="3"/>
            <w:shd w:val="clear" w:color="auto" w:fill="auto"/>
            <w:tcMar>
              <w:left w:w="20" w:type="dxa"/>
              <w:right w:w="20" w:type="dxa"/>
            </w:tcMar>
            <w:vAlign w:val="bottom"/>
          </w:tcPr>
          <w:p w14:paraId="20AE1E1B"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1E1C"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E1D"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1E1E"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E1F"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1E20"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E21"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1E22" w14:textId="77777777" w:rsidR="00B626E7" w:rsidRDefault="00B626E7">
            <w:pPr>
              <w:rPr>
                <w:rFonts w:ascii="宋体"/>
              </w:rPr>
            </w:pPr>
          </w:p>
        </w:tc>
        <w:tc>
          <w:tcPr>
            <w:tcW w:w="0" w:type="auto"/>
            <w:shd w:val="clear" w:color="auto" w:fill="auto"/>
          </w:tcPr>
          <w:p w14:paraId="20AE1E23" w14:textId="77777777" w:rsidR="00B626E7" w:rsidRDefault="00B626E7">
            <w:pPr>
              <w:rPr>
                <w:rFonts w:ascii="宋体"/>
              </w:rPr>
            </w:pPr>
          </w:p>
        </w:tc>
        <w:tc>
          <w:tcPr>
            <w:tcW w:w="0" w:type="auto"/>
            <w:shd w:val="clear" w:color="auto" w:fill="auto"/>
          </w:tcPr>
          <w:p w14:paraId="20AE1E24" w14:textId="77777777" w:rsidR="00B626E7" w:rsidRDefault="00B626E7">
            <w:pPr>
              <w:rPr>
                <w:rFonts w:ascii="宋体"/>
              </w:rPr>
            </w:pPr>
          </w:p>
        </w:tc>
        <w:tc>
          <w:tcPr>
            <w:tcW w:w="0" w:type="auto"/>
            <w:shd w:val="clear" w:color="auto" w:fill="auto"/>
          </w:tcPr>
          <w:p w14:paraId="20AE1E25" w14:textId="77777777" w:rsidR="00B626E7" w:rsidRDefault="00B626E7">
            <w:pPr>
              <w:rPr>
                <w:rFonts w:ascii="宋体"/>
              </w:rPr>
            </w:pPr>
          </w:p>
        </w:tc>
        <w:tc>
          <w:tcPr>
            <w:tcW w:w="0" w:type="auto"/>
            <w:shd w:val="clear" w:color="auto" w:fill="auto"/>
          </w:tcPr>
          <w:p w14:paraId="20AE1E26" w14:textId="77777777" w:rsidR="00B626E7" w:rsidRDefault="00B626E7">
            <w:pPr>
              <w:rPr>
                <w:rFonts w:ascii="宋体"/>
              </w:rPr>
            </w:pPr>
          </w:p>
        </w:tc>
        <w:tc>
          <w:tcPr>
            <w:tcW w:w="0" w:type="auto"/>
            <w:shd w:val="clear" w:color="auto" w:fill="auto"/>
          </w:tcPr>
          <w:p w14:paraId="20AE1E27" w14:textId="77777777" w:rsidR="00B626E7" w:rsidRDefault="00B626E7">
            <w:pPr>
              <w:rPr>
                <w:rFonts w:ascii="宋体"/>
              </w:rPr>
            </w:pPr>
          </w:p>
        </w:tc>
        <w:tc>
          <w:tcPr>
            <w:tcW w:w="0" w:type="auto"/>
            <w:shd w:val="clear" w:color="auto" w:fill="auto"/>
          </w:tcPr>
          <w:p w14:paraId="20AE1E28" w14:textId="77777777" w:rsidR="00B626E7" w:rsidRDefault="00B626E7">
            <w:pPr>
              <w:rPr>
                <w:rFonts w:ascii="宋体"/>
              </w:rPr>
            </w:pPr>
          </w:p>
        </w:tc>
        <w:tc>
          <w:tcPr>
            <w:tcW w:w="0" w:type="auto"/>
            <w:shd w:val="clear" w:color="auto" w:fill="auto"/>
          </w:tcPr>
          <w:p w14:paraId="20AE1E29" w14:textId="77777777" w:rsidR="00B626E7" w:rsidRDefault="00B626E7">
            <w:pPr>
              <w:rPr>
                <w:rFonts w:ascii="宋体"/>
              </w:rPr>
            </w:pPr>
          </w:p>
        </w:tc>
        <w:tc>
          <w:tcPr>
            <w:tcW w:w="0" w:type="auto"/>
            <w:shd w:val="clear" w:color="auto" w:fill="auto"/>
          </w:tcPr>
          <w:p w14:paraId="20AE1E2A" w14:textId="77777777" w:rsidR="00B626E7" w:rsidRDefault="00B626E7">
            <w:pPr>
              <w:rPr>
                <w:rFonts w:ascii="宋体"/>
              </w:rPr>
            </w:pPr>
          </w:p>
        </w:tc>
        <w:tc>
          <w:tcPr>
            <w:tcW w:w="0" w:type="auto"/>
            <w:shd w:val="clear" w:color="auto" w:fill="auto"/>
          </w:tcPr>
          <w:p w14:paraId="20AE1E2B" w14:textId="77777777" w:rsidR="00B626E7" w:rsidRDefault="00B626E7">
            <w:pPr>
              <w:rPr>
                <w:rFonts w:ascii="宋体"/>
              </w:rPr>
            </w:pPr>
          </w:p>
        </w:tc>
        <w:tc>
          <w:tcPr>
            <w:tcW w:w="0" w:type="auto"/>
            <w:shd w:val="clear" w:color="auto" w:fill="auto"/>
          </w:tcPr>
          <w:p w14:paraId="20AE1E2C" w14:textId="77777777" w:rsidR="00B626E7" w:rsidRDefault="00B626E7">
            <w:pPr>
              <w:rPr>
                <w:rFonts w:ascii="宋体"/>
              </w:rPr>
            </w:pPr>
          </w:p>
        </w:tc>
        <w:tc>
          <w:tcPr>
            <w:tcW w:w="0" w:type="auto"/>
            <w:shd w:val="clear" w:color="auto" w:fill="auto"/>
          </w:tcPr>
          <w:p w14:paraId="20AE1E2D" w14:textId="77777777" w:rsidR="00B626E7" w:rsidRDefault="00B626E7">
            <w:pPr>
              <w:rPr>
                <w:rFonts w:ascii="宋体"/>
              </w:rPr>
            </w:pPr>
          </w:p>
        </w:tc>
        <w:tc>
          <w:tcPr>
            <w:tcW w:w="0" w:type="auto"/>
            <w:shd w:val="clear" w:color="auto" w:fill="auto"/>
          </w:tcPr>
          <w:p w14:paraId="20AE1E2E" w14:textId="77777777" w:rsidR="00B626E7" w:rsidRDefault="00B626E7">
            <w:pPr>
              <w:rPr>
                <w:rFonts w:ascii="宋体"/>
              </w:rPr>
            </w:pPr>
          </w:p>
        </w:tc>
      </w:tr>
      <w:tr w:rsidR="00B626E7" w14:paraId="20AE1E4D" w14:textId="77777777">
        <w:tc>
          <w:tcPr>
            <w:tcW w:w="0" w:type="auto"/>
            <w:gridSpan w:val="3"/>
            <w:shd w:val="clear" w:color="auto" w:fill="auto"/>
            <w:tcMar>
              <w:top w:w="40" w:type="dxa"/>
              <w:left w:w="20" w:type="dxa"/>
              <w:bottom w:w="40" w:type="dxa"/>
              <w:right w:w="20" w:type="dxa"/>
            </w:tcMar>
          </w:tcPr>
          <w:p w14:paraId="20AE1E30" w14:textId="77777777" w:rsidR="00B626E7" w:rsidRDefault="00175C1D">
            <w:pPr>
              <w:textAlignment w:val="top"/>
            </w:pPr>
            <w:r>
              <w:rPr>
                <w:rFonts w:ascii="Arial" w:eastAsia="宋体" w:hAnsi="Arial" w:cs="Arial"/>
                <w:color w:val="333333"/>
                <w:sz w:val="18"/>
                <w:szCs w:val="18"/>
              </w:rPr>
              <w:t>Foreign currency contracts</w:t>
            </w:r>
            <w:r>
              <w:rPr>
                <w:rFonts w:ascii="Arial" w:eastAsia="宋体" w:hAnsi="Arial" w:cs="Arial"/>
                <w:color w:val="333333"/>
                <w:sz w:val="11"/>
                <w:szCs w:val="11"/>
              </w:rPr>
              <w:t>3</w:t>
            </w:r>
          </w:p>
        </w:tc>
        <w:tc>
          <w:tcPr>
            <w:tcW w:w="0" w:type="auto"/>
            <w:gridSpan w:val="3"/>
            <w:shd w:val="clear" w:color="auto" w:fill="auto"/>
            <w:tcMar>
              <w:left w:w="20" w:type="dxa"/>
              <w:right w:w="20" w:type="dxa"/>
            </w:tcMar>
            <w:vAlign w:val="bottom"/>
          </w:tcPr>
          <w:p w14:paraId="20AE1E31"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1E32" w14:textId="77777777" w:rsidR="00B626E7" w:rsidRDefault="00175C1D">
            <w:pPr>
              <w:textAlignment w:val="bottom"/>
            </w:pPr>
            <w:r>
              <w:rPr>
                <w:rFonts w:ascii="Arial" w:eastAsia="宋体" w:hAnsi="Arial" w:cs="Arial"/>
                <w:color w:val="026DCE"/>
                <w:sz w:val="18"/>
                <w:szCs w:val="18"/>
              </w:rPr>
              <w:t>$</w:t>
            </w:r>
          </w:p>
        </w:tc>
        <w:tc>
          <w:tcPr>
            <w:tcW w:w="0" w:type="auto"/>
            <w:shd w:val="clear" w:color="auto" w:fill="auto"/>
            <w:tcMar>
              <w:top w:w="40" w:type="dxa"/>
              <w:bottom w:w="40" w:type="dxa"/>
              <w:right w:w="0" w:type="dxa"/>
            </w:tcMar>
            <w:vAlign w:val="bottom"/>
          </w:tcPr>
          <w:p w14:paraId="20AE1E33" w14:textId="77777777" w:rsidR="00B626E7" w:rsidRDefault="00175C1D">
            <w:pPr>
              <w:jc w:val="right"/>
              <w:textAlignment w:val="bottom"/>
            </w:pPr>
            <w:r>
              <w:rPr>
                <w:rFonts w:ascii="Arial" w:eastAsia="宋体" w:hAnsi="Arial" w:cs="Arial"/>
                <w:color w:val="026DCE"/>
                <w:sz w:val="18"/>
                <w:szCs w:val="18"/>
              </w:rPr>
              <w:t>76 </w:t>
            </w:r>
          </w:p>
        </w:tc>
        <w:tc>
          <w:tcPr>
            <w:tcW w:w="0" w:type="auto"/>
            <w:shd w:val="clear" w:color="auto" w:fill="auto"/>
            <w:tcMar>
              <w:top w:w="40" w:type="dxa"/>
              <w:bottom w:w="40" w:type="dxa"/>
              <w:right w:w="20" w:type="dxa"/>
            </w:tcMar>
            <w:vAlign w:val="bottom"/>
          </w:tcPr>
          <w:p w14:paraId="20AE1E34"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E35"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1E36" w14:textId="77777777" w:rsidR="00B626E7" w:rsidRDefault="00175C1D">
            <w:pPr>
              <w:textAlignment w:val="bottom"/>
            </w:pPr>
            <w:r>
              <w:rPr>
                <w:rFonts w:ascii="Arial" w:eastAsia="宋体" w:hAnsi="Arial" w:cs="Arial"/>
                <w:color w:val="026DCE"/>
                <w:sz w:val="18"/>
                <w:szCs w:val="18"/>
              </w:rPr>
              <w:t>$</w:t>
            </w:r>
          </w:p>
        </w:tc>
        <w:tc>
          <w:tcPr>
            <w:tcW w:w="0" w:type="auto"/>
            <w:shd w:val="clear" w:color="auto" w:fill="auto"/>
            <w:tcMar>
              <w:top w:w="40" w:type="dxa"/>
              <w:bottom w:w="40" w:type="dxa"/>
              <w:right w:w="0" w:type="dxa"/>
            </w:tcMar>
            <w:vAlign w:val="bottom"/>
          </w:tcPr>
          <w:p w14:paraId="20AE1E37" w14:textId="77777777" w:rsidR="00B626E7" w:rsidRDefault="00175C1D">
            <w:pPr>
              <w:jc w:val="right"/>
              <w:textAlignment w:val="bottom"/>
            </w:pPr>
            <w:r>
              <w:rPr>
                <w:rFonts w:ascii="Arial" w:eastAsia="宋体" w:hAnsi="Arial" w:cs="Arial"/>
                <w:color w:val="026DCE"/>
                <w:sz w:val="18"/>
                <w:szCs w:val="18"/>
              </w:rPr>
              <w:t>81 </w:t>
            </w:r>
          </w:p>
        </w:tc>
        <w:tc>
          <w:tcPr>
            <w:tcW w:w="0" w:type="auto"/>
            <w:shd w:val="clear" w:color="auto" w:fill="auto"/>
            <w:tcMar>
              <w:top w:w="40" w:type="dxa"/>
              <w:bottom w:w="40" w:type="dxa"/>
              <w:right w:w="20" w:type="dxa"/>
            </w:tcMar>
            <w:vAlign w:val="bottom"/>
          </w:tcPr>
          <w:p w14:paraId="20AE1E38"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E39"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1E3A" w14:textId="77777777" w:rsidR="00B626E7" w:rsidRDefault="00175C1D">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20AE1E3B" w14:textId="77777777" w:rsidR="00B626E7" w:rsidRDefault="00175C1D">
            <w:pPr>
              <w:jc w:val="right"/>
              <w:textAlignment w:val="bottom"/>
            </w:pPr>
            <w:r>
              <w:rPr>
                <w:rFonts w:ascii="Arial" w:eastAsia="宋体" w:hAnsi="Arial" w:cs="Arial"/>
                <w:color w:val="333333"/>
                <w:sz w:val="18"/>
                <w:szCs w:val="18"/>
              </w:rPr>
              <w:t>56 </w:t>
            </w:r>
          </w:p>
        </w:tc>
        <w:tc>
          <w:tcPr>
            <w:tcW w:w="0" w:type="auto"/>
            <w:shd w:val="clear" w:color="auto" w:fill="auto"/>
            <w:tcMar>
              <w:top w:w="40" w:type="dxa"/>
              <w:bottom w:w="40" w:type="dxa"/>
              <w:right w:w="20" w:type="dxa"/>
            </w:tcMar>
            <w:vAlign w:val="bottom"/>
          </w:tcPr>
          <w:p w14:paraId="20AE1E3C"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E3D"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1E3E" w14:textId="77777777" w:rsidR="00B626E7" w:rsidRDefault="00175C1D">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20AE1E3F" w14:textId="77777777" w:rsidR="00B626E7" w:rsidRDefault="00175C1D">
            <w:pPr>
              <w:jc w:val="right"/>
              <w:textAlignment w:val="bottom"/>
            </w:pPr>
            <w:r>
              <w:rPr>
                <w:rFonts w:ascii="Arial" w:eastAsia="宋体" w:hAnsi="Arial" w:cs="Arial"/>
                <w:color w:val="333333"/>
                <w:sz w:val="18"/>
                <w:szCs w:val="18"/>
              </w:rPr>
              <w:t>159 </w:t>
            </w:r>
          </w:p>
        </w:tc>
        <w:tc>
          <w:tcPr>
            <w:tcW w:w="0" w:type="auto"/>
            <w:shd w:val="clear" w:color="auto" w:fill="auto"/>
            <w:tcMar>
              <w:top w:w="40" w:type="dxa"/>
              <w:bottom w:w="40" w:type="dxa"/>
              <w:right w:w="20" w:type="dxa"/>
            </w:tcMar>
            <w:vAlign w:val="bottom"/>
          </w:tcPr>
          <w:p w14:paraId="20AE1E40"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E41" w14:textId="77777777" w:rsidR="00B626E7" w:rsidRDefault="00B626E7">
            <w:pPr>
              <w:rPr>
                <w:rFonts w:ascii="宋体"/>
              </w:rPr>
            </w:pPr>
          </w:p>
        </w:tc>
        <w:tc>
          <w:tcPr>
            <w:tcW w:w="0" w:type="auto"/>
            <w:shd w:val="clear" w:color="auto" w:fill="auto"/>
          </w:tcPr>
          <w:p w14:paraId="20AE1E42" w14:textId="77777777" w:rsidR="00B626E7" w:rsidRDefault="00B626E7">
            <w:pPr>
              <w:rPr>
                <w:rFonts w:ascii="宋体"/>
              </w:rPr>
            </w:pPr>
          </w:p>
        </w:tc>
        <w:tc>
          <w:tcPr>
            <w:tcW w:w="0" w:type="auto"/>
            <w:shd w:val="clear" w:color="auto" w:fill="auto"/>
          </w:tcPr>
          <w:p w14:paraId="20AE1E43" w14:textId="77777777" w:rsidR="00B626E7" w:rsidRDefault="00B626E7">
            <w:pPr>
              <w:rPr>
                <w:rFonts w:ascii="宋体"/>
              </w:rPr>
            </w:pPr>
          </w:p>
        </w:tc>
        <w:tc>
          <w:tcPr>
            <w:tcW w:w="0" w:type="auto"/>
            <w:shd w:val="clear" w:color="auto" w:fill="auto"/>
          </w:tcPr>
          <w:p w14:paraId="20AE1E44" w14:textId="77777777" w:rsidR="00B626E7" w:rsidRDefault="00B626E7">
            <w:pPr>
              <w:rPr>
                <w:rFonts w:ascii="宋体"/>
              </w:rPr>
            </w:pPr>
          </w:p>
        </w:tc>
        <w:tc>
          <w:tcPr>
            <w:tcW w:w="0" w:type="auto"/>
            <w:shd w:val="clear" w:color="auto" w:fill="auto"/>
          </w:tcPr>
          <w:p w14:paraId="20AE1E45" w14:textId="77777777" w:rsidR="00B626E7" w:rsidRDefault="00B626E7">
            <w:pPr>
              <w:rPr>
                <w:rFonts w:ascii="宋体"/>
              </w:rPr>
            </w:pPr>
          </w:p>
        </w:tc>
        <w:tc>
          <w:tcPr>
            <w:tcW w:w="0" w:type="auto"/>
            <w:shd w:val="clear" w:color="auto" w:fill="auto"/>
          </w:tcPr>
          <w:p w14:paraId="20AE1E46" w14:textId="77777777" w:rsidR="00B626E7" w:rsidRDefault="00B626E7">
            <w:pPr>
              <w:rPr>
                <w:rFonts w:ascii="宋体"/>
              </w:rPr>
            </w:pPr>
          </w:p>
        </w:tc>
        <w:tc>
          <w:tcPr>
            <w:tcW w:w="0" w:type="auto"/>
            <w:shd w:val="clear" w:color="auto" w:fill="auto"/>
          </w:tcPr>
          <w:p w14:paraId="20AE1E47" w14:textId="77777777" w:rsidR="00B626E7" w:rsidRDefault="00B626E7">
            <w:pPr>
              <w:rPr>
                <w:rFonts w:ascii="宋体"/>
              </w:rPr>
            </w:pPr>
          </w:p>
        </w:tc>
        <w:tc>
          <w:tcPr>
            <w:tcW w:w="0" w:type="auto"/>
            <w:shd w:val="clear" w:color="auto" w:fill="auto"/>
          </w:tcPr>
          <w:p w14:paraId="20AE1E48" w14:textId="77777777" w:rsidR="00B626E7" w:rsidRDefault="00B626E7">
            <w:pPr>
              <w:rPr>
                <w:rFonts w:ascii="宋体"/>
              </w:rPr>
            </w:pPr>
          </w:p>
        </w:tc>
        <w:tc>
          <w:tcPr>
            <w:tcW w:w="0" w:type="auto"/>
            <w:shd w:val="clear" w:color="auto" w:fill="auto"/>
          </w:tcPr>
          <w:p w14:paraId="20AE1E49" w14:textId="77777777" w:rsidR="00B626E7" w:rsidRDefault="00B626E7">
            <w:pPr>
              <w:rPr>
                <w:rFonts w:ascii="宋体"/>
              </w:rPr>
            </w:pPr>
          </w:p>
        </w:tc>
        <w:tc>
          <w:tcPr>
            <w:tcW w:w="0" w:type="auto"/>
            <w:shd w:val="clear" w:color="auto" w:fill="auto"/>
          </w:tcPr>
          <w:p w14:paraId="20AE1E4A" w14:textId="77777777" w:rsidR="00B626E7" w:rsidRDefault="00B626E7">
            <w:pPr>
              <w:rPr>
                <w:rFonts w:ascii="宋体"/>
              </w:rPr>
            </w:pPr>
          </w:p>
        </w:tc>
        <w:tc>
          <w:tcPr>
            <w:tcW w:w="0" w:type="auto"/>
            <w:shd w:val="clear" w:color="auto" w:fill="auto"/>
          </w:tcPr>
          <w:p w14:paraId="20AE1E4B" w14:textId="77777777" w:rsidR="00B626E7" w:rsidRDefault="00B626E7">
            <w:pPr>
              <w:rPr>
                <w:rFonts w:ascii="宋体"/>
              </w:rPr>
            </w:pPr>
          </w:p>
        </w:tc>
        <w:tc>
          <w:tcPr>
            <w:tcW w:w="0" w:type="auto"/>
            <w:shd w:val="clear" w:color="auto" w:fill="auto"/>
          </w:tcPr>
          <w:p w14:paraId="20AE1E4C" w14:textId="77777777" w:rsidR="00B626E7" w:rsidRDefault="00B626E7">
            <w:pPr>
              <w:rPr>
                <w:rFonts w:ascii="宋体"/>
              </w:rPr>
            </w:pPr>
          </w:p>
        </w:tc>
      </w:tr>
      <w:tr w:rsidR="00B626E7" w14:paraId="20AE1E67" w14:textId="77777777">
        <w:tc>
          <w:tcPr>
            <w:tcW w:w="0" w:type="auto"/>
            <w:gridSpan w:val="3"/>
            <w:shd w:val="clear" w:color="auto" w:fill="auto"/>
            <w:tcMar>
              <w:top w:w="40" w:type="dxa"/>
              <w:left w:w="20" w:type="dxa"/>
              <w:bottom w:w="40" w:type="dxa"/>
              <w:right w:w="20" w:type="dxa"/>
            </w:tcMar>
          </w:tcPr>
          <w:p w14:paraId="20AE1E4E" w14:textId="77777777" w:rsidR="00B626E7" w:rsidRDefault="00175C1D">
            <w:pPr>
              <w:ind w:hanging="180"/>
              <w:textAlignment w:val="top"/>
            </w:pPr>
            <w:r>
              <w:rPr>
                <w:rFonts w:ascii="Arial" w:eastAsia="宋体" w:hAnsi="Arial" w:cs="Arial"/>
                <w:color w:val="333333"/>
                <w:sz w:val="18"/>
                <w:szCs w:val="18"/>
              </w:rPr>
              <w:t>Interest rate contracts</w:t>
            </w:r>
          </w:p>
        </w:tc>
        <w:tc>
          <w:tcPr>
            <w:tcW w:w="0" w:type="auto"/>
            <w:gridSpan w:val="3"/>
            <w:shd w:val="clear" w:color="auto" w:fill="auto"/>
            <w:tcMar>
              <w:left w:w="20" w:type="dxa"/>
              <w:right w:w="20" w:type="dxa"/>
            </w:tcMar>
            <w:vAlign w:val="bottom"/>
          </w:tcPr>
          <w:p w14:paraId="20AE1E4F"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E50" w14:textId="77777777" w:rsidR="00B626E7" w:rsidRDefault="00175C1D">
            <w:pPr>
              <w:jc w:val="right"/>
              <w:textAlignment w:val="bottom"/>
            </w:pPr>
            <w:r>
              <w:rPr>
                <w:rFonts w:ascii="Arial" w:eastAsia="宋体" w:hAnsi="Arial" w:cs="Arial"/>
                <w:color w:val="026DCE"/>
                <w:sz w:val="18"/>
                <w:szCs w:val="18"/>
              </w:rPr>
              <w:t>1,713 </w:t>
            </w:r>
          </w:p>
        </w:tc>
        <w:tc>
          <w:tcPr>
            <w:tcW w:w="0" w:type="auto"/>
            <w:shd w:val="clear" w:color="auto" w:fill="auto"/>
            <w:tcMar>
              <w:top w:w="40" w:type="dxa"/>
              <w:bottom w:w="40" w:type="dxa"/>
              <w:right w:w="20" w:type="dxa"/>
            </w:tcMar>
            <w:vAlign w:val="bottom"/>
          </w:tcPr>
          <w:p w14:paraId="20AE1E51"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E52"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E53" w14:textId="77777777" w:rsidR="00B626E7" w:rsidRDefault="00175C1D">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20AE1E54"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E55"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E56" w14:textId="77777777" w:rsidR="00B626E7" w:rsidRDefault="00175C1D">
            <w:pPr>
              <w:jc w:val="right"/>
              <w:textAlignment w:val="bottom"/>
            </w:pPr>
            <w:r>
              <w:rPr>
                <w:rFonts w:ascii="Arial" w:eastAsia="宋体" w:hAnsi="Arial" w:cs="Arial"/>
                <w:color w:val="333333"/>
                <w:sz w:val="18"/>
                <w:szCs w:val="18"/>
              </w:rPr>
              <w:t>690 </w:t>
            </w:r>
          </w:p>
        </w:tc>
        <w:tc>
          <w:tcPr>
            <w:tcW w:w="0" w:type="auto"/>
            <w:shd w:val="clear" w:color="auto" w:fill="auto"/>
            <w:tcMar>
              <w:top w:w="40" w:type="dxa"/>
              <w:bottom w:w="40" w:type="dxa"/>
              <w:right w:w="20" w:type="dxa"/>
            </w:tcMar>
            <w:vAlign w:val="bottom"/>
          </w:tcPr>
          <w:p w14:paraId="20AE1E57"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E58"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E59" w14:textId="77777777" w:rsidR="00B626E7" w:rsidRDefault="00175C1D">
            <w:pPr>
              <w:jc w:val="right"/>
              <w:textAlignment w:val="bottom"/>
            </w:pPr>
            <w:r>
              <w:rPr>
                <w:rFonts w:ascii="Arial" w:eastAsia="宋体" w:hAnsi="Arial" w:cs="Arial"/>
                <w:color w:val="333333"/>
                <w:sz w:val="18"/>
                <w:szCs w:val="18"/>
              </w:rPr>
              <w:t>9 </w:t>
            </w:r>
          </w:p>
        </w:tc>
        <w:tc>
          <w:tcPr>
            <w:tcW w:w="0" w:type="auto"/>
            <w:shd w:val="clear" w:color="auto" w:fill="auto"/>
            <w:tcMar>
              <w:top w:w="40" w:type="dxa"/>
              <w:bottom w:w="40" w:type="dxa"/>
              <w:right w:w="20" w:type="dxa"/>
            </w:tcMar>
            <w:vAlign w:val="bottom"/>
          </w:tcPr>
          <w:p w14:paraId="20AE1E5A"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E5B" w14:textId="77777777" w:rsidR="00B626E7" w:rsidRDefault="00B626E7">
            <w:pPr>
              <w:rPr>
                <w:rFonts w:ascii="宋体"/>
              </w:rPr>
            </w:pPr>
          </w:p>
        </w:tc>
        <w:tc>
          <w:tcPr>
            <w:tcW w:w="0" w:type="auto"/>
            <w:shd w:val="clear" w:color="auto" w:fill="auto"/>
          </w:tcPr>
          <w:p w14:paraId="20AE1E5C" w14:textId="77777777" w:rsidR="00B626E7" w:rsidRDefault="00B626E7">
            <w:pPr>
              <w:rPr>
                <w:rFonts w:ascii="宋体"/>
              </w:rPr>
            </w:pPr>
          </w:p>
        </w:tc>
        <w:tc>
          <w:tcPr>
            <w:tcW w:w="0" w:type="auto"/>
            <w:shd w:val="clear" w:color="auto" w:fill="auto"/>
          </w:tcPr>
          <w:p w14:paraId="20AE1E5D" w14:textId="77777777" w:rsidR="00B626E7" w:rsidRDefault="00B626E7">
            <w:pPr>
              <w:rPr>
                <w:rFonts w:ascii="宋体"/>
              </w:rPr>
            </w:pPr>
          </w:p>
        </w:tc>
        <w:tc>
          <w:tcPr>
            <w:tcW w:w="0" w:type="auto"/>
            <w:shd w:val="clear" w:color="auto" w:fill="auto"/>
          </w:tcPr>
          <w:p w14:paraId="20AE1E5E" w14:textId="77777777" w:rsidR="00B626E7" w:rsidRDefault="00B626E7">
            <w:pPr>
              <w:rPr>
                <w:rFonts w:ascii="宋体"/>
              </w:rPr>
            </w:pPr>
          </w:p>
        </w:tc>
        <w:tc>
          <w:tcPr>
            <w:tcW w:w="0" w:type="auto"/>
            <w:shd w:val="clear" w:color="auto" w:fill="auto"/>
          </w:tcPr>
          <w:p w14:paraId="20AE1E5F" w14:textId="77777777" w:rsidR="00B626E7" w:rsidRDefault="00B626E7">
            <w:pPr>
              <w:rPr>
                <w:rFonts w:ascii="宋体"/>
              </w:rPr>
            </w:pPr>
          </w:p>
        </w:tc>
        <w:tc>
          <w:tcPr>
            <w:tcW w:w="0" w:type="auto"/>
            <w:shd w:val="clear" w:color="auto" w:fill="auto"/>
          </w:tcPr>
          <w:p w14:paraId="20AE1E60" w14:textId="77777777" w:rsidR="00B626E7" w:rsidRDefault="00B626E7">
            <w:pPr>
              <w:rPr>
                <w:rFonts w:ascii="宋体"/>
              </w:rPr>
            </w:pPr>
          </w:p>
        </w:tc>
        <w:tc>
          <w:tcPr>
            <w:tcW w:w="0" w:type="auto"/>
            <w:shd w:val="clear" w:color="auto" w:fill="auto"/>
          </w:tcPr>
          <w:p w14:paraId="20AE1E61" w14:textId="77777777" w:rsidR="00B626E7" w:rsidRDefault="00B626E7">
            <w:pPr>
              <w:rPr>
                <w:rFonts w:ascii="宋体"/>
              </w:rPr>
            </w:pPr>
          </w:p>
        </w:tc>
        <w:tc>
          <w:tcPr>
            <w:tcW w:w="0" w:type="auto"/>
            <w:shd w:val="clear" w:color="auto" w:fill="auto"/>
          </w:tcPr>
          <w:p w14:paraId="20AE1E62" w14:textId="77777777" w:rsidR="00B626E7" w:rsidRDefault="00B626E7">
            <w:pPr>
              <w:rPr>
                <w:rFonts w:ascii="宋体"/>
              </w:rPr>
            </w:pPr>
          </w:p>
        </w:tc>
        <w:tc>
          <w:tcPr>
            <w:tcW w:w="0" w:type="auto"/>
            <w:shd w:val="clear" w:color="auto" w:fill="auto"/>
          </w:tcPr>
          <w:p w14:paraId="20AE1E63" w14:textId="77777777" w:rsidR="00B626E7" w:rsidRDefault="00B626E7">
            <w:pPr>
              <w:rPr>
                <w:rFonts w:ascii="宋体"/>
              </w:rPr>
            </w:pPr>
          </w:p>
        </w:tc>
        <w:tc>
          <w:tcPr>
            <w:tcW w:w="0" w:type="auto"/>
            <w:shd w:val="clear" w:color="auto" w:fill="auto"/>
          </w:tcPr>
          <w:p w14:paraId="20AE1E64" w14:textId="77777777" w:rsidR="00B626E7" w:rsidRDefault="00B626E7">
            <w:pPr>
              <w:rPr>
                <w:rFonts w:ascii="宋体"/>
              </w:rPr>
            </w:pPr>
          </w:p>
        </w:tc>
        <w:tc>
          <w:tcPr>
            <w:tcW w:w="0" w:type="auto"/>
            <w:shd w:val="clear" w:color="auto" w:fill="auto"/>
          </w:tcPr>
          <w:p w14:paraId="20AE1E65" w14:textId="77777777" w:rsidR="00B626E7" w:rsidRDefault="00B626E7">
            <w:pPr>
              <w:rPr>
                <w:rFonts w:ascii="宋体"/>
              </w:rPr>
            </w:pPr>
          </w:p>
        </w:tc>
        <w:tc>
          <w:tcPr>
            <w:tcW w:w="0" w:type="auto"/>
            <w:shd w:val="clear" w:color="auto" w:fill="auto"/>
          </w:tcPr>
          <w:p w14:paraId="20AE1E66" w14:textId="77777777" w:rsidR="00B626E7" w:rsidRDefault="00B626E7">
            <w:pPr>
              <w:rPr>
                <w:rFonts w:ascii="宋体"/>
              </w:rPr>
            </w:pPr>
          </w:p>
        </w:tc>
      </w:tr>
      <w:tr w:rsidR="00B626E7" w14:paraId="20AE1E81" w14:textId="77777777">
        <w:tc>
          <w:tcPr>
            <w:tcW w:w="0" w:type="auto"/>
            <w:gridSpan w:val="3"/>
            <w:shd w:val="clear" w:color="auto" w:fill="auto"/>
            <w:tcMar>
              <w:top w:w="40" w:type="dxa"/>
              <w:left w:w="20" w:type="dxa"/>
              <w:bottom w:w="40" w:type="dxa"/>
              <w:right w:w="20" w:type="dxa"/>
            </w:tcMar>
          </w:tcPr>
          <w:p w14:paraId="20AE1E68" w14:textId="77777777" w:rsidR="00B626E7" w:rsidRDefault="00175C1D">
            <w:pPr>
              <w:ind w:hanging="180"/>
              <w:textAlignment w:val="top"/>
            </w:pPr>
            <w:r>
              <w:rPr>
                <w:rFonts w:ascii="Arial" w:eastAsia="宋体" w:hAnsi="Arial" w:cs="Arial"/>
                <w:b/>
                <w:bCs/>
                <w:color w:val="333333"/>
                <w:sz w:val="18"/>
                <w:szCs w:val="18"/>
              </w:rPr>
              <w:t>Total derivatives designated as hedging instruments</w:t>
            </w:r>
          </w:p>
        </w:tc>
        <w:tc>
          <w:tcPr>
            <w:tcW w:w="0" w:type="auto"/>
            <w:gridSpan w:val="3"/>
            <w:shd w:val="clear" w:color="auto" w:fill="auto"/>
            <w:tcMar>
              <w:left w:w="20" w:type="dxa"/>
              <w:right w:w="20" w:type="dxa"/>
            </w:tcMar>
            <w:vAlign w:val="bottom"/>
          </w:tcPr>
          <w:p w14:paraId="20AE1E69"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1E6A" w14:textId="77777777" w:rsidR="00B626E7" w:rsidRDefault="00175C1D">
            <w:pPr>
              <w:jc w:val="right"/>
              <w:textAlignment w:val="bottom"/>
            </w:pPr>
            <w:r>
              <w:rPr>
                <w:rFonts w:ascii="Arial" w:eastAsia="宋体" w:hAnsi="Arial" w:cs="Arial"/>
                <w:b/>
                <w:bCs/>
                <w:color w:val="026DCE"/>
                <w:sz w:val="18"/>
                <w:szCs w:val="18"/>
              </w:rPr>
              <w:t>1,789 </w:t>
            </w:r>
          </w:p>
        </w:tc>
        <w:tc>
          <w:tcPr>
            <w:tcW w:w="0" w:type="auto"/>
            <w:tcBorders>
              <w:top w:val="single" w:sz="8" w:space="0" w:color="333333"/>
            </w:tcBorders>
            <w:shd w:val="clear" w:color="auto" w:fill="auto"/>
            <w:tcMar>
              <w:top w:w="40" w:type="dxa"/>
              <w:bottom w:w="40" w:type="dxa"/>
              <w:right w:w="20" w:type="dxa"/>
            </w:tcMar>
            <w:vAlign w:val="bottom"/>
          </w:tcPr>
          <w:p w14:paraId="20AE1E6B"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1E6C"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1E6D" w14:textId="77777777" w:rsidR="00B626E7" w:rsidRDefault="00175C1D">
            <w:pPr>
              <w:jc w:val="right"/>
              <w:textAlignment w:val="bottom"/>
            </w:pPr>
            <w:r>
              <w:rPr>
                <w:rFonts w:ascii="Arial" w:eastAsia="宋体" w:hAnsi="Arial" w:cs="Arial"/>
                <w:b/>
                <w:bCs/>
                <w:color w:val="026DCE"/>
                <w:sz w:val="18"/>
                <w:szCs w:val="18"/>
              </w:rPr>
              <w:t>81 </w:t>
            </w:r>
          </w:p>
        </w:tc>
        <w:tc>
          <w:tcPr>
            <w:tcW w:w="0" w:type="auto"/>
            <w:tcBorders>
              <w:top w:val="single" w:sz="8" w:space="0" w:color="333333"/>
            </w:tcBorders>
            <w:shd w:val="clear" w:color="auto" w:fill="auto"/>
            <w:tcMar>
              <w:top w:w="40" w:type="dxa"/>
              <w:bottom w:w="40" w:type="dxa"/>
              <w:right w:w="20" w:type="dxa"/>
            </w:tcMar>
            <w:vAlign w:val="bottom"/>
          </w:tcPr>
          <w:p w14:paraId="20AE1E6E"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1E6F"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1E70" w14:textId="77777777" w:rsidR="00B626E7" w:rsidRDefault="00175C1D">
            <w:pPr>
              <w:jc w:val="right"/>
              <w:textAlignment w:val="bottom"/>
            </w:pPr>
            <w:r>
              <w:rPr>
                <w:rFonts w:ascii="Arial" w:eastAsia="宋体" w:hAnsi="Arial" w:cs="Arial"/>
                <w:b/>
                <w:bCs/>
                <w:color w:val="333333"/>
                <w:sz w:val="18"/>
                <w:szCs w:val="18"/>
              </w:rPr>
              <w:t>746 </w:t>
            </w:r>
          </w:p>
        </w:tc>
        <w:tc>
          <w:tcPr>
            <w:tcW w:w="0" w:type="auto"/>
            <w:tcBorders>
              <w:top w:val="single" w:sz="8" w:space="0" w:color="333333"/>
            </w:tcBorders>
            <w:shd w:val="clear" w:color="auto" w:fill="auto"/>
            <w:tcMar>
              <w:top w:w="40" w:type="dxa"/>
              <w:bottom w:w="40" w:type="dxa"/>
              <w:right w:w="20" w:type="dxa"/>
            </w:tcMar>
            <w:vAlign w:val="bottom"/>
          </w:tcPr>
          <w:p w14:paraId="20AE1E71"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1E72"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1E73" w14:textId="77777777" w:rsidR="00B626E7" w:rsidRDefault="00175C1D">
            <w:pPr>
              <w:jc w:val="right"/>
              <w:textAlignment w:val="bottom"/>
            </w:pPr>
            <w:r>
              <w:rPr>
                <w:rFonts w:ascii="Arial" w:eastAsia="宋体" w:hAnsi="Arial" w:cs="Arial"/>
                <w:b/>
                <w:bCs/>
                <w:color w:val="333333"/>
                <w:sz w:val="18"/>
                <w:szCs w:val="18"/>
              </w:rPr>
              <w:t>168 </w:t>
            </w:r>
          </w:p>
        </w:tc>
        <w:tc>
          <w:tcPr>
            <w:tcW w:w="0" w:type="auto"/>
            <w:tcBorders>
              <w:top w:val="single" w:sz="8" w:space="0" w:color="333333"/>
            </w:tcBorders>
            <w:shd w:val="clear" w:color="auto" w:fill="auto"/>
            <w:tcMar>
              <w:top w:w="40" w:type="dxa"/>
              <w:bottom w:w="40" w:type="dxa"/>
              <w:right w:w="20" w:type="dxa"/>
            </w:tcMar>
            <w:vAlign w:val="bottom"/>
          </w:tcPr>
          <w:p w14:paraId="20AE1E74"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E1E75" w14:textId="77777777" w:rsidR="00B626E7" w:rsidRDefault="00B626E7">
            <w:pPr>
              <w:rPr>
                <w:rFonts w:ascii="宋体"/>
              </w:rPr>
            </w:pPr>
          </w:p>
        </w:tc>
        <w:tc>
          <w:tcPr>
            <w:tcW w:w="0" w:type="auto"/>
            <w:shd w:val="clear" w:color="auto" w:fill="auto"/>
          </w:tcPr>
          <w:p w14:paraId="20AE1E76" w14:textId="77777777" w:rsidR="00B626E7" w:rsidRDefault="00B626E7">
            <w:pPr>
              <w:rPr>
                <w:rFonts w:ascii="宋体"/>
              </w:rPr>
            </w:pPr>
          </w:p>
        </w:tc>
        <w:tc>
          <w:tcPr>
            <w:tcW w:w="0" w:type="auto"/>
            <w:shd w:val="clear" w:color="auto" w:fill="auto"/>
          </w:tcPr>
          <w:p w14:paraId="20AE1E77" w14:textId="77777777" w:rsidR="00B626E7" w:rsidRDefault="00B626E7">
            <w:pPr>
              <w:rPr>
                <w:rFonts w:ascii="宋体"/>
              </w:rPr>
            </w:pPr>
          </w:p>
        </w:tc>
        <w:tc>
          <w:tcPr>
            <w:tcW w:w="0" w:type="auto"/>
            <w:shd w:val="clear" w:color="auto" w:fill="auto"/>
          </w:tcPr>
          <w:p w14:paraId="20AE1E78" w14:textId="77777777" w:rsidR="00B626E7" w:rsidRDefault="00B626E7">
            <w:pPr>
              <w:rPr>
                <w:rFonts w:ascii="宋体"/>
              </w:rPr>
            </w:pPr>
          </w:p>
        </w:tc>
        <w:tc>
          <w:tcPr>
            <w:tcW w:w="0" w:type="auto"/>
            <w:shd w:val="clear" w:color="auto" w:fill="auto"/>
          </w:tcPr>
          <w:p w14:paraId="20AE1E79" w14:textId="77777777" w:rsidR="00B626E7" w:rsidRDefault="00B626E7">
            <w:pPr>
              <w:rPr>
                <w:rFonts w:ascii="宋体"/>
              </w:rPr>
            </w:pPr>
          </w:p>
        </w:tc>
        <w:tc>
          <w:tcPr>
            <w:tcW w:w="0" w:type="auto"/>
            <w:shd w:val="clear" w:color="auto" w:fill="auto"/>
          </w:tcPr>
          <w:p w14:paraId="20AE1E7A" w14:textId="77777777" w:rsidR="00B626E7" w:rsidRDefault="00B626E7">
            <w:pPr>
              <w:rPr>
                <w:rFonts w:ascii="宋体"/>
              </w:rPr>
            </w:pPr>
          </w:p>
        </w:tc>
        <w:tc>
          <w:tcPr>
            <w:tcW w:w="0" w:type="auto"/>
            <w:shd w:val="clear" w:color="auto" w:fill="auto"/>
          </w:tcPr>
          <w:p w14:paraId="20AE1E7B" w14:textId="77777777" w:rsidR="00B626E7" w:rsidRDefault="00B626E7">
            <w:pPr>
              <w:rPr>
                <w:rFonts w:ascii="宋体"/>
              </w:rPr>
            </w:pPr>
          </w:p>
        </w:tc>
        <w:tc>
          <w:tcPr>
            <w:tcW w:w="0" w:type="auto"/>
            <w:shd w:val="clear" w:color="auto" w:fill="auto"/>
          </w:tcPr>
          <w:p w14:paraId="20AE1E7C" w14:textId="77777777" w:rsidR="00B626E7" w:rsidRDefault="00B626E7">
            <w:pPr>
              <w:rPr>
                <w:rFonts w:ascii="宋体"/>
              </w:rPr>
            </w:pPr>
          </w:p>
        </w:tc>
        <w:tc>
          <w:tcPr>
            <w:tcW w:w="0" w:type="auto"/>
            <w:shd w:val="clear" w:color="auto" w:fill="auto"/>
          </w:tcPr>
          <w:p w14:paraId="20AE1E7D" w14:textId="77777777" w:rsidR="00B626E7" w:rsidRDefault="00B626E7">
            <w:pPr>
              <w:rPr>
                <w:rFonts w:ascii="宋体"/>
              </w:rPr>
            </w:pPr>
          </w:p>
        </w:tc>
        <w:tc>
          <w:tcPr>
            <w:tcW w:w="0" w:type="auto"/>
            <w:shd w:val="clear" w:color="auto" w:fill="auto"/>
          </w:tcPr>
          <w:p w14:paraId="20AE1E7E" w14:textId="77777777" w:rsidR="00B626E7" w:rsidRDefault="00B626E7">
            <w:pPr>
              <w:rPr>
                <w:rFonts w:ascii="宋体"/>
              </w:rPr>
            </w:pPr>
          </w:p>
        </w:tc>
        <w:tc>
          <w:tcPr>
            <w:tcW w:w="0" w:type="auto"/>
            <w:shd w:val="clear" w:color="auto" w:fill="auto"/>
          </w:tcPr>
          <w:p w14:paraId="20AE1E7F" w14:textId="77777777" w:rsidR="00B626E7" w:rsidRDefault="00B626E7">
            <w:pPr>
              <w:rPr>
                <w:rFonts w:ascii="宋体"/>
              </w:rPr>
            </w:pPr>
          </w:p>
        </w:tc>
        <w:tc>
          <w:tcPr>
            <w:tcW w:w="0" w:type="auto"/>
            <w:shd w:val="clear" w:color="auto" w:fill="auto"/>
          </w:tcPr>
          <w:p w14:paraId="20AE1E80" w14:textId="77777777" w:rsidR="00B626E7" w:rsidRDefault="00B626E7">
            <w:pPr>
              <w:rPr>
                <w:rFonts w:ascii="宋体"/>
              </w:rPr>
            </w:pPr>
          </w:p>
        </w:tc>
      </w:tr>
      <w:tr w:rsidR="00B626E7" w14:paraId="20AE1E97" w14:textId="77777777">
        <w:tc>
          <w:tcPr>
            <w:tcW w:w="0" w:type="auto"/>
            <w:gridSpan w:val="3"/>
            <w:shd w:val="clear" w:color="auto" w:fill="auto"/>
            <w:tcMar>
              <w:top w:w="40" w:type="dxa"/>
              <w:left w:w="20" w:type="dxa"/>
              <w:bottom w:w="40" w:type="dxa"/>
              <w:right w:w="20" w:type="dxa"/>
            </w:tcMar>
          </w:tcPr>
          <w:p w14:paraId="20AE1E82" w14:textId="77777777" w:rsidR="00B626E7" w:rsidRDefault="00175C1D">
            <w:pPr>
              <w:ind w:hanging="180"/>
              <w:textAlignment w:val="top"/>
            </w:pPr>
            <w:r>
              <w:rPr>
                <w:rFonts w:ascii="Arial" w:eastAsia="宋体" w:hAnsi="Arial" w:cs="Arial"/>
                <w:color w:val="333333"/>
                <w:sz w:val="18"/>
                <w:szCs w:val="18"/>
              </w:rPr>
              <w:t>Derivatives not designated as hedging instruments:</w:t>
            </w:r>
          </w:p>
        </w:tc>
        <w:tc>
          <w:tcPr>
            <w:tcW w:w="0" w:type="auto"/>
            <w:gridSpan w:val="3"/>
            <w:shd w:val="clear" w:color="auto" w:fill="auto"/>
            <w:tcMar>
              <w:left w:w="20" w:type="dxa"/>
              <w:right w:w="20" w:type="dxa"/>
            </w:tcMar>
            <w:vAlign w:val="bottom"/>
          </w:tcPr>
          <w:p w14:paraId="20AE1E83" w14:textId="77777777" w:rsidR="00B626E7" w:rsidRDefault="00B626E7">
            <w:pPr>
              <w:rPr>
                <w:rFonts w:ascii="宋体"/>
              </w:rPr>
            </w:pPr>
          </w:p>
        </w:tc>
        <w:tc>
          <w:tcPr>
            <w:tcW w:w="0" w:type="auto"/>
            <w:gridSpan w:val="3"/>
            <w:tcBorders>
              <w:top w:val="single" w:sz="8" w:space="0" w:color="333333"/>
            </w:tcBorders>
            <w:shd w:val="clear" w:color="auto" w:fill="auto"/>
            <w:tcMar>
              <w:left w:w="20" w:type="dxa"/>
              <w:right w:w="20" w:type="dxa"/>
            </w:tcMar>
            <w:vAlign w:val="bottom"/>
          </w:tcPr>
          <w:p w14:paraId="20AE1E84"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E85" w14:textId="77777777" w:rsidR="00B626E7" w:rsidRDefault="00B626E7">
            <w:pPr>
              <w:rPr>
                <w:rFonts w:ascii="宋体"/>
              </w:rPr>
            </w:pPr>
          </w:p>
        </w:tc>
        <w:tc>
          <w:tcPr>
            <w:tcW w:w="0" w:type="auto"/>
            <w:gridSpan w:val="3"/>
            <w:tcBorders>
              <w:top w:val="single" w:sz="8" w:space="0" w:color="333333"/>
            </w:tcBorders>
            <w:shd w:val="clear" w:color="auto" w:fill="auto"/>
            <w:tcMar>
              <w:left w:w="20" w:type="dxa"/>
              <w:right w:w="20" w:type="dxa"/>
            </w:tcMar>
            <w:vAlign w:val="bottom"/>
          </w:tcPr>
          <w:p w14:paraId="20AE1E86"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E87" w14:textId="77777777" w:rsidR="00B626E7" w:rsidRDefault="00B626E7">
            <w:pPr>
              <w:rPr>
                <w:rFonts w:ascii="宋体"/>
              </w:rPr>
            </w:pPr>
          </w:p>
        </w:tc>
        <w:tc>
          <w:tcPr>
            <w:tcW w:w="0" w:type="auto"/>
            <w:gridSpan w:val="3"/>
            <w:tcBorders>
              <w:top w:val="single" w:sz="8" w:space="0" w:color="333333"/>
            </w:tcBorders>
            <w:shd w:val="clear" w:color="auto" w:fill="auto"/>
            <w:tcMar>
              <w:left w:w="20" w:type="dxa"/>
              <w:right w:w="20" w:type="dxa"/>
            </w:tcMar>
            <w:vAlign w:val="bottom"/>
          </w:tcPr>
          <w:p w14:paraId="20AE1E88"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E89" w14:textId="77777777" w:rsidR="00B626E7" w:rsidRDefault="00B626E7">
            <w:pPr>
              <w:rPr>
                <w:rFonts w:ascii="宋体"/>
              </w:rPr>
            </w:pPr>
          </w:p>
        </w:tc>
        <w:tc>
          <w:tcPr>
            <w:tcW w:w="0" w:type="auto"/>
            <w:gridSpan w:val="3"/>
            <w:tcBorders>
              <w:top w:val="single" w:sz="8" w:space="0" w:color="333333"/>
            </w:tcBorders>
            <w:shd w:val="clear" w:color="auto" w:fill="auto"/>
            <w:tcMar>
              <w:left w:w="20" w:type="dxa"/>
              <w:right w:w="20" w:type="dxa"/>
            </w:tcMar>
            <w:vAlign w:val="bottom"/>
          </w:tcPr>
          <w:p w14:paraId="20AE1E8A" w14:textId="77777777" w:rsidR="00B626E7" w:rsidRDefault="00B626E7">
            <w:pPr>
              <w:rPr>
                <w:rFonts w:ascii="宋体"/>
              </w:rPr>
            </w:pPr>
          </w:p>
        </w:tc>
        <w:tc>
          <w:tcPr>
            <w:tcW w:w="0" w:type="auto"/>
            <w:shd w:val="clear" w:color="auto" w:fill="auto"/>
          </w:tcPr>
          <w:p w14:paraId="20AE1E8B" w14:textId="77777777" w:rsidR="00B626E7" w:rsidRDefault="00B626E7">
            <w:pPr>
              <w:rPr>
                <w:rFonts w:ascii="宋体"/>
              </w:rPr>
            </w:pPr>
          </w:p>
        </w:tc>
        <w:tc>
          <w:tcPr>
            <w:tcW w:w="0" w:type="auto"/>
            <w:shd w:val="clear" w:color="auto" w:fill="auto"/>
          </w:tcPr>
          <w:p w14:paraId="20AE1E8C" w14:textId="77777777" w:rsidR="00B626E7" w:rsidRDefault="00B626E7">
            <w:pPr>
              <w:rPr>
                <w:rFonts w:ascii="宋体"/>
              </w:rPr>
            </w:pPr>
          </w:p>
        </w:tc>
        <w:tc>
          <w:tcPr>
            <w:tcW w:w="0" w:type="auto"/>
            <w:shd w:val="clear" w:color="auto" w:fill="auto"/>
          </w:tcPr>
          <w:p w14:paraId="20AE1E8D" w14:textId="77777777" w:rsidR="00B626E7" w:rsidRDefault="00B626E7">
            <w:pPr>
              <w:rPr>
                <w:rFonts w:ascii="宋体"/>
              </w:rPr>
            </w:pPr>
          </w:p>
        </w:tc>
        <w:tc>
          <w:tcPr>
            <w:tcW w:w="0" w:type="auto"/>
            <w:shd w:val="clear" w:color="auto" w:fill="auto"/>
          </w:tcPr>
          <w:p w14:paraId="20AE1E8E" w14:textId="77777777" w:rsidR="00B626E7" w:rsidRDefault="00B626E7">
            <w:pPr>
              <w:rPr>
                <w:rFonts w:ascii="宋体"/>
              </w:rPr>
            </w:pPr>
          </w:p>
        </w:tc>
        <w:tc>
          <w:tcPr>
            <w:tcW w:w="0" w:type="auto"/>
            <w:shd w:val="clear" w:color="auto" w:fill="auto"/>
          </w:tcPr>
          <w:p w14:paraId="20AE1E8F" w14:textId="77777777" w:rsidR="00B626E7" w:rsidRDefault="00B626E7">
            <w:pPr>
              <w:rPr>
                <w:rFonts w:ascii="宋体"/>
              </w:rPr>
            </w:pPr>
          </w:p>
        </w:tc>
        <w:tc>
          <w:tcPr>
            <w:tcW w:w="0" w:type="auto"/>
            <w:shd w:val="clear" w:color="auto" w:fill="auto"/>
          </w:tcPr>
          <w:p w14:paraId="20AE1E90" w14:textId="77777777" w:rsidR="00B626E7" w:rsidRDefault="00B626E7">
            <w:pPr>
              <w:rPr>
                <w:rFonts w:ascii="宋体"/>
              </w:rPr>
            </w:pPr>
          </w:p>
        </w:tc>
        <w:tc>
          <w:tcPr>
            <w:tcW w:w="0" w:type="auto"/>
            <w:shd w:val="clear" w:color="auto" w:fill="auto"/>
          </w:tcPr>
          <w:p w14:paraId="20AE1E91" w14:textId="77777777" w:rsidR="00B626E7" w:rsidRDefault="00B626E7">
            <w:pPr>
              <w:rPr>
                <w:rFonts w:ascii="宋体"/>
              </w:rPr>
            </w:pPr>
          </w:p>
        </w:tc>
        <w:tc>
          <w:tcPr>
            <w:tcW w:w="0" w:type="auto"/>
            <w:shd w:val="clear" w:color="auto" w:fill="auto"/>
          </w:tcPr>
          <w:p w14:paraId="20AE1E92" w14:textId="77777777" w:rsidR="00B626E7" w:rsidRDefault="00B626E7">
            <w:pPr>
              <w:rPr>
                <w:rFonts w:ascii="宋体"/>
              </w:rPr>
            </w:pPr>
          </w:p>
        </w:tc>
        <w:tc>
          <w:tcPr>
            <w:tcW w:w="0" w:type="auto"/>
            <w:shd w:val="clear" w:color="auto" w:fill="auto"/>
          </w:tcPr>
          <w:p w14:paraId="20AE1E93" w14:textId="77777777" w:rsidR="00B626E7" w:rsidRDefault="00B626E7">
            <w:pPr>
              <w:rPr>
                <w:rFonts w:ascii="宋体"/>
              </w:rPr>
            </w:pPr>
          </w:p>
        </w:tc>
        <w:tc>
          <w:tcPr>
            <w:tcW w:w="0" w:type="auto"/>
            <w:shd w:val="clear" w:color="auto" w:fill="auto"/>
          </w:tcPr>
          <w:p w14:paraId="20AE1E94" w14:textId="77777777" w:rsidR="00B626E7" w:rsidRDefault="00B626E7">
            <w:pPr>
              <w:rPr>
                <w:rFonts w:ascii="宋体"/>
              </w:rPr>
            </w:pPr>
          </w:p>
        </w:tc>
        <w:tc>
          <w:tcPr>
            <w:tcW w:w="0" w:type="auto"/>
            <w:shd w:val="clear" w:color="auto" w:fill="auto"/>
          </w:tcPr>
          <w:p w14:paraId="20AE1E95" w14:textId="77777777" w:rsidR="00B626E7" w:rsidRDefault="00B626E7">
            <w:pPr>
              <w:rPr>
                <w:rFonts w:ascii="宋体"/>
              </w:rPr>
            </w:pPr>
          </w:p>
        </w:tc>
        <w:tc>
          <w:tcPr>
            <w:tcW w:w="0" w:type="auto"/>
            <w:shd w:val="clear" w:color="auto" w:fill="auto"/>
          </w:tcPr>
          <w:p w14:paraId="20AE1E96" w14:textId="77777777" w:rsidR="00B626E7" w:rsidRDefault="00B626E7">
            <w:pPr>
              <w:rPr>
                <w:rFonts w:ascii="宋体"/>
              </w:rPr>
            </w:pPr>
          </w:p>
        </w:tc>
      </w:tr>
      <w:tr w:rsidR="00B626E7" w14:paraId="20AE1EB1" w14:textId="77777777">
        <w:tc>
          <w:tcPr>
            <w:tcW w:w="0" w:type="auto"/>
            <w:gridSpan w:val="3"/>
            <w:shd w:val="clear" w:color="auto" w:fill="auto"/>
            <w:tcMar>
              <w:top w:w="40" w:type="dxa"/>
              <w:left w:w="20" w:type="dxa"/>
              <w:bottom w:w="40" w:type="dxa"/>
              <w:right w:w="20" w:type="dxa"/>
            </w:tcMar>
          </w:tcPr>
          <w:p w14:paraId="20AE1E98" w14:textId="77777777" w:rsidR="00B626E7" w:rsidRDefault="00175C1D">
            <w:pPr>
              <w:textAlignment w:val="top"/>
            </w:pPr>
            <w:r>
              <w:rPr>
                <w:rFonts w:ascii="Arial" w:eastAsia="宋体" w:hAnsi="Arial" w:cs="Arial"/>
                <w:color w:val="333333"/>
                <w:sz w:val="18"/>
                <w:szCs w:val="18"/>
              </w:rPr>
              <w:t>Foreign currency contracts</w:t>
            </w:r>
            <w:r>
              <w:rPr>
                <w:rFonts w:ascii="Arial" w:eastAsia="宋体" w:hAnsi="Arial" w:cs="Arial"/>
                <w:color w:val="333333"/>
                <w:sz w:val="11"/>
                <w:szCs w:val="11"/>
              </w:rPr>
              <w:t>3</w:t>
            </w:r>
          </w:p>
        </w:tc>
        <w:tc>
          <w:tcPr>
            <w:tcW w:w="0" w:type="auto"/>
            <w:gridSpan w:val="3"/>
            <w:shd w:val="clear" w:color="auto" w:fill="auto"/>
            <w:tcMar>
              <w:left w:w="20" w:type="dxa"/>
              <w:right w:w="20" w:type="dxa"/>
            </w:tcMar>
            <w:vAlign w:val="bottom"/>
          </w:tcPr>
          <w:p w14:paraId="20AE1E99"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E9A" w14:textId="77777777" w:rsidR="00B626E7" w:rsidRDefault="00175C1D">
            <w:pPr>
              <w:jc w:val="right"/>
              <w:textAlignment w:val="bottom"/>
            </w:pPr>
            <w:r>
              <w:rPr>
                <w:rFonts w:ascii="Arial" w:eastAsia="宋体" w:hAnsi="Arial" w:cs="Arial"/>
                <w:color w:val="026DCE"/>
                <w:sz w:val="18"/>
                <w:szCs w:val="18"/>
              </w:rPr>
              <w:t>171 </w:t>
            </w:r>
          </w:p>
        </w:tc>
        <w:tc>
          <w:tcPr>
            <w:tcW w:w="0" w:type="auto"/>
            <w:shd w:val="clear" w:color="auto" w:fill="auto"/>
            <w:tcMar>
              <w:top w:w="40" w:type="dxa"/>
              <w:bottom w:w="40" w:type="dxa"/>
              <w:right w:w="20" w:type="dxa"/>
            </w:tcMar>
            <w:vAlign w:val="bottom"/>
          </w:tcPr>
          <w:p w14:paraId="20AE1E9B"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E9C"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E9D" w14:textId="77777777" w:rsidR="00B626E7" w:rsidRDefault="00175C1D">
            <w:pPr>
              <w:jc w:val="right"/>
              <w:textAlignment w:val="bottom"/>
            </w:pPr>
            <w:r>
              <w:rPr>
                <w:rFonts w:ascii="Arial" w:eastAsia="宋体" w:hAnsi="Arial" w:cs="Arial"/>
                <w:color w:val="026DCE"/>
                <w:sz w:val="18"/>
                <w:szCs w:val="18"/>
              </w:rPr>
              <w:t>224 </w:t>
            </w:r>
          </w:p>
        </w:tc>
        <w:tc>
          <w:tcPr>
            <w:tcW w:w="0" w:type="auto"/>
            <w:shd w:val="clear" w:color="auto" w:fill="auto"/>
            <w:tcMar>
              <w:top w:w="40" w:type="dxa"/>
              <w:bottom w:w="40" w:type="dxa"/>
              <w:right w:w="20" w:type="dxa"/>
            </w:tcMar>
            <w:vAlign w:val="bottom"/>
          </w:tcPr>
          <w:p w14:paraId="20AE1E9E"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E9F"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EA0" w14:textId="77777777" w:rsidR="00B626E7" w:rsidRDefault="00175C1D">
            <w:pPr>
              <w:jc w:val="right"/>
              <w:textAlignment w:val="bottom"/>
            </w:pPr>
            <w:r>
              <w:rPr>
                <w:rFonts w:ascii="Arial" w:eastAsia="宋体" w:hAnsi="Arial" w:cs="Arial"/>
                <w:color w:val="333333"/>
                <w:sz w:val="18"/>
                <w:szCs w:val="18"/>
              </w:rPr>
              <w:t>179 </w:t>
            </w:r>
          </w:p>
        </w:tc>
        <w:tc>
          <w:tcPr>
            <w:tcW w:w="0" w:type="auto"/>
            <w:shd w:val="clear" w:color="auto" w:fill="auto"/>
            <w:tcMar>
              <w:top w:w="40" w:type="dxa"/>
              <w:bottom w:w="40" w:type="dxa"/>
              <w:right w:w="20" w:type="dxa"/>
            </w:tcMar>
            <w:vAlign w:val="bottom"/>
          </w:tcPr>
          <w:p w14:paraId="20AE1EA1"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EA2"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EA3" w14:textId="77777777" w:rsidR="00B626E7" w:rsidRDefault="00175C1D">
            <w:pPr>
              <w:jc w:val="right"/>
              <w:textAlignment w:val="bottom"/>
            </w:pPr>
            <w:r>
              <w:rPr>
                <w:rFonts w:ascii="Arial" w:eastAsia="宋体" w:hAnsi="Arial" w:cs="Arial"/>
                <w:color w:val="333333"/>
                <w:sz w:val="18"/>
                <w:szCs w:val="18"/>
              </w:rPr>
              <w:t>78 </w:t>
            </w:r>
          </w:p>
        </w:tc>
        <w:tc>
          <w:tcPr>
            <w:tcW w:w="0" w:type="auto"/>
            <w:shd w:val="clear" w:color="auto" w:fill="auto"/>
            <w:tcMar>
              <w:top w:w="40" w:type="dxa"/>
              <w:bottom w:w="40" w:type="dxa"/>
              <w:right w:w="20" w:type="dxa"/>
            </w:tcMar>
            <w:vAlign w:val="bottom"/>
          </w:tcPr>
          <w:p w14:paraId="20AE1EA4"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EA5" w14:textId="77777777" w:rsidR="00B626E7" w:rsidRDefault="00B626E7">
            <w:pPr>
              <w:rPr>
                <w:rFonts w:ascii="宋体"/>
              </w:rPr>
            </w:pPr>
          </w:p>
        </w:tc>
        <w:tc>
          <w:tcPr>
            <w:tcW w:w="0" w:type="auto"/>
            <w:shd w:val="clear" w:color="auto" w:fill="auto"/>
          </w:tcPr>
          <w:p w14:paraId="20AE1EA6" w14:textId="77777777" w:rsidR="00B626E7" w:rsidRDefault="00B626E7">
            <w:pPr>
              <w:rPr>
                <w:rFonts w:ascii="宋体"/>
              </w:rPr>
            </w:pPr>
          </w:p>
        </w:tc>
        <w:tc>
          <w:tcPr>
            <w:tcW w:w="0" w:type="auto"/>
            <w:shd w:val="clear" w:color="auto" w:fill="auto"/>
          </w:tcPr>
          <w:p w14:paraId="20AE1EA7" w14:textId="77777777" w:rsidR="00B626E7" w:rsidRDefault="00B626E7">
            <w:pPr>
              <w:rPr>
                <w:rFonts w:ascii="宋体"/>
              </w:rPr>
            </w:pPr>
          </w:p>
        </w:tc>
        <w:tc>
          <w:tcPr>
            <w:tcW w:w="0" w:type="auto"/>
            <w:shd w:val="clear" w:color="auto" w:fill="auto"/>
          </w:tcPr>
          <w:p w14:paraId="20AE1EA8" w14:textId="77777777" w:rsidR="00B626E7" w:rsidRDefault="00B626E7">
            <w:pPr>
              <w:rPr>
                <w:rFonts w:ascii="宋体"/>
              </w:rPr>
            </w:pPr>
          </w:p>
        </w:tc>
        <w:tc>
          <w:tcPr>
            <w:tcW w:w="0" w:type="auto"/>
            <w:shd w:val="clear" w:color="auto" w:fill="auto"/>
          </w:tcPr>
          <w:p w14:paraId="20AE1EA9" w14:textId="77777777" w:rsidR="00B626E7" w:rsidRDefault="00B626E7">
            <w:pPr>
              <w:rPr>
                <w:rFonts w:ascii="宋体"/>
              </w:rPr>
            </w:pPr>
          </w:p>
        </w:tc>
        <w:tc>
          <w:tcPr>
            <w:tcW w:w="0" w:type="auto"/>
            <w:shd w:val="clear" w:color="auto" w:fill="auto"/>
          </w:tcPr>
          <w:p w14:paraId="20AE1EAA" w14:textId="77777777" w:rsidR="00B626E7" w:rsidRDefault="00B626E7">
            <w:pPr>
              <w:rPr>
                <w:rFonts w:ascii="宋体"/>
              </w:rPr>
            </w:pPr>
          </w:p>
        </w:tc>
        <w:tc>
          <w:tcPr>
            <w:tcW w:w="0" w:type="auto"/>
            <w:shd w:val="clear" w:color="auto" w:fill="auto"/>
          </w:tcPr>
          <w:p w14:paraId="20AE1EAB" w14:textId="77777777" w:rsidR="00B626E7" w:rsidRDefault="00B626E7">
            <w:pPr>
              <w:rPr>
                <w:rFonts w:ascii="宋体"/>
              </w:rPr>
            </w:pPr>
          </w:p>
        </w:tc>
        <w:tc>
          <w:tcPr>
            <w:tcW w:w="0" w:type="auto"/>
            <w:shd w:val="clear" w:color="auto" w:fill="auto"/>
          </w:tcPr>
          <w:p w14:paraId="20AE1EAC" w14:textId="77777777" w:rsidR="00B626E7" w:rsidRDefault="00B626E7">
            <w:pPr>
              <w:rPr>
                <w:rFonts w:ascii="宋体"/>
              </w:rPr>
            </w:pPr>
          </w:p>
        </w:tc>
        <w:tc>
          <w:tcPr>
            <w:tcW w:w="0" w:type="auto"/>
            <w:shd w:val="clear" w:color="auto" w:fill="auto"/>
          </w:tcPr>
          <w:p w14:paraId="20AE1EAD" w14:textId="77777777" w:rsidR="00B626E7" w:rsidRDefault="00B626E7">
            <w:pPr>
              <w:rPr>
                <w:rFonts w:ascii="宋体"/>
              </w:rPr>
            </w:pPr>
          </w:p>
        </w:tc>
        <w:tc>
          <w:tcPr>
            <w:tcW w:w="0" w:type="auto"/>
            <w:shd w:val="clear" w:color="auto" w:fill="auto"/>
          </w:tcPr>
          <w:p w14:paraId="20AE1EAE" w14:textId="77777777" w:rsidR="00B626E7" w:rsidRDefault="00B626E7">
            <w:pPr>
              <w:rPr>
                <w:rFonts w:ascii="宋体"/>
              </w:rPr>
            </w:pPr>
          </w:p>
        </w:tc>
        <w:tc>
          <w:tcPr>
            <w:tcW w:w="0" w:type="auto"/>
            <w:shd w:val="clear" w:color="auto" w:fill="auto"/>
          </w:tcPr>
          <w:p w14:paraId="20AE1EAF" w14:textId="77777777" w:rsidR="00B626E7" w:rsidRDefault="00B626E7">
            <w:pPr>
              <w:rPr>
                <w:rFonts w:ascii="宋体"/>
              </w:rPr>
            </w:pPr>
          </w:p>
        </w:tc>
        <w:tc>
          <w:tcPr>
            <w:tcW w:w="0" w:type="auto"/>
            <w:shd w:val="clear" w:color="auto" w:fill="auto"/>
          </w:tcPr>
          <w:p w14:paraId="20AE1EB0" w14:textId="77777777" w:rsidR="00B626E7" w:rsidRDefault="00B626E7">
            <w:pPr>
              <w:rPr>
                <w:rFonts w:ascii="宋体"/>
              </w:rPr>
            </w:pPr>
          </w:p>
        </w:tc>
      </w:tr>
      <w:tr w:rsidR="00B626E7" w14:paraId="20AE1ECB" w14:textId="77777777">
        <w:tc>
          <w:tcPr>
            <w:tcW w:w="0" w:type="auto"/>
            <w:gridSpan w:val="3"/>
            <w:shd w:val="clear" w:color="auto" w:fill="auto"/>
            <w:tcMar>
              <w:top w:w="40" w:type="dxa"/>
              <w:left w:w="20" w:type="dxa"/>
              <w:bottom w:w="40" w:type="dxa"/>
              <w:right w:w="20" w:type="dxa"/>
            </w:tcMar>
          </w:tcPr>
          <w:p w14:paraId="20AE1EB2" w14:textId="77777777" w:rsidR="00B626E7" w:rsidRDefault="00175C1D">
            <w:pPr>
              <w:textAlignment w:val="top"/>
            </w:pPr>
            <w:r>
              <w:rPr>
                <w:rFonts w:ascii="Arial" w:eastAsia="宋体" w:hAnsi="Arial" w:cs="Arial"/>
                <w:color w:val="333333"/>
                <w:sz w:val="18"/>
                <w:szCs w:val="18"/>
              </w:rPr>
              <w:t>Interest rate contracts</w:t>
            </w:r>
          </w:p>
        </w:tc>
        <w:tc>
          <w:tcPr>
            <w:tcW w:w="0" w:type="auto"/>
            <w:gridSpan w:val="3"/>
            <w:shd w:val="clear" w:color="auto" w:fill="auto"/>
            <w:tcMar>
              <w:left w:w="20" w:type="dxa"/>
              <w:right w:w="20" w:type="dxa"/>
            </w:tcMar>
            <w:vAlign w:val="bottom"/>
          </w:tcPr>
          <w:p w14:paraId="20AE1EB3"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EB4" w14:textId="77777777" w:rsidR="00B626E7" w:rsidRDefault="00175C1D">
            <w:pPr>
              <w:jc w:val="right"/>
              <w:textAlignment w:val="bottom"/>
            </w:pPr>
            <w:r>
              <w:rPr>
                <w:rFonts w:ascii="Arial" w:eastAsia="宋体" w:hAnsi="Arial" w:cs="Arial"/>
                <w:color w:val="026DCE"/>
                <w:sz w:val="18"/>
                <w:szCs w:val="18"/>
              </w:rPr>
              <w:t>4 </w:t>
            </w:r>
          </w:p>
        </w:tc>
        <w:tc>
          <w:tcPr>
            <w:tcW w:w="0" w:type="auto"/>
            <w:shd w:val="clear" w:color="auto" w:fill="auto"/>
            <w:tcMar>
              <w:top w:w="40" w:type="dxa"/>
              <w:bottom w:w="40" w:type="dxa"/>
              <w:right w:w="20" w:type="dxa"/>
            </w:tcMar>
            <w:vAlign w:val="bottom"/>
          </w:tcPr>
          <w:p w14:paraId="20AE1EB5"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EB6"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EB7" w14:textId="77777777" w:rsidR="00B626E7" w:rsidRDefault="00175C1D">
            <w:pPr>
              <w:jc w:val="right"/>
              <w:textAlignment w:val="bottom"/>
            </w:pPr>
            <w:r>
              <w:rPr>
                <w:rFonts w:ascii="Arial" w:eastAsia="宋体" w:hAnsi="Arial" w:cs="Arial"/>
                <w:color w:val="026DCE"/>
                <w:sz w:val="18"/>
                <w:szCs w:val="18"/>
              </w:rPr>
              <w:t>149 </w:t>
            </w:r>
          </w:p>
        </w:tc>
        <w:tc>
          <w:tcPr>
            <w:tcW w:w="0" w:type="auto"/>
            <w:shd w:val="clear" w:color="auto" w:fill="auto"/>
            <w:tcMar>
              <w:top w:w="40" w:type="dxa"/>
              <w:bottom w:w="40" w:type="dxa"/>
              <w:right w:w="20" w:type="dxa"/>
            </w:tcMar>
            <w:vAlign w:val="bottom"/>
          </w:tcPr>
          <w:p w14:paraId="20AE1EB8"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EB9"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EBA" w14:textId="77777777" w:rsidR="00B626E7" w:rsidRDefault="00175C1D">
            <w:pPr>
              <w:jc w:val="right"/>
              <w:textAlignment w:val="bottom"/>
            </w:pPr>
            <w:r>
              <w:rPr>
                <w:rFonts w:ascii="Arial" w:eastAsia="宋体" w:hAnsi="Arial" w:cs="Arial"/>
                <w:color w:val="333333"/>
                <w:sz w:val="18"/>
                <w:szCs w:val="18"/>
              </w:rPr>
              <w:t>11 </w:t>
            </w:r>
          </w:p>
        </w:tc>
        <w:tc>
          <w:tcPr>
            <w:tcW w:w="0" w:type="auto"/>
            <w:shd w:val="clear" w:color="auto" w:fill="auto"/>
            <w:tcMar>
              <w:top w:w="40" w:type="dxa"/>
              <w:bottom w:w="40" w:type="dxa"/>
              <w:right w:w="20" w:type="dxa"/>
            </w:tcMar>
            <w:vAlign w:val="bottom"/>
          </w:tcPr>
          <w:p w14:paraId="20AE1EBB"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EBC"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EBD" w14:textId="77777777" w:rsidR="00B626E7" w:rsidRDefault="00175C1D">
            <w:pPr>
              <w:jc w:val="right"/>
              <w:textAlignment w:val="bottom"/>
            </w:pPr>
            <w:r>
              <w:rPr>
                <w:rFonts w:ascii="Arial" w:eastAsia="宋体" w:hAnsi="Arial" w:cs="Arial"/>
                <w:color w:val="333333"/>
                <w:sz w:val="18"/>
                <w:szCs w:val="18"/>
              </w:rPr>
              <w:t>54 </w:t>
            </w:r>
          </w:p>
        </w:tc>
        <w:tc>
          <w:tcPr>
            <w:tcW w:w="0" w:type="auto"/>
            <w:shd w:val="clear" w:color="auto" w:fill="auto"/>
            <w:tcMar>
              <w:top w:w="40" w:type="dxa"/>
              <w:bottom w:w="40" w:type="dxa"/>
              <w:right w:w="20" w:type="dxa"/>
            </w:tcMar>
            <w:vAlign w:val="bottom"/>
          </w:tcPr>
          <w:p w14:paraId="20AE1EBE"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EBF" w14:textId="77777777" w:rsidR="00B626E7" w:rsidRDefault="00B626E7">
            <w:pPr>
              <w:rPr>
                <w:rFonts w:ascii="宋体"/>
              </w:rPr>
            </w:pPr>
          </w:p>
        </w:tc>
        <w:tc>
          <w:tcPr>
            <w:tcW w:w="0" w:type="auto"/>
            <w:shd w:val="clear" w:color="auto" w:fill="auto"/>
          </w:tcPr>
          <w:p w14:paraId="20AE1EC0" w14:textId="77777777" w:rsidR="00B626E7" w:rsidRDefault="00B626E7">
            <w:pPr>
              <w:rPr>
                <w:rFonts w:ascii="宋体"/>
              </w:rPr>
            </w:pPr>
          </w:p>
        </w:tc>
        <w:tc>
          <w:tcPr>
            <w:tcW w:w="0" w:type="auto"/>
            <w:shd w:val="clear" w:color="auto" w:fill="auto"/>
          </w:tcPr>
          <w:p w14:paraId="20AE1EC1" w14:textId="77777777" w:rsidR="00B626E7" w:rsidRDefault="00B626E7">
            <w:pPr>
              <w:rPr>
                <w:rFonts w:ascii="宋体"/>
              </w:rPr>
            </w:pPr>
          </w:p>
        </w:tc>
        <w:tc>
          <w:tcPr>
            <w:tcW w:w="0" w:type="auto"/>
            <w:shd w:val="clear" w:color="auto" w:fill="auto"/>
          </w:tcPr>
          <w:p w14:paraId="20AE1EC2" w14:textId="77777777" w:rsidR="00B626E7" w:rsidRDefault="00B626E7">
            <w:pPr>
              <w:rPr>
                <w:rFonts w:ascii="宋体"/>
              </w:rPr>
            </w:pPr>
          </w:p>
        </w:tc>
        <w:tc>
          <w:tcPr>
            <w:tcW w:w="0" w:type="auto"/>
            <w:shd w:val="clear" w:color="auto" w:fill="auto"/>
          </w:tcPr>
          <w:p w14:paraId="20AE1EC3" w14:textId="77777777" w:rsidR="00B626E7" w:rsidRDefault="00B626E7">
            <w:pPr>
              <w:rPr>
                <w:rFonts w:ascii="宋体"/>
              </w:rPr>
            </w:pPr>
          </w:p>
        </w:tc>
        <w:tc>
          <w:tcPr>
            <w:tcW w:w="0" w:type="auto"/>
            <w:shd w:val="clear" w:color="auto" w:fill="auto"/>
          </w:tcPr>
          <w:p w14:paraId="20AE1EC4" w14:textId="77777777" w:rsidR="00B626E7" w:rsidRDefault="00B626E7">
            <w:pPr>
              <w:rPr>
                <w:rFonts w:ascii="宋体"/>
              </w:rPr>
            </w:pPr>
          </w:p>
        </w:tc>
        <w:tc>
          <w:tcPr>
            <w:tcW w:w="0" w:type="auto"/>
            <w:shd w:val="clear" w:color="auto" w:fill="auto"/>
          </w:tcPr>
          <w:p w14:paraId="20AE1EC5" w14:textId="77777777" w:rsidR="00B626E7" w:rsidRDefault="00B626E7">
            <w:pPr>
              <w:rPr>
                <w:rFonts w:ascii="宋体"/>
              </w:rPr>
            </w:pPr>
          </w:p>
        </w:tc>
        <w:tc>
          <w:tcPr>
            <w:tcW w:w="0" w:type="auto"/>
            <w:shd w:val="clear" w:color="auto" w:fill="auto"/>
          </w:tcPr>
          <w:p w14:paraId="20AE1EC6" w14:textId="77777777" w:rsidR="00B626E7" w:rsidRDefault="00B626E7">
            <w:pPr>
              <w:rPr>
                <w:rFonts w:ascii="宋体"/>
              </w:rPr>
            </w:pPr>
          </w:p>
        </w:tc>
        <w:tc>
          <w:tcPr>
            <w:tcW w:w="0" w:type="auto"/>
            <w:shd w:val="clear" w:color="auto" w:fill="auto"/>
          </w:tcPr>
          <w:p w14:paraId="20AE1EC7" w14:textId="77777777" w:rsidR="00B626E7" w:rsidRDefault="00B626E7">
            <w:pPr>
              <w:rPr>
                <w:rFonts w:ascii="宋体"/>
              </w:rPr>
            </w:pPr>
          </w:p>
        </w:tc>
        <w:tc>
          <w:tcPr>
            <w:tcW w:w="0" w:type="auto"/>
            <w:shd w:val="clear" w:color="auto" w:fill="auto"/>
          </w:tcPr>
          <w:p w14:paraId="20AE1EC8" w14:textId="77777777" w:rsidR="00B626E7" w:rsidRDefault="00B626E7">
            <w:pPr>
              <w:rPr>
                <w:rFonts w:ascii="宋体"/>
              </w:rPr>
            </w:pPr>
          </w:p>
        </w:tc>
        <w:tc>
          <w:tcPr>
            <w:tcW w:w="0" w:type="auto"/>
            <w:shd w:val="clear" w:color="auto" w:fill="auto"/>
          </w:tcPr>
          <w:p w14:paraId="20AE1EC9" w14:textId="77777777" w:rsidR="00B626E7" w:rsidRDefault="00B626E7">
            <w:pPr>
              <w:rPr>
                <w:rFonts w:ascii="宋体"/>
              </w:rPr>
            </w:pPr>
          </w:p>
        </w:tc>
        <w:tc>
          <w:tcPr>
            <w:tcW w:w="0" w:type="auto"/>
            <w:shd w:val="clear" w:color="auto" w:fill="auto"/>
          </w:tcPr>
          <w:p w14:paraId="20AE1ECA" w14:textId="77777777" w:rsidR="00B626E7" w:rsidRDefault="00B626E7">
            <w:pPr>
              <w:rPr>
                <w:rFonts w:ascii="宋体"/>
              </w:rPr>
            </w:pPr>
          </w:p>
        </w:tc>
      </w:tr>
      <w:tr w:rsidR="00B626E7" w14:paraId="20AE1EE5" w14:textId="77777777">
        <w:tc>
          <w:tcPr>
            <w:tcW w:w="0" w:type="auto"/>
            <w:gridSpan w:val="3"/>
            <w:shd w:val="clear" w:color="auto" w:fill="auto"/>
            <w:tcMar>
              <w:top w:w="40" w:type="dxa"/>
              <w:left w:w="20" w:type="dxa"/>
              <w:bottom w:w="40" w:type="dxa"/>
              <w:right w:w="20" w:type="dxa"/>
            </w:tcMar>
          </w:tcPr>
          <w:p w14:paraId="20AE1ECC" w14:textId="77777777" w:rsidR="00B626E7" w:rsidRDefault="00175C1D">
            <w:pPr>
              <w:textAlignment w:val="top"/>
            </w:pPr>
            <w:r>
              <w:rPr>
                <w:rFonts w:ascii="Arial" w:eastAsia="宋体" w:hAnsi="Arial" w:cs="Arial"/>
                <w:color w:val="333333"/>
                <w:sz w:val="18"/>
                <w:szCs w:val="18"/>
              </w:rPr>
              <w:t>Equity contracts</w:t>
            </w:r>
          </w:p>
        </w:tc>
        <w:tc>
          <w:tcPr>
            <w:tcW w:w="0" w:type="auto"/>
            <w:gridSpan w:val="3"/>
            <w:shd w:val="clear" w:color="auto" w:fill="auto"/>
            <w:tcMar>
              <w:left w:w="20" w:type="dxa"/>
              <w:right w:w="20" w:type="dxa"/>
            </w:tcMar>
            <w:vAlign w:val="bottom"/>
          </w:tcPr>
          <w:p w14:paraId="20AE1ECD"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ECE" w14:textId="77777777" w:rsidR="00B626E7" w:rsidRDefault="00175C1D">
            <w:pPr>
              <w:jc w:val="right"/>
              <w:textAlignment w:val="bottom"/>
            </w:pPr>
            <w:r>
              <w:rPr>
                <w:rFonts w:ascii="Arial" w:eastAsia="宋体" w:hAnsi="Arial" w:cs="Arial"/>
                <w:color w:val="026DCE"/>
                <w:sz w:val="18"/>
                <w:szCs w:val="18"/>
              </w:rPr>
              <w:t>30 </w:t>
            </w:r>
          </w:p>
        </w:tc>
        <w:tc>
          <w:tcPr>
            <w:tcW w:w="0" w:type="auto"/>
            <w:shd w:val="clear" w:color="auto" w:fill="auto"/>
            <w:tcMar>
              <w:top w:w="40" w:type="dxa"/>
              <w:bottom w:w="40" w:type="dxa"/>
              <w:right w:w="20" w:type="dxa"/>
            </w:tcMar>
            <w:vAlign w:val="bottom"/>
          </w:tcPr>
          <w:p w14:paraId="20AE1ECF"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ED0"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ED1" w14:textId="77777777" w:rsidR="00B626E7" w:rsidRDefault="00175C1D">
            <w:pPr>
              <w:jc w:val="right"/>
              <w:textAlignment w:val="bottom"/>
            </w:pPr>
            <w:r>
              <w:rPr>
                <w:rFonts w:ascii="Arial" w:eastAsia="宋体" w:hAnsi="Arial" w:cs="Arial"/>
                <w:color w:val="026DCE"/>
                <w:sz w:val="18"/>
                <w:szCs w:val="18"/>
              </w:rPr>
              <w:t>48 </w:t>
            </w:r>
          </w:p>
        </w:tc>
        <w:tc>
          <w:tcPr>
            <w:tcW w:w="0" w:type="auto"/>
            <w:shd w:val="clear" w:color="auto" w:fill="auto"/>
            <w:tcMar>
              <w:top w:w="40" w:type="dxa"/>
              <w:bottom w:w="40" w:type="dxa"/>
              <w:right w:w="20" w:type="dxa"/>
            </w:tcMar>
            <w:vAlign w:val="bottom"/>
          </w:tcPr>
          <w:p w14:paraId="20AE1ED2"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ED3"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ED4" w14:textId="77777777" w:rsidR="00B626E7" w:rsidRDefault="00175C1D">
            <w:pPr>
              <w:jc w:val="right"/>
              <w:textAlignment w:val="bottom"/>
            </w:pPr>
            <w:r>
              <w:rPr>
                <w:rFonts w:ascii="Arial" w:eastAsia="宋体" w:hAnsi="Arial" w:cs="Arial"/>
                <w:color w:val="333333"/>
                <w:sz w:val="18"/>
                <w:szCs w:val="18"/>
              </w:rPr>
              <w:t>50 </w:t>
            </w:r>
          </w:p>
        </w:tc>
        <w:tc>
          <w:tcPr>
            <w:tcW w:w="0" w:type="auto"/>
            <w:shd w:val="clear" w:color="auto" w:fill="auto"/>
            <w:tcMar>
              <w:top w:w="40" w:type="dxa"/>
              <w:bottom w:w="40" w:type="dxa"/>
              <w:right w:w="20" w:type="dxa"/>
            </w:tcMar>
            <w:vAlign w:val="bottom"/>
          </w:tcPr>
          <w:p w14:paraId="20AE1ED5"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1ED6"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1ED7" w14:textId="77777777" w:rsidR="00B626E7" w:rsidRDefault="00175C1D">
            <w:pPr>
              <w:jc w:val="right"/>
              <w:textAlignment w:val="bottom"/>
            </w:pPr>
            <w:r>
              <w:rPr>
                <w:rFonts w:ascii="Arial" w:eastAsia="宋体" w:hAnsi="Arial" w:cs="Arial"/>
                <w:color w:val="333333"/>
                <w:sz w:val="18"/>
                <w:szCs w:val="18"/>
              </w:rPr>
              <w:t>3 </w:t>
            </w:r>
          </w:p>
        </w:tc>
        <w:tc>
          <w:tcPr>
            <w:tcW w:w="0" w:type="auto"/>
            <w:shd w:val="clear" w:color="auto" w:fill="auto"/>
            <w:tcMar>
              <w:top w:w="40" w:type="dxa"/>
              <w:bottom w:w="40" w:type="dxa"/>
              <w:right w:w="20" w:type="dxa"/>
            </w:tcMar>
            <w:vAlign w:val="bottom"/>
          </w:tcPr>
          <w:p w14:paraId="20AE1ED8"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1ED9" w14:textId="77777777" w:rsidR="00B626E7" w:rsidRDefault="00B626E7">
            <w:pPr>
              <w:rPr>
                <w:rFonts w:ascii="宋体"/>
              </w:rPr>
            </w:pPr>
          </w:p>
        </w:tc>
        <w:tc>
          <w:tcPr>
            <w:tcW w:w="0" w:type="auto"/>
            <w:shd w:val="clear" w:color="auto" w:fill="auto"/>
          </w:tcPr>
          <w:p w14:paraId="20AE1EDA" w14:textId="77777777" w:rsidR="00B626E7" w:rsidRDefault="00B626E7">
            <w:pPr>
              <w:rPr>
                <w:rFonts w:ascii="宋体"/>
              </w:rPr>
            </w:pPr>
          </w:p>
        </w:tc>
        <w:tc>
          <w:tcPr>
            <w:tcW w:w="0" w:type="auto"/>
            <w:shd w:val="clear" w:color="auto" w:fill="auto"/>
          </w:tcPr>
          <w:p w14:paraId="20AE1EDB" w14:textId="77777777" w:rsidR="00B626E7" w:rsidRDefault="00B626E7">
            <w:pPr>
              <w:rPr>
                <w:rFonts w:ascii="宋体"/>
              </w:rPr>
            </w:pPr>
          </w:p>
        </w:tc>
        <w:tc>
          <w:tcPr>
            <w:tcW w:w="0" w:type="auto"/>
            <w:shd w:val="clear" w:color="auto" w:fill="auto"/>
          </w:tcPr>
          <w:p w14:paraId="20AE1EDC" w14:textId="77777777" w:rsidR="00B626E7" w:rsidRDefault="00B626E7">
            <w:pPr>
              <w:rPr>
                <w:rFonts w:ascii="宋体"/>
              </w:rPr>
            </w:pPr>
          </w:p>
        </w:tc>
        <w:tc>
          <w:tcPr>
            <w:tcW w:w="0" w:type="auto"/>
            <w:shd w:val="clear" w:color="auto" w:fill="auto"/>
          </w:tcPr>
          <w:p w14:paraId="20AE1EDD" w14:textId="77777777" w:rsidR="00B626E7" w:rsidRDefault="00B626E7">
            <w:pPr>
              <w:rPr>
                <w:rFonts w:ascii="宋体"/>
              </w:rPr>
            </w:pPr>
          </w:p>
        </w:tc>
        <w:tc>
          <w:tcPr>
            <w:tcW w:w="0" w:type="auto"/>
            <w:shd w:val="clear" w:color="auto" w:fill="auto"/>
          </w:tcPr>
          <w:p w14:paraId="20AE1EDE" w14:textId="77777777" w:rsidR="00B626E7" w:rsidRDefault="00B626E7">
            <w:pPr>
              <w:rPr>
                <w:rFonts w:ascii="宋体"/>
              </w:rPr>
            </w:pPr>
          </w:p>
        </w:tc>
        <w:tc>
          <w:tcPr>
            <w:tcW w:w="0" w:type="auto"/>
            <w:shd w:val="clear" w:color="auto" w:fill="auto"/>
          </w:tcPr>
          <w:p w14:paraId="20AE1EDF" w14:textId="77777777" w:rsidR="00B626E7" w:rsidRDefault="00B626E7">
            <w:pPr>
              <w:rPr>
                <w:rFonts w:ascii="宋体"/>
              </w:rPr>
            </w:pPr>
          </w:p>
        </w:tc>
        <w:tc>
          <w:tcPr>
            <w:tcW w:w="0" w:type="auto"/>
            <w:shd w:val="clear" w:color="auto" w:fill="auto"/>
          </w:tcPr>
          <w:p w14:paraId="20AE1EE0" w14:textId="77777777" w:rsidR="00B626E7" w:rsidRDefault="00B626E7">
            <w:pPr>
              <w:rPr>
                <w:rFonts w:ascii="宋体"/>
              </w:rPr>
            </w:pPr>
          </w:p>
        </w:tc>
        <w:tc>
          <w:tcPr>
            <w:tcW w:w="0" w:type="auto"/>
            <w:shd w:val="clear" w:color="auto" w:fill="auto"/>
          </w:tcPr>
          <w:p w14:paraId="20AE1EE1" w14:textId="77777777" w:rsidR="00B626E7" w:rsidRDefault="00B626E7">
            <w:pPr>
              <w:rPr>
                <w:rFonts w:ascii="宋体"/>
              </w:rPr>
            </w:pPr>
          </w:p>
        </w:tc>
        <w:tc>
          <w:tcPr>
            <w:tcW w:w="0" w:type="auto"/>
            <w:shd w:val="clear" w:color="auto" w:fill="auto"/>
          </w:tcPr>
          <w:p w14:paraId="20AE1EE2" w14:textId="77777777" w:rsidR="00B626E7" w:rsidRDefault="00B626E7">
            <w:pPr>
              <w:rPr>
                <w:rFonts w:ascii="宋体"/>
              </w:rPr>
            </w:pPr>
          </w:p>
        </w:tc>
        <w:tc>
          <w:tcPr>
            <w:tcW w:w="0" w:type="auto"/>
            <w:shd w:val="clear" w:color="auto" w:fill="auto"/>
          </w:tcPr>
          <w:p w14:paraId="20AE1EE3" w14:textId="77777777" w:rsidR="00B626E7" w:rsidRDefault="00B626E7">
            <w:pPr>
              <w:rPr>
                <w:rFonts w:ascii="宋体"/>
              </w:rPr>
            </w:pPr>
          </w:p>
        </w:tc>
        <w:tc>
          <w:tcPr>
            <w:tcW w:w="0" w:type="auto"/>
            <w:shd w:val="clear" w:color="auto" w:fill="auto"/>
          </w:tcPr>
          <w:p w14:paraId="20AE1EE4" w14:textId="77777777" w:rsidR="00B626E7" w:rsidRDefault="00B626E7">
            <w:pPr>
              <w:rPr>
                <w:rFonts w:ascii="宋体"/>
              </w:rPr>
            </w:pPr>
          </w:p>
        </w:tc>
      </w:tr>
      <w:tr w:rsidR="00B626E7" w14:paraId="20AE1EFF" w14:textId="77777777">
        <w:tc>
          <w:tcPr>
            <w:tcW w:w="0" w:type="auto"/>
            <w:gridSpan w:val="3"/>
            <w:shd w:val="clear" w:color="auto" w:fill="auto"/>
            <w:tcMar>
              <w:top w:w="40" w:type="dxa"/>
              <w:left w:w="20" w:type="dxa"/>
              <w:bottom w:w="40" w:type="dxa"/>
              <w:right w:w="20" w:type="dxa"/>
            </w:tcMar>
          </w:tcPr>
          <w:p w14:paraId="20AE1EE6" w14:textId="77777777" w:rsidR="00B626E7" w:rsidRDefault="00175C1D">
            <w:pPr>
              <w:ind w:hanging="180"/>
              <w:textAlignment w:val="top"/>
            </w:pPr>
            <w:r>
              <w:rPr>
                <w:rFonts w:ascii="Arial" w:eastAsia="宋体" w:hAnsi="Arial" w:cs="Arial"/>
                <w:b/>
                <w:bCs/>
                <w:color w:val="333333"/>
                <w:sz w:val="18"/>
                <w:szCs w:val="18"/>
              </w:rPr>
              <w:t>Total derivatives not designated as hedging instruments</w:t>
            </w:r>
          </w:p>
        </w:tc>
        <w:tc>
          <w:tcPr>
            <w:tcW w:w="0" w:type="auto"/>
            <w:gridSpan w:val="3"/>
            <w:shd w:val="clear" w:color="auto" w:fill="auto"/>
            <w:tcMar>
              <w:left w:w="20" w:type="dxa"/>
              <w:right w:w="20" w:type="dxa"/>
            </w:tcMar>
            <w:vAlign w:val="bottom"/>
          </w:tcPr>
          <w:p w14:paraId="20AE1EE7"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1EE8" w14:textId="77777777" w:rsidR="00B626E7" w:rsidRDefault="00175C1D">
            <w:pPr>
              <w:jc w:val="right"/>
              <w:textAlignment w:val="bottom"/>
            </w:pPr>
            <w:r>
              <w:rPr>
                <w:rFonts w:ascii="Arial" w:eastAsia="宋体" w:hAnsi="Arial" w:cs="Arial"/>
                <w:b/>
                <w:bCs/>
                <w:color w:val="026DCE"/>
                <w:sz w:val="18"/>
                <w:szCs w:val="18"/>
              </w:rPr>
              <w:t>205 </w:t>
            </w:r>
          </w:p>
        </w:tc>
        <w:tc>
          <w:tcPr>
            <w:tcW w:w="0" w:type="auto"/>
            <w:tcBorders>
              <w:top w:val="single" w:sz="8" w:space="0" w:color="333333"/>
            </w:tcBorders>
            <w:shd w:val="clear" w:color="auto" w:fill="auto"/>
            <w:tcMar>
              <w:top w:w="40" w:type="dxa"/>
              <w:bottom w:w="40" w:type="dxa"/>
              <w:right w:w="20" w:type="dxa"/>
            </w:tcMar>
            <w:vAlign w:val="bottom"/>
          </w:tcPr>
          <w:p w14:paraId="20AE1EE9"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1EEA"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1EEB" w14:textId="77777777" w:rsidR="00B626E7" w:rsidRDefault="00175C1D">
            <w:pPr>
              <w:jc w:val="right"/>
              <w:textAlignment w:val="bottom"/>
            </w:pPr>
            <w:r>
              <w:rPr>
                <w:rFonts w:ascii="Arial" w:eastAsia="宋体" w:hAnsi="Arial" w:cs="Arial"/>
                <w:b/>
                <w:bCs/>
                <w:color w:val="026DCE"/>
                <w:sz w:val="18"/>
                <w:szCs w:val="18"/>
              </w:rPr>
              <w:t>421 </w:t>
            </w:r>
          </w:p>
        </w:tc>
        <w:tc>
          <w:tcPr>
            <w:tcW w:w="0" w:type="auto"/>
            <w:tcBorders>
              <w:top w:val="single" w:sz="8" w:space="0" w:color="333333"/>
            </w:tcBorders>
            <w:shd w:val="clear" w:color="auto" w:fill="auto"/>
            <w:tcMar>
              <w:top w:w="40" w:type="dxa"/>
              <w:bottom w:w="40" w:type="dxa"/>
              <w:right w:w="20" w:type="dxa"/>
            </w:tcMar>
            <w:vAlign w:val="bottom"/>
          </w:tcPr>
          <w:p w14:paraId="20AE1EEC"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1EED"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1EEE" w14:textId="77777777" w:rsidR="00B626E7" w:rsidRDefault="00175C1D">
            <w:pPr>
              <w:jc w:val="right"/>
              <w:textAlignment w:val="bottom"/>
            </w:pPr>
            <w:r>
              <w:rPr>
                <w:rFonts w:ascii="Arial" w:eastAsia="宋体" w:hAnsi="Arial" w:cs="Arial"/>
                <w:b/>
                <w:bCs/>
                <w:color w:val="333333"/>
                <w:sz w:val="18"/>
                <w:szCs w:val="18"/>
              </w:rPr>
              <w:t>240 </w:t>
            </w:r>
          </w:p>
        </w:tc>
        <w:tc>
          <w:tcPr>
            <w:tcW w:w="0" w:type="auto"/>
            <w:tcBorders>
              <w:top w:val="single" w:sz="8" w:space="0" w:color="333333"/>
            </w:tcBorders>
            <w:shd w:val="clear" w:color="auto" w:fill="auto"/>
            <w:tcMar>
              <w:top w:w="40" w:type="dxa"/>
              <w:bottom w:w="40" w:type="dxa"/>
              <w:right w:w="20" w:type="dxa"/>
            </w:tcMar>
            <w:vAlign w:val="bottom"/>
          </w:tcPr>
          <w:p w14:paraId="20AE1EEF"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1EF0"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1EF1" w14:textId="77777777" w:rsidR="00B626E7" w:rsidRDefault="00175C1D">
            <w:pPr>
              <w:jc w:val="right"/>
              <w:textAlignment w:val="bottom"/>
            </w:pPr>
            <w:r>
              <w:rPr>
                <w:rFonts w:ascii="Arial" w:eastAsia="宋体" w:hAnsi="Arial" w:cs="Arial"/>
                <w:b/>
                <w:bCs/>
                <w:color w:val="333333"/>
                <w:sz w:val="18"/>
                <w:szCs w:val="18"/>
              </w:rPr>
              <w:t>135 </w:t>
            </w:r>
          </w:p>
        </w:tc>
        <w:tc>
          <w:tcPr>
            <w:tcW w:w="0" w:type="auto"/>
            <w:tcBorders>
              <w:top w:val="single" w:sz="8" w:space="0" w:color="333333"/>
            </w:tcBorders>
            <w:shd w:val="clear" w:color="auto" w:fill="auto"/>
            <w:tcMar>
              <w:top w:w="40" w:type="dxa"/>
              <w:bottom w:w="40" w:type="dxa"/>
              <w:right w:w="20" w:type="dxa"/>
            </w:tcMar>
            <w:vAlign w:val="bottom"/>
          </w:tcPr>
          <w:p w14:paraId="20AE1EF2"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E1EF3" w14:textId="77777777" w:rsidR="00B626E7" w:rsidRDefault="00B626E7">
            <w:pPr>
              <w:rPr>
                <w:rFonts w:ascii="宋体"/>
              </w:rPr>
            </w:pPr>
          </w:p>
        </w:tc>
        <w:tc>
          <w:tcPr>
            <w:tcW w:w="0" w:type="auto"/>
            <w:shd w:val="clear" w:color="auto" w:fill="auto"/>
          </w:tcPr>
          <w:p w14:paraId="20AE1EF4" w14:textId="77777777" w:rsidR="00B626E7" w:rsidRDefault="00B626E7">
            <w:pPr>
              <w:rPr>
                <w:rFonts w:ascii="宋体"/>
              </w:rPr>
            </w:pPr>
          </w:p>
        </w:tc>
        <w:tc>
          <w:tcPr>
            <w:tcW w:w="0" w:type="auto"/>
            <w:shd w:val="clear" w:color="auto" w:fill="auto"/>
          </w:tcPr>
          <w:p w14:paraId="20AE1EF5" w14:textId="77777777" w:rsidR="00B626E7" w:rsidRDefault="00B626E7">
            <w:pPr>
              <w:rPr>
                <w:rFonts w:ascii="宋体"/>
              </w:rPr>
            </w:pPr>
          </w:p>
        </w:tc>
        <w:tc>
          <w:tcPr>
            <w:tcW w:w="0" w:type="auto"/>
            <w:shd w:val="clear" w:color="auto" w:fill="auto"/>
          </w:tcPr>
          <w:p w14:paraId="20AE1EF6" w14:textId="77777777" w:rsidR="00B626E7" w:rsidRDefault="00B626E7">
            <w:pPr>
              <w:rPr>
                <w:rFonts w:ascii="宋体"/>
              </w:rPr>
            </w:pPr>
          </w:p>
        </w:tc>
        <w:tc>
          <w:tcPr>
            <w:tcW w:w="0" w:type="auto"/>
            <w:shd w:val="clear" w:color="auto" w:fill="auto"/>
          </w:tcPr>
          <w:p w14:paraId="20AE1EF7" w14:textId="77777777" w:rsidR="00B626E7" w:rsidRDefault="00B626E7">
            <w:pPr>
              <w:rPr>
                <w:rFonts w:ascii="宋体"/>
              </w:rPr>
            </w:pPr>
          </w:p>
        </w:tc>
        <w:tc>
          <w:tcPr>
            <w:tcW w:w="0" w:type="auto"/>
            <w:shd w:val="clear" w:color="auto" w:fill="auto"/>
          </w:tcPr>
          <w:p w14:paraId="20AE1EF8" w14:textId="77777777" w:rsidR="00B626E7" w:rsidRDefault="00B626E7">
            <w:pPr>
              <w:rPr>
                <w:rFonts w:ascii="宋体"/>
              </w:rPr>
            </w:pPr>
          </w:p>
        </w:tc>
        <w:tc>
          <w:tcPr>
            <w:tcW w:w="0" w:type="auto"/>
            <w:shd w:val="clear" w:color="auto" w:fill="auto"/>
          </w:tcPr>
          <w:p w14:paraId="20AE1EF9" w14:textId="77777777" w:rsidR="00B626E7" w:rsidRDefault="00B626E7">
            <w:pPr>
              <w:rPr>
                <w:rFonts w:ascii="宋体"/>
              </w:rPr>
            </w:pPr>
          </w:p>
        </w:tc>
        <w:tc>
          <w:tcPr>
            <w:tcW w:w="0" w:type="auto"/>
            <w:shd w:val="clear" w:color="auto" w:fill="auto"/>
          </w:tcPr>
          <w:p w14:paraId="20AE1EFA" w14:textId="77777777" w:rsidR="00B626E7" w:rsidRDefault="00B626E7">
            <w:pPr>
              <w:rPr>
                <w:rFonts w:ascii="宋体"/>
              </w:rPr>
            </w:pPr>
          </w:p>
        </w:tc>
        <w:tc>
          <w:tcPr>
            <w:tcW w:w="0" w:type="auto"/>
            <w:shd w:val="clear" w:color="auto" w:fill="auto"/>
          </w:tcPr>
          <w:p w14:paraId="20AE1EFB" w14:textId="77777777" w:rsidR="00B626E7" w:rsidRDefault="00B626E7">
            <w:pPr>
              <w:rPr>
                <w:rFonts w:ascii="宋体"/>
              </w:rPr>
            </w:pPr>
          </w:p>
        </w:tc>
        <w:tc>
          <w:tcPr>
            <w:tcW w:w="0" w:type="auto"/>
            <w:shd w:val="clear" w:color="auto" w:fill="auto"/>
          </w:tcPr>
          <w:p w14:paraId="20AE1EFC" w14:textId="77777777" w:rsidR="00B626E7" w:rsidRDefault="00B626E7">
            <w:pPr>
              <w:rPr>
                <w:rFonts w:ascii="宋体"/>
              </w:rPr>
            </w:pPr>
          </w:p>
        </w:tc>
        <w:tc>
          <w:tcPr>
            <w:tcW w:w="0" w:type="auto"/>
            <w:shd w:val="clear" w:color="auto" w:fill="auto"/>
          </w:tcPr>
          <w:p w14:paraId="20AE1EFD" w14:textId="77777777" w:rsidR="00B626E7" w:rsidRDefault="00B626E7">
            <w:pPr>
              <w:rPr>
                <w:rFonts w:ascii="宋体"/>
              </w:rPr>
            </w:pPr>
          </w:p>
        </w:tc>
        <w:tc>
          <w:tcPr>
            <w:tcW w:w="0" w:type="auto"/>
            <w:shd w:val="clear" w:color="auto" w:fill="auto"/>
          </w:tcPr>
          <w:p w14:paraId="20AE1EFE" w14:textId="77777777" w:rsidR="00B626E7" w:rsidRDefault="00B626E7">
            <w:pPr>
              <w:rPr>
                <w:rFonts w:ascii="宋体"/>
              </w:rPr>
            </w:pPr>
          </w:p>
        </w:tc>
      </w:tr>
      <w:tr w:rsidR="00B626E7" w14:paraId="20AE1F1D" w14:textId="77777777">
        <w:tc>
          <w:tcPr>
            <w:tcW w:w="0" w:type="auto"/>
            <w:gridSpan w:val="3"/>
            <w:shd w:val="clear" w:color="auto" w:fill="auto"/>
            <w:tcMar>
              <w:top w:w="40" w:type="dxa"/>
              <w:left w:w="20" w:type="dxa"/>
              <w:bottom w:w="40" w:type="dxa"/>
              <w:right w:w="20" w:type="dxa"/>
            </w:tcMar>
          </w:tcPr>
          <w:p w14:paraId="20AE1F00" w14:textId="77777777" w:rsidR="00B626E7" w:rsidRDefault="00175C1D">
            <w:pPr>
              <w:textAlignment w:val="top"/>
            </w:pPr>
            <w:r>
              <w:rPr>
                <w:rFonts w:ascii="Arial" w:eastAsia="宋体" w:hAnsi="Arial" w:cs="Arial"/>
                <w:b/>
                <w:bCs/>
                <w:color w:val="333333"/>
                <w:sz w:val="18"/>
                <w:szCs w:val="18"/>
              </w:rPr>
              <w:t>Total derivatives</w:t>
            </w:r>
          </w:p>
        </w:tc>
        <w:tc>
          <w:tcPr>
            <w:tcW w:w="0" w:type="auto"/>
            <w:gridSpan w:val="3"/>
            <w:shd w:val="clear" w:color="auto" w:fill="auto"/>
            <w:tcMar>
              <w:left w:w="20" w:type="dxa"/>
              <w:right w:w="20" w:type="dxa"/>
            </w:tcMar>
            <w:vAlign w:val="bottom"/>
          </w:tcPr>
          <w:p w14:paraId="20AE1F01"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1F02" w14:textId="77777777" w:rsidR="00B626E7" w:rsidRDefault="00175C1D">
            <w:pPr>
              <w:textAlignment w:val="bottom"/>
            </w:pPr>
            <w:r>
              <w:rPr>
                <w:rFonts w:ascii="Arial" w:eastAsia="宋体" w:hAnsi="Arial" w:cs="Arial"/>
                <w:b/>
                <w:bCs/>
                <w:color w:val="026DCE"/>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1F03" w14:textId="77777777" w:rsidR="00B626E7" w:rsidRDefault="00175C1D">
            <w:pPr>
              <w:jc w:val="right"/>
              <w:textAlignment w:val="bottom"/>
            </w:pPr>
            <w:r>
              <w:rPr>
                <w:rFonts w:ascii="Arial" w:eastAsia="宋体" w:hAnsi="Arial" w:cs="Arial"/>
                <w:b/>
                <w:bCs/>
                <w:color w:val="026DCE"/>
                <w:sz w:val="18"/>
                <w:szCs w:val="18"/>
              </w:rPr>
              <w:t>1,994 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1F04"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1F05"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1F06" w14:textId="77777777" w:rsidR="00B626E7" w:rsidRDefault="00175C1D">
            <w:pPr>
              <w:textAlignment w:val="bottom"/>
            </w:pPr>
            <w:r>
              <w:rPr>
                <w:rFonts w:ascii="Arial" w:eastAsia="宋体" w:hAnsi="Arial" w:cs="Arial"/>
                <w:b/>
                <w:bCs/>
                <w:color w:val="026DCE"/>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1F07" w14:textId="77777777" w:rsidR="00B626E7" w:rsidRDefault="00175C1D">
            <w:pPr>
              <w:jc w:val="right"/>
              <w:textAlignment w:val="bottom"/>
            </w:pPr>
            <w:r>
              <w:rPr>
                <w:rFonts w:ascii="Arial" w:eastAsia="宋体" w:hAnsi="Arial" w:cs="Arial"/>
                <w:b/>
                <w:bCs/>
                <w:color w:val="026DCE"/>
                <w:sz w:val="18"/>
                <w:szCs w:val="18"/>
              </w:rPr>
              <w:t>502 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1F08"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1F09"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1F0A"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1F0B" w14:textId="77777777" w:rsidR="00B626E7" w:rsidRDefault="00175C1D">
            <w:pPr>
              <w:jc w:val="right"/>
              <w:textAlignment w:val="bottom"/>
            </w:pPr>
            <w:r>
              <w:rPr>
                <w:rFonts w:ascii="Arial" w:eastAsia="宋体" w:hAnsi="Arial" w:cs="Arial"/>
                <w:b/>
                <w:bCs/>
                <w:color w:val="333333"/>
                <w:sz w:val="18"/>
                <w:szCs w:val="18"/>
              </w:rPr>
              <w:t>986 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1F0C"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1F0D"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1F0E"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1F0F" w14:textId="77777777" w:rsidR="00B626E7" w:rsidRDefault="00175C1D">
            <w:pPr>
              <w:jc w:val="right"/>
              <w:textAlignment w:val="bottom"/>
            </w:pPr>
            <w:r>
              <w:rPr>
                <w:rFonts w:ascii="Arial" w:eastAsia="宋体" w:hAnsi="Arial" w:cs="Arial"/>
                <w:b/>
                <w:bCs/>
                <w:color w:val="333333"/>
                <w:sz w:val="18"/>
                <w:szCs w:val="18"/>
              </w:rPr>
              <w:t>303 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1F10"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E1F11" w14:textId="77777777" w:rsidR="00B626E7" w:rsidRDefault="00B626E7">
            <w:pPr>
              <w:rPr>
                <w:rFonts w:ascii="宋体"/>
              </w:rPr>
            </w:pPr>
          </w:p>
        </w:tc>
        <w:tc>
          <w:tcPr>
            <w:tcW w:w="0" w:type="auto"/>
            <w:shd w:val="clear" w:color="auto" w:fill="auto"/>
          </w:tcPr>
          <w:p w14:paraId="20AE1F12" w14:textId="77777777" w:rsidR="00B626E7" w:rsidRDefault="00B626E7">
            <w:pPr>
              <w:rPr>
                <w:rFonts w:ascii="宋体"/>
              </w:rPr>
            </w:pPr>
          </w:p>
        </w:tc>
        <w:tc>
          <w:tcPr>
            <w:tcW w:w="0" w:type="auto"/>
            <w:shd w:val="clear" w:color="auto" w:fill="auto"/>
          </w:tcPr>
          <w:p w14:paraId="20AE1F13" w14:textId="77777777" w:rsidR="00B626E7" w:rsidRDefault="00B626E7">
            <w:pPr>
              <w:rPr>
                <w:rFonts w:ascii="宋体"/>
              </w:rPr>
            </w:pPr>
          </w:p>
        </w:tc>
        <w:tc>
          <w:tcPr>
            <w:tcW w:w="0" w:type="auto"/>
            <w:shd w:val="clear" w:color="auto" w:fill="auto"/>
          </w:tcPr>
          <w:p w14:paraId="20AE1F14" w14:textId="77777777" w:rsidR="00B626E7" w:rsidRDefault="00B626E7">
            <w:pPr>
              <w:rPr>
                <w:rFonts w:ascii="宋体"/>
              </w:rPr>
            </w:pPr>
          </w:p>
        </w:tc>
        <w:tc>
          <w:tcPr>
            <w:tcW w:w="0" w:type="auto"/>
            <w:shd w:val="clear" w:color="auto" w:fill="auto"/>
          </w:tcPr>
          <w:p w14:paraId="20AE1F15" w14:textId="77777777" w:rsidR="00B626E7" w:rsidRDefault="00B626E7">
            <w:pPr>
              <w:rPr>
                <w:rFonts w:ascii="宋体"/>
              </w:rPr>
            </w:pPr>
          </w:p>
        </w:tc>
        <w:tc>
          <w:tcPr>
            <w:tcW w:w="0" w:type="auto"/>
            <w:shd w:val="clear" w:color="auto" w:fill="auto"/>
          </w:tcPr>
          <w:p w14:paraId="20AE1F16" w14:textId="77777777" w:rsidR="00B626E7" w:rsidRDefault="00B626E7">
            <w:pPr>
              <w:rPr>
                <w:rFonts w:ascii="宋体"/>
              </w:rPr>
            </w:pPr>
          </w:p>
        </w:tc>
        <w:tc>
          <w:tcPr>
            <w:tcW w:w="0" w:type="auto"/>
            <w:shd w:val="clear" w:color="auto" w:fill="auto"/>
          </w:tcPr>
          <w:p w14:paraId="20AE1F17" w14:textId="77777777" w:rsidR="00B626E7" w:rsidRDefault="00B626E7">
            <w:pPr>
              <w:rPr>
                <w:rFonts w:ascii="宋体"/>
              </w:rPr>
            </w:pPr>
          </w:p>
        </w:tc>
        <w:tc>
          <w:tcPr>
            <w:tcW w:w="0" w:type="auto"/>
            <w:shd w:val="clear" w:color="auto" w:fill="auto"/>
          </w:tcPr>
          <w:p w14:paraId="20AE1F18" w14:textId="77777777" w:rsidR="00B626E7" w:rsidRDefault="00B626E7">
            <w:pPr>
              <w:rPr>
                <w:rFonts w:ascii="宋体"/>
              </w:rPr>
            </w:pPr>
          </w:p>
        </w:tc>
        <w:tc>
          <w:tcPr>
            <w:tcW w:w="0" w:type="auto"/>
            <w:shd w:val="clear" w:color="auto" w:fill="auto"/>
          </w:tcPr>
          <w:p w14:paraId="20AE1F19" w14:textId="77777777" w:rsidR="00B626E7" w:rsidRDefault="00B626E7">
            <w:pPr>
              <w:rPr>
                <w:rFonts w:ascii="宋体"/>
              </w:rPr>
            </w:pPr>
          </w:p>
        </w:tc>
        <w:tc>
          <w:tcPr>
            <w:tcW w:w="0" w:type="auto"/>
            <w:shd w:val="clear" w:color="auto" w:fill="auto"/>
          </w:tcPr>
          <w:p w14:paraId="20AE1F1A" w14:textId="77777777" w:rsidR="00B626E7" w:rsidRDefault="00B626E7">
            <w:pPr>
              <w:rPr>
                <w:rFonts w:ascii="宋体"/>
              </w:rPr>
            </w:pPr>
          </w:p>
        </w:tc>
        <w:tc>
          <w:tcPr>
            <w:tcW w:w="0" w:type="auto"/>
            <w:shd w:val="clear" w:color="auto" w:fill="auto"/>
          </w:tcPr>
          <w:p w14:paraId="20AE1F1B" w14:textId="77777777" w:rsidR="00B626E7" w:rsidRDefault="00B626E7">
            <w:pPr>
              <w:rPr>
                <w:rFonts w:ascii="宋体"/>
              </w:rPr>
            </w:pPr>
          </w:p>
        </w:tc>
        <w:tc>
          <w:tcPr>
            <w:tcW w:w="0" w:type="auto"/>
            <w:shd w:val="clear" w:color="auto" w:fill="auto"/>
          </w:tcPr>
          <w:p w14:paraId="20AE1F1C" w14:textId="77777777" w:rsidR="00B626E7" w:rsidRDefault="00B626E7">
            <w:pPr>
              <w:rPr>
                <w:rFonts w:ascii="宋体"/>
              </w:rPr>
            </w:pPr>
          </w:p>
        </w:tc>
      </w:tr>
    </w:tbl>
    <w:p w14:paraId="20AE1F1E" w14:textId="77777777" w:rsidR="00B626E7" w:rsidRDefault="00175C1D">
      <w:pPr>
        <w:spacing w:before="120"/>
        <w:ind w:hanging="180"/>
      </w:pPr>
      <w:r>
        <w:rPr>
          <w:rFonts w:ascii="Arial" w:eastAsia="宋体" w:hAnsi="Arial" w:cs="Arial"/>
          <w:i/>
          <w:iCs/>
          <w:color w:val="333333"/>
          <w:sz w:val="10"/>
          <w:szCs w:val="10"/>
        </w:rPr>
        <w:t>1</w:t>
      </w:r>
      <w:r>
        <w:rPr>
          <w:rFonts w:ascii="Arial" w:eastAsia="宋体" w:hAnsi="Arial" w:cs="Arial"/>
          <w:i/>
          <w:iCs/>
          <w:color w:val="333333"/>
          <w:sz w:val="16"/>
          <w:szCs w:val="16"/>
        </w:rPr>
        <w:t>Derivative assets are recorded as other assets, current and non-current.</w:t>
      </w:r>
    </w:p>
    <w:p w14:paraId="20AE1F1F" w14:textId="77777777" w:rsidR="00B626E7" w:rsidRDefault="00175C1D">
      <w:pPr>
        <w:ind w:hanging="180"/>
      </w:pPr>
      <w:r>
        <w:rPr>
          <w:rFonts w:ascii="Arial" w:eastAsia="宋体" w:hAnsi="Arial" w:cs="Arial"/>
          <w:i/>
          <w:iCs/>
          <w:color w:val="333333"/>
          <w:sz w:val="10"/>
          <w:szCs w:val="10"/>
        </w:rPr>
        <w:t>2</w:t>
      </w:r>
      <w:r>
        <w:rPr>
          <w:rFonts w:ascii="Arial" w:eastAsia="宋体" w:hAnsi="Arial" w:cs="Arial"/>
          <w:i/>
          <w:iCs/>
          <w:color w:val="333333"/>
          <w:sz w:val="16"/>
          <w:szCs w:val="16"/>
        </w:rPr>
        <w:t>Deriv</w:t>
      </w:r>
      <w:r>
        <w:rPr>
          <w:rFonts w:ascii="Arial" w:eastAsia="宋体" w:hAnsi="Arial" w:cs="Arial"/>
          <w:i/>
          <w:iCs/>
          <w:color w:val="333333"/>
          <w:sz w:val="16"/>
          <w:szCs w:val="16"/>
        </w:rPr>
        <w:t>ative liabilities are recorded as other liabilities, current and non-current.</w:t>
      </w:r>
    </w:p>
    <w:p w14:paraId="20AE1F20" w14:textId="77777777" w:rsidR="00B626E7" w:rsidRDefault="00175C1D">
      <w:pPr>
        <w:ind w:hanging="180"/>
      </w:pPr>
      <w:r>
        <w:rPr>
          <w:rFonts w:ascii="Arial" w:eastAsia="宋体" w:hAnsi="Arial" w:cs="Arial"/>
          <w:i/>
          <w:iCs/>
          <w:color w:val="333333"/>
          <w:sz w:val="10"/>
          <w:szCs w:val="10"/>
        </w:rPr>
        <w:t>3</w:t>
      </w:r>
      <w:r>
        <w:rPr>
          <w:rFonts w:ascii="Arial" w:eastAsia="宋体" w:hAnsi="Arial" w:cs="Arial"/>
          <w:i/>
          <w:iCs/>
          <w:color w:val="333333"/>
          <w:sz w:val="16"/>
          <w:szCs w:val="16"/>
        </w:rPr>
        <w:t>The majority of these instruments mature within 12 months.</w:t>
      </w:r>
    </w:p>
    <w:p w14:paraId="20AE1F21" w14:textId="77777777" w:rsidR="00B626E7" w:rsidRDefault="00B626E7">
      <w:pPr>
        <w:spacing w:after="180"/>
      </w:pPr>
    </w:p>
    <w:p w14:paraId="20AE1F22" w14:textId="77777777" w:rsidR="00B626E7" w:rsidRDefault="00B626E7">
      <w:pPr>
        <w:spacing w:after="180"/>
      </w:pPr>
    </w:p>
    <w:p w14:paraId="20AE1F23" w14:textId="77777777" w:rsidR="00B626E7" w:rsidRDefault="00B626E7">
      <w:pPr>
        <w:spacing w:after="180"/>
      </w:pPr>
    </w:p>
    <w:p w14:paraId="20AE1F24" w14:textId="77777777" w:rsidR="00B626E7" w:rsidRDefault="00B626E7">
      <w:pPr>
        <w:spacing w:after="180"/>
      </w:pPr>
    </w:p>
    <w:p w14:paraId="20AE1F25" w14:textId="77777777" w:rsidR="00B626E7" w:rsidRDefault="00B626E7">
      <w:pPr>
        <w:spacing w:after="180"/>
      </w:pPr>
    </w:p>
    <w:p w14:paraId="20AE1F26" w14:textId="77777777" w:rsidR="00B626E7" w:rsidRDefault="00B626E7">
      <w:pPr>
        <w:spacing w:after="180"/>
      </w:pPr>
    </w:p>
    <w:p w14:paraId="20AE1F27" w14:textId="77777777" w:rsidR="00B626E7" w:rsidRDefault="00B626E7">
      <w:pPr>
        <w:spacing w:after="180"/>
      </w:pPr>
    </w:p>
    <w:p w14:paraId="20AE1F28" w14:textId="77777777" w:rsidR="00B626E7" w:rsidRDefault="00B626E7">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4"/>
        <w:gridCol w:w="2423"/>
        <w:gridCol w:w="84"/>
        <w:gridCol w:w="83"/>
        <w:gridCol w:w="3471"/>
        <w:gridCol w:w="83"/>
        <w:gridCol w:w="83"/>
        <w:gridCol w:w="1942"/>
        <w:gridCol w:w="83"/>
      </w:tblGrid>
      <w:tr w:rsidR="00B626E7" w14:paraId="20AE1F32" w14:textId="77777777">
        <w:tc>
          <w:tcPr>
            <w:tcW w:w="50" w:type="pct"/>
            <w:shd w:val="clear" w:color="auto" w:fill="auto"/>
            <w:vAlign w:val="bottom"/>
          </w:tcPr>
          <w:p w14:paraId="20AE1F29" w14:textId="77777777" w:rsidR="00B626E7" w:rsidRDefault="00B626E7">
            <w:pPr>
              <w:rPr>
                <w:rFonts w:ascii="宋体"/>
              </w:rPr>
            </w:pPr>
          </w:p>
        </w:tc>
        <w:tc>
          <w:tcPr>
            <w:tcW w:w="1452" w:type="pct"/>
            <w:shd w:val="clear" w:color="auto" w:fill="auto"/>
            <w:vAlign w:val="bottom"/>
          </w:tcPr>
          <w:p w14:paraId="20AE1F2A" w14:textId="77777777" w:rsidR="00B626E7" w:rsidRDefault="00B626E7">
            <w:pPr>
              <w:rPr>
                <w:rFonts w:ascii="宋体"/>
              </w:rPr>
            </w:pPr>
          </w:p>
        </w:tc>
        <w:tc>
          <w:tcPr>
            <w:tcW w:w="50" w:type="pct"/>
            <w:shd w:val="clear" w:color="auto" w:fill="auto"/>
            <w:vAlign w:val="bottom"/>
          </w:tcPr>
          <w:p w14:paraId="20AE1F2B" w14:textId="77777777" w:rsidR="00B626E7" w:rsidRDefault="00B626E7">
            <w:pPr>
              <w:rPr>
                <w:rFonts w:ascii="宋体"/>
              </w:rPr>
            </w:pPr>
          </w:p>
        </w:tc>
        <w:tc>
          <w:tcPr>
            <w:tcW w:w="50" w:type="pct"/>
            <w:shd w:val="clear" w:color="auto" w:fill="auto"/>
            <w:vAlign w:val="bottom"/>
          </w:tcPr>
          <w:p w14:paraId="20AE1F2C" w14:textId="77777777" w:rsidR="00B626E7" w:rsidRDefault="00B626E7">
            <w:pPr>
              <w:rPr>
                <w:rFonts w:ascii="宋体"/>
              </w:rPr>
            </w:pPr>
          </w:p>
        </w:tc>
        <w:tc>
          <w:tcPr>
            <w:tcW w:w="2081" w:type="pct"/>
            <w:shd w:val="clear" w:color="auto" w:fill="auto"/>
            <w:vAlign w:val="bottom"/>
          </w:tcPr>
          <w:p w14:paraId="20AE1F2D" w14:textId="77777777" w:rsidR="00B626E7" w:rsidRDefault="00B626E7">
            <w:pPr>
              <w:rPr>
                <w:rFonts w:ascii="宋体"/>
              </w:rPr>
            </w:pPr>
          </w:p>
        </w:tc>
        <w:tc>
          <w:tcPr>
            <w:tcW w:w="50" w:type="pct"/>
            <w:shd w:val="clear" w:color="auto" w:fill="auto"/>
            <w:vAlign w:val="bottom"/>
          </w:tcPr>
          <w:p w14:paraId="20AE1F2E" w14:textId="77777777" w:rsidR="00B626E7" w:rsidRDefault="00B626E7">
            <w:pPr>
              <w:rPr>
                <w:rFonts w:ascii="宋体"/>
              </w:rPr>
            </w:pPr>
          </w:p>
        </w:tc>
        <w:tc>
          <w:tcPr>
            <w:tcW w:w="50" w:type="pct"/>
            <w:shd w:val="clear" w:color="auto" w:fill="auto"/>
            <w:vAlign w:val="bottom"/>
          </w:tcPr>
          <w:p w14:paraId="20AE1F2F" w14:textId="77777777" w:rsidR="00B626E7" w:rsidRDefault="00B626E7">
            <w:pPr>
              <w:rPr>
                <w:rFonts w:ascii="宋体"/>
              </w:rPr>
            </w:pPr>
          </w:p>
        </w:tc>
        <w:tc>
          <w:tcPr>
            <w:tcW w:w="1165" w:type="pct"/>
            <w:shd w:val="clear" w:color="auto" w:fill="auto"/>
            <w:vAlign w:val="bottom"/>
          </w:tcPr>
          <w:p w14:paraId="20AE1F30" w14:textId="77777777" w:rsidR="00B626E7" w:rsidRDefault="00B626E7">
            <w:pPr>
              <w:rPr>
                <w:rFonts w:ascii="宋体"/>
              </w:rPr>
            </w:pPr>
          </w:p>
        </w:tc>
        <w:tc>
          <w:tcPr>
            <w:tcW w:w="50" w:type="pct"/>
            <w:shd w:val="clear" w:color="auto" w:fill="auto"/>
            <w:vAlign w:val="bottom"/>
          </w:tcPr>
          <w:p w14:paraId="20AE1F31" w14:textId="77777777" w:rsidR="00B626E7" w:rsidRDefault="00B626E7">
            <w:pPr>
              <w:rPr>
                <w:rFonts w:ascii="宋体"/>
              </w:rPr>
            </w:pPr>
          </w:p>
        </w:tc>
      </w:tr>
      <w:tr w:rsidR="00B626E7" w14:paraId="20AE1F36" w14:textId="77777777">
        <w:tc>
          <w:tcPr>
            <w:tcW w:w="0" w:type="auto"/>
            <w:gridSpan w:val="3"/>
            <w:tcBorders>
              <w:top w:val="single" w:sz="8" w:space="0" w:color="0071C5"/>
            </w:tcBorders>
            <w:shd w:val="clear" w:color="auto" w:fill="auto"/>
            <w:tcMar>
              <w:top w:w="40" w:type="dxa"/>
              <w:left w:w="20" w:type="dxa"/>
              <w:bottom w:w="40" w:type="dxa"/>
              <w:right w:w="20" w:type="dxa"/>
            </w:tcMar>
            <w:vAlign w:val="center"/>
          </w:tcPr>
          <w:p w14:paraId="20AE1F33" w14:textId="77777777" w:rsidR="00B626E7" w:rsidRDefault="00175C1D">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Viewer10_files/intc-20200627_g15.jpg"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56" wp14:editId="20AE3C57">
                  <wp:extent cx="304800" cy="304800"/>
                  <wp:effectExtent l="0" t="0" r="0" b="0"/>
                  <wp:docPr id="48" name="图片 81"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81" descr="IMG_28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Arial" w:eastAsia="宋体" w:hAnsi="Arial" w:cs="Arial"/>
                <w:color w:val="333333"/>
                <w:sz w:val="16"/>
                <w:szCs w:val="16"/>
              </w:rPr>
              <w:t>FINANCIAL STATEMENTS</w:t>
            </w:r>
          </w:p>
        </w:tc>
        <w:tc>
          <w:tcPr>
            <w:tcW w:w="0" w:type="auto"/>
            <w:gridSpan w:val="3"/>
            <w:tcBorders>
              <w:top w:val="single" w:sz="8" w:space="0" w:color="0071C5"/>
              <w:left w:val="single" w:sz="24" w:space="0" w:color="0071C5"/>
            </w:tcBorders>
            <w:shd w:val="clear" w:color="auto" w:fill="auto"/>
            <w:tcMar>
              <w:top w:w="40" w:type="dxa"/>
              <w:left w:w="20" w:type="dxa"/>
              <w:bottom w:w="40" w:type="dxa"/>
              <w:right w:w="20" w:type="dxa"/>
            </w:tcMar>
            <w:vAlign w:val="bottom"/>
          </w:tcPr>
          <w:p w14:paraId="20AE1F34" w14:textId="77777777" w:rsidR="00B626E7" w:rsidRDefault="00175C1D">
            <w:pPr>
              <w:textAlignment w:val="bottom"/>
            </w:pPr>
            <w:r>
              <w:rPr>
                <w:rFonts w:ascii="Arial" w:eastAsia="宋体" w:hAnsi="Arial" w:cs="Arial"/>
                <w:color w:val="333333"/>
                <w:sz w:val="16"/>
                <w:szCs w:val="16"/>
              </w:rPr>
              <w:t>  Notes to Financial Statements</w:t>
            </w: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1F35" w14:textId="77777777" w:rsidR="00B626E7" w:rsidRDefault="00175C1D">
            <w:pPr>
              <w:jc w:val="right"/>
              <w:textAlignment w:val="bottom"/>
            </w:pPr>
            <w:r>
              <w:rPr>
                <w:rFonts w:ascii="Arial" w:eastAsia="宋体" w:hAnsi="Arial" w:cs="Arial"/>
                <w:color w:val="333333"/>
                <w:sz w:val="16"/>
                <w:szCs w:val="16"/>
              </w:rPr>
              <w:t>21</w:t>
            </w:r>
          </w:p>
        </w:tc>
      </w:tr>
    </w:tbl>
    <w:p w14:paraId="20AE1F37" w14:textId="77777777" w:rsidR="00B626E7" w:rsidRDefault="00175C1D">
      <w:r>
        <w:pict w14:anchorId="20AE3C58">
          <v:rect id="_x0000_i1047" style="width:415.3pt;height:1.5pt" o:hralign="center" o:hrstd="t" o:hr="t" fillcolor="#a0a0a0" stroked="f"/>
        </w:pict>
      </w:r>
    </w:p>
    <w:p w14:paraId="20AE1F38" w14:textId="77777777" w:rsidR="00B626E7" w:rsidRDefault="00175C1D">
      <w:pPr>
        <w:spacing w:after="180"/>
        <w:jc w:val="right"/>
      </w:pPr>
      <w:hyperlink r:id="rId48" w:anchor="ib035cc8759904e51927d703ec8414366_7" w:history="1">
        <w:r>
          <w:rPr>
            <w:rStyle w:val="a5"/>
            <w:rFonts w:ascii="Arial" w:eastAsia="宋体" w:hAnsi="Arial" w:cs="Arial"/>
            <w:b/>
            <w:bCs/>
            <w:sz w:val="16"/>
            <w:szCs w:val="16"/>
          </w:rPr>
          <w:t>Table of Contents</w:t>
        </w:r>
      </w:hyperlink>
    </w:p>
    <w:p w14:paraId="20AE1F39" w14:textId="77777777" w:rsidR="00B626E7" w:rsidRDefault="00B626E7">
      <w:pPr>
        <w:spacing w:after="180"/>
        <w:jc w:val="right"/>
      </w:pPr>
    </w:p>
    <w:p w14:paraId="20AE1F3A" w14:textId="77777777" w:rsidR="00B626E7" w:rsidRDefault="00175C1D">
      <w:pPr>
        <w:spacing w:after="180"/>
      </w:pPr>
      <w:r>
        <w:rPr>
          <w:rFonts w:ascii="Arial" w:eastAsia="宋体" w:hAnsi="Arial" w:cs="Arial"/>
          <w:b/>
          <w:bCs/>
          <w:color w:val="0071C5"/>
        </w:rPr>
        <w:t>AMOUNTS OFFSET IN THE CONSOLIDATED CONDENSED BALANCE SHEETS</w:t>
      </w:r>
    </w:p>
    <w:p w14:paraId="20AE1F3B" w14:textId="77777777" w:rsidR="00B626E7" w:rsidRDefault="00175C1D">
      <w:pPr>
        <w:spacing w:after="120"/>
      </w:pPr>
      <w:r>
        <w:rPr>
          <w:rFonts w:ascii="Arial" w:eastAsia="宋体" w:hAnsi="Arial" w:cs="Arial"/>
          <w:color w:val="333333"/>
          <w:sz w:val="18"/>
          <w:szCs w:val="18"/>
        </w:rPr>
        <w:t>The gross amounts of our</w:t>
      </w:r>
      <w:r>
        <w:rPr>
          <w:rFonts w:ascii="Arial" w:eastAsia="宋体" w:hAnsi="Arial" w:cs="Arial"/>
          <w:color w:val="333333"/>
          <w:sz w:val="18"/>
          <w:szCs w:val="18"/>
        </w:rPr>
        <w:t xml:space="preserve"> derivative instruments and reverse repurchase agreements subject to master netting arrangements with various counterparties, and cash and non-cash collateral posted under such agreements at the end of each period were as follows:</w:t>
      </w:r>
    </w:p>
    <w:tbl>
      <w:tblPr>
        <w:tblW w:w="4986" w:type="pct"/>
        <w:tblCellMar>
          <w:top w:w="15" w:type="dxa"/>
          <w:left w:w="15" w:type="dxa"/>
          <w:bottom w:w="15" w:type="dxa"/>
          <w:right w:w="15" w:type="dxa"/>
        </w:tblCellMar>
        <w:tblLook w:val="04A0" w:firstRow="1" w:lastRow="0" w:firstColumn="1" w:lastColumn="0" w:noHBand="0" w:noVBand="1"/>
      </w:tblPr>
      <w:tblGrid>
        <w:gridCol w:w="46"/>
        <w:gridCol w:w="1122"/>
        <w:gridCol w:w="40"/>
        <w:gridCol w:w="36"/>
        <w:gridCol w:w="35"/>
        <w:gridCol w:w="35"/>
        <w:gridCol w:w="132"/>
        <w:gridCol w:w="824"/>
        <w:gridCol w:w="93"/>
        <w:gridCol w:w="36"/>
        <w:gridCol w:w="35"/>
        <w:gridCol w:w="36"/>
        <w:gridCol w:w="133"/>
        <w:gridCol w:w="646"/>
        <w:gridCol w:w="84"/>
        <w:gridCol w:w="36"/>
        <w:gridCol w:w="36"/>
        <w:gridCol w:w="36"/>
        <w:gridCol w:w="133"/>
        <w:gridCol w:w="716"/>
        <w:gridCol w:w="84"/>
        <w:gridCol w:w="36"/>
        <w:gridCol w:w="36"/>
        <w:gridCol w:w="36"/>
        <w:gridCol w:w="133"/>
        <w:gridCol w:w="843"/>
        <w:gridCol w:w="96"/>
        <w:gridCol w:w="36"/>
        <w:gridCol w:w="36"/>
        <w:gridCol w:w="36"/>
        <w:gridCol w:w="133"/>
        <w:gridCol w:w="700"/>
        <w:gridCol w:w="85"/>
        <w:gridCol w:w="36"/>
        <w:gridCol w:w="36"/>
        <w:gridCol w:w="36"/>
        <w:gridCol w:w="133"/>
        <w:gridCol w:w="567"/>
        <w:gridCol w:w="84"/>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B626E7" w14:paraId="20AE1F63" w14:textId="77777777">
        <w:trPr>
          <w:gridAfter w:val="24"/>
        </w:trPr>
        <w:tc>
          <w:tcPr>
            <w:tcW w:w="50" w:type="pct"/>
            <w:shd w:val="clear" w:color="auto" w:fill="auto"/>
          </w:tcPr>
          <w:p w14:paraId="20AE1F3C" w14:textId="77777777" w:rsidR="00B626E7" w:rsidRDefault="00B626E7">
            <w:pPr>
              <w:rPr>
                <w:rFonts w:ascii="宋体"/>
              </w:rPr>
            </w:pPr>
          </w:p>
        </w:tc>
        <w:tc>
          <w:tcPr>
            <w:tcW w:w="1406" w:type="pct"/>
            <w:shd w:val="clear" w:color="auto" w:fill="auto"/>
          </w:tcPr>
          <w:p w14:paraId="20AE1F3D" w14:textId="77777777" w:rsidR="00B626E7" w:rsidRDefault="00B626E7">
            <w:pPr>
              <w:rPr>
                <w:rFonts w:ascii="宋体"/>
              </w:rPr>
            </w:pPr>
          </w:p>
        </w:tc>
        <w:tc>
          <w:tcPr>
            <w:tcW w:w="50" w:type="pct"/>
            <w:shd w:val="clear" w:color="auto" w:fill="auto"/>
          </w:tcPr>
          <w:p w14:paraId="20AE1F3E" w14:textId="77777777" w:rsidR="00B626E7" w:rsidRDefault="00B626E7">
            <w:pPr>
              <w:rPr>
                <w:rFonts w:ascii="宋体"/>
              </w:rPr>
            </w:pPr>
          </w:p>
        </w:tc>
        <w:tc>
          <w:tcPr>
            <w:tcW w:w="5" w:type="pct"/>
            <w:shd w:val="clear" w:color="auto" w:fill="auto"/>
          </w:tcPr>
          <w:p w14:paraId="20AE1F3F" w14:textId="77777777" w:rsidR="00B626E7" w:rsidRDefault="00B626E7">
            <w:pPr>
              <w:rPr>
                <w:rFonts w:ascii="宋体"/>
              </w:rPr>
            </w:pPr>
          </w:p>
        </w:tc>
        <w:tc>
          <w:tcPr>
            <w:tcW w:w="24" w:type="pct"/>
            <w:shd w:val="clear" w:color="auto" w:fill="auto"/>
          </w:tcPr>
          <w:p w14:paraId="20AE1F40" w14:textId="77777777" w:rsidR="00B626E7" w:rsidRDefault="00B626E7">
            <w:pPr>
              <w:rPr>
                <w:rFonts w:ascii="宋体"/>
              </w:rPr>
            </w:pPr>
          </w:p>
        </w:tc>
        <w:tc>
          <w:tcPr>
            <w:tcW w:w="5" w:type="pct"/>
            <w:shd w:val="clear" w:color="auto" w:fill="auto"/>
          </w:tcPr>
          <w:p w14:paraId="20AE1F41" w14:textId="77777777" w:rsidR="00B626E7" w:rsidRDefault="00B626E7">
            <w:pPr>
              <w:rPr>
                <w:rFonts w:ascii="宋体"/>
              </w:rPr>
            </w:pPr>
          </w:p>
        </w:tc>
        <w:tc>
          <w:tcPr>
            <w:tcW w:w="50" w:type="pct"/>
            <w:shd w:val="clear" w:color="auto" w:fill="auto"/>
          </w:tcPr>
          <w:p w14:paraId="20AE1F42" w14:textId="77777777" w:rsidR="00B626E7" w:rsidRDefault="00B626E7">
            <w:pPr>
              <w:rPr>
                <w:rFonts w:ascii="宋体"/>
              </w:rPr>
            </w:pPr>
          </w:p>
        </w:tc>
        <w:tc>
          <w:tcPr>
            <w:tcW w:w="447" w:type="pct"/>
            <w:shd w:val="clear" w:color="auto" w:fill="auto"/>
          </w:tcPr>
          <w:p w14:paraId="20AE1F43" w14:textId="77777777" w:rsidR="00B626E7" w:rsidRDefault="00B626E7">
            <w:pPr>
              <w:rPr>
                <w:rFonts w:ascii="宋体"/>
              </w:rPr>
            </w:pPr>
          </w:p>
        </w:tc>
        <w:tc>
          <w:tcPr>
            <w:tcW w:w="50" w:type="pct"/>
            <w:shd w:val="clear" w:color="auto" w:fill="auto"/>
          </w:tcPr>
          <w:p w14:paraId="20AE1F44" w14:textId="77777777" w:rsidR="00B626E7" w:rsidRDefault="00B626E7">
            <w:pPr>
              <w:rPr>
                <w:rFonts w:ascii="宋体"/>
              </w:rPr>
            </w:pPr>
          </w:p>
        </w:tc>
        <w:tc>
          <w:tcPr>
            <w:tcW w:w="5" w:type="pct"/>
            <w:shd w:val="clear" w:color="auto" w:fill="auto"/>
          </w:tcPr>
          <w:p w14:paraId="20AE1F45" w14:textId="77777777" w:rsidR="00B626E7" w:rsidRDefault="00B626E7">
            <w:pPr>
              <w:rPr>
                <w:rFonts w:ascii="宋体"/>
              </w:rPr>
            </w:pPr>
          </w:p>
        </w:tc>
        <w:tc>
          <w:tcPr>
            <w:tcW w:w="24" w:type="pct"/>
            <w:shd w:val="clear" w:color="auto" w:fill="auto"/>
          </w:tcPr>
          <w:p w14:paraId="20AE1F46" w14:textId="77777777" w:rsidR="00B626E7" w:rsidRDefault="00B626E7">
            <w:pPr>
              <w:rPr>
                <w:rFonts w:ascii="宋体"/>
              </w:rPr>
            </w:pPr>
          </w:p>
        </w:tc>
        <w:tc>
          <w:tcPr>
            <w:tcW w:w="5" w:type="pct"/>
            <w:shd w:val="clear" w:color="auto" w:fill="auto"/>
          </w:tcPr>
          <w:p w14:paraId="20AE1F47" w14:textId="77777777" w:rsidR="00B626E7" w:rsidRDefault="00B626E7">
            <w:pPr>
              <w:rPr>
                <w:rFonts w:ascii="宋体"/>
              </w:rPr>
            </w:pPr>
          </w:p>
        </w:tc>
        <w:tc>
          <w:tcPr>
            <w:tcW w:w="50" w:type="pct"/>
            <w:shd w:val="clear" w:color="auto" w:fill="auto"/>
          </w:tcPr>
          <w:p w14:paraId="20AE1F48" w14:textId="77777777" w:rsidR="00B626E7" w:rsidRDefault="00B626E7">
            <w:pPr>
              <w:rPr>
                <w:rFonts w:ascii="宋体"/>
              </w:rPr>
            </w:pPr>
          </w:p>
        </w:tc>
        <w:tc>
          <w:tcPr>
            <w:tcW w:w="447" w:type="pct"/>
            <w:shd w:val="clear" w:color="auto" w:fill="auto"/>
          </w:tcPr>
          <w:p w14:paraId="20AE1F49" w14:textId="77777777" w:rsidR="00B626E7" w:rsidRDefault="00B626E7">
            <w:pPr>
              <w:rPr>
                <w:rFonts w:ascii="宋体"/>
              </w:rPr>
            </w:pPr>
          </w:p>
        </w:tc>
        <w:tc>
          <w:tcPr>
            <w:tcW w:w="50" w:type="pct"/>
            <w:shd w:val="clear" w:color="auto" w:fill="auto"/>
          </w:tcPr>
          <w:p w14:paraId="20AE1F4A" w14:textId="77777777" w:rsidR="00B626E7" w:rsidRDefault="00B626E7">
            <w:pPr>
              <w:rPr>
                <w:rFonts w:ascii="宋体"/>
              </w:rPr>
            </w:pPr>
          </w:p>
        </w:tc>
        <w:tc>
          <w:tcPr>
            <w:tcW w:w="5" w:type="pct"/>
            <w:shd w:val="clear" w:color="auto" w:fill="auto"/>
          </w:tcPr>
          <w:p w14:paraId="20AE1F4B" w14:textId="77777777" w:rsidR="00B626E7" w:rsidRDefault="00B626E7">
            <w:pPr>
              <w:rPr>
                <w:rFonts w:ascii="宋体"/>
              </w:rPr>
            </w:pPr>
          </w:p>
        </w:tc>
        <w:tc>
          <w:tcPr>
            <w:tcW w:w="24" w:type="pct"/>
            <w:shd w:val="clear" w:color="auto" w:fill="auto"/>
          </w:tcPr>
          <w:p w14:paraId="20AE1F4C" w14:textId="77777777" w:rsidR="00B626E7" w:rsidRDefault="00B626E7">
            <w:pPr>
              <w:rPr>
                <w:rFonts w:ascii="宋体"/>
              </w:rPr>
            </w:pPr>
          </w:p>
        </w:tc>
        <w:tc>
          <w:tcPr>
            <w:tcW w:w="5" w:type="pct"/>
            <w:shd w:val="clear" w:color="auto" w:fill="auto"/>
          </w:tcPr>
          <w:p w14:paraId="20AE1F4D" w14:textId="77777777" w:rsidR="00B626E7" w:rsidRDefault="00B626E7">
            <w:pPr>
              <w:rPr>
                <w:rFonts w:ascii="宋体"/>
              </w:rPr>
            </w:pPr>
          </w:p>
        </w:tc>
        <w:tc>
          <w:tcPr>
            <w:tcW w:w="50" w:type="pct"/>
            <w:shd w:val="clear" w:color="auto" w:fill="auto"/>
          </w:tcPr>
          <w:p w14:paraId="20AE1F4E" w14:textId="77777777" w:rsidR="00B626E7" w:rsidRDefault="00B626E7">
            <w:pPr>
              <w:rPr>
                <w:rFonts w:ascii="宋体"/>
              </w:rPr>
            </w:pPr>
          </w:p>
        </w:tc>
        <w:tc>
          <w:tcPr>
            <w:tcW w:w="447" w:type="pct"/>
            <w:shd w:val="clear" w:color="auto" w:fill="auto"/>
          </w:tcPr>
          <w:p w14:paraId="20AE1F4F" w14:textId="77777777" w:rsidR="00B626E7" w:rsidRDefault="00B626E7">
            <w:pPr>
              <w:rPr>
                <w:rFonts w:ascii="宋体"/>
              </w:rPr>
            </w:pPr>
          </w:p>
        </w:tc>
        <w:tc>
          <w:tcPr>
            <w:tcW w:w="50" w:type="pct"/>
            <w:shd w:val="clear" w:color="auto" w:fill="auto"/>
          </w:tcPr>
          <w:p w14:paraId="20AE1F50" w14:textId="77777777" w:rsidR="00B626E7" w:rsidRDefault="00B626E7">
            <w:pPr>
              <w:rPr>
                <w:rFonts w:ascii="宋体"/>
              </w:rPr>
            </w:pPr>
          </w:p>
        </w:tc>
        <w:tc>
          <w:tcPr>
            <w:tcW w:w="5" w:type="pct"/>
            <w:shd w:val="clear" w:color="auto" w:fill="auto"/>
          </w:tcPr>
          <w:p w14:paraId="20AE1F51" w14:textId="77777777" w:rsidR="00B626E7" w:rsidRDefault="00B626E7">
            <w:pPr>
              <w:rPr>
                <w:rFonts w:ascii="宋体"/>
              </w:rPr>
            </w:pPr>
          </w:p>
        </w:tc>
        <w:tc>
          <w:tcPr>
            <w:tcW w:w="24" w:type="pct"/>
            <w:shd w:val="clear" w:color="auto" w:fill="auto"/>
          </w:tcPr>
          <w:p w14:paraId="20AE1F52" w14:textId="77777777" w:rsidR="00B626E7" w:rsidRDefault="00B626E7">
            <w:pPr>
              <w:rPr>
                <w:rFonts w:ascii="宋体"/>
              </w:rPr>
            </w:pPr>
          </w:p>
        </w:tc>
        <w:tc>
          <w:tcPr>
            <w:tcW w:w="5" w:type="pct"/>
            <w:shd w:val="clear" w:color="auto" w:fill="auto"/>
          </w:tcPr>
          <w:p w14:paraId="20AE1F53" w14:textId="77777777" w:rsidR="00B626E7" w:rsidRDefault="00B626E7">
            <w:pPr>
              <w:rPr>
                <w:rFonts w:ascii="宋体"/>
              </w:rPr>
            </w:pPr>
          </w:p>
        </w:tc>
        <w:tc>
          <w:tcPr>
            <w:tcW w:w="50" w:type="pct"/>
            <w:shd w:val="clear" w:color="auto" w:fill="auto"/>
          </w:tcPr>
          <w:p w14:paraId="20AE1F54" w14:textId="77777777" w:rsidR="00B626E7" w:rsidRDefault="00B626E7">
            <w:pPr>
              <w:rPr>
                <w:rFonts w:ascii="宋体"/>
              </w:rPr>
            </w:pPr>
          </w:p>
        </w:tc>
        <w:tc>
          <w:tcPr>
            <w:tcW w:w="447" w:type="pct"/>
            <w:shd w:val="clear" w:color="auto" w:fill="auto"/>
          </w:tcPr>
          <w:p w14:paraId="20AE1F55" w14:textId="77777777" w:rsidR="00B626E7" w:rsidRDefault="00B626E7">
            <w:pPr>
              <w:rPr>
                <w:rFonts w:ascii="宋体"/>
              </w:rPr>
            </w:pPr>
          </w:p>
        </w:tc>
        <w:tc>
          <w:tcPr>
            <w:tcW w:w="50" w:type="pct"/>
            <w:shd w:val="clear" w:color="auto" w:fill="auto"/>
          </w:tcPr>
          <w:p w14:paraId="20AE1F56" w14:textId="77777777" w:rsidR="00B626E7" w:rsidRDefault="00B626E7">
            <w:pPr>
              <w:rPr>
                <w:rFonts w:ascii="宋体"/>
              </w:rPr>
            </w:pPr>
          </w:p>
        </w:tc>
        <w:tc>
          <w:tcPr>
            <w:tcW w:w="5" w:type="pct"/>
            <w:shd w:val="clear" w:color="auto" w:fill="auto"/>
          </w:tcPr>
          <w:p w14:paraId="20AE1F57" w14:textId="77777777" w:rsidR="00B626E7" w:rsidRDefault="00B626E7">
            <w:pPr>
              <w:rPr>
                <w:rFonts w:ascii="宋体"/>
              </w:rPr>
            </w:pPr>
          </w:p>
        </w:tc>
        <w:tc>
          <w:tcPr>
            <w:tcW w:w="24" w:type="pct"/>
            <w:shd w:val="clear" w:color="auto" w:fill="auto"/>
          </w:tcPr>
          <w:p w14:paraId="20AE1F58" w14:textId="77777777" w:rsidR="00B626E7" w:rsidRDefault="00B626E7">
            <w:pPr>
              <w:rPr>
                <w:rFonts w:ascii="宋体"/>
              </w:rPr>
            </w:pPr>
          </w:p>
        </w:tc>
        <w:tc>
          <w:tcPr>
            <w:tcW w:w="5" w:type="pct"/>
            <w:shd w:val="clear" w:color="auto" w:fill="auto"/>
          </w:tcPr>
          <w:p w14:paraId="20AE1F59" w14:textId="77777777" w:rsidR="00B626E7" w:rsidRDefault="00B626E7">
            <w:pPr>
              <w:rPr>
                <w:rFonts w:ascii="宋体"/>
              </w:rPr>
            </w:pPr>
          </w:p>
        </w:tc>
        <w:tc>
          <w:tcPr>
            <w:tcW w:w="50" w:type="pct"/>
            <w:shd w:val="clear" w:color="auto" w:fill="auto"/>
          </w:tcPr>
          <w:p w14:paraId="20AE1F5A" w14:textId="77777777" w:rsidR="00B626E7" w:rsidRDefault="00B626E7">
            <w:pPr>
              <w:rPr>
                <w:rFonts w:ascii="宋体"/>
              </w:rPr>
            </w:pPr>
          </w:p>
        </w:tc>
        <w:tc>
          <w:tcPr>
            <w:tcW w:w="447" w:type="pct"/>
            <w:shd w:val="clear" w:color="auto" w:fill="auto"/>
          </w:tcPr>
          <w:p w14:paraId="20AE1F5B" w14:textId="77777777" w:rsidR="00B626E7" w:rsidRDefault="00B626E7">
            <w:pPr>
              <w:rPr>
                <w:rFonts w:ascii="宋体"/>
              </w:rPr>
            </w:pPr>
          </w:p>
        </w:tc>
        <w:tc>
          <w:tcPr>
            <w:tcW w:w="50" w:type="pct"/>
            <w:shd w:val="clear" w:color="auto" w:fill="auto"/>
          </w:tcPr>
          <w:p w14:paraId="20AE1F5C" w14:textId="77777777" w:rsidR="00B626E7" w:rsidRDefault="00B626E7">
            <w:pPr>
              <w:rPr>
                <w:rFonts w:ascii="宋体"/>
              </w:rPr>
            </w:pPr>
          </w:p>
        </w:tc>
        <w:tc>
          <w:tcPr>
            <w:tcW w:w="5" w:type="pct"/>
            <w:shd w:val="clear" w:color="auto" w:fill="auto"/>
          </w:tcPr>
          <w:p w14:paraId="20AE1F5D" w14:textId="77777777" w:rsidR="00B626E7" w:rsidRDefault="00B626E7">
            <w:pPr>
              <w:rPr>
                <w:rFonts w:ascii="宋体"/>
              </w:rPr>
            </w:pPr>
          </w:p>
        </w:tc>
        <w:tc>
          <w:tcPr>
            <w:tcW w:w="24" w:type="pct"/>
            <w:shd w:val="clear" w:color="auto" w:fill="auto"/>
          </w:tcPr>
          <w:p w14:paraId="20AE1F5E" w14:textId="77777777" w:rsidR="00B626E7" w:rsidRDefault="00B626E7">
            <w:pPr>
              <w:rPr>
                <w:rFonts w:ascii="宋体"/>
              </w:rPr>
            </w:pPr>
          </w:p>
        </w:tc>
        <w:tc>
          <w:tcPr>
            <w:tcW w:w="5" w:type="pct"/>
            <w:shd w:val="clear" w:color="auto" w:fill="auto"/>
          </w:tcPr>
          <w:p w14:paraId="20AE1F5F" w14:textId="77777777" w:rsidR="00B626E7" w:rsidRDefault="00B626E7">
            <w:pPr>
              <w:rPr>
                <w:rFonts w:ascii="宋体"/>
              </w:rPr>
            </w:pPr>
          </w:p>
        </w:tc>
        <w:tc>
          <w:tcPr>
            <w:tcW w:w="50" w:type="pct"/>
            <w:shd w:val="clear" w:color="auto" w:fill="auto"/>
          </w:tcPr>
          <w:p w14:paraId="20AE1F60" w14:textId="77777777" w:rsidR="00B626E7" w:rsidRDefault="00B626E7">
            <w:pPr>
              <w:rPr>
                <w:rFonts w:ascii="宋体"/>
              </w:rPr>
            </w:pPr>
          </w:p>
        </w:tc>
        <w:tc>
          <w:tcPr>
            <w:tcW w:w="448" w:type="pct"/>
            <w:shd w:val="clear" w:color="auto" w:fill="auto"/>
          </w:tcPr>
          <w:p w14:paraId="20AE1F61" w14:textId="77777777" w:rsidR="00B626E7" w:rsidRDefault="00B626E7">
            <w:pPr>
              <w:rPr>
                <w:rFonts w:ascii="宋体"/>
              </w:rPr>
            </w:pPr>
          </w:p>
        </w:tc>
        <w:tc>
          <w:tcPr>
            <w:tcW w:w="50" w:type="pct"/>
            <w:shd w:val="clear" w:color="auto" w:fill="auto"/>
          </w:tcPr>
          <w:p w14:paraId="20AE1F62" w14:textId="77777777" w:rsidR="00B626E7" w:rsidRDefault="00B626E7">
            <w:pPr>
              <w:rPr>
                <w:rFonts w:ascii="宋体"/>
              </w:rPr>
            </w:pPr>
          </w:p>
        </w:tc>
      </w:tr>
      <w:tr w:rsidR="00B626E7" w14:paraId="20AE1F70" w14:textId="77777777">
        <w:tc>
          <w:tcPr>
            <w:tcW w:w="0" w:type="auto"/>
            <w:gridSpan w:val="3"/>
            <w:shd w:val="clear" w:color="auto" w:fill="auto"/>
            <w:tcMar>
              <w:left w:w="20" w:type="dxa"/>
              <w:right w:w="20" w:type="dxa"/>
            </w:tcMar>
            <w:vAlign w:val="bottom"/>
          </w:tcPr>
          <w:p w14:paraId="20AE1F64"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F65" w14:textId="77777777" w:rsidR="00B626E7" w:rsidRDefault="00B626E7">
            <w:pPr>
              <w:rPr>
                <w:rFonts w:ascii="宋体"/>
              </w:rPr>
            </w:pPr>
          </w:p>
        </w:tc>
        <w:tc>
          <w:tcPr>
            <w:tcW w:w="0" w:type="auto"/>
            <w:gridSpan w:val="33"/>
            <w:shd w:val="clear" w:color="auto" w:fill="auto"/>
            <w:tcMar>
              <w:top w:w="40" w:type="dxa"/>
              <w:left w:w="20" w:type="dxa"/>
              <w:bottom w:w="40" w:type="dxa"/>
              <w:right w:w="20" w:type="dxa"/>
            </w:tcMar>
            <w:vAlign w:val="bottom"/>
          </w:tcPr>
          <w:p w14:paraId="20AE1F66" w14:textId="77777777" w:rsidR="00B626E7" w:rsidRDefault="00175C1D">
            <w:pPr>
              <w:jc w:val="center"/>
              <w:textAlignment w:val="bottom"/>
            </w:pPr>
            <w:r>
              <w:rPr>
                <w:rFonts w:ascii="Arial" w:eastAsia="宋体" w:hAnsi="Arial" w:cs="Arial"/>
                <w:b/>
                <w:bCs/>
                <w:color w:val="333333"/>
                <w:sz w:val="18"/>
                <w:szCs w:val="18"/>
              </w:rPr>
              <w:t>Jun 27, 2020</w:t>
            </w:r>
          </w:p>
        </w:tc>
        <w:tc>
          <w:tcPr>
            <w:tcW w:w="0" w:type="auto"/>
            <w:gridSpan w:val="3"/>
            <w:shd w:val="clear" w:color="auto" w:fill="auto"/>
          </w:tcPr>
          <w:p w14:paraId="20AE1F67" w14:textId="77777777" w:rsidR="00B626E7" w:rsidRDefault="00B626E7">
            <w:pPr>
              <w:rPr>
                <w:rFonts w:ascii="宋体"/>
                <w:vanish/>
              </w:rPr>
            </w:pPr>
          </w:p>
        </w:tc>
        <w:tc>
          <w:tcPr>
            <w:tcW w:w="0" w:type="auto"/>
            <w:gridSpan w:val="3"/>
            <w:shd w:val="clear" w:color="auto" w:fill="auto"/>
          </w:tcPr>
          <w:p w14:paraId="20AE1F68" w14:textId="77777777" w:rsidR="00B626E7" w:rsidRDefault="00B626E7">
            <w:pPr>
              <w:rPr>
                <w:rFonts w:ascii="宋体"/>
                <w:vanish/>
              </w:rPr>
            </w:pPr>
          </w:p>
        </w:tc>
        <w:tc>
          <w:tcPr>
            <w:tcW w:w="0" w:type="auto"/>
            <w:gridSpan w:val="3"/>
            <w:shd w:val="clear" w:color="auto" w:fill="auto"/>
          </w:tcPr>
          <w:p w14:paraId="20AE1F69" w14:textId="77777777" w:rsidR="00B626E7" w:rsidRDefault="00B626E7">
            <w:pPr>
              <w:rPr>
                <w:rFonts w:ascii="宋体"/>
                <w:vanish/>
              </w:rPr>
            </w:pPr>
          </w:p>
        </w:tc>
        <w:tc>
          <w:tcPr>
            <w:tcW w:w="0" w:type="auto"/>
            <w:gridSpan w:val="3"/>
            <w:shd w:val="clear" w:color="auto" w:fill="auto"/>
          </w:tcPr>
          <w:p w14:paraId="20AE1F6A" w14:textId="77777777" w:rsidR="00B626E7" w:rsidRDefault="00B626E7">
            <w:pPr>
              <w:rPr>
                <w:rFonts w:ascii="宋体"/>
                <w:vanish/>
              </w:rPr>
            </w:pPr>
          </w:p>
        </w:tc>
        <w:tc>
          <w:tcPr>
            <w:tcW w:w="0" w:type="auto"/>
            <w:gridSpan w:val="3"/>
            <w:shd w:val="clear" w:color="auto" w:fill="auto"/>
          </w:tcPr>
          <w:p w14:paraId="20AE1F6B" w14:textId="77777777" w:rsidR="00B626E7" w:rsidRDefault="00B626E7">
            <w:pPr>
              <w:rPr>
                <w:rFonts w:ascii="宋体"/>
                <w:vanish/>
              </w:rPr>
            </w:pPr>
          </w:p>
        </w:tc>
        <w:tc>
          <w:tcPr>
            <w:tcW w:w="0" w:type="auto"/>
            <w:gridSpan w:val="3"/>
            <w:shd w:val="clear" w:color="auto" w:fill="auto"/>
          </w:tcPr>
          <w:p w14:paraId="20AE1F6C" w14:textId="77777777" w:rsidR="00B626E7" w:rsidRDefault="00B626E7">
            <w:pPr>
              <w:rPr>
                <w:rFonts w:ascii="宋体"/>
                <w:vanish/>
              </w:rPr>
            </w:pPr>
          </w:p>
        </w:tc>
        <w:tc>
          <w:tcPr>
            <w:tcW w:w="0" w:type="auto"/>
            <w:gridSpan w:val="3"/>
            <w:shd w:val="clear" w:color="auto" w:fill="auto"/>
          </w:tcPr>
          <w:p w14:paraId="20AE1F6D" w14:textId="77777777" w:rsidR="00B626E7" w:rsidRDefault="00B626E7">
            <w:pPr>
              <w:rPr>
                <w:rFonts w:ascii="宋体"/>
                <w:vanish/>
              </w:rPr>
            </w:pPr>
          </w:p>
        </w:tc>
        <w:tc>
          <w:tcPr>
            <w:tcW w:w="0" w:type="auto"/>
            <w:gridSpan w:val="2"/>
            <w:shd w:val="clear" w:color="auto" w:fill="auto"/>
          </w:tcPr>
          <w:p w14:paraId="20AE1F6E" w14:textId="77777777" w:rsidR="00B626E7" w:rsidRDefault="00B626E7">
            <w:pPr>
              <w:rPr>
                <w:rFonts w:ascii="宋体"/>
                <w:vanish/>
              </w:rPr>
            </w:pPr>
          </w:p>
        </w:tc>
        <w:tc>
          <w:tcPr>
            <w:tcW w:w="0" w:type="auto"/>
            <w:shd w:val="clear" w:color="auto" w:fill="auto"/>
          </w:tcPr>
          <w:p w14:paraId="20AE1F6F" w14:textId="77777777" w:rsidR="00B626E7" w:rsidRDefault="00B626E7">
            <w:pPr>
              <w:rPr>
                <w:rFonts w:ascii="宋体"/>
                <w:vanish/>
              </w:rPr>
            </w:pPr>
          </w:p>
        </w:tc>
      </w:tr>
      <w:tr w:rsidR="00B626E7" w14:paraId="20AE1F90" w14:textId="77777777">
        <w:tc>
          <w:tcPr>
            <w:tcW w:w="0" w:type="auto"/>
            <w:gridSpan w:val="3"/>
            <w:shd w:val="clear" w:color="auto" w:fill="auto"/>
            <w:tcMar>
              <w:left w:w="20" w:type="dxa"/>
              <w:right w:w="20" w:type="dxa"/>
            </w:tcMar>
            <w:vAlign w:val="bottom"/>
          </w:tcPr>
          <w:p w14:paraId="20AE1F71"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F72"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1F73"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1F74"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1F75"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1F76"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1F77"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1F78" w14:textId="77777777" w:rsidR="00B626E7" w:rsidRDefault="00B626E7">
            <w:pPr>
              <w:rPr>
                <w:rFonts w:ascii="宋体"/>
              </w:rPr>
            </w:pPr>
          </w:p>
        </w:tc>
        <w:tc>
          <w:tcPr>
            <w:tcW w:w="0" w:type="auto"/>
            <w:gridSpan w:val="9"/>
            <w:tcBorders>
              <w:top w:val="single" w:sz="8" w:space="0" w:color="0071C5"/>
            </w:tcBorders>
            <w:shd w:val="clear" w:color="auto" w:fill="auto"/>
            <w:tcMar>
              <w:top w:w="40" w:type="dxa"/>
              <w:left w:w="20" w:type="dxa"/>
              <w:bottom w:w="40" w:type="dxa"/>
              <w:right w:w="20" w:type="dxa"/>
            </w:tcMar>
            <w:vAlign w:val="bottom"/>
          </w:tcPr>
          <w:p w14:paraId="20AE1F79" w14:textId="77777777" w:rsidR="00B626E7" w:rsidRDefault="00175C1D">
            <w:pPr>
              <w:jc w:val="center"/>
              <w:textAlignment w:val="bottom"/>
            </w:pPr>
            <w:r>
              <w:rPr>
                <w:rFonts w:ascii="Arial" w:eastAsia="宋体" w:hAnsi="Arial" w:cs="Arial"/>
                <w:b/>
                <w:bCs/>
                <w:color w:val="333333"/>
                <w:sz w:val="18"/>
                <w:szCs w:val="18"/>
              </w:rPr>
              <w:t xml:space="preserve">Gross </w:t>
            </w:r>
            <w:r>
              <w:rPr>
                <w:rFonts w:ascii="Arial" w:eastAsia="宋体" w:hAnsi="Arial" w:cs="Arial"/>
                <w:b/>
                <w:bCs/>
                <w:color w:val="333333"/>
                <w:sz w:val="18"/>
                <w:szCs w:val="18"/>
              </w:rPr>
              <w:t>Amounts Not Offset in the Balance Sheet</w:t>
            </w:r>
          </w:p>
        </w:tc>
        <w:tc>
          <w:tcPr>
            <w:tcW w:w="0" w:type="auto"/>
            <w:gridSpan w:val="3"/>
            <w:shd w:val="clear" w:color="auto" w:fill="auto"/>
          </w:tcPr>
          <w:p w14:paraId="20AE1F7A" w14:textId="77777777" w:rsidR="00B626E7" w:rsidRDefault="00B626E7">
            <w:pPr>
              <w:rPr>
                <w:rFonts w:ascii="宋体"/>
                <w:vanish/>
              </w:rPr>
            </w:pPr>
          </w:p>
        </w:tc>
        <w:tc>
          <w:tcPr>
            <w:tcW w:w="0" w:type="auto"/>
            <w:gridSpan w:val="3"/>
            <w:shd w:val="clear" w:color="auto" w:fill="auto"/>
          </w:tcPr>
          <w:p w14:paraId="20AE1F7B" w14:textId="77777777" w:rsidR="00B626E7" w:rsidRDefault="00B626E7">
            <w:pPr>
              <w:rPr>
                <w:rFonts w:ascii="宋体"/>
                <w:vanish/>
              </w:rPr>
            </w:pPr>
          </w:p>
        </w:tc>
        <w:tc>
          <w:tcPr>
            <w:tcW w:w="0" w:type="auto"/>
            <w:gridSpan w:val="3"/>
            <w:tcBorders>
              <w:top w:val="single" w:sz="8" w:space="0" w:color="0071C5"/>
            </w:tcBorders>
            <w:shd w:val="clear" w:color="auto" w:fill="auto"/>
            <w:tcMar>
              <w:left w:w="20" w:type="dxa"/>
              <w:right w:w="20" w:type="dxa"/>
            </w:tcMar>
            <w:vAlign w:val="bottom"/>
          </w:tcPr>
          <w:p w14:paraId="20AE1F7C"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1F7D" w14:textId="77777777" w:rsidR="00B626E7" w:rsidRDefault="00B626E7">
            <w:pPr>
              <w:rPr>
                <w:rFonts w:ascii="宋体"/>
              </w:rPr>
            </w:pPr>
          </w:p>
        </w:tc>
        <w:tc>
          <w:tcPr>
            <w:tcW w:w="0" w:type="auto"/>
            <w:shd w:val="clear" w:color="auto" w:fill="auto"/>
          </w:tcPr>
          <w:p w14:paraId="20AE1F7E" w14:textId="77777777" w:rsidR="00B626E7" w:rsidRDefault="00B626E7">
            <w:pPr>
              <w:rPr>
                <w:rFonts w:ascii="宋体"/>
              </w:rPr>
            </w:pPr>
          </w:p>
        </w:tc>
        <w:tc>
          <w:tcPr>
            <w:tcW w:w="0" w:type="auto"/>
            <w:shd w:val="clear" w:color="auto" w:fill="auto"/>
          </w:tcPr>
          <w:p w14:paraId="20AE1F7F" w14:textId="77777777" w:rsidR="00B626E7" w:rsidRDefault="00B626E7">
            <w:pPr>
              <w:rPr>
                <w:rFonts w:ascii="宋体"/>
              </w:rPr>
            </w:pPr>
          </w:p>
        </w:tc>
        <w:tc>
          <w:tcPr>
            <w:tcW w:w="0" w:type="auto"/>
            <w:shd w:val="clear" w:color="auto" w:fill="auto"/>
          </w:tcPr>
          <w:p w14:paraId="20AE1F80" w14:textId="77777777" w:rsidR="00B626E7" w:rsidRDefault="00B626E7">
            <w:pPr>
              <w:rPr>
                <w:rFonts w:ascii="宋体"/>
              </w:rPr>
            </w:pPr>
          </w:p>
        </w:tc>
        <w:tc>
          <w:tcPr>
            <w:tcW w:w="0" w:type="auto"/>
            <w:shd w:val="clear" w:color="auto" w:fill="auto"/>
          </w:tcPr>
          <w:p w14:paraId="20AE1F81" w14:textId="77777777" w:rsidR="00B626E7" w:rsidRDefault="00B626E7">
            <w:pPr>
              <w:rPr>
                <w:rFonts w:ascii="宋体"/>
              </w:rPr>
            </w:pPr>
          </w:p>
        </w:tc>
        <w:tc>
          <w:tcPr>
            <w:tcW w:w="0" w:type="auto"/>
            <w:shd w:val="clear" w:color="auto" w:fill="auto"/>
          </w:tcPr>
          <w:p w14:paraId="20AE1F82" w14:textId="77777777" w:rsidR="00B626E7" w:rsidRDefault="00B626E7">
            <w:pPr>
              <w:rPr>
                <w:rFonts w:ascii="宋体"/>
              </w:rPr>
            </w:pPr>
          </w:p>
        </w:tc>
        <w:tc>
          <w:tcPr>
            <w:tcW w:w="0" w:type="auto"/>
            <w:shd w:val="clear" w:color="auto" w:fill="auto"/>
          </w:tcPr>
          <w:p w14:paraId="20AE1F83" w14:textId="77777777" w:rsidR="00B626E7" w:rsidRDefault="00B626E7">
            <w:pPr>
              <w:rPr>
                <w:rFonts w:ascii="宋体"/>
              </w:rPr>
            </w:pPr>
          </w:p>
        </w:tc>
        <w:tc>
          <w:tcPr>
            <w:tcW w:w="0" w:type="auto"/>
            <w:shd w:val="clear" w:color="auto" w:fill="auto"/>
          </w:tcPr>
          <w:p w14:paraId="20AE1F84" w14:textId="77777777" w:rsidR="00B626E7" w:rsidRDefault="00B626E7">
            <w:pPr>
              <w:rPr>
                <w:rFonts w:ascii="宋体"/>
              </w:rPr>
            </w:pPr>
          </w:p>
        </w:tc>
        <w:tc>
          <w:tcPr>
            <w:tcW w:w="0" w:type="auto"/>
            <w:shd w:val="clear" w:color="auto" w:fill="auto"/>
          </w:tcPr>
          <w:p w14:paraId="20AE1F85" w14:textId="77777777" w:rsidR="00B626E7" w:rsidRDefault="00B626E7">
            <w:pPr>
              <w:rPr>
                <w:rFonts w:ascii="宋体"/>
              </w:rPr>
            </w:pPr>
          </w:p>
        </w:tc>
        <w:tc>
          <w:tcPr>
            <w:tcW w:w="0" w:type="auto"/>
            <w:shd w:val="clear" w:color="auto" w:fill="auto"/>
          </w:tcPr>
          <w:p w14:paraId="20AE1F86" w14:textId="77777777" w:rsidR="00B626E7" w:rsidRDefault="00B626E7">
            <w:pPr>
              <w:rPr>
                <w:rFonts w:ascii="宋体"/>
              </w:rPr>
            </w:pPr>
          </w:p>
        </w:tc>
        <w:tc>
          <w:tcPr>
            <w:tcW w:w="0" w:type="auto"/>
            <w:shd w:val="clear" w:color="auto" w:fill="auto"/>
          </w:tcPr>
          <w:p w14:paraId="20AE1F87" w14:textId="77777777" w:rsidR="00B626E7" w:rsidRDefault="00B626E7">
            <w:pPr>
              <w:rPr>
                <w:rFonts w:ascii="宋体"/>
              </w:rPr>
            </w:pPr>
          </w:p>
        </w:tc>
        <w:tc>
          <w:tcPr>
            <w:tcW w:w="0" w:type="auto"/>
            <w:shd w:val="clear" w:color="auto" w:fill="auto"/>
          </w:tcPr>
          <w:p w14:paraId="20AE1F88" w14:textId="77777777" w:rsidR="00B626E7" w:rsidRDefault="00B626E7">
            <w:pPr>
              <w:rPr>
                <w:rFonts w:ascii="宋体"/>
              </w:rPr>
            </w:pPr>
          </w:p>
        </w:tc>
        <w:tc>
          <w:tcPr>
            <w:tcW w:w="0" w:type="auto"/>
            <w:shd w:val="clear" w:color="auto" w:fill="auto"/>
          </w:tcPr>
          <w:p w14:paraId="20AE1F89" w14:textId="77777777" w:rsidR="00B626E7" w:rsidRDefault="00B626E7">
            <w:pPr>
              <w:rPr>
                <w:rFonts w:ascii="宋体"/>
              </w:rPr>
            </w:pPr>
          </w:p>
        </w:tc>
        <w:tc>
          <w:tcPr>
            <w:tcW w:w="0" w:type="auto"/>
            <w:shd w:val="clear" w:color="auto" w:fill="auto"/>
          </w:tcPr>
          <w:p w14:paraId="20AE1F8A" w14:textId="77777777" w:rsidR="00B626E7" w:rsidRDefault="00B626E7">
            <w:pPr>
              <w:rPr>
                <w:rFonts w:ascii="宋体"/>
              </w:rPr>
            </w:pPr>
          </w:p>
        </w:tc>
        <w:tc>
          <w:tcPr>
            <w:tcW w:w="0" w:type="auto"/>
            <w:shd w:val="clear" w:color="auto" w:fill="auto"/>
          </w:tcPr>
          <w:p w14:paraId="20AE1F8B" w14:textId="77777777" w:rsidR="00B626E7" w:rsidRDefault="00B626E7">
            <w:pPr>
              <w:rPr>
                <w:rFonts w:ascii="宋体"/>
              </w:rPr>
            </w:pPr>
          </w:p>
        </w:tc>
        <w:tc>
          <w:tcPr>
            <w:tcW w:w="0" w:type="auto"/>
            <w:shd w:val="clear" w:color="auto" w:fill="auto"/>
          </w:tcPr>
          <w:p w14:paraId="20AE1F8C" w14:textId="77777777" w:rsidR="00B626E7" w:rsidRDefault="00B626E7">
            <w:pPr>
              <w:rPr>
                <w:rFonts w:ascii="宋体"/>
              </w:rPr>
            </w:pPr>
          </w:p>
        </w:tc>
        <w:tc>
          <w:tcPr>
            <w:tcW w:w="0" w:type="auto"/>
            <w:shd w:val="clear" w:color="auto" w:fill="auto"/>
          </w:tcPr>
          <w:p w14:paraId="20AE1F8D" w14:textId="77777777" w:rsidR="00B626E7" w:rsidRDefault="00B626E7">
            <w:pPr>
              <w:rPr>
                <w:rFonts w:ascii="宋体"/>
              </w:rPr>
            </w:pPr>
          </w:p>
        </w:tc>
        <w:tc>
          <w:tcPr>
            <w:tcW w:w="0" w:type="auto"/>
            <w:shd w:val="clear" w:color="auto" w:fill="auto"/>
          </w:tcPr>
          <w:p w14:paraId="20AE1F8E" w14:textId="77777777" w:rsidR="00B626E7" w:rsidRDefault="00B626E7">
            <w:pPr>
              <w:rPr>
                <w:rFonts w:ascii="宋体"/>
              </w:rPr>
            </w:pPr>
          </w:p>
        </w:tc>
        <w:tc>
          <w:tcPr>
            <w:tcW w:w="0" w:type="auto"/>
            <w:shd w:val="clear" w:color="auto" w:fill="auto"/>
          </w:tcPr>
          <w:p w14:paraId="20AE1F8F" w14:textId="77777777" w:rsidR="00B626E7" w:rsidRDefault="00B626E7">
            <w:pPr>
              <w:rPr>
                <w:rFonts w:ascii="宋体"/>
              </w:rPr>
            </w:pPr>
          </w:p>
        </w:tc>
      </w:tr>
      <w:tr w:rsidR="00B626E7" w14:paraId="20AE1FB6" w14:textId="77777777">
        <w:tc>
          <w:tcPr>
            <w:tcW w:w="0" w:type="auto"/>
            <w:gridSpan w:val="3"/>
            <w:shd w:val="clear" w:color="auto" w:fill="auto"/>
            <w:tcMar>
              <w:top w:w="40" w:type="dxa"/>
              <w:left w:w="20" w:type="dxa"/>
              <w:bottom w:w="40" w:type="dxa"/>
              <w:right w:w="20" w:type="dxa"/>
            </w:tcMar>
            <w:vAlign w:val="bottom"/>
          </w:tcPr>
          <w:p w14:paraId="20AE1F91" w14:textId="77777777" w:rsidR="00B626E7" w:rsidRDefault="00175C1D">
            <w:pPr>
              <w:ind w:hanging="180"/>
              <w:textAlignment w:val="bottom"/>
            </w:pPr>
            <w:r>
              <w:rPr>
                <w:rFonts w:ascii="Arial" w:eastAsia="宋体" w:hAnsi="Arial" w:cs="Arial"/>
                <w:b/>
                <w:bCs/>
                <w:color w:val="333333"/>
                <w:sz w:val="18"/>
                <w:szCs w:val="18"/>
              </w:rPr>
              <w:t>(In Millions)</w:t>
            </w:r>
          </w:p>
        </w:tc>
        <w:tc>
          <w:tcPr>
            <w:tcW w:w="0" w:type="auto"/>
            <w:gridSpan w:val="3"/>
            <w:shd w:val="clear" w:color="auto" w:fill="auto"/>
            <w:tcMar>
              <w:left w:w="20" w:type="dxa"/>
              <w:right w:w="20" w:type="dxa"/>
            </w:tcMar>
            <w:vAlign w:val="bottom"/>
          </w:tcPr>
          <w:p w14:paraId="20AE1F92"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bottom"/>
          </w:tcPr>
          <w:p w14:paraId="20AE1F93" w14:textId="77777777" w:rsidR="00B626E7" w:rsidRDefault="00175C1D">
            <w:pPr>
              <w:jc w:val="center"/>
              <w:textAlignment w:val="bottom"/>
            </w:pPr>
            <w:r>
              <w:rPr>
                <w:rFonts w:ascii="Arial" w:eastAsia="宋体" w:hAnsi="Arial" w:cs="Arial"/>
                <w:b/>
                <w:bCs/>
                <w:color w:val="333333"/>
                <w:sz w:val="18"/>
                <w:szCs w:val="18"/>
              </w:rPr>
              <w:t>Gross Amounts Recognized</w:t>
            </w:r>
          </w:p>
        </w:tc>
        <w:tc>
          <w:tcPr>
            <w:tcW w:w="0" w:type="auto"/>
            <w:gridSpan w:val="3"/>
            <w:shd w:val="clear" w:color="auto" w:fill="auto"/>
            <w:tcMar>
              <w:left w:w="20" w:type="dxa"/>
              <w:right w:w="20" w:type="dxa"/>
            </w:tcMar>
            <w:vAlign w:val="bottom"/>
          </w:tcPr>
          <w:p w14:paraId="20AE1F94"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bottom"/>
          </w:tcPr>
          <w:p w14:paraId="20AE1F95" w14:textId="77777777" w:rsidR="00B626E7" w:rsidRDefault="00175C1D">
            <w:pPr>
              <w:jc w:val="center"/>
              <w:textAlignment w:val="bottom"/>
            </w:pPr>
            <w:r>
              <w:rPr>
                <w:rFonts w:ascii="Arial" w:eastAsia="宋体" w:hAnsi="Arial" w:cs="Arial"/>
                <w:b/>
                <w:bCs/>
                <w:color w:val="333333"/>
                <w:sz w:val="18"/>
                <w:szCs w:val="18"/>
              </w:rPr>
              <w:t>Gross Amounts Offset in the Balance Sheet</w:t>
            </w:r>
          </w:p>
        </w:tc>
        <w:tc>
          <w:tcPr>
            <w:tcW w:w="0" w:type="auto"/>
            <w:gridSpan w:val="3"/>
            <w:shd w:val="clear" w:color="auto" w:fill="auto"/>
            <w:tcMar>
              <w:left w:w="20" w:type="dxa"/>
              <w:right w:w="20" w:type="dxa"/>
            </w:tcMar>
            <w:vAlign w:val="bottom"/>
          </w:tcPr>
          <w:p w14:paraId="20AE1F96"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bottom"/>
          </w:tcPr>
          <w:p w14:paraId="20AE1F97" w14:textId="77777777" w:rsidR="00B626E7" w:rsidRDefault="00175C1D">
            <w:pPr>
              <w:jc w:val="center"/>
              <w:textAlignment w:val="bottom"/>
            </w:pPr>
            <w:r>
              <w:rPr>
                <w:rFonts w:ascii="Arial" w:eastAsia="宋体" w:hAnsi="Arial" w:cs="Arial"/>
                <w:b/>
                <w:bCs/>
                <w:color w:val="333333"/>
                <w:sz w:val="18"/>
                <w:szCs w:val="18"/>
              </w:rPr>
              <w:t>Net Amounts Presented in the Balance Sheet</w:t>
            </w:r>
          </w:p>
        </w:tc>
        <w:tc>
          <w:tcPr>
            <w:tcW w:w="0" w:type="auto"/>
            <w:gridSpan w:val="3"/>
            <w:shd w:val="clear" w:color="auto" w:fill="auto"/>
            <w:tcMar>
              <w:left w:w="20" w:type="dxa"/>
              <w:right w:w="20" w:type="dxa"/>
            </w:tcMar>
            <w:vAlign w:val="bottom"/>
          </w:tcPr>
          <w:p w14:paraId="20AE1F98"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1F99" w14:textId="77777777" w:rsidR="00B626E7" w:rsidRDefault="00175C1D">
            <w:pPr>
              <w:jc w:val="center"/>
              <w:textAlignment w:val="bottom"/>
            </w:pPr>
            <w:r>
              <w:rPr>
                <w:rFonts w:ascii="Arial" w:eastAsia="宋体" w:hAnsi="Arial" w:cs="Arial"/>
                <w:b/>
                <w:bCs/>
                <w:color w:val="333333"/>
                <w:sz w:val="18"/>
                <w:szCs w:val="18"/>
              </w:rPr>
              <w:t>Financial Instruments</w:t>
            </w:r>
          </w:p>
        </w:tc>
        <w:tc>
          <w:tcPr>
            <w:tcW w:w="0" w:type="auto"/>
            <w:gridSpan w:val="3"/>
            <w:tcBorders>
              <w:top w:val="single" w:sz="8" w:space="0" w:color="0071C5"/>
            </w:tcBorders>
            <w:shd w:val="clear" w:color="auto" w:fill="auto"/>
            <w:tcMar>
              <w:left w:w="20" w:type="dxa"/>
              <w:right w:w="20" w:type="dxa"/>
            </w:tcMar>
            <w:vAlign w:val="bottom"/>
          </w:tcPr>
          <w:p w14:paraId="20AE1F9A"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1F9B" w14:textId="77777777" w:rsidR="00B626E7" w:rsidRDefault="00175C1D">
            <w:pPr>
              <w:jc w:val="center"/>
              <w:textAlignment w:val="bottom"/>
            </w:pPr>
            <w:r>
              <w:rPr>
                <w:rFonts w:ascii="Arial" w:eastAsia="宋体" w:hAnsi="Arial" w:cs="Arial"/>
                <w:b/>
                <w:bCs/>
                <w:color w:val="333333"/>
                <w:sz w:val="18"/>
                <w:szCs w:val="18"/>
              </w:rPr>
              <w:t>Cash and Non-Cash Collateral Received or Pledged</w:t>
            </w:r>
          </w:p>
        </w:tc>
        <w:tc>
          <w:tcPr>
            <w:tcW w:w="0" w:type="auto"/>
            <w:gridSpan w:val="3"/>
            <w:shd w:val="clear" w:color="auto" w:fill="auto"/>
            <w:tcMar>
              <w:left w:w="20" w:type="dxa"/>
              <w:right w:w="20" w:type="dxa"/>
            </w:tcMar>
            <w:vAlign w:val="bottom"/>
          </w:tcPr>
          <w:p w14:paraId="20AE1F9C"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bottom"/>
          </w:tcPr>
          <w:p w14:paraId="20AE1F9D" w14:textId="77777777" w:rsidR="00B626E7" w:rsidRDefault="00175C1D">
            <w:pPr>
              <w:jc w:val="center"/>
              <w:textAlignment w:val="bottom"/>
            </w:pPr>
            <w:r>
              <w:rPr>
                <w:rFonts w:ascii="Arial" w:eastAsia="宋体" w:hAnsi="Arial" w:cs="Arial"/>
                <w:b/>
                <w:bCs/>
                <w:color w:val="333333"/>
                <w:sz w:val="18"/>
                <w:szCs w:val="18"/>
              </w:rPr>
              <w:t>Net Amount</w:t>
            </w:r>
          </w:p>
        </w:tc>
        <w:tc>
          <w:tcPr>
            <w:tcW w:w="0" w:type="auto"/>
            <w:shd w:val="clear" w:color="auto" w:fill="auto"/>
          </w:tcPr>
          <w:p w14:paraId="20AE1F9E" w14:textId="77777777" w:rsidR="00B626E7" w:rsidRDefault="00B626E7">
            <w:pPr>
              <w:rPr>
                <w:rFonts w:ascii="宋体"/>
              </w:rPr>
            </w:pPr>
          </w:p>
        </w:tc>
        <w:tc>
          <w:tcPr>
            <w:tcW w:w="0" w:type="auto"/>
            <w:shd w:val="clear" w:color="auto" w:fill="auto"/>
          </w:tcPr>
          <w:p w14:paraId="20AE1F9F" w14:textId="77777777" w:rsidR="00B626E7" w:rsidRDefault="00B626E7">
            <w:pPr>
              <w:rPr>
                <w:rFonts w:ascii="宋体"/>
              </w:rPr>
            </w:pPr>
          </w:p>
        </w:tc>
        <w:tc>
          <w:tcPr>
            <w:tcW w:w="0" w:type="auto"/>
            <w:shd w:val="clear" w:color="auto" w:fill="auto"/>
          </w:tcPr>
          <w:p w14:paraId="20AE1FA0" w14:textId="77777777" w:rsidR="00B626E7" w:rsidRDefault="00B626E7">
            <w:pPr>
              <w:rPr>
                <w:rFonts w:ascii="宋体"/>
              </w:rPr>
            </w:pPr>
          </w:p>
        </w:tc>
        <w:tc>
          <w:tcPr>
            <w:tcW w:w="0" w:type="auto"/>
            <w:shd w:val="clear" w:color="auto" w:fill="auto"/>
          </w:tcPr>
          <w:p w14:paraId="20AE1FA1" w14:textId="77777777" w:rsidR="00B626E7" w:rsidRDefault="00B626E7">
            <w:pPr>
              <w:rPr>
                <w:rFonts w:ascii="宋体"/>
              </w:rPr>
            </w:pPr>
          </w:p>
        </w:tc>
        <w:tc>
          <w:tcPr>
            <w:tcW w:w="0" w:type="auto"/>
            <w:shd w:val="clear" w:color="auto" w:fill="auto"/>
          </w:tcPr>
          <w:p w14:paraId="20AE1FA2" w14:textId="77777777" w:rsidR="00B626E7" w:rsidRDefault="00B626E7">
            <w:pPr>
              <w:rPr>
                <w:rFonts w:ascii="宋体"/>
              </w:rPr>
            </w:pPr>
          </w:p>
        </w:tc>
        <w:tc>
          <w:tcPr>
            <w:tcW w:w="0" w:type="auto"/>
            <w:shd w:val="clear" w:color="auto" w:fill="auto"/>
          </w:tcPr>
          <w:p w14:paraId="20AE1FA3" w14:textId="77777777" w:rsidR="00B626E7" w:rsidRDefault="00B626E7">
            <w:pPr>
              <w:rPr>
                <w:rFonts w:ascii="宋体"/>
              </w:rPr>
            </w:pPr>
          </w:p>
        </w:tc>
        <w:tc>
          <w:tcPr>
            <w:tcW w:w="0" w:type="auto"/>
            <w:shd w:val="clear" w:color="auto" w:fill="auto"/>
          </w:tcPr>
          <w:p w14:paraId="20AE1FA4" w14:textId="77777777" w:rsidR="00B626E7" w:rsidRDefault="00B626E7">
            <w:pPr>
              <w:rPr>
                <w:rFonts w:ascii="宋体"/>
              </w:rPr>
            </w:pPr>
          </w:p>
        </w:tc>
        <w:tc>
          <w:tcPr>
            <w:tcW w:w="0" w:type="auto"/>
            <w:shd w:val="clear" w:color="auto" w:fill="auto"/>
          </w:tcPr>
          <w:p w14:paraId="20AE1FA5" w14:textId="77777777" w:rsidR="00B626E7" w:rsidRDefault="00B626E7">
            <w:pPr>
              <w:rPr>
                <w:rFonts w:ascii="宋体"/>
              </w:rPr>
            </w:pPr>
          </w:p>
        </w:tc>
        <w:tc>
          <w:tcPr>
            <w:tcW w:w="0" w:type="auto"/>
            <w:shd w:val="clear" w:color="auto" w:fill="auto"/>
          </w:tcPr>
          <w:p w14:paraId="20AE1FA6" w14:textId="77777777" w:rsidR="00B626E7" w:rsidRDefault="00B626E7">
            <w:pPr>
              <w:rPr>
                <w:rFonts w:ascii="宋体"/>
              </w:rPr>
            </w:pPr>
          </w:p>
        </w:tc>
        <w:tc>
          <w:tcPr>
            <w:tcW w:w="0" w:type="auto"/>
            <w:shd w:val="clear" w:color="auto" w:fill="auto"/>
          </w:tcPr>
          <w:p w14:paraId="20AE1FA7" w14:textId="77777777" w:rsidR="00B626E7" w:rsidRDefault="00B626E7">
            <w:pPr>
              <w:rPr>
                <w:rFonts w:ascii="宋体"/>
              </w:rPr>
            </w:pPr>
          </w:p>
        </w:tc>
        <w:tc>
          <w:tcPr>
            <w:tcW w:w="0" w:type="auto"/>
            <w:shd w:val="clear" w:color="auto" w:fill="auto"/>
          </w:tcPr>
          <w:p w14:paraId="20AE1FA8" w14:textId="77777777" w:rsidR="00B626E7" w:rsidRDefault="00B626E7">
            <w:pPr>
              <w:rPr>
                <w:rFonts w:ascii="宋体"/>
              </w:rPr>
            </w:pPr>
          </w:p>
        </w:tc>
        <w:tc>
          <w:tcPr>
            <w:tcW w:w="0" w:type="auto"/>
            <w:shd w:val="clear" w:color="auto" w:fill="auto"/>
          </w:tcPr>
          <w:p w14:paraId="20AE1FA9" w14:textId="77777777" w:rsidR="00B626E7" w:rsidRDefault="00B626E7">
            <w:pPr>
              <w:rPr>
                <w:rFonts w:ascii="宋体"/>
              </w:rPr>
            </w:pPr>
          </w:p>
        </w:tc>
        <w:tc>
          <w:tcPr>
            <w:tcW w:w="0" w:type="auto"/>
            <w:shd w:val="clear" w:color="auto" w:fill="auto"/>
          </w:tcPr>
          <w:p w14:paraId="20AE1FAA" w14:textId="77777777" w:rsidR="00B626E7" w:rsidRDefault="00B626E7">
            <w:pPr>
              <w:rPr>
                <w:rFonts w:ascii="宋体"/>
              </w:rPr>
            </w:pPr>
          </w:p>
        </w:tc>
        <w:tc>
          <w:tcPr>
            <w:tcW w:w="0" w:type="auto"/>
            <w:shd w:val="clear" w:color="auto" w:fill="auto"/>
          </w:tcPr>
          <w:p w14:paraId="20AE1FAB" w14:textId="77777777" w:rsidR="00B626E7" w:rsidRDefault="00B626E7">
            <w:pPr>
              <w:rPr>
                <w:rFonts w:ascii="宋体"/>
              </w:rPr>
            </w:pPr>
          </w:p>
        </w:tc>
        <w:tc>
          <w:tcPr>
            <w:tcW w:w="0" w:type="auto"/>
            <w:shd w:val="clear" w:color="auto" w:fill="auto"/>
          </w:tcPr>
          <w:p w14:paraId="20AE1FAC" w14:textId="77777777" w:rsidR="00B626E7" w:rsidRDefault="00B626E7">
            <w:pPr>
              <w:rPr>
                <w:rFonts w:ascii="宋体"/>
              </w:rPr>
            </w:pPr>
          </w:p>
        </w:tc>
        <w:tc>
          <w:tcPr>
            <w:tcW w:w="0" w:type="auto"/>
            <w:shd w:val="clear" w:color="auto" w:fill="auto"/>
          </w:tcPr>
          <w:p w14:paraId="20AE1FAD" w14:textId="77777777" w:rsidR="00B626E7" w:rsidRDefault="00B626E7">
            <w:pPr>
              <w:rPr>
                <w:rFonts w:ascii="宋体"/>
              </w:rPr>
            </w:pPr>
          </w:p>
        </w:tc>
        <w:tc>
          <w:tcPr>
            <w:tcW w:w="0" w:type="auto"/>
            <w:shd w:val="clear" w:color="auto" w:fill="auto"/>
          </w:tcPr>
          <w:p w14:paraId="20AE1FAE" w14:textId="77777777" w:rsidR="00B626E7" w:rsidRDefault="00B626E7">
            <w:pPr>
              <w:rPr>
                <w:rFonts w:ascii="宋体"/>
              </w:rPr>
            </w:pPr>
          </w:p>
        </w:tc>
        <w:tc>
          <w:tcPr>
            <w:tcW w:w="0" w:type="auto"/>
            <w:shd w:val="clear" w:color="auto" w:fill="auto"/>
          </w:tcPr>
          <w:p w14:paraId="20AE1FAF" w14:textId="77777777" w:rsidR="00B626E7" w:rsidRDefault="00B626E7">
            <w:pPr>
              <w:rPr>
                <w:rFonts w:ascii="宋体"/>
              </w:rPr>
            </w:pPr>
          </w:p>
        </w:tc>
        <w:tc>
          <w:tcPr>
            <w:tcW w:w="0" w:type="auto"/>
            <w:shd w:val="clear" w:color="auto" w:fill="auto"/>
          </w:tcPr>
          <w:p w14:paraId="20AE1FB0" w14:textId="77777777" w:rsidR="00B626E7" w:rsidRDefault="00B626E7">
            <w:pPr>
              <w:rPr>
                <w:rFonts w:ascii="宋体"/>
              </w:rPr>
            </w:pPr>
          </w:p>
        </w:tc>
        <w:tc>
          <w:tcPr>
            <w:tcW w:w="0" w:type="auto"/>
            <w:shd w:val="clear" w:color="auto" w:fill="auto"/>
          </w:tcPr>
          <w:p w14:paraId="20AE1FB1" w14:textId="77777777" w:rsidR="00B626E7" w:rsidRDefault="00B626E7">
            <w:pPr>
              <w:rPr>
                <w:rFonts w:ascii="宋体"/>
              </w:rPr>
            </w:pPr>
          </w:p>
        </w:tc>
        <w:tc>
          <w:tcPr>
            <w:tcW w:w="0" w:type="auto"/>
            <w:shd w:val="clear" w:color="auto" w:fill="auto"/>
          </w:tcPr>
          <w:p w14:paraId="20AE1FB2" w14:textId="77777777" w:rsidR="00B626E7" w:rsidRDefault="00B626E7">
            <w:pPr>
              <w:rPr>
                <w:rFonts w:ascii="宋体"/>
              </w:rPr>
            </w:pPr>
          </w:p>
        </w:tc>
        <w:tc>
          <w:tcPr>
            <w:tcW w:w="0" w:type="auto"/>
            <w:shd w:val="clear" w:color="auto" w:fill="auto"/>
          </w:tcPr>
          <w:p w14:paraId="20AE1FB3" w14:textId="77777777" w:rsidR="00B626E7" w:rsidRDefault="00B626E7">
            <w:pPr>
              <w:rPr>
                <w:rFonts w:ascii="宋体"/>
              </w:rPr>
            </w:pPr>
          </w:p>
        </w:tc>
        <w:tc>
          <w:tcPr>
            <w:tcW w:w="0" w:type="auto"/>
            <w:shd w:val="clear" w:color="auto" w:fill="auto"/>
          </w:tcPr>
          <w:p w14:paraId="20AE1FB4" w14:textId="77777777" w:rsidR="00B626E7" w:rsidRDefault="00B626E7">
            <w:pPr>
              <w:rPr>
                <w:rFonts w:ascii="宋体"/>
              </w:rPr>
            </w:pPr>
          </w:p>
        </w:tc>
        <w:tc>
          <w:tcPr>
            <w:tcW w:w="0" w:type="auto"/>
            <w:shd w:val="clear" w:color="auto" w:fill="auto"/>
          </w:tcPr>
          <w:p w14:paraId="20AE1FB5" w14:textId="77777777" w:rsidR="00B626E7" w:rsidRDefault="00B626E7">
            <w:pPr>
              <w:rPr>
                <w:rFonts w:ascii="宋体"/>
              </w:rPr>
            </w:pPr>
          </w:p>
        </w:tc>
      </w:tr>
      <w:tr w:rsidR="00B626E7" w14:paraId="20AE1FDC" w14:textId="77777777">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1FB7" w14:textId="77777777" w:rsidR="00B626E7" w:rsidRDefault="00175C1D">
            <w:pPr>
              <w:ind w:hanging="180"/>
              <w:textAlignment w:val="bottom"/>
            </w:pPr>
            <w:r>
              <w:rPr>
                <w:rFonts w:ascii="Arial" w:eastAsia="宋体" w:hAnsi="Arial" w:cs="Arial"/>
                <w:color w:val="333333"/>
                <w:sz w:val="18"/>
                <w:szCs w:val="18"/>
              </w:rPr>
              <w:t>Assets:</w:t>
            </w:r>
          </w:p>
        </w:tc>
        <w:tc>
          <w:tcPr>
            <w:tcW w:w="0" w:type="auto"/>
            <w:gridSpan w:val="3"/>
            <w:shd w:val="clear" w:color="auto" w:fill="auto"/>
            <w:tcMar>
              <w:left w:w="20" w:type="dxa"/>
              <w:right w:w="20" w:type="dxa"/>
            </w:tcMar>
            <w:vAlign w:val="bottom"/>
          </w:tcPr>
          <w:p w14:paraId="20AE1FB8"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1FB9"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FBA"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1FBB"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FBC"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1FBD"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FBE"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1FBF"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FC0"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1FC1"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1FC2"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1FC3" w14:textId="77777777" w:rsidR="00B626E7" w:rsidRDefault="00B626E7">
            <w:pPr>
              <w:rPr>
                <w:rFonts w:ascii="宋体"/>
              </w:rPr>
            </w:pPr>
          </w:p>
        </w:tc>
        <w:tc>
          <w:tcPr>
            <w:tcW w:w="0" w:type="auto"/>
            <w:shd w:val="clear" w:color="auto" w:fill="auto"/>
          </w:tcPr>
          <w:p w14:paraId="20AE1FC4" w14:textId="77777777" w:rsidR="00B626E7" w:rsidRDefault="00B626E7">
            <w:pPr>
              <w:rPr>
                <w:rFonts w:ascii="宋体"/>
              </w:rPr>
            </w:pPr>
          </w:p>
        </w:tc>
        <w:tc>
          <w:tcPr>
            <w:tcW w:w="0" w:type="auto"/>
            <w:shd w:val="clear" w:color="auto" w:fill="auto"/>
          </w:tcPr>
          <w:p w14:paraId="20AE1FC5" w14:textId="77777777" w:rsidR="00B626E7" w:rsidRDefault="00B626E7">
            <w:pPr>
              <w:rPr>
                <w:rFonts w:ascii="宋体"/>
              </w:rPr>
            </w:pPr>
          </w:p>
        </w:tc>
        <w:tc>
          <w:tcPr>
            <w:tcW w:w="0" w:type="auto"/>
            <w:shd w:val="clear" w:color="auto" w:fill="auto"/>
          </w:tcPr>
          <w:p w14:paraId="20AE1FC6" w14:textId="77777777" w:rsidR="00B626E7" w:rsidRDefault="00B626E7">
            <w:pPr>
              <w:rPr>
                <w:rFonts w:ascii="宋体"/>
              </w:rPr>
            </w:pPr>
          </w:p>
        </w:tc>
        <w:tc>
          <w:tcPr>
            <w:tcW w:w="0" w:type="auto"/>
            <w:shd w:val="clear" w:color="auto" w:fill="auto"/>
          </w:tcPr>
          <w:p w14:paraId="20AE1FC7" w14:textId="77777777" w:rsidR="00B626E7" w:rsidRDefault="00B626E7">
            <w:pPr>
              <w:rPr>
                <w:rFonts w:ascii="宋体"/>
              </w:rPr>
            </w:pPr>
          </w:p>
        </w:tc>
        <w:tc>
          <w:tcPr>
            <w:tcW w:w="0" w:type="auto"/>
            <w:shd w:val="clear" w:color="auto" w:fill="auto"/>
          </w:tcPr>
          <w:p w14:paraId="20AE1FC8" w14:textId="77777777" w:rsidR="00B626E7" w:rsidRDefault="00B626E7">
            <w:pPr>
              <w:rPr>
                <w:rFonts w:ascii="宋体"/>
              </w:rPr>
            </w:pPr>
          </w:p>
        </w:tc>
        <w:tc>
          <w:tcPr>
            <w:tcW w:w="0" w:type="auto"/>
            <w:shd w:val="clear" w:color="auto" w:fill="auto"/>
          </w:tcPr>
          <w:p w14:paraId="20AE1FC9" w14:textId="77777777" w:rsidR="00B626E7" w:rsidRDefault="00B626E7">
            <w:pPr>
              <w:rPr>
                <w:rFonts w:ascii="宋体"/>
              </w:rPr>
            </w:pPr>
          </w:p>
        </w:tc>
        <w:tc>
          <w:tcPr>
            <w:tcW w:w="0" w:type="auto"/>
            <w:shd w:val="clear" w:color="auto" w:fill="auto"/>
          </w:tcPr>
          <w:p w14:paraId="20AE1FCA" w14:textId="77777777" w:rsidR="00B626E7" w:rsidRDefault="00B626E7">
            <w:pPr>
              <w:rPr>
                <w:rFonts w:ascii="宋体"/>
              </w:rPr>
            </w:pPr>
          </w:p>
        </w:tc>
        <w:tc>
          <w:tcPr>
            <w:tcW w:w="0" w:type="auto"/>
            <w:shd w:val="clear" w:color="auto" w:fill="auto"/>
          </w:tcPr>
          <w:p w14:paraId="20AE1FCB" w14:textId="77777777" w:rsidR="00B626E7" w:rsidRDefault="00B626E7">
            <w:pPr>
              <w:rPr>
                <w:rFonts w:ascii="宋体"/>
              </w:rPr>
            </w:pPr>
          </w:p>
        </w:tc>
        <w:tc>
          <w:tcPr>
            <w:tcW w:w="0" w:type="auto"/>
            <w:shd w:val="clear" w:color="auto" w:fill="auto"/>
          </w:tcPr>
          <w:p w14:paraId="20AE1FCC" w14:textId="77777777" w:rsidR="00B626E7" w:rsidRDefault="00B626E7">
            <w:pPr>
              <w:rPr>
                <w:rFonts w:ascii="宋体"/>
              </w:rPr>
            </w:pPr>
          </w:p>
        </w:tc>
        <w:tc>
          <w:tcPr>
            <w:tcW w:w="0" w:type="auto"/>
            <w:shd w:val="clear" w:color="auto" w:fill="auto"/>
          </w:tcPr>
          <w:p w14:paraId="20AE1FCD" w14:textId="77777777" w:rsidR="00B626E7" w:rsidRDefault="00B626E7">
            <w:pPr>
              <w:rPr>
                <w:rFonts w:ascii="宋体"/>
              </w:rPr>
            </w:pPr>
          </w:p>
        </w:tc>
        <w:tc>
          <w:tcPr>
            <w:tcW w:w="0" w:type="auto"/>
            <w:shd w:val="clear" w:color="auto" w:fill="auto"/>
          </w:tcPr>
          <w:p w14:paraId="20AE1FCE" w14:textId="77777777" w:rsidR="00B626E7" w:rsidRDefault="00B626E7">
            <w:pPr>
              <w:rPr>
                <w:rFonts w:ascii="宋体"/>
              </w:rPr>
            </w:pPr>
          </w:p>
        </w:tc>
        <w:tc>
          <w:tcPr>
            <w:tcW w:w="0" w:type="auto"/>
            <w:shd w:val="clear" w:color="auto" w:fill="auto"/>
          </w:tcPr>
          <w:p w14:paraId="20AE1FCF" w14:textId="77777777" w:rsidR="00B626E7" w:rsidRDefault="00B626E7">
            <w:pPr>
              <w:rPr>
                <w:rFonts w:ascii="宋体"/>
              </w:rPr>
            </w:pPr>
          </w:p>
        </w:tc>
        <w:tc>
          <w:tcPr>
            <w:tcW w:w="0" w:type="auto"/>
            <w:shd w:val="clear" w:color="auto" w:fill="auto"/>
          </w:tcPr>
          <w:p w14:paraId="20AE1FD0" w14:textId="77777777" w:rsidR="00B626E7" w:rsidRDefault="00B626E7">
            <w:pPr>
              <w:rPr>
                <w:rFonts w:ascii="宋体"/>
              </w:rPr>
            </w:pPr>
          </w:p>
        </w:tc>
        <w:tc>
          <w:tcPr>
            <w:tcW w:w="0" w:type="auto"/>
            <w:shd w:val="clear" w:color="auto" w:fill="auto"/>
          </w:tcPr>
          <w:p w14:paraId="20AE1FD1" w14:textId="77777777" w:rsidR="00B626E7" w:rsidRDefault="00B626E7">
            <w:pPr>
              <w:rPr>
                <w:rFonts w:ascii="宋体"/>
              </w:rPr>
            </w:pPr>
          </w:p>
        </w:tc>
        <w:tc>
          <w:tcPr>
            <w:tcW w:w="0" w:type="auto"/>
            <w:shd w:val="clear" w:color="auto" w:fill="auto"/>
          </w:tcPr>
          <w:p w14:paraId="20AE1FD2" w14:textId="77777777" w:rsidR="00B626E7" w:rsidRDefault="00B626E7">
            <w:pPr>
              <w:rPr>
                <w:rFonts w:ascii="宋体"/>
              </w:rPr>
            </w:pPr>
          </w:p>
        </w:tc>
        <w:tc>
          <w:tcPr>
            <w:tcW w:w="0" w:type="auto"/>
            <w:shd w:val="clear" w:color="auto" w:fill="auto"/>
          </w:tcPr>
          <w:p w14:paraId="20AE1FD3" w14:textId="77777777" w:rsidR="00B626E7" w:rsidRDefault="00B626E7">
            <w:pPr>
              <w:rPr>
                <w:rFonts w:ascii="宋体"/>
              </w:rPr>
            </w:pPr>
          </w:p>
        </w:tc>
        <w:tc>
          <w:tcPr>
            <w:tcW w:w="0" w:type="auto"/>
            <w:shd w:val="clear" w:color="auto" w:fill="auto"/>
          </w:tcPr>
          <w:p w14:paraId="20AE1FD4" w14:textId="77777777" w:rsidR="00B626E7" w:rsidRDefault="00B626E7">
            <w:pPr>
              <w:rPr>
                <w:rFonts w:ascii="宋体"/>
              </w:rPr>
            </w:pPr>
          </w:p>
        </w:tc>
        <w:tc>
          <w:tcPr>
            <w:tcW w:w="0" w:type="auto"/>
            <w:shd w:val="clear" w:color="auto" w:fill="auto"/>
          </w:tcPr>
          <w:p w14:paraId="20AE1FD5" w14:textId="77777777" w:rsidR="00B626E7" w:rsidRDefault="00B626E7">
            <w:pPr>
              <w:rPr>
                <w:rFonts w:ascii="宋体"/>
              </w:rPr>
            </w:pPr>
          </w:p>
        </w:tc>
        <w:tc>
          <w:tcPr>
            <w:tcW w:w="0" w:type="auto"/>
            <w:shd w:val="clear" w:color="auto" w:fill="auto"/>
          </w:tcPr>
          <w:p w14:paraId="20AE1FD6" w14:textId="77777777" w:rsidR="00B626E7" w:rsidRDefault="00B626E7">
            <w:pPr>
              <w:rPr>
                <w:rFonts w:ascii="宋体"/>
              </w:rPr>
            </w:pPr>
          </w:p>
        </w:tc>
        <w:tc>
          <w:tcPr>
            <w:tcW w:w="0" w:type="auto"/>
            <w:shd w:val="clear" w:color="auto" w:fill="auto"/>
          </w:tcPr>
          <w:p w14:paraId="20AE1FD7" w14:textId="77777777" w:rsidR="00B626E7" w:rsidRDefault="00B626E7">
            <w:pPr>
              <w:rPr>
                <w:rFonts w:ascii="宋体"/>
              </w:rPr>
            </w:pPr>
          </w:p>
        </w:tc>
        <w:tc>
          <w:tcPr>
            <w:tcW w:w="0" w:type="auto"/>
            <w:shd w:val="clear" w:color="auto" w:fill="auto"/>
          </w:tcPr>
          <w:p w14:paraId="20AE1FD8" w14:textId="77777777" w:rsidR="00B626E7" w:rsidRDefault="00B626E7">
            <w:pPr>
              <w:rPr>
                <w:rFonts w:ascii="宋体"/>
              </w:rPr>
            </w:pPr>
          </w:p>
        </w:tc>
        <w:tc>
          <w:tcPr>
            <w:tcW w:w="0" w:type="auto"/>
            <w:shd w:val="clear" w:color="auto" w:fill="auto"/>
          </w:tcPr>
          <w:p w14:paraId="20AE1FD9" w14:textId="77777777" w:rsidR="00B626E7" w:rsidRDefault="00B626E7">
            <w:pPr>
              <w:rPr>
                <w:rFonts w:ascii="宋体"/>
              </w:rPr>
            </w:pPr>
          </w:p>
        </w:tc>
        <w:tc>
          <w:tcPr>
            <w:tcW w:w="0" w:type="auto"/>
            <w:shd w:val="clear" w:color="auto" w:fill="auto"/>
          </w:tcPr>
          <w:p w14:paraId="20AE1FDA" w14:textId="77777777" w:rsidR="00B626E7" w:rsidRDefault="00B626E7">
            <w:pPr>
              <w:rPr>
                <w:rFonts w:ascii="宋体"/>
              </w:rPr>
            </w:pPr>
          </w:p>
        </w:tc>
        <w:tc>
          <w:tcPr>
            <w:tcW w:w="0" w:type="auto"/>
            <w:shd w:val="clear" w:color="auto" w:fill="auto"/>
          </w:tcPr>
          <w:p w14:paraId="20AE1FDB" w14:textId="77777777" w:rsidR="00B626E7" w:rsidRDefault="00B626E7">
            <w:pPr>
              <w:rPr>
                <w:rFonts w:ascii="宋体"/>
              </w:rPr>
            </w:pPr>
          </w:p>
        </w:tc>
      </w:tr>
      <w:tr w:rsidR="00B626E7" w14:paraId="20AE200E" w14:textId="77777777">
        <w:tc>
          <w:tcPr>
            <w:tcW w:w="0" w:type="auto"/>
            <w:gridSpan w:val="3"/>
            <w:shd w:val="clear" w:color="auto" w:fill="auto"/>
            <w:tcMar>
              <w:top w:w="40" w:type="dxa"/>
              <w:left w:w="120" w:type="dxa"/>
              <w:bottom w:w="40" w:type="dxa"/>
              <w:right w:w="20" w:type="dxa"/>
            </w:tcMar>
            <w:vAlign w:val="bottom"/>
          </w:tcPr>
          <w:p w14:paraId="20AE1FDD" w14:textId="77777777" w:rsidR="00B626E7" w:rsidRDefault="00175C1D">
            <w:pPr>
              <w:textAlignment w:val="bottom"/>
            </w:pPr>
            <w:r>
              <w:rPr>
                <w:rFonts w:ascii="Arial" w:eastAsia="宋体" w:hAnsi="Arial" w:cs="Arial"/>
                <w:color w:val="333333"/>
                <w:sz w:val="18"/>
                <w:szCs w:val="18"/>
              </w:rPr>
              <w:t>Derivative assets subject to master netting arrangements</w:t>
            </w:r>
          </w:p>
        </w:tc>
        <w:tc>
          <w:tcPr>
            <w:tcW w:w="0" w:type="auto"/>
            <w:gridSpan w:val="3"/>
            <w:shd w:val="clear" w:color="auto" w:fill="auto"/>
            <w:tcMar>
              <w:left w:w="20" w:type="dxa"/>
              <w:right w:w="20" w:type="dxa"/>
            </w:tcMar>
            <w:vAlign w:val="bottom"/>
          </w:tcPr>
          <w:p w14:paraId="20AE1FDE"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1FDF" w14:textId="77777777" w:rsidR="00B626E7" w:rsidRDefault="00175C1D">
            <w:pPr>
              <w:textAlignment w:val="bottom"/>
            </w:pPr>
            <w:r>
              <w:rPr>
                <w:rFonts w:ascii="Arial" w:eastAsia="宋体" w:hAnsi="Arial" w:cs="Arial"/>
                <w:color w:val="026DCE"/>
                <w:sz w:val="18"/>
                <w:szCs w:val="18"/>
              </w:rPr>
              <w:t>$</w:t>
            </w:r>
          </w:p>
        </w:tc>
        <w:tc>
          <w:tcPr>
            <w:tcW w:w="0" w:type="auto"/>
            <w:shd w:val="clear" w:color="auto" w:fill="auto"/>
            <w:tcMar>
              <w:top w:w="40" w:type="dxa"/>
              <w:bottom w:w="40" w:type="dxa"/>
              <w:right w:w="0" w:type="dxa"/>
            </w:tcMar>
            <w:vAlign w:val="bottom"/>
          </w:tcPr>
          <w:p w14:paraId="20AE1FE0" w14:textId="77777777" w:rsidR="00B626E7" w:rsidRDefault="00175C1D">
            <w:pPr>
              <w:jc w:val="right"/>
              <w:textAlignment w:val="bottom"/>
            </w:pPr>
            <w:r>
              <w:rPr>
                <w:rFonts w:ascii="Arial" w:eastAsia="宋体" w:hAnsi="Arial" w:cs="Arial"/>
                <w:color w:val="026DCE"/>
                <w:sz w:val="18"/>
                <w:szCs w:val="18"/>
              </w:rPr>
              <w:t>1,985 </w:t>
            </w:r>
          </w:p>
        </w:tc>
        <w:tc>
          <w:tcPr>
            <w:tcW w:w="0" w:type="auto"/>
            <w:shd w:val="clear" w:color="auto" w:fill="auto"/>
            <w:tcMar>
              <w:top w:w="40" w:type="dxa"/>
              <w:bottom w:w="40" w:type="dxa"/>
              <w:right w:w="20" w:type="dxa"/>
            </w:tcMar>
            <w:vAlign w:val="bottom"/>
          </w:tcPr>
          <w:p w14:paraId="20AE1FE1"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FE2"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1FE3" w14:textId="77777777" w:rsidR="00B626E7" w:rsidRDefault="00175C1D">
            <w:pPr>
              <w:textAlignment w:val="bottom"/>
            </w:pPr>
            <w:r>
              <w:rPr>
                <w:rFonts w:ascii="Arial" w:eastAsia="宋体" w:hAnsi="Arial" w:cs="Arial"/>
                <w:color w:val="026DCE"/>
                <w:sz w:val="18"/>
                <w:szCs w:val="18"/>
              </w:rPr>
              <w:t>$</w:t>
            </w:r>
          </w:p>
        </w:tc>
        <w:tc>
          <w:tcPr>
            <w:tcW w:w="0" w:type="auto"/>
            <w:shd w:val="clear" w:color="auto" w:fill="auto"/>
            <w:tcMar>
              <w:top w:w="40" w:type="dxa"/>
              <w:bottom w:w="40" w:type="dxa"/>
              <w:right w:w="0" w:type="dxa"/>
            </w:tcMar>
            <w:vAlign w:val="bottom"/>
          </w:tcPr>
          <w:p w14:paraId="20AE1FE4" w14:textId="77777777" w:rsidR="00B626E7" w:rsidRDefault="00175C1D">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20AE1FE5"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FE6"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1FE7" w14:textId="77777777" w:rsidR="00B626E7" w:rsidRDefault="00175C1D">
            <w:pPr>
              <w:textAlignment w:val="bottom"/>
            </w:pPr>
            <w:r>
              <w:rPr>
                <w:rFonts w:ascii="Arial" w:eastAsia="宋体" w:hAnsi="Arial" w:cs="Arial"/>
                <w:color w:val="026DCE"/>
                <w:sz w:val="18"/>
                <w:szCs w:val="18"/>
              </w:rPr>
              <w:t>$</w:t>
            </w:r>
          </w:p>
        </w:tc>
        <w:tc>
          <w:tcPr>
            <w:tcW w:w="0" w:type="auto"/>
            <w:shd w:val="clear" w:color="auto" w:fill="auto"/>
            <w:tcMar>
              <w:top w:w="40" w:type="dxa"/>
              <w:bottom w:w="40" w:type="dxa"/>
              <w:right w:w="0" w:type="dxa"/>
            </w:tcMar>
            <w:vAlign w:val="bottom"/>
          </w:tcPr>
          <w:p w14:paraId="20AE1FE8" w14:textId="77777777" w:rsidR="00B626E7" w:rsidRDefault="00175C1D">
            <w:pPr>
              <w:jc w:val="right"/>
              <w:textAlignment w:val="bottom"/>
            </w:pPr>
            <w:r>
              <w:rPr>
                <w:rFonts w:ascii="Arial" w:eastAsia="宋体" w:hAnsi="Arial" w:cs="Arial"/>
                <w:color w:val="026DCE"/>
                <w:sz w:val="18"/>
                <w:szCs w:val="18"/>
              </w:rPr>
              <w:t>1,985 </w:t>
            </w:r>
          </w:p>
        </w:tc>
        <w:tc>
          <w:tcPr>
            <w:tcW w:w="0" w:type="auto"/>
            <w:shd w:val="clear" w:color="auto" w:fill="auto"/>
            <w:tcMar>
              <w:top w:w="40" w:type="dxa"/>
              <w:bottom w:w="40" w:type="dxa"/>
              <w:right w:w="20" w:type="dxa"/>
            </w:tcMar>
            <w:vAlign w:val="bottom"/>
          </w:tcPr>
          <w:p w14:paraId="20AE1FE9"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FEA"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1FEB" w14:textId="77777777" w:rsidR="00B626E7" w:rsidRDefault="00175C1D">
            <w:pPr>
              <w:textAlignment w:val="bottom"/>
            </w:pPr>
            <w:r>
              <w:rPr>
                <w:rFonts w:ascii="Arial" w:eastAsia="宋体" w:hAnsi="Arial" w:cs="Arial"/>
                <w:color w:val="026DCE"/>
                <w:sz w:val="18"/>
                <w:szCs w:val="18"/>
              </w:rPr>
              <w:t>$</w:t>
            </w:r>
          </w:p>
        </w:tc>
        <w:tc>
          <w:tcPr>
            <w:tcW w:w="0" w:type="auto"/>
            <w:shd w:val="clear" w:color="auto" w:fill="auto"/>
            <w:tcMar>
              <w:top w:w="40" w:type="dxa"/>
              <w:bottom w:w="40" w:type="dxa"/>
              <w:right w:w="0" w:type="dxa"/>
            </w:tcMar>
            <w:vAlign w:val="bottom"/>
          </w:tcPr>
          <w:p w14:paraId="20AE1FEC" w14:textId="77777777" w:rsidR="00B626E7" w:rsidRDefault="00175C1D">
            <w:pPr>
              <w:jc w:val="right"/>
              <w:textAlignment w:val="bottom"/>
            </w:pPr>
            <w:r>
              <w:rPr>
                <w:rFonts w:ascii="Arial" w:eastAsia="宋体" w:hAnsi="Arial" w:cs="Arial"/>
                <w:color w:val="026DCE"/>
                <w:sz w:val="18"/>
                <w:szCs w:val="18"/>
              </w:rPr>
              <w:t>(318)</w:t>
            </w:r>
          </w:p>
        </w:tc>
        <w:tc>
          <w:tcPr>
            <w:tcW w:w="0" w:type="auto"/>
            <w:shd w:val="clear" w:color="auto" w:fill="auto"/>
            <w:tcMar>
              <w:top w:w="40" w:type="dxa"/>
              <w:bottom w:w="40" w:type="dxa"/>
              <w:right w:w="20" w:type="dxa"/>
            </w:tcMar>
            <w:vAlign w:val="bottom"/>
          </w:tcPr>
          <w:p w14:paraId="20AE1FED"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FEE"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1FEF" w14:textId="77777777" w:rsidR="00B626E7" w:rsidRDefault="00175C1D">
            <w:pPr>
              <w:textAlignment w:val="bottom"/>
            </w:pPr>
            <w:r>
              <w:rPr>
                <w:rFonts w:ascii="Arial" w:eastAsia="宋体" w:hAnsi="Arial" w:cs="Arial"/>
                <w:color w:val="026DCE"/>
                <w:sz w:val="18"/>
                <w:szCs w:val="18"/>
              </w:rPr>
              <w:t>$</w:t>
            </w:r>
          </w:p>
        </w:tc>
        <w:tc>
          <w:tcPr>
            <w:tcW w:w="0" w:type="auto"/>
            <w:shd w:val="clear" w:color="auto" w:fill="auto"/>
            <w:tcMar>
              <w:top w:w="40" w:type="dxa"/>
              <w:bottom w:w="40" w:type="dxa"/>
              <w:right w:w="0" w:type="dxa"/>
            </w:tcMar>
            <w:vAlign w:val="bottom"/>
          </w:tcPr>
          <w:p w14:paraId="20AE1FF0" w14:textId="77777777" w:rsidR="00B626E7" w:rsidRDefault="00175C1D">
            <w:pPr>
              <w:jc w:val="right"/>
              <w:textAlignment w:val="bottom"/>
            </w:pPr>
            <w:r>
              <w:rPr>
                <w:rFonts w:ascii="Arial" w:eastAsia="宋体" w:hAnsi="Arial" w:cs="Arial"/>
                <w:color w:val="026DCE"/>
                <w:sz w:val="18"/>
                <w:szCs w:val="18"/>
              </w:rPr>
              <w:t>(1,641)</w:t>
            </w:r>
          </w:p>
        </w:tc>
        <w:tc>
          <w:tcPr>
            <w:tcW w:w="0" w:type="auto"/>
            <w:shd w:val="clear" w:color="auto" w:fill="auto"/>
            <w:tcMar>
              <w:top w:w="40" w:type="dxa"/>
              <w:bottom w:w="40" w:type="dxa"/>
              <w:right w:w="20" w:type="dxa"/>
            </w:tcMar>
            <w:vAlign w:val="bottom"/>
          </w:tcPr>
          <w:p w14:paraId="20AE1FF1"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1FF2"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1FF3" w14:textId="77777777" w:rsidR="00B626E7" w:rsidRDefault="00175C1D">
            <w:pPr>
              <w:textAlignment w:val="bottom"/>
            </w:pPr>
            <w:r>
              <w:rPr>
                <w:rFonts w:ascii="Arial" w:eastAsia="宋体" w:hAnsi="Arial" w:cs="Arial"/>
                <w:color w:val="026DCE"/>
                <w:sz w:val="18"/>
                <w:szCs w:val="18"/>
              </w:rPr>
              <w:t>$</w:t>
            </w:r>
          </w:p>
        </w:tc>
        <w:tc>
          <w:tcPr>
            <w:tcW w:w="0" w:type="auto"/>
            <w:shd w:val="clear" w:color="auto" w:fill="auto"/>
            <w:tcMar>
              <w:top w:w="40" w:type="dxa"/>
              <w:bottom w:w="40" w:type="dxa"/>
              <w:right w:w="0" w:type="dxa"/>
            </w:tcMar>
            <w:vAlign w:val="bottom"/>
          </w:tcPr>
          <w:p w14:paraId="20AE1FF4" w14:textId="77777777" w:rsidR="00B626E7" w:rsidRDefault="00175C1D">
            <w:pPr>
              <w:jc w:val="right"/>
              <w:textAlignment w:val="bottom"/>
            </w:pPr>
            <w:r>
              <w:rPr>
                <w:rFonts w:ascii="Arial" w:eastAsia="宋体" w:hAnsi="Arial" w:cs="Arial"/>
                <w:color w:val="026DCE"/>
                <w:sz w:val="18"/>
                <w:szCs w:val="18"/>
              </w:rPr>
              <w:t>26 </w:t>
            </w:r>
          </w:p>
        </w:tc>
        <w:tc>
          <w:tcPr>
            <w:tcW w:w="0" w:type="auto"/>
            <w:shd w:val="clear" w:color="auto" w:fill="auto"/>
            <w:tcMar>
              <w:top w:w="40" w:type="dxa"/>
              <w:bottom w:w="40" w:type="dxa"/>
              <w:right w:w="20" w:type="dxa"/>
            </w:tcMar>
            <w:vAlign w:val="bottom"/>
          </w:tcPr>
          <w:p w14:paraId="20AE1FF5" w14:textId="77777777" w:rsidR="00B626E7" w:rsidRDefault="00175C1D">
            <w:pPr>
              <w:jc w:val="right"/>
              <w:textAlignment w:val="bottom"/>
            </w:pPr>
            <w:r>
              <w:rPr>
                <w:rFonts w:ascii="Arial" w:eastAsia="宋体" w:hAnsi="Arial" w:cs="Arial"/>
                <w:color w:val="026DCE"/>
                <w:sz w:val="18"/>
                <w:szCs w:val="18"/>
              </w:rPr>
              <w:t> </w:t>
            </w:r>
          </w:p>
        </w:tc>
        <w:tc>
          <w:tcPr>
            <w:tcW w:w="0" w:type="auto"/>
            <w:shd w:val="clear" w:color="auto" w:fill="auto"/>
          </w:tcPr>
          <w:p w14:paraId="20AE1FF6" w14:textId="77777777" w:rsidR="00B626E7" w:rsidRDefault="00B626E7">
            <w:pPr>
              <w:rPr>
                <w:rFonts w:ascii="宋体"/>
              </w:rPr>
            </w:pPr>
          </w:p>
        </w:tc>
        <w:tc>
          <w:tcPr>
            <w:tcW w:w="0" w:type="auto"/>
            <w:shd w:val="clear" w:color="auto" w:fill="auto"/>
          </w:tcPr>
          <w:p w14:paraId="20AE1FF7" w14:textId="77777777" w:rsidR="00B626E7" w:rsidRDefault="00B626E7">
            <w:pPr>
              <w:rPr>
                <w:rFonts w:ascii="宋体"/>
              </w:rPr>
            </w:pPr>
          </w:p>
        </w:tc>
        <w:tc>
          <w:tcPr>
            <w:tcW w:w="0" w:type="auto"/>
            <w:shd w:val="clear" w:color="auto" w:fill="auto"/>
          </w:tcPr>
          <w:p w14:paraId="20AE1FF8" w14:textId="77777777" w:rsidR="00B626E7" w:rsidRDefault="00B626E7">
            <w:pPr>
              <w:rPr>
                <w:rFonts w:ascii="宋体"/>
              </w:rPr>
            </w:pPr>
          </w:p>
        </w:tc>
        <w:tc>
          <w:tcPr>
            <w:tcW w:w="0" w:type="auto"/>
            <w:shd w:val="clear" w:color="auto" w:fill="auto"/>
          </w:tcPr>
          <w:p w14:paraId="20AE1FF9" w14:textId="77777777" w:rsidR="00B626E7" w:rsidRDefault="00B626E7">
            <w:pPr>
              <w:rPr>
                <w:rFonts w:ascii="宋体"/>
              </w:rPr>
            </w:pPr>
          </w:p>
        </w:tc>
        <w:tc>
          <w:tcPr>
            <w:tcW w:w="0" w:type="auto"/>
            <w:shd w:val="clear" w:color="auto" w:fill="auto"/>
          </w:tcPr>
          <w:p w14:paraId="20AE1FFA" w14:textId="77777777" w:rsidR="00B626E7" w:rsidRDefault="00B626E7">
            <w:pPr>
              <w:rPr>
                <w:rFonts w:ascii="宋体"/>
              </w:rPr>
            </w:pPr>
          </w:p>
        </w:tc>
        <w:tc>
          <w:tcPr>
            <w:tcW w:w="0" w:type="auto"/>
            <w:shd w:val="clear" w:color="auto" w:fill="auto"/>
          </w:tcPr>
          <w:p w14:paraId="20AE1FFB" w14:textId="77777777" w:rsidR="00B626E7" w:rsidRDefault="00B626E7">
            <w:pPr>
              <w:rPr>
                <w:rFonts w:ascii="宋体"/>
              </w:rPr>
            </w:pPr>
          </w:p>
        </w:tc>
        <w:tc>
          <w:tcPr>
            <w:tcW w:w="0" w:type="auto"/>
            <w:shd w:val="clear" w:color="auto" w:fill="auto"/>
          </w:tcPr>
          <w:p w14:paraId="20AE1FFC" w14:textId="77777777" w:rsidR="00B626E7" w:rsidRDefault="00B626E7">
            <w:pPr>
              <w:rPr>
                <w:rFonts w:ascii="宋体"/>
              </w:rPr>
            </w:pPr>
          </w:p>
        </w:tc>
        <w:tc>
          <w:tcPr>
            <w:tcW w:w="0" w:type="auto"/>
            <w:shd w:val="clear" w:color="auto" w:fill="auto"/>
          </w:tcPr>
          <w:p w14:paraId="20AE1FFD" w14:textId="77777777" w:rsidR="00B626E7" w:rsidRDefault="00B626E7">
            <w:pPr>
              <w:rPr>
                <w:rFonts w:ascii="宋体"/>
              </w:rPr>
            </w:pPr>
          </w:p>
        </w:tc>
        <w:tc>
          <w:tcPr>
            <w:tcW w:w="0" w:type="auto"/>
            <w:shd w:val="clear" w:color="auto" w:fill="auto"/>
          </w:tcPr>
          <w:p w14:paraId="20AE1FFE" w14:textId="77777777" w:rsidR="00B626E7" w:rsidRDefault="00B626E7">
            <w:pPr>
              <w:rPr>
                <w:rFonts w:ascii="宋体"/>
              </w:rPr>
            </w:pPr>
          </w:p>
        </w:tc>
        <w:tc>
          <w:tcPr>
            <w:tcW w:w="0" w:type="auto"/>
            <w:shd w:val="clear" w:color="auto" w:fill="auto"/>
          </w:tcPr>
          <w:p w14:paraId="20AE1FFF" w14:textId="77777777" w:rsidR="00B626E7" w:rsidRDefault="00B626E7">
            <w:pPr>
              <w:rPr>
                <w:rFonts w:ascii="宋体"/>
              </w:rPr>
            </w:pPr>
          </w:p>
        </w:tc>
        <w:tc>
          <w:tcPr>
            <w:tcW w:w="0" w:type="auto"/>
            <w:shd w:val="clear" w:color="auto" w:fill="auto"/>
          </w:tcPr>
          <w:p w14:paraId="20AE2000" w14:textId="77777777" w:rsidR="00B626E7" w:rsidRDefault="00B626E7">
            <w:pPr>
              <w:rPr>
                <w:rFonts w:ascii="宋体"/>
              </w:rPr>
            </w:pPr>
          </w:p>
        </w:tc>
        <w:tc>
          <w:tcPr>
            <w:tcW w:w="0" w:type="auto"/>
            <w:shd w:val="clear" w:color="auto" w:fill="auto"/>
          </w:tcPr>
          <w:p w14:paraId="20AE2001" w14:textId="77777777" w:rsidR="00B626E7" w:rsidRDefault="00B626E7">
            <w:pPr>
              <w:rPr>
                <w:rFonts w:ascii="宋体"/>
              </w:rPr>
            </w:pPr>
          </w:p>
        </w:tc>
        <w:tc>
          <w:tcPr>
            <w:tcW w:w="0" w:type="auto"/>
            <w:shd w:val="clear" w:color="auto" w:fill="auto"/>
          </w:tcPr>
          <w:p w14:paraId="20AE2002" w14:textId="77777777" w:rsidR="00B626E7" w:rsidRDefault="00B626E7">
            <w:pPr>
              <w:rPr>
                <w:rFonts w:ascii="宋体"/>
              </w:rPr>
            </w:pPr>
          </w:p>
        </w:tc>
        <w:tc>
          <w:tcPr>
            <w:tcW w:w="0" w:type="auto"/>
            <w:shd w:val="clear" w:color="auto" w:fill="auto"/>
          </w:tcPr>
          <w:p w14:paraId="20AE2003" w14:textId="77777777" w:rsidR="00B626E7" w:rsidRDefault="00B626E7">
            <w:pPr>
              <w:rPr>
                <w:rFonts w:ascii="宋体"/>
              </w:rPr>
            </w:pPr>
          </w:p>
        </w:tc>
        <w:tc>
          <w:tcPr>
            <w:tcW w:w="0" w:type="auto"/>
            <w:shd w:val="clear" w:color="auto" w:fill="auto"/>
          </w:tcPr>
          <w:p w14:paraId="20AE2004" w14:textId="77777777" w:rsidR="00B626E7" w:rsidRDefault="00B626E7">
            <w:pPr>
              <w:rPr>
                <w:rFonts w:ascii="宋体"/>
              </w:rPr>
            </w:pPr>
          </w:p>
        </w:tc>
        <w:tc>
          <w:tcPr>
            <w:tcW w:w="0" w:type="auto"/>
            <w:shd w:val="clear" w:color="auto" w:fill="auto"/>
          </w:tcPr>
          <w:p w14:paraId="20AE2005" w14:textId="77777777" w:rsidR="00B626E7" w:rsidRDefault="00B626E7">
            <w:pPr>
              <w:rPr>
                <w:rFonts w:ascii="宋体"/>
              </w:rPr>
            </w:pPr>
          </w:p>
        </w:tc>
        <w:tc>
          <w:tcPr>
            <w:tcW w:w="0" w:type="auto"/>
            <w:shd w:val="clear" w:color="auto" w:fill="auto"/>
          </w:tcPr>
          <w:p w14:paraId="20AE2006" w14:textId="77777777" w:rsidR="00B626E7" w:rsidRDefault="00B626E7">
            <w:pPr>
              <w:rPr>
                <w:rFonts w:ascii="宋体"/>
              </w:rPr>
            </w:pPr>
          </w:p>
        </w:tc>
        <w:tc>
          <w:tcPr>
            <w:tcW w:w="0" w:type="auto"/>
            <w:shd w:val="clear" w:color="auto" w:fill="auto"/>
          </w:tcPr>
          <w:p w14:paraId="20AE2007" w14:textId="77777777" w:rsidR="00B626E7" w:rsidRDefault="00B626E7">
            <w:pPr>
              <w:rPr>
                <w:rFonts w:ascii="宋体"/>
              </w:rPr>
            </w:pPr>
          </w:p>
        </w:tc>
        <w:tc>
          <w:tcPr>
            <w:tcW w:w="0" w:type="auto"/>
            <w:shd w:val="clear" w:color="auto" w:fill="auto"/>
          </w:tcPr>
          <w:p w14:paraId="20AE2008" w14:textId="77777777" w:rsidR="00B626E7" w:rsidRDefault="00B626E7">
            <w:pPr>
              <w:rPr>
                <w:rFonts w:ascii="宋体"/>
              </w:rPr>
            </w:pPr>
          </w:p>
        </w:tc>
        <w:tc>
          <w:tcPr>
            <w:tcW w:w="0" w:type="auto"/>
            <w:shd w:val="clear" w:color="auto" w:fill="auto"/>
          </w:tcPr>
          <w:p w14:paraId="20AE2009" w14:textId="77777777" w:rsidR="00B626E7" w:rsidRDefault="00B626E7">
            <w:pPr>
              <w:rPr>
                <w:rFonts w:ascii="宋体"/>
              </w:rPr>
            </w:pPr>
          </w:p>
        </w:tc>
        <w:tc>
          <w:tcPr>
            <w:tcW w:w="0" w:type="auto"/>
            <w:shd w:val="clear" w:color="auto" w:fill="auto"/>
          </w:tcPr>
          <w:p w14:paraId="20AE200A" w14:textId="77777777" w:rsidR="00B626E7" w:rsidRDefault="00B626E7">
            <w:pPr>
              <w:rPr>
                <w:rFonts w:ascii="宋体"/>
              </w:rPr>
            </w:pPr>
          </w:p>
        </w:tc>
        <w:tc>
          <w:tcPr>
            <w:tcW w:w="0" w:type="auto"/>
            <w:shd w:val="clear" w:color="auto" w:fill="auto"/>
          </w:tcPr>
          <w:p w14:paraId="20AE200B" w14:textId="77777777" w:rsidR="00B626E7" w:rsidRDefault="00B626E7">
            <w:pPr>
              <w:rPr>
                <w:rFonts w:ascii="宋体"/>
              </w:rPr>
            </w:pPr>
          </w:p>
        </w:tc>
        <w:tc>
          <w:tcPr>
            <w:tcW w:w="0" w:type="auto"/>
            <w:shd w:val="clear" w:color="auto" w:fill="auto"/>
          </w:tcPr>
          <w:p w14:paraId="20AE200C" w14:textId="77777777" w:rsidR="00B626E7" w:rsidRDefault="00B626E7">
            <w:pPr>
              <w:rPr>
                <w:rFonts w:ascii="宋体"/>
              </w:rPr>
            </w:pPr>
          </w:p>
        </w:tc>
        <w:tc>
          <w:tcPr>
            <w:tcW w:w="0" w:type="auto"/>
            <w:shd w:val="clear" w:color="auto" w:fill="auto"/>
          </w:tcPr>
          <w:p w14:paraId="20AE200D" w14:textId="77777777" w:rsidR="00B626E7" w:rsidRDefault="00B626E7">
            <w:pPr>
              <w:rPr>
                <w:rFonts w:ascii="宋体"/>
              </w:rPr>
            </w:pPr>
          </w:p>
        </w:tc>
      </w:tr>
      <w:tr w:rsidR="00B626E7" w14:paraId="20AE203A" w14:textId="77777777">
        <w:tc>
          <w:tcPr>
            <w:tcW w:w="0" w:type="auto"/>
            <w:gridSpan w:val="3"/>
            <w:shd w:val="clear" w:color="auto" w:fill="auto"/>
            <w:tcMar>
              <w:top w:w="40" w:type="dxa"/>
              <w:left w:w="20" w:type="dxa"/>
              <w:bottom w:w="40" w:type="dxa"/>
              <w:right w:w="20" w:type="dxa"/>
            </w:tcMar>
            <w:vAlign w:val="bottom"/>
          </w:tcPr>
          <w:p w14:paraId="20AE200F" w14:textId="77777777" w:rsidR="00B626E7" w:rsidRDefault="00175C1D">
            <w:pPr>
              <w:textAlignment w:val="bottom"/>
            </w:pPr>
            <w:r>
              <w:rPr>
                <w:rFonts w:ascii="Arial" w:eastAsia="宋体" w:hAnsi="Arial" w:cs="Arial"/>
                <w:color w:val="333333"/>
                <w:sz w:val="18"/>
                <w:szCs w:val="18"/>
              </w:rPr>
              <w:t>Reverse repurchase agreements</w:t>
            </w:r>
          </w:p>
        </w:tc>
        <w:tc>
          <w:tcPr>
            <w:tcW w:w="0" w:type="auto"/>
            <w:gridSpan w:val="3"/>
            <w:shd w:val="clear" w:color="auto" w:fill="auto"/>
            <w:tcMar>
              <w:left w:w="20" w:type="dxa"/>
              <w:right w:w="20" w:type="dxa"/>
            </w:tcMar>
            <w:vAlign w:val="bottom"/>
          </w:tcPr>
          <w:p w14:paraId="20AE2010"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011" w14:textId="77777777" w:rsidR="00B626E7" w:rsidRDefault="00175C1D">
            <w:pPr>
              <w:jc w:val="right"/>
              <w:textAlignment w:val="bottom"/>
            </w:pPr>
            <w:r>
              <w:rPr>
                <w:rFonts w:ascii="Arial" w:eastAsia="宋体" w:hAnsi="Arial" w:cs="Arial"/>
                <w:color w:val="026DCE"/>
                <w:sz w:val="18"/>
                <w:szCs w:val="18"/>
              </w:rPr>
              <w:t>1,500 </w:t>
            </w:r>
          </w:p>
        </w:tc>
        <w:tc>
          <w:tcPr>
            <w:tcW w:w="0" w:type="auto"/>
            <w:shd w:val="clear" w:color="auto" w:fill="auto"/>
            <w:tcMar>
              <w:top w:w="40" w:type="dxa"/>
              <w:bottom w:w="40" w:type="dxa"/>
              <w:right w:w="20" w:type="dxa"/>
            </w:tcMar>
            <w:vAlign w:val="bottom"/>
          </w:tcPr>
          <w:p w14:paraId="20AE2012"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2013"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014" w14:textId="77777777" w:rsidR="00B626E7" w:rsidRDefault="00175C1D">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20AE2015"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2016"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017" w14:textId="77777777" w:rsidR="00B626E7" w:rsidRDefault="00175C1D">
            <w:pPr>
              <w:jc w:val="right"/>
              <w:textAlignment w:val="bottom"/>
            </w:pPr>
            <w:r>
              <w:rPr>
                <w:rFonts w:ascii="Arial" w:eastAsia="宋体" w:hAnsi="Arial" w:cs="Arial"/>
                <w:color w:val="026DCE"/>
                <w:sz w:val="18"/>
                <w:szCs w:val="18"/>
              </w:rPr>
              <w:t>1,500 </w:t>
            </w:r>
          </w:p>
        </w:tc>
        <w:tc>
          <w:tcPr>
            <w:tcW w:w="0" w:type="auto"/>
            <w:shd w:val="clear" w:color="auto" w:fill="auto"/>
            <w:tcMar>
              <w:top w:w="40" w:type="dxa"/>
              <w:bottom w:w="40" w:type="dxa"/>
              <w:right w:w="20" w:type="dxa"/>
            </w:tcMar>
            <w:vAlign w:val="bottom"/>
          </w:tcPr>
          <w:p w14:paraId="20AE2018"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2019"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01A" w14:textId="77777777" w:rsidR="00B626E7" w:rsidRDefault="00175C1D">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20AE201B"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201C"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01D" w14:textId="77777777" w:rsidR="00B626E7" w:rsidRDefault="00175C1D">
            <w:pPr>
              <w:jc w:val="right"/>
              <w:textAlignment w:val="bottom"/>
            </w:pPr>
            <w:r>
              <w:rPr>
                <w:rFonts w:ascii="Arial" w:eastAsia="宋体" w:hAnsi="Arial" w:cs="Arial"/>
                <w:color w:val="026DCE"/>
                <w:sz w:val="18"/>
                <w:szCs w:val="18"/>
              </w:rPr>
              <w:t>(1,489)</w:t>
            </w:r>
          </w:p>
        </w:tc>
        <w:tc>
          <w:tcPr>
            <w:tcW w:w="0" w:type="auto"/>
            <w:shd w:val="clear" w:color="auto" w:fill="auto"/>
            <w:tcMar>
              <w:top w:w="40" w:type="dxa"/>
              <w:bottom w:w="40" w:type="dxa"/>
              <w:right w:w="20" w:type="dxa"/>
            </w:tcMar>
            <w:vAlign w:val="bottom"/>
          </w:tcPr>
          <w:p w14:paraId="20AE201E"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201F"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020" w14:textId="77777777" w:rsidR="00B626E7" w:rsidRDefault="00175C1D">
            <w:pPr>
              <w:jc w:val="right"/>
              <w:textAlignment w:val="bottom"/>
            </w:pPr>
            <w:r>
              <w:rPr>
                <w:rFonts w:ascii="Arial" w:eastAsia="宋体" w:hAnsi="Arial" w:cs="Arial"/>
                <w:color w:val="026DCE"/>
                <w:sz w:val="18"/>
                <w:szCs w:val="18"/>
              </w:rPr>
              <w:t>11 </w:t>
            </w:r>
          </w:p>
        </w:tc>
        <w:tc>
          <w:tcPr>
            <w:tcW w:w="0" w:type="auto"/>
            <w:shd w:val="clear" w:color="auto" w:fill="auto"/>
            <w:tcMar>
              <w:top w:w="40" w:type="dxa"/>
              <w:bottom w:w="40" w:type="dxa"/>
              <w:right w:w="20" w:type="dxa"/>
            </w:tcMar>
            <w:vAlign w:val="bottom"/>
          </w:tcPr>
          <w:p w14:paraId="20AE2021" w14:textId="77777777" w:rsidR="00B626E7" w:rsidRDefault="00175C1D">
            <w:pPr>
              <w:jc w:val="right"/>
              <w:textAlignment w:val="bottom"/>
            </w:pPr>
            <w:r>
              <w:rPr>
                <w:rFonts w:ascii="Arial" w:eastAsia="宋体" w:hAnsi="Arial" w:cs="Arial"/>
                <w:color w:val="026DCE"/>
                <w:sz w:val="18"/>
                <w:szCs w:val="18"/>
              </w:rPr>
              <w:t> </w:t>
            </w:r>
          </w:p>
        </w:tc>
        <w:tc>
          <w:tcPr>
            <w:tcW w:w="0" w:type="auto"/>
            <w:shd w:val="clear" w:color="auto" w:fill="auto"/>
          </w:tcPr>
          <w:p w14:paraId="20AE2022" w14:textId="77777777" w:rsidR="00B626E7" w:rsidRDefault="00B626E7">
            <w:pPr>
              <w:rPr>
                <w:rFonts w:ascii="宋体"/>
              </w:rPr>
            </w:pPr>
          </w:p>
        </w:tc>
        <w:tc>
          <w:tcPr>
            <w:tcW w:w="0" w:type="auto"/>
            <w:shd w:val="clear" w:color="auto" w:fill="auto"/>
          </w:tcPr>
          <w:p w14:paraId="20AE2023" w14:textId="77777777" w:rsidR="00B626E7" w:rsidRDefault="00B626E7">
            <w:pPr>
              <w:rPr>
                <w:rFonts w:ascii="宋体"/>
              </w:rPr>
            </w:pPr>
          </w:p>
        </w:tc>
        <w:tc>
          <w:tcPr>
            <w:tcW w:w="0" w:type="auto"/>
            <w:shd w:val="clear" w:color="auto" w:fill="auto"/>
          </w:tcPr>
          <w:p w14:paraId="20AE2024" w14:textId="77777777" w:rsidR="00B626E7" w:rsidRDefault="00B626E7">
            <w:pPr>
              <w:rPr>
                <w:rFonts w:ascii="宋体"/>
              </w:rPr>
            </w:pPr>
          </w:p>
        </w:tc>
        <w:tc>
          <w:tcPr>
            <w:tcW w:w="0" w:type="auto"/>
            <w:shd w:val="clear" w:color="auto" w:fill="auto"/>
          </w:tcPr>
          <w:p w14:paraId="20AE2025" w14:textId="77777777" w:rsidR="00B626E7" w:rsidRDefault="00B626E7">
            <w:pPr>
              <w:rPr>
                <w:rFonts w:ascii="宋体"/>
              </w:rPr>
            </w:pPr>
          </w:p>
        </w:tc>
        <w:tc>
          <w:tcPr>
            <w:tcW w:w="0" w:type="auto"/>
            <w:shd w:val="clear" w:color="auto" w:fill="auto"/>
          </w:tcPr>
          <w:p w14:paraId="20AE2026" w14:textId="77777777" w:rsidR="00B626E7" w:rsidRDefault="00B626E7">
            <w:pPr>
              <w:rPr>
                <w:rFonts w:ascii="宋体"/>
              </w:rPr>
            </w:pPr>
          </w:p>
        </w:tc>
        <w:tc>
          <w:tcPr>
            <w:tcW w:w="0" w:type="auto"/>
            <w:shd w:val="clear" w:color="auto" w:fill="auto"/>
          </w:tcPr>
          <w:p w14:paraId="20AE2027" w14:textId="77777777" w:rsidR="00B626E7" w:rsidRDefault="00B626E7">
            <w:pPr>
              <w:rPr>
                <w:rFonts w:ascii="宋体"/>
              </w:rPr>
            </w:pPr>
          </w:p>
        </w:tc>
        <w:tc>
          <w:tcPr>
            <w:tcW w:w="0" w:type="auto"/>
            <w:shd w:val="clear" w:color="auto" w:fill="auto"/>
          </w:tcPr>
          <w:p w14:paraId="20AE2028" w14:textId="77777777" w:rsidR="00B626E7" w:rsidRDefault="00B626E7">
            <w:pPr>
              <w:rPr>
                <w:rFonts w:ascii="宋体"/>
              </w:rPr>
            </w:pPr>
          </w:p>
        </w:tc>
        <w:tc>
          <w:tcPr>
            <w:tcW w:w="0" w:type="auto"/>
            <w:shd w:val="clear" w:color="auto" w:fill="auto"/>
          </w:tcPr>
          <w:p w14:paraId="20AE2029" w14:textId="77777777" w:rsidR="00B626E7" w:rsidRDefault="00B626E7">
            <w:pPr>
              <w:rPr>
                <w:rFonts w:ascii="宋体"/>
              </w:rPr>
            </w:pPr>
          </w:p>
        </w:tc>
        <w:tc>
          <w:tcPr>
            <w:tcW w:w="0" w:type="auto"/>
            <w:shd w:val="clear" w:color="auto" w:fill="auto"/>
          </w:tcPr>
          <w:p w14:paraId="20AE202A" w14:textId="77777777" w:rsidR="00B626E7" w:rsidRDefault="00B626E7">
            <w:pPr>
              <w:rPr>
                <w:rFonts w:ascii="宋体"/>
              </w:rPr>
            </w:pPr>
          </w:p>
        </w:tc>
        <w:tc>
          <w:tcPr>
            <w:tcW w:w="0" w:type="auto"/>
            <w:shd w:val="clear" w:color="auto" w:fill="auto"/>
          </w:tcPr>
          <w:p w14:paraId="20AE202B" w14:textId="77777777" w:rsidR="00B626E7" w:rsidRDefault="00B626E7">
            <w:pPr>
              <w:rPr>
                <w:rFonts w:ascii="宋体"/>
              </w:rPr>
            </w:pPr>
          </w:p>
        </w:tc>
        <w:tc>
          <w:tcPr>
            <w:tcW w:w="0" w:type="auto"/>
            <w:shd w:val="clear" w:color="auto" w:fill="auto"/>
          </w:tcPr>
          <w:p w14:paraId="20AE202C" w14:textId="77777777" w:rsidR="00B626E7" w:rsidRDefault="00B626E7">
            <w:pPr>
              <w:rPr>
                <w:rFonts w:ascii="宋体"/>
              </w:rPr>
            </w:pPr>
          </w:p>
        </w:tc>
        <w:tc>
          <w:tcPr>
            <w:tcW w:w="0" w:type="auto"/>
            <w:shd w:val="clear" w:color="auto" w:fill="auto"/>
          </w:tcPr>
          <w:p w14:paraId="20AE202D" w14:textId="77777777" w:rsidR="00B626E7" w:rsidRDefault="00B626E7">
            <w:pPr>
              <w:rPr>
                <w:rFonts w:ascii="宋体"/>
              </w:rPr>
            </w:pPr>
          </w:p>
        </w:tc>
        <w:tc>
          <w:tcPr>
            <w:tcW w:w="0" w:type="auto"/>
            <w:shd w:val="clear" w:color="auto" w:fill="auto"/>
          </w:tcPr>
          <w:p w14:paraId="20AE202E" w14:textId="77777777" w:rsidR="00B626E7" w:rsidRDefault="00B626E7">
            <w:pPr>
              <w:rPr>
                <w:rFonts w:ascii="宋体"/>
              </w:rPr>
            </w:pPr>
          </w:p>
        </w:tc>
        <w:tc>
          <w:tcPr>
            <w:tcW w:w="0" w:type="auto"/>
            <w:shd w:val="clear" w:color="auto" w:fill="auto"/>
          </w:tcPr>
          <w:p w14:paraId="20AE202F" w14:textId="77777777" w:rsidR="00B626E7" w:rsidRDefault="00B626E7">
            <w:pPr>
              <w:rPr>
                <w:rFonts w:ascii="宋体"/>
              </w:rPr>
            </w:pPr>
          </w:p>
        </w:tc>
        <w:tc>
          <w:tcPr>
            <w:tcW w:w="0" w:type="auto"/>
            <w:shd w:val="clear" w:color="auto" w:fill="auto"/>
          </w:tcPr>
          <w:p w14:paraId="20AE2030" w14:textId="77777777" w:rsidR="00B626E7" w:rsidRDefault="00B626E7">
            <w:pPr>
              <w:rPr>
                <w:rFonts w:ascii="宋体"/>
              </w:rPr>
            </w:pPr>
          </w:p>
        </w:tc>
        <w:tc>
          <w:tcPr>
            <w:tcW w:w="0" w:type="auto"/>
            <w:shd w:val="clear" w:color="auto" w:fill="auto"/>
          </w:tcPr>
          <w:p w14:paraId="20AE2031" w14:textId="77777777" w:rsidR="00B626E7" w:rsidRDefault="00B626E7">
            <w:pPr>
              <w:rPr>
                <w:rFonts w:ascii="宋体"/>
              </w:rPr>
            </w:pPr>
          </w:p>
        </w:tc>
        <w:tc>
          <w:tcPr>
            <w:tcW w:w="0" w:type="auto"/>
            <w:shd w:val="clear" w:color="auto" w:fill="auto"/>
          </w:tcPr>
          <w:p w14:paraId="20AE2032" w14:textId="77777777" w:rsidR="00B626E7" w:rsidRDefault="00B626E7">
            <w:pPr>
              <w:rPr>
                <w:rFonts w:ascii="宋体"/>
              </w:rPr>
            </w:pPr>
          </w:p>
        </w:tc>
        <w:tc>
          <w:tcPr>
            <w:tcW w:w="0" w:type="auto"/>
            <w:shd w:val="clear" w:color="auto" w:fill="auto"/>
          </w:tcPr>
          <w:p w14:paraId="20AE2033" w14:textId="77777777" w:rsidR="00B626E7" w:rsidRDefault="00B626E7">
            <w:pPr>
              <w:rPr>
                <w:rFonts w:ascii="宋体"/>
              </w:rPr>
            </w:pPr>
          </w:p>
        </w:tc>
        <w:tc>
          <w:tcPr>
            <w:tcW w:w="0" w:type="auto"/>
            <w:shd w:val="clear" w:color="auto" w:fill="auto"/>
          </w:tcPr>
          <w:p w14:paraId="20AE2034" w14:textId="77777777" w:rsidR="00B626E7" w:rsidRDefault="00B626E7">
            <w:pPr>
              <w:rPr>
                <w:rFonts w:ascii="宋体"/>
              </w:rPr>
            </w:pPr>
          </w:p>
        </w:tc>
        <w:tc>
          <w:tcPr>
            <w:tcW w:w="0" w:type="auto"/>
            <w:shd w:val="clear" w:color="auto" w:fill="auto"/>
          </w:tcPr>
          <w:p w14:paraId="20AE2035" w14:textId="77777777" w:rsidR="00B626E7" w:rsidRDefault="00B626E7">
            <w:pPr>
              <w:rPr>
                <w:rFonts w:ascii="宋体"/>
              </w:rPr>
            </w:pPr>
          </w:p>
        </w:tc>
        <w:tc>
          <w:tcPr>
            <w:tcW w:w="0" w:type="auto"/>
            <w:shd w:val="clear" w:color="auto" w:fill="auto"/>
          </w:tcPr>
          <w:p w14:paraId="20AE2036" w14:textId="77777777" w:rsidR="00B626E7" w:rsidRDefault="00B626E7">
            <w:pPr>
              <w:rPr>
                <w:rFonts w:ascii="宋体"/>
              </w:rPr>
            </w:pPr>
          </w:p>
        </w:tc>
        <w:tc>
          <w:tcPr>
            <w:tcW w:w="0" w:type="auto"/>
            <w:shd w:val="clear" w:color="auto" w:fill="auto"/>
          </w:tcPr>
          <w:p w14:paraId="20AE2037" w14:textId="77777777" w:rsidR="00B626E7" w:rsidRDefault="00B626E7">
            <w:pPr>
              <w:rPr>
                <w:rFonts w:ascii="宋体"/>
              </w:rPr>
            </w:pPr>
          </w:p>
        </w:tc>
        <w:tc>
          <w:tcPr>
            <w:tcW w:w="0" w:type="auto"/>
            <w:shd w:val="clear" w:color="auto" w:fill="auto"/>
          </w:tcPr>
          <w:p w14:paraId="20AE2038" w14:textId="77777777" w:rsidR="00B626E7" w:rsidRDefault="00B626E7">
            <w:pPr>
              <w:rPr>
                <w:rFonts w:ascii="宋体"/>
              </w:rPr>
            </w:pPr>
          </w:p>
        </w:tc>
        <w:tc>
          <w:tcPr>
            <w:tcW w:w="0" w:type="auto"/>
            <w:shd w:val="clear" w:color="auto" w:fill="auto"/>
          </w:tcPr>
          <w:p w14:paraId="20AE2039" w14:textId="77777777" w:rsidR="00B626E7" w:rsidRDefault="00B626E7">
            <w:pPr>
              <w:rPr>
                <w:rFonts w:ascii="宋体"/>
              </w:rPr>
            </w:pPr>
          </w:p>
        </w:tc>
      </w:tr>
      <w:tr w:rsidR="00B626E7" w14:paraId="20AE206C" w14:textId="77777777">
        <w:tc>
          <w:tcPr>
            <w:tcW w:w="0" w:type="auto"/>
            <w:gridSpan w:val="3"/>
            <w:shd w:val="clear" w:color="auto" w:fill="auto"/>
            <w:tcMar>
              <w:top w:w="40" w:type="dxa"/>
              <w:left w:w="20" w:type="dxa"/>
              <w:bottom w:w="40" w:type="dxa"/>
              <w:right w:w="20" w:type="dxa"/>
            </w:tcMar>
            <w:vAlign w:val="bottom"/>
          </w:tcPr>
          <w:p w14:paraId="20AE203B" w14:textId="77777777" w:rsidR="00B626E7" w:rsidRDefault="00175C1D">
            <w:pPr>
              <w:ind w:hanging="180"/>
              <w:textAlignment w:val="bottom"/>
            </w:pPr>
            <w:r>
              <w:rPr>
                <w:rFonts w:ascii="Arial" w:eastAsia="宋体" w:hAnsi="Arial" w:cs="Arial"/>
                <w:b/>
                <w:bCs/>
                <w:color w:val="333333"/>
                <w:sz w:val="18"/>
                <w:szCs w:val="18"/>
              </w:rPr>
              <w:t>Total assets</w:t>
            </w:r>
          </w:p>
        </w:tc>
        <w:tc>
          <w:tcPr>
            <w:tcW w:w="0" w:type="auto"/>
            <w:gridSpan w:val="3"/>
            <w:shd w:val="clear" w:color="auto" w:fill="auto"/>
            <w:tcMar>
              <w:left w:w="20" w:type="dxa"/>
              <w:right w:w="20" w:type="dxa"/>
            </w:tcMar>
            <w:vAlign w:val="bottom"/>
          </w:tcPr>
          <w:p w14:paraId="20AE203C" w14:textId="77777777" w:rsidR="00B626E7" w:rsidRDefault="00B626E7">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20AE203D" w14:textId="77777777" w:rsidR="00B626E7" w:rsidRDefault="00175C1D">
            <w:pPr>
              <w:textAlignment w:val="bottom"/>
            </w:pPr>
            <w:r>
              <w:rPr>
                <w:rFonts w:ascii="Arial" w:eastAsia="宋体" w:hAnsi="Arial" w:cs="Arial"/>
                <w:b/>
                <w:bCs/>
                <w:color w:val="026DCE"/>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20AE203E" w14:textId="77777777" w:rsidR="00B626E7" w:rsidRDefault="00175C1D">
            <w:pPr>
              <w:jc w:val="right"/>
              <w:textAlignment w:val="bottom"/>
            </w:pPr>
            <w:r>
              <w:rPr>
                <w:rFonts w:ascii="Arial" w:eastAsia="宋体" w:hAnsi="Arial" w:cs="Arial"/>
                <w:b/>
                <w:bCs/>
                <w:color w:val="026DCE"/>
                <w:sz w:val="18"/>
                <w:szCs w:val="18"/>
              </w:rPr>
              <w:t>3,485 </w:t>
            </w:r>
          </w:p>
        </w:tc>
        <w:tc>
          <w:tcPr>
            <w:tcW w:w="0" w:type="auto"/>
            <w:tcBorders>
              <w:top w:val="single" w:sz="8" w:space="0" w:color="333333"/>
            </w:tcBorders>
            <w:shd w:val="clear" w:color="auto" w:fill="auto"/>
            <w:tcMar>
              <w:top w:w="40" w:type="dxa"/>
              <w:bottom w:w="40" w:type="dxa"/>
              <w:right w:w="20" w:type="dxa"/>
            </w:tcMar>
            <w:vAlign w:val="bottom"/>
          </w:tcPr>
          <w:p w14:paraId="20AE203F"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2040" w14:textId="77777777" w:rsidR="00B626E7" w:rsidRDefault="00B626E7">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20AE2041" w14:textId="77777777" w:rsidR="00B626E7" w:rsidRDefault="00175C1D">
            <w:pPr>
              <w:textAlignment w:val="bottom"/>
            </w:pPr>
            <w:r>
              <w:rPr>
                <w:rFonts w:ascii="Arial" w:eastAsia="宋体" w:hAnsi="Arial" w:cs="Arial"/>
                <w:b/>
                <w:bCs/>
                <w:color w:val="026DCE"/>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20AE2042" w14:textId="77777777" w:rsidR="00B626E7" w:rsidRDefault="00175C1D">
            <w:pPr>
              <w:jc w:val="right"/>
              <w:textAlignment w:val="bottom"/>
            </w:pPr>
            <w:r>
              <w:rPr>
                <w:rFonts w:ascii="Arial" w:eastAsia="宋体" w:hAnsi="Arial" w:cs="Arial"/>
                <w:b/>
                <w:bCs/>
                <w:color w:val="026DCE"/>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20AE2043"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2044" w14:textId="77777777" w:rsidR="00B626E7" w:rsidRDefault="00B626E7">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20AE2045" w14:textId="77777777" w:rsidR="00B626E7" w:rsidRDefault="00175C1D">
            <w:pPr>
              <w:textAlignment w:val="bottom"/>
            </w:pPr>
            <w:r>
              <w:rPr>
                <w:rFonts w:ascii="Arial" w:eastAsia="宋体" w:hAnsi="Arial" w:cs="Arial"/>
                <w:b/>
                <w:bCs/>
                <w:color w:val="026DCE"/>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20AE2046" w14:textId="77777777" w:rsidR="00B626E7" w:rsidRDefault="00175C1D">
            <w:pPr>
              <w:jc w:val="right"/>
              <w:textAlignment w:val="bottom"/>
            </w:pPr>
            <w:r>
              <w:rPr>
                <w:rFonts w:ascii="Arial" w:eastAsia="宋体" w:hAnsi="Arial" w:cs="Arial"/>
                <w:b/>
                <w:bCs/>
                <w:color w:val="026DCE"/>
                <w:sz w:val="18"/>
                <w:szCs w:val="18"/>
              </w:rPr>
              <w:t>3,485 </w:t>
            </w:r>
          </w:p>
        </w:tc>
        <w:tc>
          <w:tcPr>
            <w:tcW w:w="0" w:type="auto"/>
            <w:tcBorders>
              <w:top w:val="single" w:sz="8" w:space="0" w:color="333333"/>
            </w:tcBorders>
            <w:shd w:val="clear" w:color="auto" w:fill="auto"/>
            <w:tcMar>
              <w:top w:w="40" w:type="dxa"/>
              <w:bottom w:w="40" w:type="dxa"/>
              <w:right w:w="20" w:type="dxa"/>
            </w:tcMar>
            <w:vAlign w:val="bottom"/>
          </w:tcPr>
          <w:p w14:paraId="20AE2047"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2048" w14:textId="77777777" w:rsidR="00B626E7" w:rsidRDefault="00B626E7">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20AE2049" w14:textId="77777777" w:rsidR="00B626E7" w:rsidRDefault="00175C1D">
            <w:pPr>
              <w:textAlignment w:val="bottom"/>
            </w:pPr>
            <w:r>
              <w:rPr>
                <w:rFonts w:ascii="Arial" w:eastAsia="宋体" w:hAnsi="Arial" w:cs="Arial"/>
                <w:b/>
                <w:bCs/>
                <w:color w:val="026DCE"/>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20AE204A" w14:textId="77777777" w:rsidR="00B626E7" w:rsidRDefault="00175C1D">
            <w:pPr>
              <w:jc w:val="right"/>
              <w:textAlignment w:val="bottom"/>
            </w:pPr>
            <w:r>
              <w:rPr>
                <w:rFonts w:ascii="Arial" w:eastAsia="宋体" w:hAnsi="Arial" w:cs="Arial"/>
                <w:b/>
                <w:bCs/>
                <w:color w:val="026DCE"/>
                <w:sz w:val="18"/>
                <w:szCs w:val="18"/>
              </w:rPr>
              <w:t>(318)</w:t>
            </w:r>
          </w:p>
        </w:tc>
        <w:tc>
          <w:tcPr>
            <w:tcW w:w="0" w:type="auto"/>
            <w:tcBorders>
              <w:top w:val="single" w:sz="8" w:space="0" w:color="333333"/>
            </w:tcBorders>
            <w:shd w:val="clear" w:color="auto" w:fill="auto"/>
            <w:tcMar>
              <w:top w:w="40" w:type="dxa"/>
              <w:bottom w:w="40" w:type="dxa"/>
              <w:right w:w="20" w:type="dxa"/>
            </w:tcMar>
            <w:vAlign w:val="bottom"/>
          </w:tcPr>
          <w:p w14:paraId="20AE204B"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204C" w14:textId="77777777" w:rsidR="00B626E7" w:rsidRDefault="00B626E7">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20AE204D" w14:textId="77777777" w:rsidR="00B626E7" w:rsidRDefault="00175C1D">
            <w:pPr>
              <w:textAlignment w:val="bottom"/>
            </w:pPr>
            <w:r>
              <w:rPr>
                <w:rFonts w:ascii="Arial" w:eastAsia="宋体" w:hAnsi="Arial" w:cs="Arial"/>
                <w:b/>
                <w:bCs/>
                <w:color w:val="026DCE"/>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20AE204E" w14:textId="77777777" w:rsidR="00B626E7" w:rsidRDefault="00175C1D">
            <w:pPr>
              <w:jc w:val="right"/>
              <w:textAlignment w:val="bottom"/>
            </w:pPr>
            <w:r>
              <w:rPr>
                <w:rFonts w:ascii="Arial" w:eastAsia="宋体" w:hAnsi="Arial" w:cs="Arial"/>
                <w:b/>
                <w:bCs/>
                <w:color w:val="026DCE"/>
                <w:sz w:val="18"/>
                <w:szCs w:val="18"/>
              </w:rPr>
              <w:t>(3,130)</w:t>
            </w:r>
          </w:p>
        </w:tc>
        <w:tc>
          <w:tcPr>
            <w:tcW w:w="0" w:type="auto"/>
            <w:tcBorders>
              <w:top w:val="single" w:sz="8" w:space="0" w:color="333333"/>
            </w:tcBorders>
            <w:shd w:val="clear" w:color="auto" w:fill="auto"/>
            <w:tcMar>
              <w:top w:w="40" w:type="dxa"/>
              <w:bottom w:w="40" w:type="dxa"/>
              <w:right w:w="20" w:type="dxa"/>
            </w:tcMar>
            <w:vAlign w:val="bottom"/>
          </w:tcPr>
          <w:p w14:paraId="20AE204F"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2050" w14:textId="77777777" w:rsidR="00B626E7" w:rsidRDefault="00B626E7">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20AE2051" w14:textId="77777777" w:rsidR="00B626E7" w:rsidRDefault="00175C1D">
            <w:pPr>
              <w:textAlignment w:val="bottom"/>
            </w:pPr>
            <w:r>
              <w:rPr>
                <w:rFonts w:ascii="Arial" w:eastAsia="宋体" w:hAnsi="Arial" w:cs="Arial"/>
                <w:b/>
                <w:bCs/>
                <w:color w:val="026DCE"/>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20AE2052" w14:textId="77777777" w:rsidR="00B626E7" w:rsidRDefault="00175C1D">
            <w:pPr>
              <w:jc w:val="right"/>
              <w:textAlignment w:val="bottom"/>
            </w:pPr>
            <w:r>
              <w:rPr>
                <w:rFonts w:ascii="Arial" w:eastAsia="宋体" w:hAnsi="Arial" w:cs="Arial"/>
                <w:b/>
                <w:bCs/>
                <w:color w:val="026DCE"/>
                <w:sz w:val="18"/>
                <w:szCs w:val="18"/>
              </w:rPr>
              <w:t>37 </w:t>
            </w:r>
          </w:p>
        </w:tc>
        <w:tc>
          <w:tcPr>
            <w:tcW w:w="0" w:type="auto"/>
            <w:tcBorders>
              <w:top w:val="single" w:sz="8" w:space="0" w:color="333333"/>
            </w:tcBorders>
            <w:shd w:val="clear" w:color="auto" w:fill="auto"/>
            <w:tcMar>
              <w:top w:w="40" w:type="dxa"/>
              <w:bottom w:w="40" w:type="dxa"/>
              <w:right w:w="20" w:type="dxa"/>
            </w:tcMar>
            <w:vAlign w:val="bottom"/>
          </w:tcPr>
          <w:p w14:paraId="20AE2053" w14:textId="77777777" w:rsidR="00B626E7" w:rsidRDefault="00175C1D">
            <w:pPr>
              <w:jc w:val="right"/>
              <w:textAlignment w:val="bottom"/>
            </w:pPr>
            <w:r>
              <w:rPr>
                <w:rFonts w:ascii="Arial" w:eastAsia="宋体" w:hAnsi="Arial" w:cs="Arial"/>
                <w:b/>
                <w:bCs/>
                <w:color w:val="026DCE"/>
                <w:sz w:val="18"/>
                <w:szCs w:val="18"/>
              </w:rPr>
              <w:t> </w:t>
            </w:r>
          </w:p>
        </w:tc>
        <w:tc>
          <w:tcPr>
            <w:tcW w:w="0" w:type="auto"/>
            <w:shd w:val="clear" w:color="auto" w:fill="auto"/>
          </w:tcPr>
          <w:p w14:paraId="20AE2054" w14:textId="77777777" w:rsidR="00B626E7" w:rsidRDefault="00B626E7">
            <w:pPr>
              <w:rPr>
                <w:rFonts w:ascii="宋体"/>
              </w:rPr>
            </w:pPr>
          </w:p>
        </w:tc>
        <w:tc>
          <w:tcPr>
            <w:tcW w:w="0" w:type="auto"/>
            <w:shd w:val="clear" w:color="auto" w:fill="auto"/>
          </w:tcPr>
          <w:p w14:paraId="20AE2055" w14:textId="77777777" w:rsidR="00B626E7" w:rsidRDefault="00B626E7">
            <w:pPr>
              <w:rPr>
                <w:rFonts w:ascii="宋体"/>
              </w:rPr>
            </w:pPr>
          </w:p>
        </w:tc>
        <w:tc>
          <w:tcPr>
            <w:tcW w:w="0" w:type="auto"/>
            <w:shd w:val="clear" w:color="auto" w:fill="auto"/>
          </w:tcPr>
          <w:p w14:paraId="20AE2056" w14:textId="77777777" w:rsidR="00B626E7" w:rsidRDefault="00B626E7">
            <w:pPr>
              <w:rPr>
                <w:rFonts w:ascii="宋体"/>
              </w:rPr>
            </w:pPr>
          </w:p>
        </w:tc>
        <w:tc>
          <w:tcPr>
            <w:tcW w:w="0" w:type="auto"/>
            <w:shd w:val="clear" w:color="auto" w:fill="auto"/>
          </w:tcPr>
          <w:p w14:paraId="20AE2057" w14:textId="77777777" w:rsidR="00B626E7" w:rsidRDefault="00B626E7">
            <w:pPr>
              <w:rPr>
                <w:rFonts w:ascii="宋体"/>
              </w:rPr>
            </w:pPr>
          </w:p>
        </w:tc>
        <w:tc>
          <w:tcPr>
            <w:tcW w:w="0" w:type="auto"/>
            <w:shd w:val="clear" w:color="auto" w:fill="auto"/>
          </w:tcPr>
          <w:p w14:paraId="20AE2058" w14:textId="77777777" w:rsidR="00B626E7" w:rsidRDefault="00B626E7">
            <w:pPr>
              <w:rPr>
                <w:rFonts w:ascii="宋体"/>
              </w:rPr>
            </w:pPr>
          </w:p>
        </w:tc>
        <w:tc>
          <w:tcPr>
            <w:tcW w:w="0" w:type="auto"/>
            <w:shd w:val="clear" w:color="auto" w:fill="auto"/>
          </w:tcPr>
          <w:p w14:paraId="20AE2059" w14:textId="77777777" w:rsidR="00B626E7" w:rsidRDefault="00B626E7">
            <w:pPr>
              <w:rPr>
                <w:rFonts w:ascii="宋体"/>
              </w:rPr>
            </w:pPr>
          </w:p>
        </w:tc>
        <w:tc>
          <w:tcPr>
            <w:tcW w:w="0" w:type="auto"/>
            <w:shd w:val="clear" w:color="auto" w:fill="auto"/>
          </w:tcPr>
          <w:p w14:paraId="20AE205A" w14:textId="77777777" w:rsidR="00B626E7" w:rsidRDefault="00B626E7">
            <w:pPr>
              <w:rPr>
                <w:rFonts w:ascii="宋体"/>
              </w:rPr>
            </w:pPr>
          </w:p>
        </w:tc>
        <w:tc>
          <w:tcPr>
            <w:tcW w:w="0" w:type="auto"/>
            <w:shd w:val="clear" w:color="auto" w:fill="auto"/>
          </w:tcPr>
          <w:p w14:paraId="20AE205B" w14:textId="77777777" w:rsidR="00B626E7" w:rsidRDefault="00B626E7">
            <w:pPr>
              <w:rPr>
                <w:rFonts w:ascii="宋体"/>
              </w:rPr>
            </w:pPr>
          </w:p>
        </w:tc>
        <w:tc>
          <w:tcPr>
            <w:tcW w:w="0" w:type="auto"/>
            <w:shd w:val="clear" w:color="auto" w:fill="auto"/>
          </w:tcPr>
          <w:p w14:paraId="20AE205C" w14:textId="77777777" w:rsidR="00B626E7" w:rsidRDefault="00B626E7">
            <w:pPr>
              <w:rPr>
                <w:rFonts w:ascii="宋体"/>
              </w:rPr>
            </w:pPr>
          </w:p>
        </w:tc>
        <w:tc>
          <w:tcPr>
            <w:tcW w:w="0" w:type="auto"/>
            <w:shd w:val="clear" w:color="auto" w:fill="auto"/>
          </w:tcPr>
          <w:p w14:paraId="20AE205D" w14:textId="77777777" w:rsidR="00B626E7" w:rsidRDefault="00B626E7">
            <w:pPr>
              <w:rPr>
                <w:rFonts w:ascii="宋体"/>
              </w:rPr>
            </w:pPr>
          </w:p>
        </w:tc>
        <w:tc>
          <w:tcPr>
            <w:tcW w:w="0" w:type="auto"/>
            <w:shd w:val="clear" w:color="auto" w:fill="auto"/>
          </w:tcPr>
          <w:p w14:paraId="20AE205E" w14:textId="77777777" w:rsidR="00B626E7" w:rsidRDefault="00B626E7">
            <w:pPr>
              <w:rPr>
                <w:rFonts w:ascii="宋体"/>
              </w:rPr>
            </w:pPr>
          </w:p>
        </w:tc>
        <w:tc>
          <w:tcPr>
            <w:tcW w:w="0" w:type="auto"/>
            <w:shd w:val="clear" w:color="auto" w:fill="auto"/>
          </w:tcPr>
          <w:p w14:paraId="20AE205F" w14:textId="77777777" w:rsidR="00B626E7" w:rsidRDefault="00B626E7">
            <w:pPr>
              <w:rPr>
                <w:rFonts w:ascii="宋体"/>
              </w:rPr>
            </w:pPr>
          </w:p>
        </w:tc>
        <w:tc>
          <w:tcPr>
            <w:tcW w:w="0" w:type="auto"/>
            <w:shd w:val="clear" w:color="auto" w:fill="auto"/>
          </w:tcPr>
          <w:p w14:paraId="20AE2060" w14:textId="77777777" w:rsidR="00B626E7" w:rsidRDefault="00B626E7">
            <w:pPr>
              <w:rPr>
                <w:rFonts w:ascii="宋体"/>
              </w:rPr>
            </w:pPr>
          </w:p>
        </w:tc>
        <w:tc>
          <w:tcPr>
            <w:tcW w:w="0" w:type="auto"/>
            <w:shd w:val="clear" w:color="auto" w:fill="auto"/>
          </w:tcPr>
          <w:p w14:paraId="20AE2061" w14:textId="77777777" w:rsidR="00B626E7" w:rsidRDefault="00B626E7">
            <w:pPr>
              <w:rPr>
                <w:rFonts w:ascii="宋体"/>
              </w:rPr>
            </w:pPr>
          </w:p>
        </w:tc>
        <w:tc>
          <w:tcPr>
            <w:tcW w:w="0" w:type="auto"/>
            <w:shd w:val="clear" w:color="auto" w:fill="auto"/>
          </w:tcPr>
          <w:p w14:paraId="20AE2062" w14:textId="77777777" w:rsidR="00B626E7" w:rsidRDefault="00B626E7">
            <w:pPr>
              <w:rPr>
                <w:rFonts w:ascii="宋体"/>
              </w:rPr>
            </w:pPr>
          </w:p>
        </w:tc>
        <w:tc>
          <w:tcPr>
            <w:tcW w:w="0" w:type="auto"/>
            <w:shd w:val="clear" w:color="auto" w:fill="auto"/>
          </w:tcPr>
          <w:p w14:paraId="20AE2063" w14:textId="77777777" w:rsidR="00B626E7" w:rsidRDefault="00B626E7">
            <w:pPr>
              <w:rPr>
                <w:rFonts w:ascii="宋体"/>
              </w:rPr>
            </w:pPr>
          </w:p>
        </w:tc>
        <w:tc>
          <w:tcPr>
            <w:tcW w:w="0" w:type="auto"/>
            <w:shd w:val="clear" w:color="auto" w:fill="auto"/>
          </w:tcPr>
          <w:p w14:paraId="20AE2064" w14:textId="77777777" w:rsidR="00B626E7" w:rsidRDefault="00B626E7">
            <w:pPr>
              <w:rPr>
                <w:rFonts w:ascii="宋体"/>
              </w:rPr>
            </w:pPr>
          </w:p>
        </w:tc>
        <w:tc>
          <w:tcPr>
            <w:tcW w:w="0" w:type="auto"/>
            <w:shd w:val="clear" w:color="auto" w:fill="auto"/>
          </w:tcPr>
          <w:p w14:paraId="20AE2065" w14:textId="77777777" w:rsidR="00B626E7" w:rsidRDefault="00B626E7">
            <w:pPr>
              <w:rPr>
                <w:rFonts w:ascii="宋体"/>
              </w:rPr>
            </w:pPr>
          </w:p>
        </w:tc>
        <w:tc>
          <w:tcPr>
            <w:tcW w:w="0" w:type="auto"/>
            <w:shd w:val="clear" w:color="auto" w:fill="auto"/>
          </w:tcPr>
          <w:p w14:paraId="20AE2066" w14:textId="77777777" w:rsidR="00B626E7" w:rsidRDefault="00B626E7">
            <w:pPr>
              <w:rPr>
                <w:rFonts w:ascii="宋体"/>
              </w:rPr>
            </w:pPr>
          </w:p>
        </w:tc>
        <w:tc>
          <w:tcPr>
            <w:tcW w:w="0" w:type="auto"/>
            <w:shd w:val="clear" w:color="auto" w:fill="auto"/>
          </w:tcPr>
          <w:p w14:paraId="20AE2067" w14:textId="77777777" w:rsidR="00B626E7" w:rsidRDefault="00B626E7">
            <w:pPr>
              <w:rPr>
                <w:rFonts w:ascii="宋体"/>
              </w:rPr>
            </w:pPr>
          </w:p>
        </w:tc>
        <w:tc>
          <w:tcPr>
            <w:tcW w:w="0" w:type="auto"/>
            <w:shd w:val="clear" w:color="auto" w:fill="auto"/>
          </w:tcPr>
          <w:p w14:paraId="20AE2068" w14:textId="77777777" w:rsidR="00B626E7" w:rsidRDefault="00B626E7">
            <w:pPr>
              <w:rPr>
                <w:rFonts w:ascii="宋体"/>
              </w:rPr>
            </w:pPr>
          </w:p>
        </w:tc>
        <w:tc>
          <w:tcPr>
            <w:tcW w:w="0" w:type="auto"/>
            <w:shd w:val="clear" w:color="auto" w:fill="auto"/>
          </w:tcPr>
          <w:p w14:paraId="20AE2069" w14:textId="77777777" w:rsidR="00B626E7" w:rsidRDefault="00B626E7">
            <w:pPr>
              <w:rPr>
                <w:rFonts w:ascii="宋体"/>
              </w:rPr>
            </w:pPr>
          </w:p>
        </w:tc>
        <w:tc>
          <w:tcPr>
            <w:tcW w:w="0" w:type="auto"/>
            <w:shd w:val="clear" w:color="auto" w:fill="auto"/>
          </w:tcPr>
          <w:p w14:paraId="20AE206A" w14:textId="77777777" w:rsidR="00B626E7" w:rsidRDefault="00B626E7">
            <w:pPr>
              <w:rPr>
                <w:rFonts w:ascii="宋体"/>
              </w:rPr>
            </w:pPr>
          </w:p>
        </w:tc>
        <w:tc>
          <w:tcPr>
            <w:tcW w:w="0" w:type="auto"/>
            <w:shd w:val="clear" w:color="auto" w:fill="auto"/>
          </w:tcPr>
          <w:p w14:paraId="20AE206B" w14:textId="77777777" w:rsidR="00B626E7" w:rsidRDefault="00B626E7">
            <w:pPr>
              <w:rPr>
                <w:rFonts w:ascii="宋体"/>
              </w:rPr>
            </w:pPr>
          </w:p>
        </w:tc>
      </w:tr>
      <w:tr w:rsidR="00B626E7" w14:paraId="20AE2092" w14:textId="77777777">
        <w:tc>
          <w:tcPr>
            <w:tcW w:w="0" w:type="auto"/>
            <w:gridSpan w:val="3"/>
            <w:shd w:val="clear" w:color="auto" w:fill="auto"/>
            <w:tcMar>
              <w:top w:w="40" w:type="dxa"/>
              <w:left w:w="20" w:type="dxa"/>
              <w:bottom w:w="40" w:type="dxa"/>
              <w:right w:w="20" w:type="dxa"/>
            </w:tcMar>
            <w:vAlign w:val="bottom"/>
          </w:tcPr>
          <w:p w14:paraId="20AE206D" w14:textId="77777777" w:rsidR="00B626E7" w:rsidRDefault="00175C1D">
            <w:pPr>
              <w:ind w:hanging="180"/>
              <w:textAlignment w:val="bottom"/>
            </w:pPr>
            <w:r>
              <w:rPr>
                <w:rFonts w:ascii="Arial" w:eastAsia="宋体" w:hAnsi="Arial" w:cs="Arial"/>
                <w:color w:val="333333"/>
                <w:sz w:val="18"/>
                <w:szCs w:val="18"/>
              </w:rPr>
              <w:t>Liabilities:</w:t>
            </w:r>
          </w:p>
        </w:tc>
        <w:tc>
          <w:tcPr>
            <w:tcW w:w="0" w:type="auto"/>
            <w:gridSpan w:val="3"/>
            <w:shd w:val="clear" w:color="auto" w:fill="auto"/>
            <w:tcMar>
              <w:left w:w="20" w:type="dxa"/>
              <w:right w:w="20" w:type="dxa"/>
            </w:tcMar>
            <w:vAlign w:val="bottom"/>
          </w:tcPr>
          <w:p w14:paraId="20AE206E" w14:textId="77777777" w:rsidR="00B626E7" w:rsidRDefault="00B626E7">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20AE206F"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070" w14:textId="77777777" w:rsidR="00B626E7" w:rsidRDefault="00B626E7">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20AE2071"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072" w14:textId="77777777" w:rsidR="00B626E7" w:rsidRDefault="00B626E7">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20AE2073"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074" w14:textId="77777777" w:rsidR="00B626E7" w:rsidRDefault="00B626E7">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20AE2075"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076" w14:textId="77777777" w:rsidR="00B626E7" w:rsidRDefault="00B626E7">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20AE2077"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078" w14:textId="77777777" w:rsidR="00B626E7" w:rsidRDefault="00B626E7">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20AE2079" w14:textId="77777777" w:rsidR="00B626E7" w:rsidRDefault="00B626E7">
            <w:pPr>
              <w:rPr>
                <w:rFonts w:ascii="宋体"/>
              </w:rPr>
            </w:pPr>
          </w:p>
        </w:tc>
        <w:tc>
          <w:tcPr>
            <w:tcW w:w="0" w:type="auto"/>
            <w:shd w:val="clear" w:color="auto" w:fill="auto"/>
          </w:tcPr>
          <w:p w14:paraId="20AE207A" w14:textId="77777777" w:rsidR="00B626E7" w:rsidRDefault="00B626E7">
            <w:pPr>
              <w:rPr>
                <w:rFonts w:ascii="宋体"/>
              </w:rPr>
            </w:pPr>
          </w:p>
        </w:tc>
        <w:tc>
          <w:tcPr>
            <w:tcW w:w="0" w:type="auto"/>
            <w:shd w:val="clear" w:color="auto" w:fill="auto"/>
          </w:tcPr>
          <w:p w14:paraId="20AE207B" w14:textId="77777777" w:rsidR="00B626E7" w:rsidRDefault="00B626E7">
            <w:pPr>
              <w:rPr>
                <w:rFonts w:ascii="宋体"/>
              </w:rPr>
            </w:pPr>
          </w:p>
        </w:tc>
        <w:tc>
          <w:tcPr>
            <w:tcW w:w="0" w:type="auto"/>
            <w:shd w:val="clear" w:color="auto" w:fill="auto"/>
          </w:tcPr>
          <w:p w14:paraId="20AE207C" w14:textId="77777777" w:rsidR="00B626E7" w:rsidRDefault="00B626E7">
            <w:pPr>
              <w:rPr>
                <w:rFonts w:ascii="宋体"/>
              </w:rPr>
            </w:pPr>
          </w:p>
        </w:tc>
        <w:tc>
          <w:tcPr>
            <w:tcW w:w="0" w:type="auto"/>
            <w:shd w:val="clear" w:color="auto" w:fill="auto"/>
          </w:tcPr>
          <w:p w14:paraId="20AE207D" w14:textId="77777777" w:rsidR="00B626E7" w:rsidRDefault="00B626E7">
            <w:pPr>
              <w:rPr>
                <w:rFonts w:ascii="宋体"/>
              </w:rPr>
            </w:pPr>
          </w:p>
        </w:tc>
        <w:tc>
          <w:tcPr>
            <w:tcW w:w="0" w:type="auto"/>
            <w:shd w:val="clear" w:color="auto" w:fill="auto"/>
          </w:tcPr>
          <w:p w14:paraId="20AE207E" w14:textId="77777777" w:rsidR="00B626E7" w:rsidRDefault="00B626E7">
            <w:pPr>
              <w:rPr>
                <w:rFonts w:ascii="宋体"/>
              </w:rPr>
            </w:pPr>
          </w:p>
        </w:tc>
        <w:tc>
          <w:tcPr>
            <w:tcW w:w="0" w:type="auto"/>
            <w:shd w:val="clear" w:color="auto" w:fill="auto"/>
          </w:tcPr>
          <w:p w14:paraId="20AE207F" w14:textId="77777777" w:rsidR="00B626E7" w:rsidRDefault="00B626E7">
            <w:pPr>
              <w:rPr>
                <w:rFonts w:ascii="宋体"/>
              </w:rPr>
            </w:pPr>
          </w:p>
        </w:tc>
        <w:tc>
          <w:tcPr>
            <w:tcW w:w="0" w:type="auto"/>
            <w:shd w:val="clear" w:color="auto" w:fill="auto"/>
          </w:tcPr>
          <w:p w14:paraId="20AE2080" w14:textId="77777777" w:rsidR="00B626E7" w:rsidRDefault="00B626E7">
            <w:pPr>
              <w:rPr>
                <w:rFonts w:ascii="宋体"/>
              </w:rPr>
            </w:pPr>
          </w:p>
        </w:tc>
        <w:tc>
          <w:tcPr>
            <w:tcW w:w="0" w:type="auto"/>
            <w:shd w:val="clear" w:color="auto" w:fill="auto"/>
          </w:tcPr>
          <w:p w14:paraId="20AE2081" w14:textId="77777777" w:rsidR="00B626E7" w:rsidRDefault="00B626E7">
            <w:pPr>
              <w:rPr>
                <w:rFonts w:ascii="宋体"/>
              </w:rPr>
            </w:pPr>
          </w:p>
        </w:tc>
        <w:tc>
          <w:tcPr>
            <w:tcW w:w="0" w:type="auto"/>
            <w:shd w:val="clear" w:color="auto" w:fill="auto"/>
          </w:tcPr>
          <w:p w14:paraId="20AE2082" w14:textId="77777777" w:rsidR="00B626E7" w:rsidRDefault="00B626E7">
            <w:pPr>
              <w:rPr>
                <w:rFonts w:ascii="宋体"/>
              </w:rPr>
            </w:pPr>
          </w:p>
        </w:tc>
        <w:tc>
          <w:tcPr>
            <w:tcW w:w="0" w:type="auto"/>
            <w:shd w:val="clear" w:color="auto" w:fill="auto"/>
          </w:tcPr>
          <w:p w14:paraId="20AE2083" w14:textId="77777777" w:rsidR="00B626E7" w:rsidRDefault="00B626E7">
            <w:pPr>
              <w:rPr>
                <w:rFonts w:ascii="宋体"/>
              </w:rPr>
            </w:pPr>
          </w:p>
        </w:tc>
        <w:tc>
          <w:tcPr>
            <w:tcW w:w="0" w:type="auto"/>
            <w:shd w:val="clear" w:color="auto" w:fill="auto"/>
          </w:tcPr>
          <w:p w14:paraId="20AE2084" w14:textId="77777777" w:rsidR="00B626E7" w:rsidRDefault="00B626E7">
            <w:pPr>
              <w:rPr>
                <w:rFonts w:ascii="宋体"/>
              </w:rPr>
            </w:pPr>
          </w:p>
        </w:tc>
        <w:tc>
          <w:tcPr>
            <w:tcW w:w="0" w:type="auto"/>
            <w:shd w:val="clear" w:color="auto" w:fill="auto"/>
          </w:tcPr>
          <w:p w14:paraId="20AE2085" w14:textId="77777777" w:rsidR="00B626E7" w:rsidRDefault="00B626E7">
            <w:pPr>
              <w:rPr>
                <w:rFonts w:ascii="宋体"/>
              </w:rPr>
            </w:pPr>
          </w:p>
        </w:tc>
        <w:tc>
          <w:tcPr>
            <w:tcW w:w="0" w:type="auto"/>
            <w:shd w:val="clear" w:color="auto" w:fill="auto"/>
          </w:tcPr>
          <w:p w14:paraId="20AE2086" w14:textId="77777777" w:rsidR="00B626E7" w:rsidRDefault="00B626E7">
            <w:pPr>
              <w:rPr>
                <w:rFonts w:ascii="宋体"/>
              </w:rPr>
            </w:pPr>
          </w:p>
        </w:tc>
        <w:tc>
          <w:tcPr>
            <w:tcW w:w="0" w:type="auto"/>
            <w:shd w:val="clear" w:color="auto" w:fill="auto"/>
          </w:tcPr>
          <w:p w14:paraId="20AE2087" w14:textId="77777777" w:rsidR="00B626E7" w:rsidRDefault="00B626E7">
            <w:pPr>
              <w:rPr>
                <w:rFonts w:ascii="宋体"/>
              </w:rPr>
            </w:pPr>
          </w:p>
        </w:tc>
        <w:tc>
          <w:tcPr>
            <w:tcW w:w="0" w:type="auto"/>
            <w:shd w:val="clear" w:color="auto" w:fill="auto"/>
          </w:tcPr>
          <w:p w14:paraId="20AE2088" w14:textId="77777777" w:rsidR="00B626E7" w:rsidRDefault="00B626E7">
            <w:pPr>
              <w:rPr>
                <w:rFonts w:ascii="宋体"/>
              </w:rPr>
            </w:pPr>
          </w:p>
        </w:tc>
        <w:tc>
          <w:tcPr>
            <w:tcW w:w="0" w:type="auto"/>
            <w:shd w:val="clear" w:color="auto" w:fill="auto"/>
          </w:tcPr>
          <w:p w14:paraId="20AE2089" w14:textId="77777777" w:rsidR="00B626E7" w:rsidRDefault="00B626E7">
            <w:pPr>
              <w:rPr>
                <w:rFonts w:ascii="宋体"/>
              </w:rPr>
            </w:pPr>
          </w:p>
        </w:tc>
        <w:tc>
          <w:tcPr>
            <w:tcW w:w="0" w:type="auto"/>
            <w:shd w:val="clear" w:color="auto" w:fill="auto"/>
          </w:tcPr>
          <w:p w14:paraId="20AE208A" w14:textId="77777777" w:rsidR="00B626E7" w:rsidRDefault="00B626E7">
            <w:pPr>
              <w:rPr>
                <w:rFonts w:ascii="宋体"/>
              </w:rPr>
            </w:pPr>
          </w:p>
        </w:tc>
        <w:tc>
          <w:tcPr>
            <w:tcW w:w="0" w:type="auto"/>
            <w:shd w:val="clear" w:color="auto" w:fill="auto"/>
          </w:tcPr>
          <w:p w14:paraId="20AE208B" w14:textId="77777777" w:rsidR="00B626E7" w:rsidRDefault="00B626E7">
            <w:pPr>
              <w:rPr>
                <w:rFonts w:ascii="宋体"/>
              </w:rPr>
            </w:pPr>
          </w:p>
        </w:tc>
        <w:tc>
          <w:tcPr>
            <w:tcW w:w="0" w:type="auto"/>
            <w:shd w:val="clear" w:color="auto" w:fill="auto"/>
          </w:tcPr>
          <w:p w14:paraId="20AE208C" w14:textId="77777777" w:rsidR="00B626E7" w:rsidRDefault="00B626E7">
            <w:pPr>
              <w:rPr>
                <w:rFonts w:ascii="宋体"/>
              </w:rPr>
            </w:pPr>
          </w:p>
        </w:tc>
        <w:tc>
          <w:tcPr>
            <w:tcW w:w="0" w:type="auto"/>
            <w:shd w:val="clear" w:color="auto" w:fill="auto"/>
          </w:tcPr>
          <w:p w14:paraId="20AE208D" w14:textId="77777777" w:rsidR="00B626E7" w:rsidRDefault="00B626E7">
            <w:pPr>
              <w:rPr>
                <w:rFonts w:ascii="宋体"/>
              </w:rPr>
            </w:pPr>
          </w:p>
        </w:tc>
        <w:tc>
          <w:tcPr>
            <w:tcW w:w="0" w:type="auto"/>
            <w:shd w:val="clear" w:color="auto" w:fill="auto"/>
          </w:tcPr>
          <w:p w14:paraId="20AE208E" w14:textId="77777777" w:rsidR="00B626E7" w:rsidRDefault="00B626E7">
            <w:pPr>
              <w:rPr>
                <w:rFonts w:ascii="宋体"/>
              </w:rPr>
            </w:pPr>
          </w:p>
        </w:tc>
        <w:tc>
          <w:tcPr>
            <w:tcW w:w="0" w:type="auto"/>
            <w:shd w:val="clear" w:color="auto" w:fill="auto"/>
          </w:tcPr>
          <w:p w14:paraId="20AE208F" w14:textId="77777777" w:rsidR="00B626E7" w:rsidRDefault="00B626E7">
            <w:pPr>
              <w:rPr>
                <w:rFonts w:ascii="宋体"/>
              </w:rPr>
            </w:pPr>
          </w:p>
        </w:tc>
        <w:tc>
          <w:tcPr>
            <w:tcW w:w="0" w:type="auto"/>
            <w:shd w:val="clear" w:color="auto" w:fill="auto"/>
          </w:tcPr>
          <w:p w14:paraId="20AE2090" w14:textId="77777777" w:rsidR="00B626E7" w:rsidRDefault="00B626E7">
            <w:pPr>
              <w:rPr>
                <w:rFonts w:ascii="宋体"/>
              </w:rPr>
            </w:pPr>
          </w:p>
        </w:tc>
        <w:tc>
          <w:tcPr>
            <w:tcW w:w="0" w:type="auto"/>
            <w:shd w:val="clear" w:color="auto" w:fill="auto"/>
          </w:tcPr>
          <w:p w14:paraId="20AE2091" w14:textId="77777777" w:rsidR="00B626E7" w:rsidRDefault="00B626E7">
            <w:pPr>
              <w:rPr>
                <w:rFonts w:ascii="宋体"/>
              </w:rPr>
            </w:pPr>
          </w:p>
        </w:tc>
      </w:tr>
      <w:tr w:rsidR="00B626E7" w14:paraId="20AE20C4" w14:textId="77777777">
        <w:tc>
          <w:tcPr>
            <w:tcW w:w="0" w:type="auto"/>
            <w:gridSpan w:val="3"/>
            <w:shd w:val="clear" w:color="auto" w:fill="auto"/>
            <w:tcMar>
              <w:top w:w="40" w:type="dxa"/>
              <w:left w:w="120" w:type="dxa"/>
              <w:bottom w:w="40" w:type="dxa"/>
              <w:right w:w="20" w:type="dxa"/>
            </w:tcMar>
            <w:vAlign w:val="bottom"/>
          </w:tcPr>
          <w:p w14:paraId="20AE2093" w14:textId="77777777" w:rsidR="00B626E7" w:rsidRDefault="00175C1D">
            <w:pPr>
              <w:textAlignment w:val="bottom"/>
            </w:pPr>
            <w:r>
              <w:rPr>
                <w:rFonts w:ascii="Arial" w:eastAsia="宋体" w:hAnsi="Arial" w:cs="Arial"/>
                <w:color w:val="333333"/>
                <w:sz w:val="18"/>
                <w:szCs w:val="18"/>
              </w:rPr>
              <w:t>Derivative liabilities subject to master netting arrangements</w:t>
            </w:r>
          </w:p>
        </w:tc>
        <w:tc>
          <w:tcPr>
            <w:tcW w:w="0" w:type="auto"/>
            <w:gridSpan w:val="3"/>
            <w:shd w:val="clear" w:color="auto" w:fill="auto"/>
            <w:tcMar>
              <w:left w:w="20" w:type="dxa"/>
              <w:right w:w="20" w:type="dxa"/>
            </w:tcMar>
            <w:vAlign w:val="bottom"/>
          </w:tcPr>
          <w:p w14:paraId="20AE2094"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2095" w14:textId="77777777" w:rsidR="00B626E7" w:rsidRDefault="00175C1D">
            <w:pPr>
              <w:textAlignment w:val="bottom"/>
            </w:pPr>
            <w:r>
              <w:rPr>
                <w:rFonts w:ascii="Arial" w:eastAsia="宋体" w:hAnsi="Arial" w:cs="Arial"/>
                <w:color w:val="026DCE"/>
                <w:sz w:val="18"/>
                <w:szCs w:val="18"/>
              </w:rPr>
              <w:t>$</w:t>
            </w:r>
          </w:p>
        </w:tc>
        <w:tc>
          <w:tcPr>
            <w:tcW w:w="0" w:type="auto"/>
            <w:shd w:val="clear" w:color="auto" w:fill="auto"/>
            <w:tcMar>
              <w:top w:w="40" w:type="dxa"/>
              <w:bottom w:w="40" w:type="dxa"/>
              <w:right w:w="0" w:type="dxa"/>
            </w:tcMar>
            <w:vAlign w:val="bottom"/>
          </w:tcPr>
          <w:p w14:paraId="20AE2096" w14:textId="77777777" w:rsidR="00B626E7" w:rsidRDefault="00175C1D">
            <w:pPr>
              <w:jc w:val="right"/>
              <w:textAlignment w:val="bottom"/>
            </w:pPr>
            <w:r>
              <w:rPr>
                <w:rFonts w:ascii="Arial" w:eastAsia="宋体" w:hAnsi="Arial" w:cs="Arial"/>
                <w:color w:val="026DCE"/>
                <w:sz w:val="18"/>
                <w:szCs w:val="18"/>
              </w:rPr>
              <w:t>397 </w:t>
            </w:r>
          </w:p>
        </w:tc>
        <w:tc>
          <w:tcPr>
            <w:tcW w:w="0" w:type="auto"/>
            <w:shd w:val="clear" w:color="auto" w:fill="auto"/>
            <w:tcMar>
              <w:top w:w="40" w:type="dxa"/>
              <w:bottom w:w="40" w:type="dxa"/>
              <w:right w:w="20" w:type="dxa"/>
            </w:tcMar>
            <w:vAlign w:val="bottom"/>
          </w:tcPr>
          <w:p w14:paraId="20AE2097"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2098"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2099" w14:textId="77777777" w:rsidR="00B626E7" w:rsidRDefault="00175C1D">
            <w:pPr>
              <w:textAlignment w:val="bottom"/>
            </w:pPr>
            <w:r>
              <w:rPr>
                <w:rFonts w:ascii="Arial" w:eastAsia="宋体" w:hAnsi="Arial" w:cs="Arial"/>
                <w:color w:val="026DCE"/>
                <w:sz w:val="18"/>
                <w:szCs w:val="18"/>
              </w:rPr>
              <w:t>$</w:t>
            </w:r>
          </w:p>
        </w:tc>
        <w:tc>
          <w:tcPr>
            <w:tcW w:w="0" w:type="auto"/>
            <w:shd w:val="clear" w:color="auto" w:fill="auto"/>
            <w:tcMar>
              <w:top w:w="40" w:type="dxa"/>
              <w:bottom w:w="40" w:type="dxa"/>
              <w:right w:w="0" w:type="dxa"/>
            </w:tcMar>
            <w:vAlign w:val="bottom"/>
          </w:tcPr>
          <w:p w14:paraId="20AE209A" w14:textId="77777777" w:rsidR="00B626E7" w:rsidRDefault="00175C1D">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20AE209B"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209C"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209D" w14:textId="77777777" w:rsidR="00B626E7" w:rsidRDefault="00175C1D">
            <w:pPr>
              <w:textAlignment w:val="bottom"/>
            </w:pPr>
            <w:r>
              <w:rPr>
                <w:rFonts w:ascii="Arial" w:eastAsia="宋体" w:hAnsi="Arial" w:cs="Arial"/>
                <w:color w:val="026DCE"/>
                <w:sz w:val="18"/>
                <w:szCs w:val="18"/>
              </w:rPr>
              <w:t>$</w:t>
            </w:r>
          </w:p>
        </w:tc>
        <w:tc>
          <w:tcPr>
            <w:tcW w:w="0" w:type="auto"/>
            <w:shd w:val="clear" w:color="auto" w:fill="auto"/>
            <w:tcMar>
              <w:top w:w="40" w:type="dxa"/>
              <w:bottom w:w="40" w:type="dxa"/>
              <w:right w:w="0" w:type="dxa"/>
            </w:tcMar>
            <w:vAlign w:val="bottom"/>
          </w:tcPr>
          <w:p w14:paraId="20AE209E" w14:textId="77777777" w:rsidR="00B626E7" w:rsidRDefault="00175C1D">
            <w:pPr>
              <w:jc w:val="right"/>
              <w:textAlignment w:val="bottom"/>
            </w:pPr>
            <w:r>
              <w:rPr>
                <w:rFonts w:ascii="Arial" w:eastAsia="宋体" w:hAnsi="Arial" w:cs="Arial"/>
                <w:color w:val="026DCE"/>
                <w:sz w:val="18"/>
                <w:szCs w:val="18"/>
              </w:rPr>
              <w:t>397 </w:t>
            </w:r>
          </w:p>
        </w:tc>
        <w:tc>
          <w:tcPr>
            <w:tcW w:w="0" w:type="auto"/>
            <w:shd w:val="clear" w:color="auto" w:fill="auto"/>
            <w:tcMar>
              <w:top w:w="40" w:type="dxa"/>
              <w:bottom w:w="40" w:type="dxa"/>
              <w:right w:w="20" w:type="dxa"/>
            </w:tcMar>
            <w:vAlign w:val="bottom"/>
          </w:tcPr>
          <w:p w14:paraId="20AE209F"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20A0"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20A1" w14:textId="77777777" w:rsidR="00B626E7" w:rsidRDefault="00175C1D">
            <w:pPr>
              <w:textAlignment w:val="bottom"/>
            </w:pPr>
            <w:r>
              <w:rPr>
                <w:rFonts w:ascii="Arial" w:eastAsia="宋体" w:hAnsi="Arial" w:cs="Arial"/>
                <w:color w:val="026DCE"/>
                <w:sz w:val="18"/>
                <w:szCs w:val="18"/>
              </w:rPr>
              <w:t>$</w:t>
            </w:r>
          </w:p>
        </w:tc>
        <w:tc>
          <w:tcPr>
            <w:tcW w:w="0" w:type="auto"/>
            <w:shd w:val="clear" w:color="auto" w:fill="auto"/>
            <w:tcMar>
              <w:top w:w="40" w:type="dxa"/>
              <w:bottom w:w="40" w:type="dxa"/>
              <w:right w:w="0" w:type="dxa"/>
            </w:tcMar>
            <w:vAlign w:val="bottom"/>
          </w:tcPr>
          <w:p w14:paraId="20AE20A2" w14:textId="77777777" w:rsidR="00B626E7" w:rsidRDefault="00175C1D">
            <w:pPr>
              <w:jc w:val="right"/>
              <w:textAlignment w:val="bottom"/>
            </w:pPr>
            <w:r>
              <w:rPr>
                <w:rFonts w:ascii="Arial" w:eastAsia="宋体" w:hAnsi="Arial" w:cs="Arial"/>
                <w:color w:val="026DCE"/>
                <w:sz w:val="18"/>
                <w:szCs w:val="18"/>
              </w:rPr>
              <w:t>(318)</w:t>
            </w:r>
          </w:p>
        </w:tc>
        <w:tc>
          <w:tcPr>
            <w:tcW w:w="0" w:type="auto"/>
            <w:shd w:val="clear" w:color="auto" w:fill="auto"/>
            <w:tcMar>
              <w:top w:w="40" w:type="dxa"/>
              <w:bottom w:w="40" w:type="dxa"/>
              <w:right w:w="20" w:type="dxa"/>
            </w:tcMar>
            <w:vAlign w:val="bottom"/>
          </w:tcPr>
          <w:p w14:paraId="20AE20A3"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20A4"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20A5" w14:textId="77777777" w:rsidR="00B626E7" w:rsidRDefault="00175C1D">
            <w:pPr>
              <w:textAlignment w:val="bottom"/>
            </w:pPr>
            <w:r>
              <w:rPr>
                <w:rFonts w:ascii="Arial" w:eastAsia="宋体" w:hAnsi="Arial" w:cs="Arial"/>
                <w:color w:val="026DCE"/>
                <w:sz w:val="18"/>
                <w:szCs w:val="18"/>
              </w:rPr>
              <w:t>$</w:t>
            </w:r>
          </w:p>
        </w:tc>
        <w:tc>
          <w:tcPr>
            <w:tcW w:w="0" w:type="auto"/>
            <w:shd w:val="clear" w:color="auto" w:fill="auto"/>
            <w:tcMar>
              <w:top w:w="40" w:type="dxa"/>
              <w:bottom w:w="40" w:type="dxa"/>
              <w:right w:w="0" w:type="dxa"/>
            </w:tcMar>
            <w:vAlign w:val="bottom"/>
          </w:tcPr>
          <w:p w14:paraId="20AE20A6" w14:textId="77777777" w:rsidR="00B626E7" w:rsidRDefault="00175C1D">
            <w:pPr>
              <w:jc w:val="right"/>
              <w:textAlignment w:val="bottom"/>
            </w:pPr>
            <w:r>
              <w:rPr>
                <w:rFonts w:ascii="Arial" w:eastAsia="宋体" w:hAnsi="Arial" w:cs="Arial"/>
                <w:color w:val="026DCE"/>
                <w:sz w:val="18"/>
                <w:szCs w:val="18"/>
              </w:rPr>
              <w:t>(79)</w:t>
            </w:r>
          </w:p>
        </w:tc>
        <w:tc>
          <w:tcPr>
            <w:tcW w:w="0" w:type="auto"/>
            <w:shd w:val="clear" w:color="auto" w:fill="auto"/>
            <w:tcMar>
              <w:top w:w="40" w:type="dxa"/>
              <w:bottom w:w="40" w:type="dxa"/>
              <w:right w:w="20" w:type="dxa"/>
            </w:tcMar>
            <w:vAlign w:val="bottom"/>
          </w:tcPr>
          <w:p w14:paraId="20AE20A7"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20A8"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20A9" w14:textId="77777777" w:rsidR="00B626E7" w:rsidRDefault="00175C1D">
            <w:pPr>
              <w:textAlignment w:val="bottom"/>
            </w:pPr>
            <w:r>
              <w:rPr>
                <w:rFonts w:ascii="Arial" w:eastAsia="宋体" w:hAnsi="Arial" w:cs="Arial"/>
                <w:color w:val="026DCE"/>
                <w:sz w:val="18"/>
                <w:szCs w:val="18"/>
              </w:rPr>
              <w:t>$</w:t>
            </w:r>
          </w:p>
        </w:tc>
        <w:tc>
          <w:tcPr>
            <w:tcW w:w="0" w:type="auto"/>
            <w:shd w:val="clear" w:color="auto" w:fill="auto"/>
            <w:tcMar>
              <w:top w:w="40" w:type="dxa"/>
              <w:bottom w:w="40" w:type="dxa"/>
              <w:right w:w="0" w:type="dxa"/>
            </w:tcMar>
            <w:vAlign w:val="bottom"/>
          </w:tcPr>
          <w:p w14:paraId="20AE20AA" w14:textId="77777777" w:rsidR="00B626E7" w:rsidRDefault="00175C1D">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20AE20AB" w14:textId="77777777" w:rsidR="00B626E7" w:rsidRDefault="00175C1D">
            <w:pPr>
              <w:jc w:val="right"/>
              <w:textAlignment w:val="bottom"/>
            </w:pPr>
            <w:r>
              <w:rPr>
                <w:rFonts w:ascii="Arial" w:eastAsia="宋体" w:hAnsi="Arial" w:cs="Arial"/>
                <w:color w:val="026DCE"/>
                <w:sz w:val="18"/>
                <w:szCs w:val="18"/>
              </w:rPr>
              <w:t> </w:t>
            </w:r>
          </w:p>
        </w:tc>
        <w:tc>
          <w:tcPr>
            <w:tcW w:w="0" w:type="auto"/>
            <w:shd w:val="clear" w:color="auto" w:fill="auto"/>
          </w:tcPr>
          <w:p w14:paraId="20AE20AC" w14:textId="77777777" w:rsidR="00B626E7" w:rsidRDefault="00B626E7">
            <w:pPr>
              <w:rPr>
                <w:rFonts w:ascii="宋体"/>
              </w:rPr>
            </w:pPr>
          </w:p>
        </w:tc>
        <w:tc>
          <w:tcPr>
            <w:tcW w:w="0" w:type="auto"/>
            <w:shd w:val="clear" w:color="auto" w:fill="auto"/>
          </w:tcPr>
          <w:p w14:paraId="20AE20AD" w14:textId="77777777" w:rsidR="00B626E7" w:rsidRDefault="00B626E7">
            <w:pPr>
              <w:rPr>
                <w:rFonts w:ascii="宋体"/>
              </w:rPr>
            </w:pPr>
          </w:p>
        </w:tc>
        <w:tc>
          <w:tcPr>
            <w:tcW w:w="0" w:type="auto"/>
            <w:shd w:val="clear" w:color="auto" w:fill="auto"/>
          </w:tcPr>
          <w:p w14:paraId="20AE20AE" w14:textId="77777777" w:rsidR="00B626E7" w:rsidRDefault="00B626E7">
            <w:pPr>
              <w:rPr>
                <w:rFonts w:ascii="宋体"/>
              </w:rPr>
            </w:pPr>
          </w:p>
        </w:tc>
        <w:tc>
          <w:tcPr>
            <w:tcW w:w="0" w:type="auto"/>
            <w:shd w:val="clear" w:color="auto" w:fill="auto"/>
          </w:tcPr>
          <w:p w14:paraId="20AE20AF" w14:textId="77777777" w:rsidR="00B626E7" w:rsidRDefault="00B626E7">
            <w:pPr>
              <w:rPr>
                <w:rFonts w:ascii="宋体"/>
              </w:rPr>
            </w:pPr>
          </w:p>
        </w:tc>
        <w:tc>
          <w:tcPr>
            <w:tcW w:w="0" w:type="auto"/>
            <w:shd w:val="clear" w:color="auto" w:fill="auto"/>
          </w:tcPr>
          <w:p w14:paraId="20AE20B0" w14:textId="77777777" w:rsidR="00B626E7" w:rsidRDefault="00B626E7">
            <w:pPr>
              <w:rPr>
                <w:rFonts w:ascii="宋体"/>
              </w:rPr>
            </w:pPr>
          </w:p>
        </w:tc>
        <w:tc>
          <w:tcPr>
            <w:tcW w:w="0" w:type="auto"/>
            <w:shd w:val="clear" w:color="auto" w:fill="auto"/>
          </w:tcPr>
          <w:p w14:paraId="20AE20B1" w14:textId="77777777" w:rsidR="00B626E7" w:rsidRDefault="00B626E7">
            <w:pPr>
              <w:rPr>
                <w:rFonts w:ascii="宋体"/>
              </w:rPr>
            </w:pPr>
          </w:p>
        </w:tc>
        <w:tc>
          <w:tcPr>
            <w:tcW w:w="0" w:type="auto"/>
            <w:shd w:val="clear" w:color="auto" w:fill="auto"/>
          </w:tcPr>
          <w:p w14:paraId="20AE20B2" w14:textId="77777777" w:rsidR="00B626E7" w:rsidRDefault="00B626E7">
            <w:pPr>
              <w:rPr>
                <w:rFonts w:ascii="宋体"/>
              </w:rPr>
            </w:pPr>
          </w:p>
        </w:tc>
        <w:tc>
          <w:tcPr>
            <w:tcW w:w="0" w:type="auto"/>
            <w:shd w:val="clear" w:color="auto" w:fill="auto"/>
          </w:tcPr>
          <w:p w14:paraId="20AE20B3" w14:textId="77777777" w:rsidR="00B626E7" w:rsidRDefault="00B626E7">
            <w:pPr>
              <w:rPr>
                <w:rFonts w:ascii="宋体"/>
              </w:rPr>
            </w:pPr>
          </w:p>
        </w:tc>
        <w:tc>
          <w:tcPr>
            <w:tcW w:w="0" w:type="auto"/>
            <w:shd w:val="clear" w:color="auto" w:fill="auto"/>
          </w:tcPr>
          <w:p w14:paraId="20AE20B4" w14:textId="77777777" w:rsidR="00B626E7" w:rsidRDefault="00B626E7">
            <w:pPr>
              <w:rPr>
                <w:rFonts w:ascii="宋体"/>
              </w:rPr>
            </w:pPr>
          </w:p>
        </w:tc>
        <w:tc>
          <w:tcPr>
            <w:tcW w:w="0" w:type="auto"/>
            <w:shd w:val="clear" w:color="auto" w:fill="auto"/>
          </w:tcPr>
          <w:p w14:paraId="20AE20B5" w14:textId="77777777" w:rsidR="00B626E7" w:rsidRDefault="00B626E7">
            <w:pPr>
              <w:rPr>
                <w:rFonts w:ascii="宋体"/>
              </w:rPr>
            </w:pPr>
          </w:p>
        </w:tc>
        <w:tc>
          <w:tcPr>
            <w:tcW w:w="0" w:type="auto"/>
            <w:shd w:val="clear" w:color="auto" w:fill="auto"/>
          </w:tcPr>
          <w:p w14:paraId="20AE20B6" w14:textId="77777777" w:rsidR="00B626E7" w:rsidRDefault="00B626E7">
            <w:pPr>
              <w:rPr>
                <w:rFonts w:ascii="宋体"/>
              </w:rPr>
            </w:pPr>
          </w:p>
        </w:tc>
        <w:tc>
          <w:tcPr>
            <w:tcW w:w="0" w:type="auto"/>
            <w:shd w:val="clear" w:color="auto" w:fill="auto"/>
          </w:tcPr>
          <w:p w14:paraId="20AE20B7" w14:textId="77777777" w:rsidR="00B626E7" w:rsidRDefault="00B626E7">
            <w:pPr>
              <w:rPr>
                <w:rFonts w:ascii="宋体"/>
              </w:rPr>
            </w:pPr>
          </w:p>
        </w:tc>
        <w:tc>
          <w:tcPr>
            <w:tcW w:w="0" w:type="auto"/>
            <w:shd w:val="clear" w:color="auto" w:fill="auto"/>
          </w:tcPr>
          <w:p w14:paraId="20AE20B8" w14:textId="77777777" w:rsidR="00B626E7" w:rsidRDefault="00B626E7">
            <w:pPr>
              <w:rPr>
                <w:rFonts w:ascii="宋体"/>
              </w:rPr>
            </w:pPr>
          </w:p>
        </w:tc>
        <w:tc>
          <w:tcPr>
            <w:tcW w:w="0" w:type="auto"/>
            <w:shd w:val="clear" w:color="auto" w:fill="auto"/>
          </w:tcPr>
          <w:p w14:paraId="20AE20B9" w14:textId="77777777" w:rsidR="00B626E7" w:rsidRDefault="00B626E7">
            <w:pPr>
              <w:rPr>
                <w:rFonts w:ascii="宋体"/>
              </w:rPr>
            </w:pPr>
          </w:p>
        </w:tc>
        <w:tc>
          <w:tcPr>
            <w:tcW w:w="0" w:type="auto"/>
            <w:shd w:val="clear" w:color="auto" w:fill="auto"/>
          </w:tcPr>
          <w:p w14:paraId="20AE20BA" w14:textId="77777777" w:rsidR="00B626E7" w:rsidRDefault="00B626E7">
            <w:pPr>
              <w:rPr>
                <w:rFonts w:ascii="宋体"/>
              </w:rPr>
            </w:pPr>
          </w:p>
        </w:tc>
        <w:tc>
          <w:tcPr>
            <w:tcW w:w="0" w:type="auto"/>
            <w:shd w:val="clear" w:color="auto" w:fill="auto"/>
          </w:tcPr>
          <w:p w14:paraId="20AE20BB" w14:textId="77777777" w:rsidR="00B626E7" w:rsidRDefault="00B626E7">
            <w:pPr>
              <w:rPr>
                <w:rFonts w:ascii="宋体"/>
              </w:rPr>
            </w:pPr>
          </w:p>
        </w:tc>
        <w:tc>
          <w:tcPr>
            <w:tcW w:w="0" w:type="auto"/>
            <w:shd w:val="clear" w:color="auto" w:fill="auto"/>
          </w:tcPr>
          <w:p w14:paraId="20AE20BC" w14:textId="77777777" w:rsidR="00B626E7" w:rsidRDefault="00B626E7">
            <w:pPr>
              <w:rPr>
                <w:rFonts w:ascii="宋体"/>
              </w:rPr>
            </w:pPr>
          </w:p>
        </w:tc>
        <w:tc>
          <w:tcPr>
            <w:tcW w:w="0" w:type="auto"/>
            <w:shd w:val="clear" w:color="auto" w:fill="auto"/>
          </w:tcPr>
          <w:p w14:paraId="20AE20BD" w14:textId="77777777" w:rsidR="00B626E7" w:rsidRDefault="00B626E7">
            <w:pPr>
              <w:rPr>
                <w:rFonts w:ascii="宋体"/>
              </w:rPr>
            </w:pPr>
          </w:p>
        </w:tc>
        <w:tc>
          <w:tcPr>
            <w:tcW w:w="0" w:type="auto"/>
            <w:shd w:val="clear" w:color="auto" w:fill="auto"/>
          </w:tcPr>
          <w:p w14:paraId="20AE20BE" w14:textId="77777777" w:rsidR="00B626E7" w:rsidRDefault="00B626E7">
            <w:pPr>
              <w:rPr>
                <w:rFonts w:ascii="宋体"/>
              </w:rPr>
            </w:pPr>
          </w:p>
        </w:tc>
        <w:tc>
          <w:tcPr>
            <w:tcW w:w="0" w:type="auto"/>
            <w:shd w:val="clear" w:color="auto" w:fill="auto"/>
          </w:tcPr>
          <w:p w14:paraId="20AE20BF" w14:textId="77777777" w:rsidR="00B626E7" w:rsidRDefault="00B626E7">
            <w:pPr>
              <w:rPr>
                <w:rFonts w:ascii="宋体"/>
              </w:rPr>
            </w:pPr>
          </w:p>
        </w:tc>
        <w:tc>
          <w:tcPr>
            <w:tcW w:w="0" w:type="auto"/>
            <w:shd w:val="clear" w:color="auto" w:fill="auto"/>
          </w:tcPr>
          <w:p w14:paraId="20AE20C0" w14:textId="77777777" w:rsidR="00B626E7" w:rsidRDefault="00B626E7">
            <w:pPr>
              <w:rPr>
                <w:rFonts w:ascii="宋体"/>
              </w:rPr>
            </w:pPr>
          </w:p>
        </w:tc>
        <w:tc>
          <w:tcPr>
            <w:tcW w:w="0" w:type="auto"/>
            <w:shd w:val="clear" w:color="auto" w:fill="auto"/>
          </w:tcPr>
          <w:p w14:paraId="20AE20C1" w14:textId="77777777" w:rsidR="00B626E7" w:rsidRDefault="00B626E7">
            <w:pPr>
              <w:rPr>
                <w:rFonts w:ascii="宋体"/>
              </w:rPr>
            </w:pPr>
          </w:p>
        </w:tc>
        <w:tc>
          <w:tcPr>
            <w:tcW w:w="0" w:type="auto"/>
            <w:shd w:val="clear" w:color="auto" w:fill="auto"/>
          </w:tcPr>
          <w:p w14:paraId="20AE20C2" w14:textId="77777777" w:rsidR="00B626E7" w:rsidRDefault="00B626E7">
            <w:pPr>
              <w:rPr>
                <w:rFonts w:ascii="宋体"/>
              </w:rPr>
            </w:pPr>
          </w:p>
        </w:tc>
        <w:tc>
          <w:tcPr>
            <w:tcW w:w="0" w:type="auto"/>
            <w:shd w:val="clear" w:color="auto" w:fill="auto"/>
          </w:tcPr>
          <w:p w14:paraId="20AE20C3" w14:textId="77777777" w:rsidR="00B626E7" w:rsidRDefault="00B626E7">
            <w:pPr>
              <w:rPr>
                <w:rFonts w:ascii="宋体"/>
              </w:rPr>
            </w:pPr>
          </w:p>
        </w:tc>
      </w:tr>
      <w:tr w:rsidR="00B626E7" w14:paraId="20AE20F6" w14:textId="77777777">
        <w:tc>
          <w:tcPr>
            <w:tcW w:w="0" w:type="auto"/>
            <w:gridSpan w:val="3"/>
            <w:shd w:val="clear" w:color="auto" w:fill="auto"/>
            <w:tcMar>
              <w:top w:w="40" w:type="dxa"/>
              <w:left w:w="20" w:type="dxa"/>
              <w:bottom w:w="40" w:type="dxa"/>
              <w:right w:w="20" w:type="dxa"/>
            </w:tcMar>
            <w:vAlign w:val="bottom"/>
          </w:tcPr>
          <w:p w14:paraId="20AE20C5" w14:textId="77777777" w:rsidR="00B626E7" w:rsidRDefault="00175C1D">
            <w:pPr>
              <w:ind w:hanging="180"/>
              <w:textAlignment w:val="bottom"/>
            </w:pPr>
            <w:r>
              <w:rPr>
                <w:rFonts w:ascii="Arial" w:eastAsia="宋体" w:hAnsi="Arial" w:cs="Arial"/>
                <w:b/>
                <w:bCs/>
                <w:color w:val="333333"/>
                <w:sz w:val="18"/>
                <w:szCs w:val="18"/>
              </w:rPr>
              <w:t>Total liabilities</w:t>
            </w:r>
          </w:p>
        </w:tc>
        <w:tc>
          <w:tcPr>
            <w:tcW w:w="0" w:type="auto"/>
            <w:gridSpan w:val="3"/>
            <w:shd w:val="clear" w:color="auto" w:fill="auto"/>
            <w:tcMar>
              <w:left w:w="20" w:type="dxa"/>
              <w:right w:w="20" w:type="dxa"/>
            </w:tcMar>
            <w:vAlign w:val="bottom"/>
          </w:tcPr>
          <w:p w14:paraId="20AE20C6"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20C7" w14:textId="77777777" w:rsidR="00B626E7" w:rsidRDefault="00175C1D">
            <w:pPr>
              <w:textAlignment w:val="bottom"/>
            </w:pPr>
            <w:r>
              <w:rPr>
                <w:rFonts w:ascii="Arial" w:eastAsia="宋体" w:hAnsi="Arial" w:cs="Arial"/>
                <w:b/>
                <w:bCs/>
                <w:color w:val="026DCE"/>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20C8" w14:textId="77777777" w:rsidR="00B626E7" w:rsidRDefault="00175C1D">
            <w:pPr>
              <w:jc w:val="right"/>
              <w:textAlignment w:val="bottom"/>
            </w:pPr>
            <w:r>
              <w:rPr>
                <w:rFonts w:ascii="Arial" w:eastAsia="宋体" w:hAnsi="Arial" w:cs="Arial"/>
                <w:b/>
                <w:bCs/>
                <w:color w:val="026DCE"/>
                <w:sz w:val="18"/>
                <w:szCs w:val="18"/>
              </w:rPr>
              <w:t>397 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20C9"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20CA"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20CB" w14:textId="77777777" w:rsidR="00B626E7" w:rsidRDefault="00175C1D">
            <w:pPr>
              <w:textAlignment w:val="bottom"/>
            </w:pPr>
            <w:r>
              <w:rPr>
                <w:rFonts w:ascii="Arial" w:eastAsia="宋体" w:hAnsi="Arial" w:cs="Arial"/>
                <w:b/>
                <w:bCs/>
                <w:color w:val="026DCE"/>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20CC" w14:textId="77777777" w:rsidR="00B626E7" w:rsidRDefault="00175C1D">
            <w:pPr>
              <w:jc w:val="right"/>
              <w:textAlignment w:val="bottom"/>
            </w:pPr>
            <w:r>
              <w:rPr>
                <w:rFonts w:ascii="Arial" w:eastAsia="宋体" w:hAnsi="Arial" w:cs="Arial"/>
                <w:b/>
                <w:bCs/>
                <w:color w:val="026DCE"/>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20CD"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20CE"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20CF" w14:textId="77777777" w:rsidR="00B626E7" w:rsidRDefault="00175C1D">
            <w:pPr>
              <w:textAlignment w:val="bottom"/>
            </w:pPr>
            <w:r>
              <w:rPr>
                <w:rFonts w:ascii="Arial" w:eastAsia="宋体" w:hAnsi="Arial" w:cs="Arial"/>
                <w:b/>
                <w:bCs/>
                <w:color w:val="026DCE"/>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20D0" w14:textId="77777777" w:rsidR="00B626E7" w:rsidRDefault="00175C1D">
            <w:pPr>
              <w:jc w:val="right"/>
              <w:textAlignment w:val="bottom"/>
            </w:pPr>
            <w:r>
              <w:rPr>
                <w:rFonts w:ascii="Arial" w:eastAsia="宋体" w:hAnsi="Arial" w:cs="Arial"/>
                <w:b/>
                <w:bCs/>
                <w:color w:val="026DCE"/>
                <w:sz w:val="18"/>
                <w:szCs w:val="18"/>
              </w:rPr>
              <w:t>397 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20D1"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20D2"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20D3" w14:textId="77777777" w:rsidR="00B626E7" w:rsidRDefault="00175C1D">
            <w:pPr>
              <w:textAlignment w:val="bottom"/>
            </w:pPr>
            <w:r>
              <w:rPr>
                <w:rFonts w:ascii="Arial" w:eastAsia="宋体" w:hAnsi="Arial" w:cs="Arial"/>
                <w:b/>
                <w:bCs/>
                <w:color w:val="026DCE"/>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20D4" w14:textId="77777777" w:rsidR="00B626E7" w:rsidRDefault="00175C1D">
            <w:pPr>
              <w:jc w:val="right"/>
              <w:textAlignment w:val="bottom"/>
            </w:pPr>
            <w:r>
              <w:rPr>
                <w:rFonts w:ascii="Arial" w:eastAsia="宋体" w:hAnsi="Arial" w:cs="Arial"/>
                <w:b/>
                <w:bCs/>
                <w:color w:val="026DCE"/>
                <w:sz w:val="18"/>
                <w:szCs w:val="18"/>
              </w:rPr>
              <w:t>(318)</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20D5"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20D6"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20D7" w14:textId="77777777" w:rsidR="00B626E7" w:rsidRDefault="00175C1D">
            <w:pPr>
              <w:textAlignment w:val="bottom"/>
            </w:pPr>
            <w:r>
              <w:rPr>
                <w:rFonts w:ascii="Arial" w:eastAsia="宋体" w:hAnsi="Arial" w:cs="Arial"/>
                <w:b/>
                <w:bCs/>
                <w:color w:val="026DCE"/>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20D8" w14:textId="77777777" w:rsidR="00B626E7" w:rsidRDefault="00175C1D">
            <w:pPr>
              <w:jc w:val="right"/>
              <w:textAlignment w:val="bottom"/>
            </w:pPr>
            <w:r>
              <w:rPr>
                <w:rFonts w:ascii="Arial" w:eastAsia="宋体" w:hAnsi="Arial" w:cs="Arial"/>
                <w:b/>
                <w:bCs/>
                <w:color w:val="026DCE"/>
                <w:sz w:val="18"/>
                <w:szCs w:val="18"/>
              </w:rPr>
              <w:t>(79)</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20D9"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20DA"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20DB" w14:textId="77777777" w:rsidR="00B626E7" w:rsidRDefault="00175C1D">
            <w:pPr>
              <w:textAlignment w:val="bottom"/>
            </w:pPr>
            <w:r>
              <w:rPr>
                <w:rFonts w:ascii="Arial" w:eastAsia="宋体" w:hAnsi="Arial" w:cs="Arial"/>
                <w:b/>
                <w:bCs/>
                <w:color w:val="026DCE"/>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20DC" w14:textId="77777777" w:rsidR="00B626E7" w:rsidRDefault="00175C1D">
            <w:pPr>
              <w:jc w:val="right"/>
              <w:textAlignment w:val="bottom"/>
            </w:pPr>
            <w:r>
              <w:rPr>
                <w:rFonts w:ascii="Arial" w:eastAsia="宋体" w:hAnsi="Arial" w:cs="Arial"/>
                <w:b/>
                <w:bCs/>
                <w:color w:val="026DCE"/>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20DD" w14:textId="77777777" w:rsidR="00B626E7" w:rsidRDefault="00175C1D">
            <w:pPr>
              <w:jc w:val="right"/>
              <w:textAlignment w:val="bottom"/>
            </w:pPr>
            <w:r>
              <w:rPr>
                <w:rFonts w:ascii="Arial" w:eastAsia="宋体" w:hAnsi="Arial" w:cs="Arial"/>
                <w:b/>
                <w:bCs/>
                <w:color w:val="026DCE"/>
                <w:sz w:val="18"/>
                <w:szCs w:val="18"/>
              </w:rPr>
              <w:t> </w:t>
            </w:r>
          </w:p>
        </w:tc>
        <w:tc>
          <w:tcPr>
            <w:tcW w:w="0" w:type="auto"/>
            <w:shd w:val="clear" w:color="auto" w:fill="auto"/>
          </w:tcPr>
          <w:p w14:paraId="20AE20DE" w14:textId="77777777" w:rsidR="00B626E7" w:rsidRDefault="00B626E7">
            <w:pPr>
              <w:rPr>
                <w:rFonts w:ascii="宋体"/>
              </w:rPr>
            </w:pPr>
          </w:p>
        </w:tc>
        <w:tc>
          <w:tcPr>
            <w:tcW w:w="0" w:type="auto"/>
            <w:shd w:val="clear" w:color="auto" w:fill="auto"/>
          </w:tcPr>
          <w:p w14:paraId="20AE20DF" w14:textId="77777777" w:rsidR="00B626E7" w:rsidRDefault="00B626E7">
            <w:pPr>
              <w:rPr>
                <w:rFonts w:ascii="宋体"/>
              </w:rPr>
            </w:pPr>
          </w:p>
        </w:tc>
        <w:tc>
          <w:tcPr>
            <w:tcW w:w="0" w:type="auto"/>
            <w:shd w:val="clear" w:color="auto" w:fill="auto"/>
          </w:tcPr>
          <w:p w14:paraId="20AE20E0" w14:textId="77777777" w:rsidR="00B626E7" w:rsidRDefault="00B626E7">
            <w:pPr>
              <w:rPr>
                <w:rFonts w:ascii="宋体"/>
              </w:rPr>
            </w:pPr>
          </w:p>
        </w:tc>
        <w:tc>
          <w:tcPr>
            <w:tcW w:w="0" w:type="auto"/>
            <w:shd w:val="clear" w:color="auto" w:fill="auto"/>
          </w:tcPr>
          <w:p w14:paraId="20AE20E1" w14:textId="77777777" w:rsidR="00B626E7" w:rsidRDefault="00B626E7">
            <w:pPr>
              <w:rPr>
                <w:rFonts w:ascii="宋体"/>
              </w:rPr>
            </w:pPr>
          </w:p>
        </w:tc>
        <w:tc>
          <w:tcPr>
            <w:tcW w:w="0" w:type="auto"/>
            <w:shd w:val="clear" w:color="auto" w:fill="auto"/>
          </w:tcPr>
          <w:p w14:paraId="20AE20E2" w14:textId="77777777" w:rsidR="00B626E7" w:rsidRDefault="00B626E7">
            <w:pPr>
              <w:rPr>
                <w:rFonts w:ascii="宋体"/>
              </w:rPr>
            </w:pPr>
          </w:p>
        </w:tc>
        <w:tc>
          <w:tcPr>
            <w:tcW w:w="0" w:type="auto"/>
            <w:shd w:val="clear" w:color="auto" w:fill="auto"/>
          </w:tcPr>
          <w:p w14:paraId="20AE20E3" w14:textId="77777777" w:rsidR="00B626E7" w:rsidRDefault="00B626E7">
            <w:pPr>
              <w:rPr>
                <w:rFonts w:ascii="宋体"/>
              </w:rPr>
            </w:pPr>
          </w:p>
        </w:tc>
        <w:tc>
          <w:tcPr>
            <w:tcW w:w="0" w:type="auto"/>
            <w:shd w:val="clear" w:color="auto" w:fill="auto"/>
          </w:tcPr>
          <w:p w14:paraId="20AE20E4" w14:textId="77777777" w:rsidR="00B626E7" w:rsidRDefault="00B626E7">
            <w:pPr>
              <w:rPr>
                <w:rFonts w:ascii="宋体"/>
              </w:rPr>
            </w:pPr>
          </w:p>
        </w:tc>
        <w:tc>
          <w:tcPr>
            <w:tcW w:w="0" w:type="auto"/>
            <w:shd w:val="clear" w:color="auto" w:fill="auto"/>
          </w:tcPr>
          <w:p w14:paraId="20AE20E5" w14:textId="77777777" w:rsidR="00B626E7" w:rsidRDefault="00B626E7">
            <w:pPr>
              <w:rPr>
                <w:rFonts w:ascii="宋体"/>
              </w:rPr>
            </w:pPr>
          </w:p>
        </w:tc>
        <w:tc>
          <w:tcPr>
            <w:tcW w:w="0" w:type="auto"/>
            <w:shd w:val="clear" w:color="auto" w:fill="auto"/>
          </w:tcPr>
          <w:p w14:paraId="20AE20E6" w14:textId="77777777" w:rsidR="00B626E7" w:rsidRDefault="00B626E7">
            <w:pPr>
              <w:rPr>
                <w:rFonts w:ascii="宋体"/>
              </w:rPr>
            </w:pPr>
          </w:p>
        </w:tc>
        <w:tc>
          <w:tcPr>
            <w:tcW w:w="0" w:type="auto"/>
            <w:shd w:val="clear" w:color="auto" w:fill="auto"/>
          </w:tcPr>
          <w:p w14:paraId="20AE20E7" w14:textId="77777777" w:rsidR="00B626E7" w:rsidRDefault="00B626E7">
            <w:pPr>
              <w:rPr>
                <w:rFonts w:ascii="宋体"/>
              </w:rPr>
            </w:pPr>
          </w:p>
        </w:tc>
        <w:tc>
          <w:tcPr>
            <w:tcW w:w="0" w:type="auto"/>
            <w:shd w:val="clear" w:color="auto" w:fill="auto"/>
          </w:tcPr>
          <w:p w14:paraId="20AE20E8" w14:textId="77777777" w:rsidR="00B626E7" w:rsidRDefault="00B626E7">
            <w:pPr>
              <w:rPr>
                <w:rFonts w:ascii="宋体"/>
              </w:rPr>
            </w:pPr>
          </w:p>
        </w:tc>
        <w:tc>
          <w:tcPr>
            <w:tcW w:w="0" w:type="auto"/>
            <w:shd w:val="clear" w:color="auto" w:fill="auto"/>
          </w:tcPr>
          <w:p w14:paraId="20AE20E9" w14:textId="77777777" w:rsidR="00B626E7" w:rsidRDefault="00B626E7">
            <w:pPr>
              <w:rPr>
                <w:rFonts w:ascii="宋体"/>
              </w:rPr>
            </w:pPr>
          </w:p>
        </w:tc>
        <w:tc>
          <w:tcPr>
            <w:tcW w:w="0" w:type="auto"/>
            <w:shd w:val="clear" w:color="auto" w:fill="auto"/>
          </w:tcPr>
          <w:p w14:paraId="20AE20EA" w14:textId="77777777" w:rsidR="00B626E7" w:rsidRDefault="00B626E7">
            <w:pPr>
              <w:rPr>
                <w:rFonts w:ascii="宋体"/>
              </w:rPr>
            </w:pPr>
          </w:p>
        </w:tc>
        <w:tc>
          <w:tcPr>
            <w:tcW w:w="0" w:type="auto"/>
            <w:shd w:val="clear" w:color="auto" w:fill="auto"/>
          </w:tcPr>
          <w:p w14:paraId="20AE20EB" w14:textId="77777777" w:rsidR="00B626E7" w:rsidRDefault="00B626E7">
            <w:pPr>
              <w:rPr>
                <w:rFonts w:ascii="宋体"/>
              </w:rPr>
            </w:pPr>
          </w:p>
        </w:tc>
        <w:tc>
          <w:tcPr>
            <w:tcW w:w="0" w:type="auto"/>
            <w:shd w:val="clear" w:color="auto" w:fill="auto"/>
          </w:tcPr>
          <w:p w14:paraId="20AE20EC" w14:textId="77777777" w:rsidR="00B626E7" w:rsidRDefault="00B626E7">
            <w:pPr>
              <w:rPr>
                <w:rFonts w:ascii="宋体"/>
              </w:rPr>
            </w:pPr>
          </w:p>
        </w:tc>
        <w:tc>
          <w:tcPr>
            <w:tcW w:w="0" w:type="auto"/>
            <w:shd w:val="clear" w:color="auto" w:fill="auto"/>
          </w:tcPr>
          <w:p w14:paraId="20AE20ED" w14:textId="77777777" w:rsidR="00B626E7" w:rsidRDefault="00B626E7">
            <w:pPr>
              <w:rPr>
                <w:rFonts w:ascii="宋体"/>
              </w:rPr>
            </w:pPr>
          </w:p>
        </w:tc>
        <w:tc>
          <w:tcPr>
            <w:tcW w:w="0" w:type="auto"/>
            <w:shd w:val="clear" w:color="auto" w:fill="auto"/>
          </w:tcPr>
          <w:p w14:paraId="20AE20EE" w14:textId="77777777" w:rsidR="00B626E7" w:rsidRDefault="00B626E7">
            <w:pPr>
              <w:rPr>
                <w:rFonts w:ascii="宋体"/>
              </w:rPr>
            </w:pPr>
          </w:p>
        </w:tc>
        <w:tc>
          <w:tcPr>
            <w:tcW w:w="0" w:type="auto"/>
            <w:shd w:val="clear" w:color="auto" w:fill="auto"/>
          </w:tcPr>
          <w:p w14:paraId="20AE20EF" w14:textId="77777777" w:rsidR="00B626E7" w:rsidRDefault="00B626E7">
            <w:pPr>
              <w:rPr>
                <w:rFonts w:ascii="宋体"/>
              </w:rPr>
            </w:pPr>
          </w:p>
        </w:tc>
        <w:tc>
          <w:tcPr>
            <w:tcW w:w="0" w:type="auto"/>
            <w:shd w:val="clear" w:color="auto" w:fill="auto"/>
          </w:tcPr>
          <w:p w14:paraId="20AE20F0" w14:textId="77777777" w:rsidR="00B626E7" w:rsidRDefault="00B626E7">
            <w:pPr>
              <w:rPr>
                <w:rFonts w:ascii="宋体"/>
              </w:rPr>
            </w:pPr>
          </w:p>
        </w:tc>
        <w:tc>
          <w:tcPr>
            <w:tcW w:w="0" w:type="auto"/>
            <w:shd w:val="clear" w:color="auto" w:fill="auto"/>
          </w:tcPr>
          <w:p w14:paraId="20AE20F1" w14:textId="77777777" w:rsidR="00B626E7" w:rsidRDefault="00B626E7">
            <w:pPr>
              <w:rPr>
                <w:rFonts w:ascii="宋体"/>
              </w:rPr>
            </w:pPr>
          </w:p>
        </w:tc>
        <w:tc>
          <w:tcPr>
            <w:tcW w:w="0" w:type="auto"/>
            <w:shd w:val="clear" w:color="auto" w:fill="auto"/>
          </w:tcPr>
          <w:p w14:paraId="20AE20F2" w14:textId="77777777" w:rsidR="00B626E7" w:rsidRDefault="00B626E7">
            <w:pPr>
              <w:rPr>
                <w:rFonts w:ascii="宋体"/>
              </w:rPr>
            </w:pPr>
          </w:p>
        </w:tc>
        <w:tc>
          <w:tcPr>
            <w:tcW w:w="0" w:type="auto"/>
            <w:shd w:val="clear" w:color="auto" w:fill="auto"/>
          </w:tcPr>
          <w:p w14:paraId="20AE20F3" w14:textId="77777777" w:rsidR="00B626E7" w:rsidRDefault="00B626E7">
            <w:pPr>
              <w:rPr>
                <w:rFonts w:ascii="宋体"/>
              </w:rPr>
            </w:pPr>
          </w:p>
        </w:tc>
        <w:tc>
          <w:tcPr>
            <w:tcW w:w="0" w:type="auto"/>
            <w:shd w:val="clear" w:color="auto" w:fill="auto"/>
          </w:tcPr>
          <w:p w14:paraId="20AE20F4" w14:textId="77777777" w:rsidR="00B626E7" w:rsidRDefault="00B626E7">
            <w:pPr>
              <w:rPr>
                <w:rFonts w:ascii="宋体"/>
              </w:rPr>
            </w:pPr>
          </w:p>
        </w:tc>
        <w:tc>
          <w:tcPr>
            <w:tcW w:w="0" w:type="auto"/>
            <w:shd w:val="clear" w:color="auto" w:fill="auto"/>
          </w:tcPr>
          <w:p w14:paraId="20AE20F5" w14:textId="77777777" w:rsidR="00B626E7" w:rsidRDefault="00B626E7">
            <w:pPr>
              <w:rPr>
                <w:rFonts w:ascii="宋体"/>
              </w:rPr>
            </w:pPr>
          </w:p>
        </w:tc>
      </w:tr>
    </w:tbl>
    <w:p w14:paraId="20AE20F7" w14:textId="77777777" w:rsidR="00B626E7" w:rsidRDefault="00B626E7">
      <w:pPr>
        <w:rPr>
          <w:vanish/>
        </w:rPr>
      </w:pPr>
    </w:p>
    <w:tbl>
      <w:tblPr>
        <w:tblW w:w="4986" w:type="pct"/>
        <w:tblCellMar>
          <w:top w:w="15" w:type="dxa"/>
          <w:left w:w="15" w:type="dxa"/>
          <w:bottom w:w="15" w:type="dxa"/>
          <w:right w:w="15" w:type="dxa"/>
        </w:tblCellMar>
        <w:tblLook w:val="04A0" w:firstRow="1" w:lastRow="0" w:firstColumn="1" w:lastColumn="0" w:noHBand="0" w:noVBand="1"/>
      </w:tblPr>
      <w:tblGrid>
        <w:gridCol w:w="46"/>
        <w:gridCol w:w="1122"/>
        <w:gridCol w:w="40"/>
        <w:gridCol w:w="36"/>
        <w:gridCol w:w="35"/>
        <w:gridCol w:w="35"/>
        <w:gridCol w:w="132"/>
        <w:gridCol w:w="824"/>
        <w:gridCol w:w="93"/>
        <w:gridCol w:w="36"/>
        <w:gridCol w:w="35"/>
        <w:gridCol w:w="36"/>
        <w:gridCol w:w="133"/>
        <w:gridCol w:w="646"/>
        <w:gridCol w:w="84"/>
        <w:gridCol w:w="36"/>
        <w:gridCol w:w="36"/>
        <w:gridCol w:w="36"/>
        <w:gridCol w:w="133"/>
        <w:gridCol w:w="716"/>
        <w:gridCol w:w="84"/>
        <w:gridCol w:w="36"/>
        <w:gridCol w:w="36"/>
        <w:gridCol w:w="36"/>
        <w:gridCol w:w="133"/>
        <w:gridCol w:w="843"/>
        <w:gridCol w:w="96"/>
        <w:gridCol w:w="36"/>
        <w:gridCol w:w="36"/>
        <w:gridCol w:w="36"/>
        <w:gridCol w:w="133"/>
        <w:gridCol w:w="700"/>
        <w:gridCol w:w="85"/>
        <w:gridCol w:w="36"/>
        <w:gridCol w:w="36"/>
        <w:gridCol w:w="36"/>
        <w:gridCol w:w="133"/>
        <w:gridCol w:w="567"/>
        <w:gridCol w:w="84"/>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B626E7" w14:paraId="20AE211F" w14:textId="77777777">
        <w:trPr>
          <w:gridAfter w:val="24"/>
        </w:trPr>
        <w:tc>
          <w:tcPr>
            <w:tcW w:w="50" w:type="pct"/>
            <w:shd w:val="clear" w:color="auto" w:fill="auto"/>
          </w:tcPr>
          <w:p w14:paraId="20AE20F8" w14:textId="77777777" w:rsidR="00B626E7" w:rsidRDefault="00B626E7">
            <w:pPr>
              <w:rPr>
                <w:rFonts w:ascii="宋体"/>
              </w:rPr>
            </w:pPr>
          </w:p>
        </w:tc>
        <w:tc>
          <w:tcPr>
            <w:tcW w:w="1406" w:type="pct"/>
            <w:shd w:val="clear" w:color="auto" w:fill="auto"/>
          </w:tcPr>
          <w:p w14:paraId="20AE20F9" w14:textId="77777777" w:rsidR="00B626E7" w:rsidRDefault="00B626E7">
            <w:pPr>
              <w:rPr>
                <w:rFonts w:ascii="宋体"/>
              </w:rPr>
            </w:pPr>
          </w:p>
        </w:tc>
        <w:tc>
          <w:tcPr>
            <w:tcW w:w="50" w:type="pct"/>
            <w:shd w:val="clear" w:color="auto" w:fill="auto"/>
          </w:tcPr>
          <w:p w14:paraId="20AE20FA" w14:textId="77777777" w:rsidR="00B626E7" w:rsidRDefault="00B626E7">
            <w:pPr>
              <w:rPr>
                <w:rFonts w:ascii="宋体"/>
              </w:rPr>
            </w:pPr>
          </w:p>
        </w:tc>
        <w:tc>
          <w:tcPr>
            <w:tcW w:w="5" w:type="pct"/>
            <w:shd w:val="clear" w:color="auto" w:fill="auto"/>
          </w:tcPr>
          <w:p w14:paraId="20AE20FB" w14:textId="77777777" w:rsidR="00B626E7" w:rsidRDefault="00B626E7">
            <w:pPr>
              <w:rPr>
                <w:rFonts w:ascii="宋体"/>
              </w:rPr>
            </w:pPr>
          </w:p>
        </w:tc>
        <w:tc>
          <w:tcPr>
            <w:tcW w:w="24" w:type="pct"/>
            <w:shd w:val="clear" w:color="auto" w:fill="auto"/>
          </w:tcPr>
          <w:p w14:paraId="20AE20FC" w14:textId="77777777" w:rsidR="00B626E7" w:rsidRDefault="00B626E7">
            <w:pPr>
              <w:rPr>
                <w:rFonts w:ascii="宋体"/>
              </w:rPr>
            </w:pPr>
          </w:p>
        </w:tc>
        <w:tc>
          <w:tcPr>
            <w:tcW w:w="5" w:type="pct"/>
            <w:shd w:val="clear" w:color="auto" w:fill="auto"/>
          </w:tcPr>
          <w:p w14:paraId="20AE20FD" w14:textId="77777777" w:rsidR="00B626E7" w:rsidRDefault="00B626E7">
            <w:pPr>
              <w:rPr>
                <w:rFonts w:ascii="宋体"/>
              </w:rPr>
            </w:pPr>
          </w:p>
        </w:tc>
        <w:tc>
          <w:tcPr>
            <w:tcW w:w="50" w:type="pct"/>
            <w:shd w:val="clear" w:color="auto" w:fill="auto"/>
          </w:tcPr>
          <w:p w14:paraId="20AE20FE" w14:textId="77777777" w:rsidR="00B626E7" w:rsidRDefault="00B626E7">
            <w:pPr>
              <w:rPr>
                <w:rFonts w:ascii="宋体"/>
              </w:rPr>
            </w:pPr>
          </w:p>
        </w:tc>
        <w:tc>
          <w:tcPr>
            <w:tcW w:w="447" w:type="pct"/>
            <w:shd w:val="clear" w:color="auto" w:fill="auto"/>
          </w:tcPr>
          <w:p w14:paraId="20AE20FF" w14:textId="77777777" w:rsidR="00B626E7" w:rsidRDefault="00B626E7">
            <w:pPr>
              <w:rPr>
                <w:rFonts w:ascii="宋体"/>
              </w:rPr>
            </w:pPr>
          </w:p>
        </w:tc>
        <w:tc>
          <w:tcPr>
            <w:tcW w:w="50" w:type="pct"/>
            <w:shd w:val="clear" w:color="auto" w:fill="auto"/>
          </w:tcPr>
          <w:p w14:paraId="20AE2100" w14:textId="77777777" w:rsidR="00B626E7" w:rsidRDefault="00B626E7">
            <w:pPr>
              <w:rPr>
                <w:rFonts w:ascii="宋体"/>
              </w:rPr>
            </w:pPr>
          </w:p>
        </w:tc>
        <w:tc>
          <w:tcPr>
            <w:tcW w:w="5" w:type="pct"/>
            <w:shd w:val="clear" w:color="auto" w:fill="auto"/>
          </w:tcPr>
          <w:p w14:paraId="20AE2101" w14:textId="77777777" w:rsidR="00B626E7" w:rsidRDefault="00B626E7">
            <w:pPr>
              <w:rPr>
                <w:rFonts w:ascii="宋体"/>
              </w:rPr>
            </w:pPr>
          </w:p>
        </w:tc>
        <w:tc>
          <w:tcPr>
            <w:tcW w:w="24" w:type="pct"/>
            <w:shd w:val="clear" w:color="auto" w:fill="auto"/>
          </w:tcPr>
          <w:p w14:paraId="20AE2102" w14:textId="77777777" w:rsidR="00B626E7" w:rsidRDefault="00B626E7">
            <w:pPr>
              <w:rPr>
                <w:rFonts w:ascii="宋体"/>
              </w:rPr>
            </w:pPr>
          </w:p>
        </w:tc>
        <w:tc>
          <w:tcPr>
            <w:tcW w:w="5" w:type="pct"/>
            <w:shd w:val="clear" w:color="auto" w:fill="auto"/>
          </w:tcPr>
          <w:p w14:paraId="20AE2103" w14:textId="77777777" w:rsidR="00B626E7" w:rsidRDefault="00B626E7">
            <w:pPr>
              <w:rPr>
                <w:rFonts w:ascii="宋体"/>
              </w:rPr>
            </w:pPr>
          </w:p>
        </w:tc>
        <w:tc>
          <w:tcPr>
            <w:tcW w:w="50" w:type="pct"/>
            <w:shd w:val="clear" w:color="auto" w:fill="auto"/>
          </w:tcPr>
          <w:p w14:paraId="20AE2104" w14:textId="77777777" w:rsidR="00B626E7" w:rsidRDefault="00B626E7">
            <w:pPr>
              <w:rPr>
                <w:rFonts w:ascii="宋体"/>
              </w:rPr>
            </w:pPr>
          </w:p>
        </w:tc>
        <w:tc>
          <w:tcPr>
            <w:tcW w:w="447" w:type="pct"/>
            <w:shd w:val="clear" w:color="auto" w:fill="auto"/>
          </w:tcPr>
          <w:p w14:paraId="20AE2105" w14:textId="77777777" w:rsidR="00B626E7" w:rsidRDefault="00B626E7">
            <w:pPr>
              <w:rPr>
                <w:rFonts w:ascii="宋体"/>
              </w:rPr>
            </w:pPr>
          </w:p>
        </w:tc>
        <w:tc>
          <w:tcPr>
            <w:tcW w:w="50" w:type="pct"/>
            <w:shd w:val="clear" w:color="auto" w:fill="auto"/>
          </w:tcPr>
          <w:p w14:paraId="20AE2106" w14:textId="77777777" w:rsidR="00B626E7" w:rsidRDefault="00B626E7">
            <w:pPr>
              <w:rPr>
                <w:rFonts w:ascii="宋体"/>
              </w:rPr>
            </w:pPr>
          </w:p>
        </w:tc>
        <w:tc>
          <w:tcPr>
            <w:tcW w:w="5" w:type="pct"/>
            <w:shd w:val="clear" w:color="auto" w:fill="auto"/>
          </w:tcPr>
          <w:p w14:paraId="20AE2107" w14:textId="77777777" w:rsidR="00B626E7" w:rsidRDefault="00B626E7">
            <w:pPr>
              <w:rPr>
                <w:rFonts w:ascii="宋体"/>
              </w:rPr>
            </w:pPr>
          </w:p>
        </w:tc>
        <w:tc>
          <w:tcPr>
            <w:tcW w:w="24" w:type="pct"/>
            <w:shd w:val="clear" w:color="auto" w:fill="auto"/>
          </w:tcPr>
          <w:p w14:paraId="20AE2108" w14:textId="77777777" w:rsidR="00B626E7" w:rsidRDefault="00B626E7">
            <w:pPr>
              <w:rPr>
                <w:rFonts w:ascii="宋体"/>
              </w:rPr>
            </w:pPr>
          </w:p>
        </w:tc>
        <w:tc>
          <w:tcPr>
            <w:tcW w:w="5" w:type="pct"/>
            <w:shd w:val="clear" w:color="auto" w:fill="auto"/>
          </w:tcPr>
          <w:p w14:paraId="20AE2109" w14:textId="77777777" w:rsidR="00B626E7" w:rsidRDefault="00B626E7">
            <w:pPr>
              <w:rPr>
                <w:rFonts w:ascii="宋体"/>
              </w:rPr>
            </w:pPr>
          </w:p>
        </w:tc>
        <w:tc>
          <w:tcPr>
            <w:tcW w:w="50" w:type="pct"/>
            <w:shd w:val="clear" w:color="auto" w:fill="auto"/>
          </w:tcPr>
          <w:p w14:paraId="20AE210A" w14:textId="77777777" w:rsidR="00B626E7" w:rsidRDefault="00B626E7">
            <w:pPr>
              <w:rPr>
                <w:rFonts w:ascii="宋体"/>
              </w:rPr>
            </w:pPr>
          </w:p>
        </w:tc>
        <w:tc>
          <w:tcPr>
            <w:tcW w:w="447" w:type="pct"/>
            <w:shd w:val="clear" w:color="auto" w:fill="auto"/>
          </w:tcPr>
          <w:p w14:paraId="20AE210B" w14:textId="77777777" w:rsidR="00B626E7" w:rsidRDefault="00B626E7">
            <w:pPr>
              <w:rPr>
                <w:rFonts w:ascii="宋体"/>
              </w:rPr>
            </w:pPr>
          </w:p>
        </w:tc>
        <w:tc>
          <w:tcPr>
            <w:tcW w:w="50" w:type="pct"/>
            <w:shd w:val="clear" w:color="auto" w:fill="auto"/>
          </w:tcPr>
          <w:p w14:paraId="20AE210C" w14:textId="77777777" w:rsidR="00B626E7" w:rsidRDefault="00B626E7">
            <w:pPr>
              <w:rPr>
                <w:rFonts w:ascii="宋体"/>
              </w:rPr>
            </w:pPr>
          </w:p>
        </w:tc>
        <w:tc>
          <w:tcPr>
            <w:tcW w:w="5" w:type="pct"/>
            <w:shd w:val="clear" w:color="auto" w:fill="auto"/>
          </w:tcPr>
          <w:p w14:paraId="20AE210D" w14:textId="77777777" w:rsidR="00B626E7" w:rsidRDefault="00B626E7">
            <w:pPr>
              <w:rPr>
                <w:rFonts w:ascii="宋体"/>
              </w:rPr>
            </w:pPr>
          </w:p>
        </w:tc>
        <w:tc>
          <w:tcPr>
            <w:tcW w:w="24" w:type="pct"/>
            <w:shd w:val="clear" w:color="auto" w:fill="auto"/>
          </w:tcPr>
          <w:p w14:paraId="20AE210E" w14:textId="77777777" w:rsidR="00B626E7" w:rsidRDefault="00B626E7">
            <w:pPr>
              <w:rPr>
                <w:rFonts w:ascii="宋体"/>
              </w:rPr>
            </w:pPr>
          </w:p>
        </w:tc>
        <w:tc>
          <w:tcPr>
            <w:tcW w:w="5" w:type="pct"/>
            <w:shd w:val="clear" w:color="auto" w:fill="auto"/>
          </w:tcPr>
          <w:p w14:paraId="20AE210F" w14:textId="77777777" w:rsidR="00B626E7" w:rsidRDefault="00B626E7">
            <w:pPr>
              <w:rPr>
                <w:rFonts w:ascii="宋体"/>
              </w:rPr>
            </w:pPr>
          </w:p>
        </w:tc>
        <w:tc>
          <w:tcPr>
            <w:tcW w:w="50" w:type="pct"/>
            <w:shd w:val="clear" w:color="auto" w:fill="auto"/>
          </w:tcPr>
          <w:p w14:paraId="20AE2110" w14:textId="77777777" w:rsidR="00B626E7" w:rsidRDefault="00B626E7">
            <w:pPr>
              <w:rPr>
                <w:rFonts w:ascii="宋体"/>
              </w:rPr>
            </w:pPr>
          </w:p>
        </w:tc>
        <w:tc>
          <w:tcPr>
            <w:tcW w:w="447" w:type="pct"/>
            <w:shd w:val="clear" w:color="auto" w:fill="auto"/>
          </w:tcPr>
          <w:p w14:paraId="20AE2111" w14:textId="77777777" w:rsidR="00B626E7" w:rsidRDefault="00B626E7">
            <w:pPr>
              <w:rPr>
                <w:rFonts w:ascii="宋体"/>
              </w:rPr>
            </w:pPr>
          </w:p>
        </w:tc>
        <w:tc>
          <w:tcPr>
            <w:tcW w:w="50" w:type="pct"/>
            <w:shd w:val="clear" w:color="auto" w:fill="auto"/>
          </w:tcPr>
          <w:p w14:paraId="20AE2112" w14:textId="77777777" w:rsidR="00B626E7" w:rsidRDefault="00B626E7">
            <w:pPr>
              <w:rPr>
                <w:rFonts w:ascii="宋体"/>
              </w:rPr>
            </w:pPr>
          </w:p>
        </w:tc>
        <w:tc>
          <w:tcPr>
            <w:tcW w:w="5" w:type="pct"/>
            <w:shd w:val="clear" w:color="auto" w:fill="auto"/>
          </w:tcPr>
          <w:p w14:paraId="20AE2113" w14:textId="77777777" w:rsidR="00B626E7" w:rsidRDefault="00B626E7">
            <w:pPr>
              <w:rPr>
                <w:rFonts w:ascii="宋体"/>
              </w:rPr>
            </w:pPr>
          </w:p>
        </w:tc>
        <w:tc>
          <w:tcPr>
            <w:tcW w:w="24" w:type="pct"/>
            <w:shd w:val="clear" w:color="auto" w:fill="auto"/>
          </w:tcPr>
          <w:p w14:paraId="20AE2114" w14:textId="77777777" w:rsidR="00B626E7" w:rsidRDefault="00B626E7">
            <w:pPr>
              <w:rPr>
                <w:rFonts w:ascii="宋体"/>
              </w:rPr>
            </w:pPr>
          </w:p>
        </w:tc>
        <w:tc>
          <w:tcPr>
            <w:tcW w:w="5" w:type="pct"/>
            <w:shd w:val="clear" w:color="auto" w:fill="auto"/>
          </w:tcPr>
          <w:p w14:paraId="20AE2115" w14:textId="77777777" w:rsidR="00B626E7" w:rsidRDefault="00B626E7">
            <w:pPr>
              <w:rPr>
                <w:rFonts w:ascii="宋体"/>
              </w:rPr>
            </w:pPr>
          </w:p>
        </w:tc>
        <w:tc>
          <w:tcPr>
            <w:tcW w:w="50" w:type="pct"/>
            <w:shd w:val="clear" w:color="auto" w:fill="auto"/>
          </w:tcPr>
          <w:p w14:paraId="20AE2116" w14:textId="77777777" w:rsidR="00B626E7" w:rsidRDefault="00B626E7">
            <w:pPr>
              <w:rPr>
                <w:rFonts w:ascii="宋体"/>
              </w:rPr>
            </w:pPr>
          </w:p>
        </w:tc>
        <w:tc>
          <w:tcPr>
            <w:tcW w:w="447" w:type="pct"/>
            <w:shd w:val="clear" w:color="auto" w:fill="auto"/>
          </w:tcPr>
          <w:p w14:paraId="20AE2117" w14:textId="77777777" w:rsidR="00B626E7" w:rsidRDefault="00B626E7">
            <w:pPr>
              <w:rPr>
                <w:rFonts w:ascii="宋体"/>
              </w:rPr>
            </w:pPr>
          </w:p>
        </w:tc>
        <w:tc>
          <w:tcPr>
            <w:tcW w:w="50" w:type="pct"/>
            <w:shd w:val="clear" w:color="auto" w:fill="auto"/>
          </w:tcPr>
          <w:p w14:paraId="20AE2118" w14:textId="77777777" w:rsidR="00B626E7" w:rsidRDefault="00B626E7">
            <w:pPr>
              <w:rPr>
                <w:rFonts w:ascii="宋体"/>
              </w:rPr>
            </w:pPr>
          </w:p>
        </w:tc>
        <w:tc>
          <w:tcPr>
            <w:tcW w:w="5" w:type="pct"/>
            <w:shd w:val="clear" w:color="auto" w:fill="auto"/>
          </w:tcPr>
          <w:p w14:paraId="20AE2119" w14:textId="77777777" w:rsidR="00B626E7" w:rsidRDefault="00B626E7">
            <w:pPr>
              <w:rPr>
                <w:rFonts w:ascii="宋体"/>
              </w:rPr>
            </w:pPr>
          </w:p>
        </w:tc>
        <w:tc>
          <w:tcPr>
            <w:tcW w:w="24" w:type="pct"/>
            <w:shd w:val="clear" w:color="auto" w:fill="auto"/>
          </w:tcPr>
          <w:p w14:paraId="20AE211A" w14:textId="77777777" w:rsidR="00B626E7" w:rsidRDefault="00B626E7">
            <w:pPr>
              <w:rPr>
                <w:rFonts w:ascii="宋体"/>
              </w:rPr>
            </w:pPr>
          </w:p>
        </w:tc>
        <w:tc>
          <w:tcPr>
            <w:tcW w:w="5" w:type="pct"/>
            <w:shd w:val="clear" w:color="auto" w:fill="auto"/>
          </w:tcPr>
          <w:p w14:paraId="20AE211B" w14:textId="77777777" w:rsidR="00B626E7" w:rsidRDefault="00B626E7">
            <w:pPr>
              <w:rPr>
                <w:rFonts w:ascii="宋体"/>
              </w:rPr>
            </w:pPr>
          </w:p>
        </w:tc>
        <w:tc>
          <w:tcPr>
            <w:tcW w:w="50" w:type="pct"/>
            <w:shd w:val="clear" w:color="auto" w:fill="auto"/>
          </w:tcPr>
          <w:p w14:paraId="20AE211C" w14:textId="77777777" w:rsidR="00B626E7" w:rsidRDefault="00B626E7">
            <w:pPr>
              <w:rPr>
                <w:rFonts w:ascii="宋体"/>
              </w:rPr>
            </w:pPr>
          </w:p>
        </w:tc>
        <w:tc>
          <w:tcPr>
            <w:tcW w:w="448" w:type="pct"/>
            <w:shd w:val="clear" w:color="auto" w:fill="auto"/>
          </w:tcPr>
          <w:p w14:paraId="20AE211D" w14:textId="77777777" w:rsidR="00B626E7" w:rsidRDefault="00B626E7">
            <w:pPr>
              <w:rPr>
                <w:rFonts w:ascii="宋体"/>
              </w:rPr>
            </w:pPr>
          </w:p>
        </w:tc>
        <w:tc>
          <w:tcPr>
            <w:tcW w:w="50" w:type="pct"/>
            <w:shd w:val="clear" w:color="auto" w:fill="auto"/>
          </w:tcPr>
          <w:p w14:paraId="20AE211E" w14:textId="77777777" w:rsidR="00B626E7" w:rsidRDefault="00B626E7">
            <w:pPr>
              <w:rPr>
                <w:rFonts w:ascii="宋体"/>
              </w:rPr>
            </w:pPr>
          </w:p>
        </w:tc>
      </w:tr>
      <w:tr w:rsidR="00B626E7" w14:paraId="20AE212C" w14:textId="77777777">
        <w:tc>
          <w:tcPr>
            <w:tcW w:w="0" w:type="auto"/>
            <w:gridSpan w:val="3"/>
            <w:shd w:val="clear" w:color="auto" w:fill="auto"/>
            <w:tcMar>
              <w:left w:w="20" w:type="dxa"/>
              <w:right w:w="20" w:type="dxa"/>
            </w:tcMar>
            <w:vAlign w:val="bottom"/>
          </w:tcPr>
          <w:p w14:paraId="20AE2120"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121" w14:textId="77777777" w:rsidR="00B626E7" w:rsidRDefault="00B626E7">
            <w:pPr>
              <w:rPr>
                <w:rFonts w:ascii="宋体"/>
              </w:rPr>
            </w:pPr>
          </w:p>
        </w:tc>
        <w:tc>
          <w:tcPr>
            <w:tcW w:w="0" w:type="auto"/>
            <w:gridSpan w:val="33"/>
            <w:shd w:val="clear" w:color="auto" w:fill="auto"/>
            <w:tcMar>
              <w:top w:w="40" w:type="dxa"/>
              <w:left w:w="20" w:type="dxa"/>
              <w:bottom w:w="40" w:type="dxa"/>
              <w:right w:w="20" w:type="dxa"/>
            </w:tcMar>
            <w:vAlign w:val="bottom"/>
          </w:tcPr>
          <w:p w14:paraId="20AE2122" w14:textId="77777777" w:rsidR="00B626E7" w:rsidRDefault="00175C1D">
            <w:pPr>
              <w:jc w:val="center"/>
              <w:textAlignment w:val="bottom"/>
            </w:pPr>
            <w:r>
              <w:rPr>
                <w:rFonts w:ascii="Arial" w:eastAsia="宋体" w:hAnsi="Arial" w:cs="Arial"/>
                <w:b/>
                <w:bCs/>
                <w:color w:val="333333"/>
                <w:sz w:val="18"/>
                <w:szCs w:val="18"/>
              </w:rPr>
              <w:t>Dec 28, 2019</w:t>
            </w:r>
          </w:p>
        </w:tc>
        <w:tc>
          <w:tcPr>
            <w:tcW w:w="0" w:type="auto"/>
            <w:gridSpan w:val="3"/>
            <w:shd w:val="clear" w:color="auto" w:fill="auto"/>
          </w:tcPr>
          <w:p w14:paraId="20AE2123" w14:textId="77777777" w:rsidR="00B626E7" w:rsidRDefault="00B626E7">
            <w:pPr>
              <w:rPr>
                <w:rFonts w:ascii="宋体"/>
                <w:vanish/>
              </w:rPr>
            </w:pPr>
          </w:p>
        </w:tc>
        <w:tc>
          <w:tcPr>
            <w:tcW w:w="0" w:type="auto"/>
            <w:gridSpan w:val="3"/>
            <w:shd w:val="clear" w:color="auto" w:fill="auto"/>
          </w:tcPr>
          <w:p w14:paraId="20AE2124" w14:textId="77777777" w:rsidR="00B626E7" w:rsidRDefault="00B626E7">
            <w:pPr>
              <w:rPr>
                <w:rFonts w:ascii="宋体"/>
                <w:vanish/>
              </w:rPr>
            </w:pPr>
          </w:p>
        </w:tc>
        <w:tc>
          <w:tcPr>
            <w:tcW w:w="0" w:type="auto"/>
            <w:gridSpan w:val="3"/>
            <w:shd w:val="clear" w:color="auto" w:fill="auto"/>
          </w:tcPr>
          <w:p w14:paraId="20AE2125" w14:textId="77777777" w:rsidR="00B626E7" w:rsidRDefault="00B626E7">
            <w:pPr>
              <w:rPr>
                <w:rFonts w:ascii="宋体"/>
                <w:vanish/>
              </w:rPr>
            </w:pPr>
          </w:p>
        </w:tc>
        <w:tc>
          <w:tcPr>
            <w:tcW w:w="0" w:type="auto"/>
            <w:gridSpan w:val="3"/>
            <w:shd w:val="clear" w:color="auto" w:fill="auto"/>
          </w:tcPr>
          <w:p w14:paraId="20AE2126" w14:textId="77777777" w:rsidR="00B626E7" w:rsidRDefault="00B626E7">
            <w:pPr>
              <w:rPr>
                <w:rFonts w:ascii="宋体"/>
                <w:vanish/>
              </w:rPr>
            </w:pPr>
          </w:p>
        </w:tc>
        <w:tc>
          <w:tcPr>
            <w:tcW w:w="0" w:type="auto"/>
            <w:gridSpan w:val="3"/>
            <w:shd w:val="clear" w:color="auto" w:fill="auto"/>
          </w:tcPr>
          <w:p w14:paraId="20AE2127" w14:textId="77777777" w:rsidR="00B626E7" w:rsidRDefault="00B626E7">
            <w:pPr>
              <w:rPr>
                <w:rFonts w:ascii="宋体"/>
                <w:vanish/>
              </w:rPr>
            </w:pPr>
          </w:p>
        </w:tc>
        <w:tc>
          <w:tcPr>
            <w:tcW w:w="0" w:type="auto"/>
            <w:gridSpan w:val="3"/>
            <w:shd w:val="clear" w:color="auto" w:fill="auto"/>
          </w:tcPr>
          <w:p w14:paraId="20AE2128" w14:textId="77777777" w:rsidR="00B626E7" w:rsidRDefault="00B626E7">
            <w:pPr>
              <w:rPr>
                <w:rFonts w:ascii="宋体"/>
                <w:vanish/>
              </w:rPr>
            </w:pPr>
          </w:p>
        </w:tc>
        <w:tc>
          <w:tcPr>
            <w:tcW w:w="0" w:type="auto"/>
            <w:gridSpan w:val="3"/>
            <w:shd w:val="clear" w:color="auto" w:fill="auto"/>
          </w:tcPr>
          <w:p w14:paraId="20AE2129" w14:textId="77777777" w:rsidR="00B626E7" w:rsidRDefault="00B626E7">
            <w:pPr>
              <w:rPr>
                <w:rFonts w:ascii="宋体"/>
                <w:vanish/>
              </w:rPr>
            </w:pPr>
          </w:p>
        </w:tc>
        <w:tc>
          <w:tcPr>
            <w:tcW w:w="0" w:type="auto"/>
            <w:gridSpan w:val="2"/>
            <w:shd w:val="clear" w:color="auto" w:fill="auto"/>
          </w:tcPr>
          <w:p w14:paraId="20AE212A" w14:textId="77777777" w:rsidR="00B626E7" w:rsidRDefault="00B626E7">
            <w:pPr>
              <w:rPr>
                <w:rFonts w:ascii="宋体"/>
                <w:vanish/>
              </w:rPr>
            </w:pPr>
          </w:p>
        </w:tc>
        <w:tc>
          <w:tcPr>
            <w:tcW w:w="0" w:type="auto"/>
            <w:shd w:val="clear" w:color="auto" w:fill="auto"/>
          </w:tcPr>
          <w:p w14:paraId="20AE212B" w14:textId="77777777" w:rsidR="00B626E7" w:rsidRDefault="00B626E7">
            <w:pPr>
              <w:rPr>
                <w:rFonts w:ascii="宋体"/>
                <w:vanish/>
              </w:rPr>
            </w:pPr>
          </w:p>
        </w:tc>
      </w:tr>
      <w:tr w:rsidR="00B626E7" w14:paraId="20AE214C" w14:textId="77777777">
        <w:tc>
          <w:tcPr>
            <w:tcW w:w="0" w:type="auto"/>
            <w:gridSpan w:val="3"/>
            <w:shd w:val="clear" w:color="auto" w:fill="auto"/>
            <w:tcMar>
              <w:left w:w="20" w:type="dxa"/>
              <w:right w:w="20" w:type="dxa"/>
            </w:tcMar>
            <w:vAlign w:val="bottom"/>
          </w:tcPr>
          <w:p w14:paraId="20AE212D"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12E"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212F"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2130"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2131"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2132"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2133"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2134" w14:textId="77777777" w:rsidR="00B626E7" w:rsidRDefault="00B626E7">
            <w:pPr>
              <w:rPr>
                <w:rFonts w:ascii="宋体"/>
              </w:rPr>
            </w:pPr>
          </w:p>
        </w:tc>
        <w:tc>
          <w:tcPr>
            <w:tcW w:w="0" w:type="auto"/>
            <w:gridSpan w:val="9"/>
            <w:tcBorders>
              <w:top w:val="single" w:sz="8" w:space="0" w:color="0071C5"/>
            </w:tcBorders>
            <w:shd w:val="clear" w:color="auto" w:fill="auto"/>
            <w:tcMar>
              <w:top w:w="40" w:type="dxa"/>
              <w:left w:w="20" w:type="dxa"/>
              <w:bottom w:w="40" w:type="dxa"/>
              <w:right w:w="20" w:type="dxa"/>
            </w:tcMar>
            <w:vAlign w:val="bottom"/>
          </w:tcPr>
          <w:p w14:paraId="20AE2135" w14:textId="77777777" w:rsidR="00B626E7" w:rsidRDefault="00175C1D">
            <w:pPr>
              <w:jc w:val="center"/>
              <w:textAlignment w:val="bottom"/>
            </w:pPr>
            <w:r>
              <w:rPr>
                <w:rFonts w:ascii="Arial" w:eastAsia="宋体" w:hAnsi="Arial" w:cs="Arial"/>
                <w:b/>
                <w:bCs/>
                <w:color w:val="333333"/>
                <w:sz w:val="18"/>
                <w:szCs w:val="18"/>
              </w:rPr>
              <w:t xml:space="preserve">Gross </w:t>
            </w:r>
            <w:r>
              <w:rPr>
                <w:rFonts w:ascii="Arial" w:eastAsia="宋体" w:hAnsi="Arial" w:cs="Arial"/>
                <w:b/>
                <w:bCs/>
                <w:color w:val="333333"/>
                <w:sz w:val="18"/>
                <w:szCs w:val="18"/>
              </w:rPr>
              <w:t>Amounts Not Offset in the Balance Sheet</w:t>
            </w:r>
          </w:p>
        </w:tc>
        <w:tc>
          <w:tcPr>
            <w:tcW w:w="0" w:type="auto"/>
            <w:gridSpan w:val="3"/>
            <w:shd w:val="clear" w:color="auto" w:fill="auto"/>
          </w:tcPr>
          <w:p w14:paraId="20AE2136" w14:textId="77777777" w:rsidR="00B626E7" w:rsidRDefault="00B626E7">
            <w:pPr>
              <w:rPr>
                <w:rFonts w:ascii="宋体"/>
                <w:vanish/>
              </w:rPr>
            </w:pPr>
          </w:p>
        </w:tc>
        <w:tc>
          <w:tcPr>
            <w:tcW w:w="0" w:type="auto"/>
            <w:gridSpan w:val="3"/>
            <w:shd w:val="clear" w:color="auto" w:fill="auto"/>
          </w:tcPr>
          <w:p w14:paraId="20AE2137" w14:textId="77777777" w:rsidR="00B626E7" w:rsidRDefault="00B626E7">
            <w:pPr>
              <w:rPr>
                <w:rFonts w:ascii="宋体"/>
                <w:vanish/>
              </w:rPr>
            </w:pPr>
          </w:p>
        </w:tc>
        <w:tc>
          <w:tcPr>
            <w:tcW w:w="0" w:type="auto"/>
            <w:gridSpan w:val="3"/>
            <w:tcBorders>
              <w:top w:val="single" w:sz="8" w:space="0" w:color="0071C5"/>
            </w:tcBorders>
            <w:shd w:val="clear" w:color="auto" w:fill="auto"/>
            <w:tcMar>
              <w:left w:w="20" w:type="dxa"/>
              <w:right w:w="20" w:type="dxa"/>
            </w:tcMar>
            <w:vAlign w:val="bottom"/>
          </w:tcPr>
          <w:p w14:paraId="20AE2138"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2139" w14:textId="77777777" w:rsidR="00B626E7" w:rsidRDefault="00B626E7">
            <w:pPr>
              <w:rPr>
                <w:rFonts w:ascii="宋体"/>
              </w:rPr>
            </w:pPr>
          </w:p>
        </w:tc>
        <w:tc>
          <w:tcPr>
            <w:tcW w:w="0" w:type="auto"/>
            <w:shd w:val="clear" w:color="auto" w:fill="auto"/>
          </w:tcPr>
          <w:p w14:paraId="20AE213A" w14:textId="77777777" w:rsidR="00B626E7" w:rsidRDefault="00B626E7">
            <w:pPr>
              <w:rPr>
                <w:rFonts w:ascii="宋体"/>
              </w:rPr>
            </w:pPr>
          </w:p>
        </w:tc>
        <w:tc>
          <w:tcPr>
            <w:tcW w:w="0" w:type="auto"/>
            <w:shd w:val="clear" w:color="auto" w:fill="auto"/>
          </w:tcPr>
          <w:p w14:paraId="20AE213B" w14:textId="77777777" w:rsidR="00B626E7" w:rsidRDefault="00B626E7">
            <w:pPr>
              <w:rPr>
                <w:rFonts w:ascii="宋体"/>
              </w:rPr>
            </w:pPr>
          </w:p>
        </w:tc>
        <w:tc>
          <w:tcPr>
            <w:tcW w:w="0" w:type="auto"/>
            <w:shd w:val="clear" w:color="auto" w:fill="auto"/>
          </w:tcPr>
          <w:p w14:paraId="20AE213C" w14:textId="77777777" w:rsidR="00B626E7" w:rsidRDefault="00B626E7">
            <w:pPr>
              <w:rPr>
                <w:rFonts w:ascii="宋体"/>
              </w:rPr>
            </w:pPr>
          </w:p>
        </w:tc>
        <w:tc>
          <w:tcPr>
            <w:tcW w:w="0" w:type="auto"/>
            <w:shd w:val="clear" w:color="auto" w:fill="auto"/>
          </w:tcPr>
          <w:p w14:paraId="20AE213D" w14:textId="77777777" w:rsidR="00B626E7" w:rsidRDefault="00B626E7">
            <w:pPr>
              <w:rPr>
                <w:rFonts w:ascii="宋体"/>
              </w:rPr>
            </w:pPr>
          </w:p>
        </w:tc>
        <w:tc>
          <w:tcPr>
            <w:tcW w:w="0" w:type="auto"/>
            <w:shd w:val="clear" w:color="auto" w:fill="auto"/>
          </w:tcPr>
          <w:p w14:paraId="20AE213E" w14:textId="77777777" w:rsidR="00B626E7" w:rsidRDefault="00B626E7">
            <w:pPr>
              <w:rPr>
                <w:rFonts w:ascii="宋体"/>
              </w:rPr>
            </w:pPr>
          </w:p>
        </w:tc>
        <w:tc>
          <w:tcPr>
            <w:tcW w:w="0" w:type="auto"/>
            <w:shd w:val="clear" w:color="auto" w:fill="auto"/>
          </w:tcPr>
          <w:p w14:paraId="20AE213F" w14:textId="77777777" w:rsidR="00B626E7" w:rsidRDefault="00B626E7">
            <w:pPr>
              <w:rPr>
                <w:rFonts w:ascii="宋体"/>
              </w:rPr>
            </w:pPr>
          </w:p>
        </w:tc>
        <w:tc>
          <w:tcPr>
            <w:tcW w:w="0" w:type="auto"/>
            <w:shd w:val="clear" w:color="auto" w:fill="auto"/>
          </w:tcPr>
          <w:p w14:paraId="20AE2140" w14:textId="77777777" w:rsidR="00B626E7" w:rsidRDefault="00B626E7">
            <w:pPr>
              <w:rPr>
                <w:rFonts w:ascii="宋体"/>
              </w:rPr>
            </w:pPr>
          </w:p>
        </w:tc>
        <w:tc>
          <w:tcPr>
            <w:tcW w:w="0" w:type="auto"/>
            <w:shd w:val="clear" w:color="auto" w:fill="auto"/>
          </w:tcPr>
          <w:p w14:paraId="20AE2141" w14:textId="77777777" w:rsidR="00B626E7" w:rsidRDefault="00B626E7">
            <w:pPr>
              <w:rPr>
                <w:rFonts w:ascii="宋体"/>
              </w:rPr>
            </w:pPr>
          </w:p>
        </w:tc>
        <w:tc>
          <w:tcPr>
            <w:tcW w:w="0" w:type="auto"/>
            <w:shd w:val="clear" w:color="auto" w:fill="auto"/>
          </w:tcPr>
          <w:p w14:paraId="20AE2142" w14:textId="77777777" w:rsidR="00B626E7" w:rsidRDefault="00B626E7">
            <w:pPr>
              <w:rPr>
                <w:rFonts w:ascii="宋体"/>
              </w:rPr>
            </w:pPr>
          </w:p>
        </w:tc>
        <w:tc>
          <w:tcPr>
            <w:tcW w:w="0" w:type="auto"/>
            <w:shd w:val="clear" w:color="auto" w:fill="auto"/>
          </w:tcPr>
          <w:p w14:paraId="20AE2143" w14:textId="77777777" w:rsidR="00B626E7" w:rsidRDefault="00B626E7">
            <w:pPr>
              <w:rPr>
                <w:rFonts w:ascii="宋体"/>
              </w:rPr>
            </w:pPr>
          </w:p>
        </w:tc>
        <w:tc>
          <w:tcPr>
            <w:tcW w:w="0" w:type="auto"/>
            <w:shd w:val="clear" w:color="auto" w:fill="auto"/>
          </w:tcPr>
          <w:p w14:paraId="20AE2144" w14:textId="77777777" w:rsidR="00B626E7" w:rsidRDefault="00B626E7">
            <w:pPr>
              <w:rPr>
                <w:rFonts w:ascii="宋体"/>
              </w:rPr>
            </w:pPr>
          </w:p>
        </w:tc>
        <w:tc>
          <w:tcPr>
            <w:tcW w:w="0" w:type="auto"/>
            <w:shd w:val="clear" w:color="auto" w:fill="auto"/>
          </w:tcPr>
          <w:p w14:paraId="20AE2145" w14:textId="77777777" w:rsidR="00B626E7" w:rsidRDefault="00B626E7">
            <w:pPr>
              <w:rPr>
                <w:rFonts w:ascii="宋体"/>
              </w:rPr>
            </w:pPr>
          </w:p>
        </w:tc>
        <w:tc>
          <w:tcPr>
            <w:tcW w:w="0" w:type="auto"/>
            <w:shd w:val="clear" w:color="auto" w:fill="auto"/>
          </w:tcPr>
          <w:p w14:paraId="20AE2146" w14:textId="77777777" w:rsidR="00B626E7" w:rsidRDefault="00B626E7">
            <w:pPr>
              <w:rPr>
                <w:rFonts w:ascii="宋体"/>
              </w:rPr>
            </w:pPr>
          </w:p>
        </w:tc>
        <w:tc>
          <w:tcPr>
            <w:tcW w:w="0" w:type="auto"/>
            <w:shd w:val="clear" w:color="auto" w:fill="auto"/>
          </w:tcPr>
          <w:p w14:paraId="20AE2147" w14:textId="77777777" w:rsidR="00B626E7" w:rsidRDefault="00B626E7">
            <w:pPr>
              <w:rPr>
                <w:rFonts w:ascii="宋体"/>
              </w:rPr>
            </w:pPr>
          </w:p>
        </w:tc>
        <w:tc>
          <w:tcPr>
            <w:tcW w:w="0" w:type="auto"/>
            <w:shd w:val="clear" w:color="auto" w:fill="auto"/>
          </w:tcPr>
          <w:p w14:paraId="20AE2148" w14:textId="77777777" w:rsidR="00B626E7" w:rsidRDefault="00B626E7">
            <w:pPr>
              <w:rPr>
                <w:rFonts w:ascii="宋体"/>
              </w:rPr>
            </w:pPr>
          </w:p>
        </w:tc>
        <w:tc>
          <w:tcPr>
            <w:tcW w:w="0" w:type="auto"/>
            <w:shd w:val="clear" w:color="auto" w:fill="auto"/>
          </w:tcPr>
          <w:p w14:paraId="20AE2149" w14:textId="77777777" w:rsidR="00B626E7" w:rsidRDefault="00B626E7">
            <w:pPr>
              <w:rPr>
                <w:rFonts w:ascii="宋体"/>
              </w:rPr>
            </w:pPr>
          </w:p>
        </w:tc>
        <w:tc>
          <w:tcPr>
            <w:tcW w:w="0" w:type="auto"/>
            <w:shd w:val="clear" w:color="auto" w:fill="auto"/>
          </w:tcPr>
          <w:p w14:paraId="20AE214A" w14:textId="77777777" w:rsidR="00B626E7" w:rsidRDefault="00B626E7">
            <w:pPr>
              <w:rPr>
                <w:rFonts w:ascii="宋体"/>
              </w:rPr>
            </w:pPr>
          </w:p>
        </w:tc>
        <w:tc>
          <w:tcPr>
            <w:tcW w:w="0" w:type="auto"/>
            <w:shd w:val="clear" w:color="auto" w:fill="auto"/>
          </w:tcPr>
          <w:p w14:paraId="20AE214B" w14:textId="77777777" w:rsidR="00B626E7" w:rsidRDefault="00B626E7">
            <w:pPr>
              <w:rPr>
                <w:rFonts w:ascii="宋体"/>
              </w:rPr>
            </w:pPr>
          </w:p>
        </w:tc>
      </w:tr>
      <w:tr w:rsidR="00B626E7" w14:paraId="20AE2172" w14:textId="77777777">
        <w:tc>
          <w:tcPr>
            <w:tcW w:w="0" w:type="auto"/>
            <w:gridSpan w:val="3"/>
            <w:shd w:val="clear" w:color="auto" w:fill="auto"/>
            <w:tcMar>
              <w:top w:w="40" w:type="dxa"/>
              <w:left w:w="20" w:type="dxa"/>
              <w:bottom w:w="40" w:type="dxa"/>
              <w:right w:w="20" w:type="dxa"/>
            </w:tcMar>
            <w:vAlign w:val="bottom"/>
          </w:tcPr>
          <w:p w14:paraId="20AE214D" w14:textId="77777777" w:rsidR="00B626E7" w:rsidRDefault="00175C1D">
            <w:pPr>
              <w:ind w:hanging="180"/>
              <w:textAlignment w:val="bottom"/>
            </w:pPr>
            <w:r>
              <w:rPr>
                <w:rFonts w:ascii="Arial" w:eastAsia="宋体" w:hAnsi="Arial" w:cs="Arial"/>
                <w:b/>
                <w:bCs/>
                <w:color w:val="333333"/>
                <w:sz w:val="18"/>
                <w:szCs w:val="18"/>
              </w:rPr>
              <w:t>(In Millions)</w:t>
            </w:r>
          </w:p>
        </w:tc>
        <w:tc>
          <w:tcPr>
            <w:tcW w:w="0" w:type="auto"/>
            <w:gridSpan w:val="3"/>
            <w:shd w:val="clear" w:color="auto" w:fill="auto"/>
            <w:tcMar>
              <w:left w:w="20" w:type="dxa"/>
              <w:right w:w="20" w:type="dxa"/>
            </w:tcMar>
            <w:vAlign w:val="bottom"/>
          </w:tcPr>
          <w:p w14:paraId="20AE214E"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bottom"/>
          </w:tcPr>
          <w:p w14:paraId="20AE214F" w14:textId="77777777" w:rsidR="00B626E7" w:rsidRDefault="00175C1D">
            <w:pPr>
              <w:jc w:val="center"/>
              <w:textAlignment w:val="bottom"/>
            </w:pPr>
            <w:r>
              <w:rPr>
                <w:rFonts w:ascii="Arial" w:eastAsia="宋体" w:hAnsi="Arial" w:cs="Arial"/>
                <w:b/>
                <w:bCs/>
                <w:color w:val="333333"/>
                <w:sz w:val="18"/>
                <w:szCs w:val="18"/>
              </w:rPr>
              <w:t>Gross Amounts Recognized</w:t>
            </w:r>
          </w:p>
        </w:tc>
        <w:tc>
          <w:tcPr>
            <w:tcW w:w="0" w:type="auto"/>
            <w:gridSpan w:val="3"/>
            <w:shd w:val="clear" w:color="auto" w:fill="auto"/>
            <w:tcMar>
              <w:left w:w="20" w:type="dxa"/>
              <w:right w:w="20" w:type="dxa"/>
            </w:tcMar>
            <w:vAlign w:val="bottom"/>
          </w:tcPr>
          <w:p w14:paraId="20AE2150"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bottom"/>
          </w:tcPr>
          <w:p w14:paraId="20AE2151" w14:textId="77777777" w:rsidR="00B626E7" w:rsidRDefault="00175C1D">
            <w:pPr>
              <w:jc w:val="center"/>
              <w:textAlignment w:val="bottom"/>
            </w:pPr>
            <w:r>
              <w:rPr>
                <w:rFonts w:ascii="Arial" w:eastAsia="宋体" w:hAnsi="Arial" w:cs="Arial"/>
                <w:b/>
                <w:bCs/>
                <w:color w:val="333333"/>
                <w:sz w:val="18"/>
                <w:szCs w:val="18"/>
              </w:rPr>
              <w:t>Gross Amounts Offset in the Balance Sheet</w:t>
            </w:r>
          </w:p>
        </w:tc>
        <w:tc>
          <w:tcPr>
            <w:tcW w:w="0" w:type="auto"/>
            <w:gridSpan w:val="3"/>
            <w:shd w:val="clear" w:color="auto" w:fill="auto"/>
            <w:tcMar>
              <w:left w:w="20" w:type="dxa"/>
              <w:right w:w="20" w:type="dxa"/>
            </w:tcMar>
            <w:vAlign w:val="bottom"/>
          </w:tcPr>
          <w:p w14:paraId="20AE2152"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bottom"/>
          </w:tcPr>
          <w:p w14:paraId="20AE2153" w14:textId="77777777" w:rsidR="00B626E7" w:rsidRDefault="00175C1D">
            <w:pPr>
              <w:jc w:val="center"/>
              <w:textAlignment w:val="bottom"/>
            </w:pPr>
            <w:r>
              <w:rPr>
                <w:rFonts w:ascii="Arial" w:eastAsia="宋体" w:hAnsi="Arial" w:cs="Arial"/>
                <w:b/>
                <w:bCs/>
                <w:color w:val="333333"/>
                <w:sz w:val="18"/>
                <w:szCs w:val="18"/>
              </w:rPr>
              <w:t>Net Amounts Presented in the Balance Sheet</w:t>
            </w:r>
          </w:p>
        </w:tc>
        <w:tc>
          <w:tcPr>
            <w:tcW w:w="0" w:type="auto"/>
            <w:gridSpan w:val="3"/>
            <w:shd w:val="clear" w:color="auto" w:fill="auto"/>
            <w:tcMar>
              <w:left w:w="20" w:type="dxa"/>
              <w:right w:w="20" w:type="dxa"/>
            </w:tcMar>
            <w:vAlign w:val="bottom"/>
          </w:tcPr>
          <w:p w14:paraId="20AE2154"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2155" w14:textId="77777777" w:rsidR="00B626E7" w:rsidRDefault="00175C1D">
            <w:pPr>
              <w:jc w:val="center"/>
              <w:textAlignment w:val="bottom"/>
            </w:pPr>
            <w:r>
              <w:rPr>
                <w:rFonts w:ascii="Arial" w:eastAsia="宋体" w:hAnsi="Arial" w:cs="Arial"/>
                <w:b/>
                <w:bCs/>
                <w:color w:val="333333"/>
                <w:sz w:val="18"/>
                <w:szCs w:val="18"/>
              </w:rPr>
              <w:t>Financial Instruments</w:t>
            </w:r>
          </w:p>
        </w:tc>
        <w:tc>
          <w:tcPr>
            <w:tcW w:w="0" w:type="auto"/>
            <w:gridSpan w:val="3"/>
            <w:tcBorders>
              <w:top w:val="single" w:sz="8" w:space="0" w:color="0071C5"/>
            </w:tcBorders>
            <w:shd w:val="clear" w:color="auto" w:fill="auto"/>
            <w:tcMar>
              <w:left w:w="20" w:type="dxa"/>
              <w:right w:w="20" w:type="dxa"/>
            </w:tcMar>
            <w:vAlign w:val="bottom"/>
          </w:tcPr>
          <w:p w14:paraId="20AE2156"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2157" w14:textId="77777777" w:rsidR="00B626E7" w:rsidRDefault="00175C1D">
            <w:pPr>
              <w:jc w:val="center"/>
              <w:textAlignment w:val="bottom"/>
            </w:pPr>
            <w:r>
              <w:rPr>
                <w:rFonts w:ascii="Arial" w:eastAsia="宋体" w:hAnsi="Arial" w:cs="Arial"/>
                <w:b/>
                <w:bCs/>
                <w:color w:val="333333"/>
                <w:sz w:val="18"/>
                <w:szCs w:val="18"/>
              </w:rPr>
              <w:t>Cash and Non-Cash Collateral Received or Pledged</w:t>
            </w:r>
          </w:p>
        </w:tc>
        <w:tc>
          <w:tcPr>
            <w:tcW w:w="0" w:type="auto"/>
            <w:gridSpan w:val="3"/>
            <w:shd w:val="clear" w:color="auto" w:fill="auto"/>
            <w:tcMar>
              <w:left w:w="20" w:type="dxa"/>
              <w:right w:w="20" w:type="dxa"/>
            </w:tcMar>
            <w:vAlign w:val="bottom"/>
          </w:tcPr>
          <w:p w14:paraId="20AE2158"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bottom"/>
          </w:tcPr>
          <w:p w14:paraId="20AE2159" w14:textId="77777777" w:rsidR="00B626E7" w:rsidRDefault="00175C1D">
            <w:pPr>
              <w:jc w:val="center"/>
              <w:textAlignment w:val="bottom"/>
            </w:pPr>
            <w:r>
              <w:rPr>
                <w:rFonts w:ascii="Arial" w:eastAsia="宋体" w:hAnsi="Arial" w:cs="Arial"/>
                <w:b/>
                <w:bCs/>
                <w:color w:val="333333"/>
                <w:sz w:val="18"/>
                <w:szCs w:val="18"/>
              </w:rPr>
              <w:t>Net Amount</w:t>
            </w:r>
          </w:p>
        </w:tc>
        <w:tc>
          <w:tcPr>
            <w:tcW w:w="0" w:type="auto"/>
            <w:shd w:val="clear" w:color="auto" w:fill="auto"/>
          </w:tcPr>
          <w:p w14:paraId="20AE215A" w14:textId="77777777" w:rsidR="00B626E7" w:rsidRDefault="00B626E7">
            <w:pPr>
              <w:rPr>
                <w:rFonts w:ascii="宋体"/>
              </w:rPr>
            </w:pPr>
          </w:p>
        </w:tc>
        <w:tc>
          <w:tcPr>
            <w:tcW w:w="0" w:type="auto"/>
            <w:shd w:val="clear" w:color="auto" w:fill="auto"/>
          </w:tcPr>
          <w:p w14:paraId="20AE215B" w14:textId="77777777" w:rsidR="00B626E7" w:rsidRDefault="00B626E7">
            <w:pPr>
              <w:rPr>
                <w:rFonts w:ascii="宋体"/>
              </w:rPr>
            </w:pPr>
          </w:p>
        </w:tc>
        <w:tc>
          <w:tcPr>
            <w:tcW w:w="0" w:type="auto"/>
            <w:shd w:val="clear" w:color="auto" w:fill="auto"/>
          </w:tcPr>
          <w:p w14:paraId="20AE215C" w14:textId="77777777" w:rsidR="00B626E7" w:rsidRDefault="00B626E7">
            <w:pPr>
              <w:rPr>
                <w:rFonts w:ascii="宋体"/>
              </w:rPr>
            </w:pPr>
          </w:p>
        </w:tc>
        <w:tc>
          <w:tcPr>
            <w:tcW w:w="0" w:type="auto"/>
            <w:shd w:val="clear" w:color="auto" w:fill="auto"/>
          </w:tcPr>
          <w:p w14:paraId="20AE215D" w14:textId="77777777" w:rsidR="00B626E7" w:rsidRDefault="00B626E7">
            <w:pPr>
              <w:rPr>
                <w:rFonts w:ascii="宋体"/>
              </w:rPr>
            </w:pPr>
          </w:p>
        </w:tc>
        <w:tc>
          <w:tcPr>
            <w:tcW w:w="0" w:type="auto"/>
            <w:shd w:val="clear" w:color="auto" w:fill="auto"/>
          </w:tcPr>
          <w:p w14:paraId="20AE215E" w14:textId="77777777" w:rsidR="00B626E7" w:rsidRDefault="00B626E7">
            <w:pPr>
              <w:rPr>
                <w:rFonts w:ascii="宋体"/>
              </w:rPr>
            </w:pPr>
          </w:p>
        </w:tc>
        <w:tc>
          <w:tcPr>
            <w:tcW w:w="0" w:type="auto"/>
            <w:shd w:val="clear" w:color="auto" w:fill="auto"/>
          </w:tcPr>
          <w:p w14:paraId="20AE215F" w14:textId="77777777" w:rsidR="00B626E7" w:rsidRDefault="00B626E7">
            <w:pPr>
              <w:rPr>
                <w:rFonts w:ascii="宋体"/>
              </w:rPr>
            </w:pPr>
          </w:p>
        </w:tc>
        <w:tc>
          <w:tcPr>
            <w:tcW w:w="0" w:type="auto"/>
            <w:shd w:val="clear" w:color="auto" w:fill="auto"/>
          </w:tcPr>
          <w:p w14:paraId="20AE2160" w14:textId="77777777" w:rsidR="00B626E7" w:rsidRDefault="00B626E7">
            <w:pPr>
              <w:rPr>
                <w:rFonts w:ascii="宋体"/>
              </w:rPr>
            </w:pPr>
          </w:p>
        </w:tc>
        <w:tc>
          <w:tcPr>
            <w:tcW w:w="0" w:type="auto"/>
            <w:shd w:val="clear" w:color="auto" w:fill="auto"/>
          </w:tcPr>
          <w:p w14:paraId="20AE2161" w14:textId="77777777" w:rsidR="00B626E7" w:rsidRDefault="00B626E7">
            <w:pPr>
              <w:rPr>
                <w:rFonts w:ascii="宋体"/>
              </w:rPr>
            </w:pPr>
          </w:p>
        </w:tc>
        <w:tc>
          <w:tcPr>
            <w:tcW w:w="0" w:type="auto"/>
            <w:shd w:val="clear" w:color="auto" w:fill="auto"/>
          </w:tcPr>
          <w:p w14:paraId="20AE2162" w14:textId="77777777" w:rsidR="00B626E7" w:rsidRDefault="00B626E7">
            <w:pPr>
              <w:rPr>
                <w:rFonts w:ascii="宋体"/>
              </w:rPr>
            </w:pPr>
          </w:p>
        </w:tc>
        <w:tc>
          <w:tcPr>
            <w:tcW w:w="0" w:type="auto"/>
            <w:shd w:val="clear" w:color="auto" w:fill="auto"/>
          </w:tcPr>
          <w:p w14:paraId="20AE2163" w14:textId="77777777" w:rsidR="00B626E7" w:rsidRDefault="00B626E7">
            <w:pPr>
              <w:rPr>
                <w:rFonts w:ascii="宋体"/>
              </w:rPr>
            </w:pPr>
          </w:p>
        </w:tc>
        <w:tc>
          <w:tcPr>
            <w:tcW w:w="0" w:type="auto"/>
            <w:shd w:val="clear" w:color="auto" w:fill="auto"/>
          </w:tcPr>
          <w:p w14:paraId="20AE2164" w14:textId="77777777" w:rsidR="00B626E7" w:rsidRDefault="00B626E7">
            <w:pPr>
              <w:rPr>
                <w:rFonts w:ascii="宋体"/>
              </w:rPr>
            </w:pPr>
          </w:p>
        </w:tc>
        <w:tc>
          <w:tcPr>
            <w:tcW w:w="0" w:type="auto"/>
            <w:shd w:val="clear" w:color="auto" w:fill="auto"/>
          </w:tcPr>
          <w:p w14:paraId="20AE2165" w14:textId="77777777" w:rsidR="00B626E7" w:rsidRDefault="00B626E7">
            <w:pPr>
              <w:rPr>
                <w:rFonts w:ascii="宋体"/>
              </w:rPr>
            </w:pPr>
          </w:p>
        </w:tc>
        <w:tc>
          <w:tcPr>
            <w:tcW w:w="0" w:type="auto"/>
            <w:shd w:val="clear" w:color="auto" w:fill="auto"/>
          </w:tcPr>
          <w:p w14:paraId="20AE2166" w14:textId="77777777" w:rsidR="00B626E7" w:rsidRDefault="00B626E7">
            <w:pPr>
              <w:rPr>
                <w:rFonts w:ascii="宋体"/>
              </w:rPr>
            </w:pPr>
          </w:p>
        </w:tc>
        <w:tc>
          <w:tcPr>
            <w:tcW w:w="0" w:type="auto"/>
            <w:shd w:val="clear" w:color="auto" w:fill="auto"/>
          </w:tcPr>
          <w:p w14:paraId="20AE2167" w14:textId="77777777" w:rsidR="00B626E7" w:rsidRDefault="00B626E7">
            <w:pPr>
              <w:rPr>
                <w:rFonts w:ascii="宋体"/>
              </w:rPr>
            </w:pPr>
          </w:p>
        </w:tc>
        <w:tc>
          <w:tcPr>
            <w:tcW w:w="0" w:type="auto"/>
            <w:shd w:val="clear" w:color="auto" w:fill="auto"/>
          </w:tcPr>
          <w:p w14:paraId="20AE2168" w14:textId="77777777" w:rsidR="00B626E7" w:rsidRDefault="00B626E7">
            <w:pPr>
              <w:rPr>
                <w:rFonts w:ascii="宋体"/>
              </w:rPr>
            </w:pPr>
          </w:p>
        </w:tc>
        <w:tc>
          <w:tcPr>
            <w:tcW w:w="0" w:type="auto"/>
            <w:shd w:val="clear" w:color="auto" w:fill="auto"/>
          </w:tcPr>
          <w:p w14:paraId="20AE2169" w14:textId="77777777" w:rsidR="00B626E7" w:rsidRDefault="00B626E7">
            <w:pPr>
              <w:rPr>
                <w:rFonts w:ascii="宋体"/>
              </w:rPr>
            </w:pPr>
          </w:p>
        </w:tc>
        <w:tc>
          <w:tcPr>
            <w:tcW w:w="0" w:type="auto"/>
            <w:shd w:val="clear" w:color="auto" w:fill="auto"/>
          </w:tcPr>
          <w:p w14:paraId="20AE216A" w14:textId="77777777" w:rsidR="00B626E7" w:rsidRDefault="00B626E7">
            <w:pPr>
              <w:rPr>
                <w:rFonts w:ascii="宋体"/>
              </w:rPr>
            </w:pPr>
          </w:p>
        </w:tc>
        <w:tc>
          <w:tcPr>
            <w:tcW w:w="0" w:type="auto"/>
            <w:shd w:val="clear" w:color="auto" w:fill="auto"/>
          </w:tcPr>
          <w:p w14:paraId="20AE216B" w14:textId="77777777" w:rsidR="00B626E7" w:rsidRDefault="00B626E7">
            <w:pPr>
              <w:rPr>
                <w:rFonts w:ascii="宋体"/>
              </w:rPr>
            </w:pPr>
          </w:p>
        </w:tc>
        <w:tc>
          <w:tcPr>
            <w:tcW w:w="0" w:type="auto"/>
            <w:shd w:val="clear" w:color="auto" w:fill="auto"/>
          </w:tcPr>
          <w:p w14:paraId="20AE216C" w14:textId="77777777" w:rsidR="00B626E7" w:rsidRDefault="00B626E7">
            <w:pPr>
              <w:rPr>
                <w:rFonts w:ascii="宋体"/>
              </w:rPr>
            </w:pPr>
          </w:p>
        </w:tc>
        <w:tc>
          <w:tcPr>
            <w:tcW w:w="0" w:type="auto"/>
            <w:shd w:val="clear" w:color="auto" w:fill="auto"/>
          </w:tcPr>
          <w:p w14:paraId="20AE216D" w14:textId="77777777" w:rsidR="00B626E7" w:rsidRDefault="00B626E7">
            <w:pPr>
              <w:rPr>
                <w:rFonts w:ascii="宋体"/>
              </w:rPr>
            </w:pPr>
          </w:p>
        </w:tc>
        <w:tc>
          <w:tcPr>
            <w:tcW w:w="0" w:type="auto"/>
            <w:shd w:val="clear" w:color="auto" w:fill="auto"/>
          </w:tcPr>
          <w:p w14:paraId="20AE216E" w14:textId="77777777" w:rsidR="00B626E7" w:rsidRDefault="00B626E7">
            <w:pPr>
              <w:rPr>
                <w:rFonts w:ascii="宋体"/>
              </w:rPr>
            </w:pPr>
          </w:p>
        </w:tc>
        <w:tc>
          <w:tcPr>
            <w:tcW w:w="0" w:type="auto"/>
            <w:shd w:val="clear" w:color="auto" w:fill="auto"/>
          </w:tcPr>
          <w:p w14:paraId="20AE216F" w14:textId="77777777" w:rsidR="00B626E7" w:rsidRDefault="00B626E7">
            <w:pPr>
              <w:rPr>
                <w:rFonts w:ascii="宋体"/>
              </w:rPr>
            </w:pPr>
          </w:p>
        </w:tc>
        <w:tc>
          <w:tcPr>
            <w:tcW w:w="0" w:type="auto"/>
            <w:shd w:val="clear" w:color="auto" w:fill="auto"/>
          </w:tcPr>
          <w:p w14:paraId="20AE2170" w14:textId="77777777" w:rsidR="00B626E7" w:rsidRDefault="00B626E7">
            <w:pPr>
              <w:rPr>
                <w:rFonts w:ascii="宋体"/>
              </w:rPr>
            </w:pPr>
          </w:p>
        </w:tc>
        <w:tc>
          <w:tcPr>
            <w:tcW w:w="0" w:type="auto"/>
            <w:shd w:val="clear" w:color="auto" w:fill="auto"/>
          </w:tcPr>
          <w:p w14:paraId="20AE2171" w14:textId="77777777" w:rsidR="00B626E7" w:rsidRDefault="00B626E7">
            <w:pPr>
              <w:rPr>
                <w:rFonts w:ascii="宋体"/>
              </w:rPr>
            </w:pPr>
          </w:p>
        </w:tc>
      </w:tr>
      <w:tr w:rsidR="00B626E7" w14:paraId="20AE2198" w14:textId="77777777">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2173" w14:textId="77777777" w:rsidR="00B626E7" w:rsidRDefault="00175C1D">
            <w:pPr>
              <w:ind w:hanging="180"/>
              <w:textAlignment w:val="bottom"/>
            </w:pPr>
            <w:r>
              <w:rPr>
                <w:rFonts w:ascii="Arial" w:eastAsia="宋体" w:hAnsi="Arial" w:cs="Arial"/>
                <w:color w:val="333333"/>
                <w:sz w:val="18"/>
                <w:szCs w:val="18"/>
              </w:rPr>
              <w:t>Assets:</w:t>
            </w:r>
          </w:p>
        </w:tc>
        <w:tc>
          <w:tcPr>
            <w:tcW w:w="0" w:type="auto"/>
            <w:gridSpan w:val="3"/>
            <w:shd w:val="clear" w:color="auto" w:fill="auto"/>
            <w:tcMar>
              <w:left w:w="20" w:type="dxa"/>
              <w:right w:w="20" w:type="dxa"/>
            </w:tcMar>
            <w:vAlign w:val="bottom"/>
          </w:tcPr>
          <w:p w14:paraId="20AE2174"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2175"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176"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2177"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178"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2179"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17A"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217B"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17C"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217D"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17E"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217F" w14:textId="77777777" w:rsidR="00B626E7" w:rsidRDefault="00B626E7">
            <w:pPr>
              <w:rPr>
                <w:rFonts w:ascii="宋体"/>
              </w:rPr>
            </w:pPr>
          </w:p>
        </w:tc>
        <w:tc>
          <w:tcPr>
            <w:tcW w:w="0" w:type="auto"/>
            <w:shd w:val="clear" w:color="auto" w:fill="auto"/>
          </w:tcPr>
          <w:p w14:paraId="20AE2180" w14:textId="77777777" w:rsidR="00B626E7" w:rsidRDefault="00B626E7">
            <w:pPr>
              <w:rPr>
                <w:rFonts w:ascii="宋体"/>
              </w:rPr>
            </w:pPr>
          </w:p>
        </w:tc>
        <w:tc>
          <w:tcPr>
            <w:tcW w:w="0" w:type="auto"/>
            <w:shd w:val="clear" w:color="auto" w:fill="auto"/>
          </w:tcPr>
          <w:p w14:paraId="20AE2181" w14:textId="77777777" w:rsidR="00B626E7" w:rsidRDefault="00B626E7">
            <w:pPr>
              <w:rPr>
                <w:rFonts w:ascii="宋体"/>
              </w:rPr>
            </w:pPr>
          </w:p>
        </w:tc>
        <w:tc>
          <w:tcPr>
            <w:tcW w:w="0" w:type="auto"/>
            <w:shd w:val="clear" w:color="auto" w:fill="auto"/>
          </w:tcPr>
          <w:p w14:paraId="20AE2182" w14:textId="77777777" w:rsidR="00B626E7" w:rsidRDefault="00B626E7">
            <w:pPr>
              <w:rPr>
                <w:rFonts w:ascii="宋体"/>
              </w:rPr>
            </w:pPr>
          </w:p>
        </w:tc>
        <w:tc>
          <w:tcPr>
            <w:tcW w:w="0" w:type="auto"/>
            <w:shd w:val="clear" w:color="auto" w:fill="auto"/>
          </w:tcPr>
          <w:p w14:paraId="20AE2183" w14:textId="77777777" w:rsidR="00B626E7" w:rsidRDefault="00B626E7">
            <w:pPr>
              <w:rPr>
                <w:rFonts w:ascii="宋体"/>
              </w:rPr>
            </w:pPr>
          </w:p>
        </w:tc>
        <w:tc>
          <w:tcPr>
            <w:tcW w:w="0" w:type="auto"/>
            <w:shd w:val="clear" w:color="auto" w:fill="auto"/>
          </w:tcPr>
          <w:p w14:paraId="20AE2184" w14:textId="77777777" w:rsidR="00B626E7" w:rsidRDefault="00B626E7">
            <w:pPr>
              <w:rPr>
                <w:rFonts w:ascii="宋体"/>
              </w:rPr>
            </w:pPr>
          </w:p>
        </w:tc>
        <w:tc>
          <w:tcPr>
            <w:tcW w:w="0" w:type="auto"/>
            <w:shd w:val="clear" w:color="auto" w:fill="auto"/>
          </w:tcPr>
          <w:p w14:paraId="20AE2185" w14:textId="77777777" w:rsidR="00B626E7" w:rsidRDefault="00B626E7">
            <w:pPr>
              <w:rPr>
                <w:rFonts w:ascii="宋体"/>
              </w:rPr>
            </w:pPr>
          </w:p>
        </w:tc>
        <w:tc>
          <w:tcPr>
            <w:tcW w:w="0" w:type="auto"/>
            <w:shd w:val="clear" w:color="auto" w:fill="auto"/>
          </w:tcPr>
          <w:p w14:paraId="20AE2186" w14:textId="77777777" w:rsidR="00B626E7" w:rsidRDefault="00B626E7">
            <w:pPr>
              <w:rPr>
                <w:rFonts w:ascii="宋体"/>
              </w:rPr>
            </w:pPr>
          </w:p>
        </w:tc>
        <w:tc>
          <w:tcPr>
            <w:tcW w:w="0" w:type="auto"/>
            <w:shd w:val="clear" w:color="auto" w:fill="auto"/>
          </w:tcPr>
          <w:p w14:paraId="20AE2187" w14:textId="77777777" w:rsidR="00B626E7" w:rsidRDefault="00B626E7">
            <w:pPr>
              <w:rPr>
                <w:rFonts w:ascii="宋体"/>
              </w:rPr>
            </w:pPr>
          </w:p>
        </w:tc>
        <w:tc>
          <w:tcPr>
            <w:tcW w:w="0" w:type="auto"/>
            <w:shd w:val="clear" w:color="auto" w:fill="auto"/>
          </w:tcPr>
          <w:p w14:paraId="20AE2188" w14:textId="77777777" w:rsidR="00B626E7" w:rsidRDefault="00B626E7">
            <w:pPr>
              <w:rPr>
                <w:rFonts w:ascii="宋体"/>
              </w:rPr>
            </w:pPr>
          </w:p>
        </w:tc>
        <w:tc>
          <w:tcPr>
            <w:tcW w:w="0" w:type="auto"/>
            <w:shd w:val="clear" w:color="auto" w:fill="auto"/>
          </w:tcPr>
          <w:p w14:paraId="20AE2189" w14:textId="77777777" w:rsidR="00B626E7" w:rsidRDefault="00B626E7">
            <w:pPr>
              <w:rPr>
                <w:rFonts w:ascii="宋体"/>
              </w:rPr>
            </w:pPr>
          </w:p>
        </w:tc>
        <w:tc>
          <w:tcPr>
            <w:tcW w:w="0" w:type="auto"/>
            <w:shd w:val="clear" w:color="auto" w:fill="auto"/>
          </w:tcPr>
          <w:p w14:paraId="20AE218A" w14:textId="77777777" w:rsidR="00B626E7" w:rsidRDefault="00B626E7">
            <w:pPr>
              <w:rPr>
                <w:rFonts w:ascii="宋体"/>
              </w:rPr>
            </w:pPr>
          </w:p>
        </w:tc>
        <w:tc>
          <w:tcPr>
            <w:tcW w:w="0" w:type="auto"/>
            <w:shd w:val="clear" w:color="auto" w:fill="auto"/>
          </w:tcPr>
          <w:p w14:paraId="20AE218B" w14:textId="77777777" w:rsidR="00B626E7" w:rsidRDefault="00B626E7">
            <w:pPr>
              <w:rPr>
                <w:rFonts w:ascii="宋体"/>
              </w:rPr>
            </w:pPr>
          </w:p>
        </w:tc>
        <w:tc>
          <w:tcPr>
            <w:tcW w:w="0" w:type="auto"/>
            <w:shd w:val="clear" w:color="auto" w:fill="auto"/>
          </w:tcPr>
          <w:p w14:paraId="20AE218C" w14:textId="77777777" w:rsidR="00B626E7" w:rsidRDefault="00B626E7">
            <w:pPr>
              <w:rPr>
                <w:rFonts w:ascii="宋体"/>
              </w:rPr>
            </w:pPr>
          </w:p>
        </w:tc>
        <w:tc>
          <w:tcPr>
            <w:tcW w:w="0" w:type="auto"/>
            <w:shd w:val="clear" w:color="auto" w:fill="auto"/>
          </w:tcPr>
          <w:p w14:paraId="20AE218D" w14:textId="77777777" w:rsidR="00B626E7" w:rsidRDefault="00B626E7">
            <w:pPr>
              <w:rPr>
                <w:rFonts w:ascii="宋体"/>
              </w:rPr>
            </w:pPr>
          </w:p>
        </w:tc>
        <w:tc>
          <w:tcPr>
            <w:tcW w:w="0" w:type="auto"/>
            <w:shd w:val="clear" w:color="auto" w:fill="auto"/>
          </w:tcPr>
          <w:p w14:paraId="20AE218E" w14:textId="77777777" w:rsidR="00B626E7" w:rsidRDefault="00B626E7">
            <w:pPr>
              <w:rPr>
                <w:rFonts w:ascii="宋体"/>
              </w:rPr>
            </w:pPr>
          </w:p>
        </w:tc>
        <w:tc>
          <w:tcPr>
            <w:tcW w:w="0" w:type="auto"/>
            <w:shd w:val="clear" w:color="auto" w:fill="auto"/>
          </w:tcPr>
          <w:p w14:paraId="20AE218F" w14:textId="77777777" w:rsidR="00B626E7" w:rsidRDefault="00B626E7">
            <w:pPr>
              <w:rPr>
                <w:rFonts w:ascii="宋体"/>
              </w:rPr>
            </w:pPr>
          </w:p>
        </w:tc>
        <w:tc>
          <w:tcPr>
            <w:tcW w:w="0" w:type="auto"/>
            <w:shd w:val="clear" w:color="auto" w:fill="auto"/>
          </w:tcPr>
          <w:p w14:paraId="20AE2190" w14:textId="77777777" w:rsidR="00B626E7" w:rsidRDefault="00B626E7">
            <w:pPr>
              <w:rPr>
                <w:rFonts w:ascii="宋体"/>
              </w:rPr>
            </w:pPr>
          </w:p>
        </w:tc>
        <w:tc>
          <w:tcPr>
            <w:tcW w:w="0" w:type="auto"/>
            <w:shd w:val="clear" w:color="auto" w:fill="auto"/>
          </w:tcPr>
          <w:p w14:paraId="20AE2191" w14:textId="77777777" w:rsidR="00B626E7" w:rsidRDefault="00B626E7">
            <w:pPr>
              <w:rPr>
                <w:rFonts w:ascii="宋体"/>
              </w:rPr>
            </w:pPr>
          </w:p>
        </w:tc>
        <w:tc>
          <w:tcPr>
            <w:tcW w:w="0" w:type="auto"/>
            <w:shd w:val="clear" w:color="auto" w:fill="auto"/>
          </w:tcPr>
          <w:p w14:paraId="20AE2192" w14:textId="77777777" w:rsidR="00B626E7" w:rsidRDefault="00B626E7">
            <w:pPr>
              <w:rPr>
                <w:rFonts w:ascii="宋体"/>
              </w:rPr>
            </w:pPr>
          </w:p>
        </w:tc>
        <w:tc>
          <w:tcPr>
            <w:tcW w:w="0" w:type="auto"/>
            <w:shd w:val="clear" w:color="auto" w:fill="auto"/>
          </w:tcPr>
          <w:p w14:paraId="20AE2193" w14:textId="77777777" w:rsidR="00B626E7" w:rsidRDefault="00B626E7">
            <w:pPr>
              <w:rPr>
                <w:rFonts w:ascii="宋体"/>
              </w:rPr>
            </w:pPr>
          </w:p>
        </w:tc>
        <w:tc>
          <w:tcPr>
            <w:tcW w:w="0" w:type="auto"/>
            <w:shd w:val="clear" w:color="auto" w:fill="auto"/>
          </w:tcPr>
          <w:p w14:paraId="20AE2194" w14:textId="77777777" w:rsidR="00B626E7" w:rsidRDefault="00B626E7">
            <w:pPr>
              <w:rPr>
                <w:rFonts w:ascii="宋体"/>
              </w:rPr>
            </w:pPr>
          </w:p>
        </w:tc>
        <w:tc>
          <w:tcPr>
            <w:tcW w:w="0" w:type="auto"/>
            <w:shd w:val="clear" w:color="auto" w:fill="auto"/>
          </w:tcPr>
          <w:p w14:paraId="20AE2195" w14:textId="77777777" w:rsidR="00B626E7" w:rsidRDefault="00B626E7">
            <w:pPr>
              <w:rPr>
                <w:rFonts w:ascii="宋体"/>
              </w:rPr>
            </w:pPr>
          </w:p>
        </w:tc>
        <w:tc>
          <w:tcPr>
            <w:tcW w:w="0" w:type="auto"/>
            <w:shd w:val="clear" w:color="auto" w:fill="auto"/>
          </w:tcPr>
          <w:p w14:paraId="20AE2196" w14:textId="77777777" w:rsidR="00B626E7" w:rsidRDefault="00B626E7">
            <w:pPr>
              <w:rPr>
                <w:rFonts w:ascii="宋体"/>
              </w:rPr>
            </w:pPr>
          </w:p>
        </w:tc>
        <w:tc>
          <w:tcPr>
            <w:tcW w:w="0" w:type="auto"/>
            <w:shd w:val="clear" w:color="auto" w:fill="auto"/>
          </w:tcPr>
          <w:p w14:paraId="20AE2197" w14:textId="77777777" w:rsidR="00B626E7" w:rsidRDefault="00B626E7">
            <w:pPr>
              <w:rPr>
                <w:rFonts w:ascii="宋体"/>
              </w:rPr>
            </w:pPr>
          </w:p>
        </w:tc>
      </w:tr>
      <w:tr w:rsidR="00B626E7" w14:paraId="20AE21CA" w14:textId="77777777">
        <w:tc>
          <w:tcPr>
            <w:tcW w:w="0" w:type="auto"/>
            <w:gridSpan w:val="3"/>
            <w:shd w:val="clear" w:color="auto" w:fill="auto"/>
            <w:tcMar>
              <w:top w:w="40" w:type="dxa"/>
              <w:left w:w="120" w:type="dxa"/>
              <w:bottom w:w="40" w:type="dxa"/>
              <w:right w:w="20" w:type="dxa"/>
            </w:tcMar>
          </w:tcPr>
          <w:p w14:paraId="20AE2199" w14:textId="77777777" w:rsidR="00B626E7" w:rsidRDefault="00175C1D">
            <w:pPr>
              <w:textAlignment w:val="top"/>
            </w:pPr>
            <w:r>
              <w:rPr>
                <w:rFonts w:ascii="Arial" w:eastAsia="宋体" w:hAnsi="Arial" w:cs="Arial"/>
                <w:color w:val="333333"/>
                <w:sz w:val="18"/>
                <w:szCs w:val="18"/>
              </w:rPr>
              <w:t>Derivative assets subject to master netting arrangements</w:t>
            </w:r>
          </w:p>
        </w:tc>
        <w:tc>
          <w:tcPr>
            <w:tcW w:w="0" w:type="auto"/>
            <w:gridSpan w:val="3"/>
            <w:shd w:val="clear" w:color="auto" w:fill="auto"/>
            <w:tcMar>
              <w:left w:w="20" w:type="dxa"/>
              <w:right w:w="20" w:type="dxa"/>
            </w:tcMar>
            <w:vAlign w:val="bottom"/>
          </w:tcPr>
          <w:p w14:paraId="20AE219A"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219B" w14:textId="77777777" w:rsidR="00B626E7" w:rsidRDefault="00175C1D">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20AE219C" w14:textId="77777777" w:rsidR="00B626E7" w:rsidRDefault="00175C1D">
            <w:pPr>
              <w:jc w:val="right"/>
              <w:textAlignment w:val="bottom"/>
            </w:pPr>
            <w:r>
              <w:rPr>
                <w:rFonts w:ascii="Arial" w:eastAsia="宋体" w:hAnsi="Arial" w:cs="Arial"/>
                <w:color w:val="333333"/>
                <w:sz w:val="18"/>
                <w:szCs w:val="18"/>
              </w:rPr>
              <w:t>974 </w:t>
            </w:r>
          </w:p>
        </w:tc>
        <w:tc>
          <w:tcPr>
            <w:tcW w:w="0" w:type="auto"/>
            <w:shd w:val="clear" w:color="auto" w:fill="auto"/>
            <w:tcMar>
              <w:top w:w="40" w:type="dxa"/>
              <w:bottom w:w="40" w:type="dxa"/>
              <w:right w:w="20" w:type="dxa"/>
            </w:tcMar>
            <w:vAlign w:val="bottom"/>
          </w:tcPr>
          <w:p w14:paraId="20AE219D"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219E"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219F" w14:textId="77777777" w:rsidR="00B626E7" w:rsidRDefault="00175C1D">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20AE21A0"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21A1"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21A2"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21A3" w14:textId="77777777" w:rsidR="00B626E7" w:rsidRDefault="00175C1D">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20AE21A4" w14:textId="77777777" w:rsidR="00B626E7" w:rsidRDefault="00175C1D">
            <w:pPr>
              <w:jc w:val="right"/>
              <w:textAlignment w:val="bottom"/>
            </w:pPr>
            <w:r>
              <w:rPr>
                <w:rFonts w:ascii="Arial" w:eastAsia="宋体" w:hAnsi="Arial" w:cs="Arial"/>
                <w:color w:val="333333"/>
                <w:sz w:val="18"/>
                <w:szCs w:val="18"/>
              </w:rPr>
              <w:t>974 </w:t>
            </w:r>
          </w:p>
        </w:tc>
        <w:tc>
          <w:tcPr>
            <w:tcW w:w="0" w:type="auto"/>
            <w:shd w:val="clear" w:color="auto" w:fill="auto"/>
            <w:tcMar>
              <w:top w:w="40" w:type="dxa"/>
              <w:bottom w:w="40" w:type="dxa"/>
              <w:right w:w="20" w:type="dxa"/>
            </w:tcMar>
            <w:vAlign w:val="bottom"/>
          </w:tcPr>
          <w:p w14:paraId="20AE21A5"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21A6"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21A7" w14:textId="77777777" w:rsidR="00B626E7" w:rsidRDefault="00175C1D">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20AE21A8" w14:textId="77777777" w:rsidR="00B626E7" w:rsidRDefault="00175C1D">
            <w:pPr>
              <w:jc w:val="right"/>
              <w:textAlignment w:val="bottom"/>
            </w:pPr>
            <w:r>
              <w:rPr>
                <w:rFonts w:ascii="Arial" w:eastAsia="宋体" w:hAnsi="Arial" w:cs="Arial"/>
                <w:color w:val="333333"/>
                <w:sz w:val="18"/>
                <w:szCs w:val="18"/>
              </w:rPr>
              <w:t>(144)</w:t>
            </w:r>
          </w:p>
        </w:tc>
        <w:tc>
          <w:tcPr>
            <w:tcW w:w="0" w:type="auto"/>
            <w:shd w:val="clear" w:color="auto" w:fill="auto"/>
            <w:tcMar>
              <w:top w:w="40" w:type="dxa"/>
              <w:bottom w:w="40" w:type="dxa"/>
              <w:right w:w="20" w:type="dxa"/>
            </w:tcMar>
            <w:vAlign w:val="bottom"/>
          </w:tcPr>
          <w:p w14:paraId="20AE21A9"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21AA"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21AB" w14:textId="77777777" w:rsidR="00B626E7" w:rsidRDefault="00175C1D">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20AE21AC" w14:textId="77777777" w:rsidR="00B626E7" w:rsidRDefault="00175C1D">
            <w:pPr>
              <w:jc w:val="right"/>
              <w:textAlignment w:val="bottom"/>
            </w:pPr>
            <w:r>
              <w:rPr>
                <w:rFonts w:ascii="Arial" w:eastAsia="宋体" w:hAnsi="Arial" w:cs="Arial"/>
                <w:color w:val="333333"/>
                <w:sz w:val="18"/>
                <w:szCs w:val="18"/>
              </w:rPr>
              <w:t>(808)</w:t>
            </w:r>
          </w:p>
        </w:tc>
        <w:tc>
          <w:tcPr>
            <w:tcW w:w="0" w:type="auto"/>
            <w:shd w:val="clear" w:color="auto" w:fill="auto"/>
            <w:tcMar>
              <w:top w:w="40" w:type="dxa"/>
              <w:bottom w:w="40" w:type="dxa"/>
              <w:right w:w="20" w:type="dxa"/>
            </w:tcMar>
            <w:vAlign w:val="bottom"/>
          </w:tcPr>
          <w:p w14:paraId="20AE21AD"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21AE"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21AF" w14:textId="77777777" w:rsidR="00B626E7" w:rsidRDefault="00175C1D">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20AE21B0" w14:textId="77777777" w:rsidR="00B626E7" w:rsidRDefault="00175C1D">
            <w:pPr>
              <w:jc w:val="right"/>
              <w:textAlignment w:val="bottom"/>
            </w:pPr>
            <w:r>
              <w:rPr>
                <w:rFonts w:ascii="Arial" w:eastAsia="宋体" w:hAnsi="Arial" w:cs="Arial"/>
                <w:color w:val="333333"/>
                <w:sz w:val="18"/>
                <w:szCs w:val="18"/>
              </w:rPr>
              <w:t>22 </w:t>
            </w:r>
          </w:p>
        </w:tc>
        <w:tc>
          <w:tcPr>
            <w:tcW w:w="0" w:type="auto"/>
            <w:shd w:val="clear" w:color="auto" w:fill="auto"/>
            <w:tcMar>
              <w:top w:w="40" w:type="dxa"/>
              <w:bottom w:w="40" w:type="dxa"/>
              <w:right w:w="20" w:type="dxa"/>
            </w:tcMar>
            <w:vAlign w:val="bottom"/>
          </w:tcPr>
          <w:p w14:paraId="20AE21B1"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21B2" w14:textId="77777777" w:rsidR="00B626E7" w:rsidRDefault="00B626E7">
            <w:pPr>
              <w:rPr>
                <w:rFonts w:ascii="宋体"/>
              </w:rPr>
            </w:pPr>
          </w:p>
        </w:tc>
        <w:tc>
          <w:tcPr>
            <w:tcW w:w="0" w:type="auto"/>
            <w:shd w:val="clear" w:color="auto" w:fill="auto"/>
          </w:tcPr>
          <w:p w14:paraId="20AE21B3" w14:textId="77777777" w:rsidR="00B626E7" w:rsidRDefault="00B626E7">
            <w:pPr>
              <w:rPr>
                <w:rFonts w:ascii="宋体"/>
              </w:rPr>
            </w:pPr>
          </w:p>
        </w:tc>
        <w:tc>
          <w:tcPr>
            <w:tcW w:w="0" w:type="auto"/>
            <w:shd w:val="clear" w:color="auto" w:fill="auto"/>
          </w:tcPr>
          <w:p w14:paraId="20AE21B4" w14:textId="77777777" w:rsidR="00B626E7" w:rsidRDefault="00B626E7">
            <w:pPr>
              <w:rPr>
                <w:rFonts w:ascii="宋体"/>
              </w:rPr>
            </w:pPr>
          </w:p>
        </w:tc>
        <w:tc>
          <w:tcPr>
            <w:tcW w:w="0" w:type="auto"/>
            <w:shd w:val="clear" w:color="auto" w:fill="auto"/>
          </w:tcPr>
          <w:p w14:paraId="20AE21B5" w14:textId="77777777" w:rsidR="00B626E7" w:rsidRDefault="00B626E7">
            <w:pPr>
              <w:rPr>
                <w:rFonts w:ascii="宋体"/>
              </w:rPr>
            </w:pPr>
          </w:p>
        </w:tc>
        <w:tc>
          <w:tcPr>
            <w:tcW w:w="0" w:type="auto"/>
            <w:shd w:val="clear" w:color="auto" w:fill="auto"/>
          </w:tcPr>
          <w:p w14:paraId="20AE21B6" w14:textId="77777777" w:rsidR="00B626E7" w:rsidRDefault="00B626E7">
            <w:pPr>
              <w:rPr>
                <w:rFonts w:ascii="宋体"/>
              </w:rPr>
            </w:pPr>
          </w:p>
        </w:tc>
        <w:tc>
          <w:tcPr>
            <w:tcW w:w="0" w:type="auto"/>
            <w:shd w:val="clear" w:color="auto" w:fill="auto"/>
          </w:tcPr>
          <w:p w14:paraId="20AE21B7" w14:textId="77777777" w:rsidR="00B626E7" w:rsidRDefault="00B626E7">
            <w:pPr>
              <w:rPr>
                <w:rFonts w:ascii="宋体"/>
              </w:rPr>
            </w:pPr>
          </w:p>
        </w:tc>
        <w:tc>
          <w:tcPr>
            <w:tcW w:w="0" w:type="auto"/>
            <w:shd w:val="clear" w:color="auto" w:fill="auto"/>
          </w:tcPr>
          <w:p w14:paraId="20AE21B8" w14:textId="77777777" w:rsidR="00B626E7" w:rsidRDefault="00B626E7">
            <w:pPr>
              <w:rPr>
                <w:rFonts w:ascii="宋体"/>
              </w:rPr>
            </w:pPr>
          </w:p>
        </w:tc>
        <w:tc>
          <w:tcPr>
            <w:tcW w:w="0" w:type="auto"/>
            <w:shd w:val="clear" w:color="auto" w:fill="auto"/>
          </w:tcPr>
          <w:p w14:paraId="20AE21B9" w14:textId="77777777" w:rsidR="00B626E7" w:rsidRDefault="00B626E7">
            <w:pPr>
              <w:rPr>
                <w:rFonts w:ascii="宋体"/>
              </w:rPr>
            </w:pPr>
          </w:p>
        </w:tc>
        <w:tc>
          <w:tcPr>
            <w:tcW w:w="0" w:type="auto"/>
            <w:shd w:val="clear" w:color="auto" w:fill="auto"/>
          </w:tcPr>
          <w:p w14:paraId="20AE21BA" w14:textId="77777777" w:rsidR="00B626E7" w:rsidRDefault="00B626E7">
            <w:pPr>
              <w:rPr>
                <w:rFonts w:ascii="宋体"/>
              </w:rPr>
            </w:pPr>
          </w:p>
        </w:tc>
        <w:tc>
          <w:tcPr>
            <w:tcW w:w="0" w:type="auto"/>
            <w:shd w:val="clear" w:color="auto" w:fill="auto"/>
          </w:tcPr>
          <w:p w14:paraId="20AE21BB" w14:textId="77777777" w:rsidR="00B626E7" w:rsidRDefault="00B626E7">
            <w:pPr>
              <w:rPr>
                <w:rFonts w:ascii="宋体"/>
              </w:rPr>
            </w:pPr>
          </w:p>
        </w:tc>
        <w:tc>
          <w:tcPr>
            <w:tcW w:w="0" w:type="auto"/>
            <w:shd w:val="clear" w:color="auto" w:fill="auto"/>
          </w:tcPr>
          <w:p w14:paraId="20AE21BC" w14:textId="77777777" w:rsidR="00B626E7" w:rsidRDefault="00B626E7">
            <w:pPr>
              <w:rPr>
                <w:rFonts w:ascii="宋体"/>
              </w:rPr>
            </w:pPr>
          </w:p>
        </w:tc>
        <w:tc>
          <w:tcPr>
            <w:tcW w:w="0" w:type="auto"/>
            <w:shd w:val="clear" w:color="auto" w:fill="auto"/>
          </w:tcPr>
          <w:p w14:paraId="20AE21BD" w14:textId="77777777" w:rsidR="00B626E7" w:rsidRDefault="00B626E7">
            <w:pPr>
              <w:rPr>
                <w:rFonts w:ascii="宋体"/>
              </w:rPr>
            </w:pPr>
          </w:p>
        </w:tc>
        <w:tc>
          <w:tcPr>
            <w:tcW w:w="0" w:type="auto"/>
            <w:shd w:val="clear" w:color="auto" w:fill="auto"/>
          </w:tcPr>
          <w:p w14:paraId="20AE21BE" w14:textId="77777777" w:rsidR="00B626E7" w:rsidRDefault="00B626E7">
            <w:pPr>
              <w:rPr>
                <w:rFonts w:ascii="宋体"/>
              </w:rPr>
            </w:pPr>
          </w:p>
        </w:tc>
        <w:tc>
          <w:tcPr>
            <w:tcW w:w="0" w:type="auto"/>
            <w:shd w:val="clear" w:color="auto" w:fill="auto"/>
          </w:tcPr>
          <w:p w14:paraId="20AE21BF" w14:textId="77777777" w:rsidR="00B626E7" w:rsidRDefault="00B626E7">
            <w:pPr>
              <w:rPr>
                <w:rFonts w:ascii="宋体"/>
              </w:rPr>
            </w:pPr>
          </w:p>
        </w:tc>
        <w:tc>
          <w:tcPr>
            <w:tcW w:w="0" w:type="auto"/>
            <w:shd w:val="clear" w:color="auto" w:fill="auto"/>
          </w:tcPr>
          <w:p w14:paraId="20AE21C0" w14:textId="77777777" w:rsidR="00B626E7" w:rsidRDefault="00B626E7">
            <w:pPr>
              <w:rPr>
                <w:rFonts w:ascii="宋体"/>
              </w:rPr>
            </w:pPr>
          </w:p>
        </w:tc>
        <w:tc>
          <w:tcPr>
            <w:tcW w:w="0" w:type="auto"/>
            <w:shd w:val="clear" w:color="auto" w:fill="auto"/>
          </w:tcPr>
          <w:p w14:paraId="20AE21C1" w14:textId="77777777" w:rsidR="00B626E7" w:rsidRDefault="00B626E7">
            <w:pPr>
              <w:rPr>
                <w:rFonts w:ascii="宋体"/>
              </w:rPr>
            </w:pPr>
          </w:p>
        </w:tc>
        <w:tc>
          <w:tcPr>
            <w:tcW w:w="0" w:type="auto"/>
            <w:shd w:val="clear" w:color="auto" w:fill="auto"/>
          </w:tcPr>
          <w:p w14:paraId="20AE21C2" w14:textId="77777777" w:rsidR="00B626E7" w:rsidRDefault="00B626E7">
            <w:pPr>
              <w:rPr>
                <w:rFonts w:ascii="宋体"/>
              </w:rPr>
            </w:pPr>
          </w:p>
        </w:tc>
        <w:tc>
          <w:tcPr>
            <w:tcW w:w="0" w:type="auto"/>
            <w:shd w:val="clear" w:color="auto" w:fill="auto"/>
          </w:tcPr>
          <w:p w14:paraId="20AE21C3" w14:textId="77777777" w:rsidR="00B626E7" w:rsidRDefault="00B626E7">
            <w:pPr>
              <w:rPr>
                <w:rFonts w:ascii="宋体"/>
              </w:rPr>
            </w:pPr>
          </w:p>
        </w:tc>
        <w:tc>
          <w:tcPr>
            <w:tcW w:w="0" w:type="auto"/>
            <w:shd w:val="clear" w:color="auto" w:fill="auto"/>
          </w:tcPr>
          <w:p w14:paraId="20AE21C4" w14:textId="77777777" w:rsidR="00B626E7" w:rsidRDefault="00B626E7">
            <w:pPr>
              <w:rPr>
                <w:rFonts w:ascii="宋体"/>
              </w:rPr>
            </w:pPr>
          </w:p>
        </w:tc>
        <w:tc>
          <w:tcPr>
            <w:tcW w:w="0" w:type="auto"/>
            <w:shd w:val="clear" w:color="auto" w:fill="auto"/>
          </w:tcPr>
          <w:p w14:paraId="20AE21C5" w14:textId="77777777" w:rsidR="00B626E7" w:rsidRDefault="00B626E7">
            <w:pPr>
              <w:rPr>
                <w:rFonts w:ascii="宋体"/>
              </w:rPr>
            </w:pPr>
          </w:p>
        </w:tc>
        <w:tc>
          <w:tcPr>
            <w:tcW w:w="0" w:type="auto"/>
            <w:shd w:val="clear" w:color="auto" w:fill="auto"/>
          </w:tcPr>
          <w:p w14:paraId="20AE21C6" w14:textId="77777777" w:rsidR="00B626E7" w:rsidRDefault="00B626E7">
            <w:pPr>
              <w:rPr>
                <w:rFonts w:ascii="宋体"/>
              </w:rPr>
            </w:pPr>
          </w:p>
        </w:tc>
        <w:tc>
          <w:tcPr>
            <w:tcW w:w="0" w:type="auto"/>
            <w:shd w:val="clear" w:color="auto" w:fill="auto"/>
          </w:tcPr>
          <w:p w14:paraId="20AE21C7" w14:textId="77777777" w:rsidR="00B626E7" w:rsidRDefault="00B626E7">
            <w:pPr>
              <w:rPr>
                <w:rFonts w:ascii="宋体"/>
              </w:rPr>
            </w:pPr>
          </w:p>
        </w:tc>
        <w:tc>
          <w:tcPr>
            <w:tcW w:w="0" w:type="auto"/>
            <w:shd w:val="clear" w:color="auto" w:fill="auto"/>
          </w:tcPr>
          <w:p w14:paraId="20AE21C8" w14:textId="77777777" w:rsidR="00B626E7" w:rsidRDefault="00B626E7">
            <w:pPr>
              <w:rPr>
                <w:rFonts w:ascii="宋体"/>
              </w:rPr>
            </w:pPr>
          </w:p>
        </w:tc>
        <w:tc>
          <w:tcPr>
            <w:tcW w:w="0" w:type="auto"/>
            <w:shd w:val="clear" w:color="auto" w:fill="auto"/>
          </w:tcPr>
          <w:p w14:paraId="20AE21C9" w14:textId="77777777" w:rsidR="00B626E7" w:rsidRDefault="00B626E7">
            <w:pPr>
              <w:rPr>
                <w:rFonts w:ascii="宋体"/>
              </w:rPr>
            </w:pPr>
          </w:p>
        </w:tc>
      </w:tr>
      <w:tr w:rsidR="00B626E7" w14:paraId="20AE21F6" w14:textId="77777777">
        <w:tc>
          <w:tcPr>
            <w:tcW w:w="0" w:type="auto"/>
            <w:gridSpan w:val="3"/>
            <w:shd w:val="clear" w:color="auto" w:fill="auto"/>
            <w:tcMar>
              <w:top w:w="40" w:type="dxa"/>
              <w:left w:w="120" w:type="dxa"/>
              <w:bottom w:w="40" w:type="dxa"/>
              <w:right w:w="20" w:type="dxa"/>
            </w:tcMar>
            <w:vAlign w:val="bottom"/>
          </w:tcPr>
          <w:p w14:paraId="20AE21CB" w14:textId="77777777" w:rsidR="00B626E7" w:rsidRDefault="00175C1D">
            <w:pPr>
              <w:textAlignment w:val="bottom"/>
            </w:pPr>
            <w:r>
              <w:rPr>
                <w:rFonts w:ascii="Arial" w:eastAsia="宋体" w:hAnsi="Arial" w:cs="Arial"/>
                <w:color w:val="333333"/>
                <w:sz w:val="18"/>
                <w:szCs w:val="18"/>
              </w:rPr>
              <w:t>Reverse repurchase agreements</w:t>
            </w:r>
          </w:p>
        </w:tc>
        <w:tc>
          <w:tcPr>
            <w:tcW w:w="0" w:type="auto"/>
            <w:gridSpan w:val="3"/>
            <w:shd w:val="clear" w:color="auto" w:fill="auto"/>
            <w:tcMar>
              <w:left w:w="20" w:type="dxa"/>
              <w:right w:w="20" w:type="dxa"/>
            </w:tcMar>
            <w:vAlign w:val="bottom"/>
          </w:tcPr>
          <w:p w14:paraId="20AE21CC"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1CD" w14:textId="77777777" w:rsidR="00B626E7" w:rsidRDefault="00175C1D">
            <w:pPr>
              <w:jc w:val="right"/>
              <w:textAlignment w:val="bottom"/>
            </w:pPr>
            <w:r>
              <w:rPr>
                <w:rFonts w:ascii="Arial" w:eastAsia="宋体" w:hAnsi="Arial" w:cs="Arial"/>
                <w:color w:val="333333"/>
                <w:sz w:val="18"/>
                <w:szCs w:val="18"/>
              </w:rPr>
              <w:t>1,850 </w:t>
            </w:r>
          </w:p>
        </w:tc>
        <w:tc>
          <w:tcPr>
            <w:tcW w:w="0" w:type="auto"/>
            <w:shd w:val="clear" w:color="auto" w:fill="auto"/>
            <w:tcMar>
              <w:top w:w="40" w:type="dxa"/>
              <w:bottom w:w="40" w:type="dxa"/>
              <w:right w:w="20" w:type="dxa"/>
            </w:tcMar>
            <w:vAlign w:val="bottom"/>
          </w:tcPr>
          <w:p w14:paraId="20AE21CE"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21CF"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1D0"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21D1"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21D2"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1D3" w14:textId="77777777" w:rsidR="00B626E7" w:rsidRDefault="00175C1D">
            <w:pPr>
              <w:jc w:val="right"/>
              <w:textAlignment w:val="bottom"/>
            </w:pPr>
            <w:r>
              <w:rPr>
                <w:rFonts w:ascii="Arial" w:eastAsia="宋体" w:hAnsi="Arial" w:cs="Arial"/>
                <w:color w:val="333333"/>
                <w:sz w:val="18"/>
                <w:szCs w:val="18"/>
              </w:rPr>
              <w:t>1,850 </w:t>
            </w:r>
          </w:p>
        </w:tc>
        <w:tc>
          <w:tcPr>
            <w:tcW w:w="0" w:type="auto"/>
            <w:shd w:val="clear" w:color="auto" w:fill="auto"/>
            <w:tcMar>
              <w:top w:w="40" w:type="dxa"/>
              <w:bottom w:w="40" w:type="dxa"/>
              <w:right w:w="20" w:type="dxa"/>
            </w:tcMar>
            <w:vAlign w:val="bottom"/>
          </w:tcPr>
          <w:p w14:paraId="20AE21D4"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21D5"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1D6"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21D7"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21D8"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1D9" w14:textId="77777777" w:rsidR="00B626E7" w:rsidRDefault="00175C1D">
            <w:pPr>
              <w:jc w:val="right"/>
              <w:textAlignment w:val="bottom"/>
            </w:pPr>
            <w:r>
              <w:rPr>
                <w:rFonts w:ascii="Arial" w:eastAsia="宋体" w:hAnsi="Arial" w:cs="Arial"/>
                <w:color w:val="333333"/>
                <w:sz w:val="18"/>
                <w:szCs w:val="18"/>
              </w:rPr>
              <w:t>(1,850)</w:t>
            </w:r>
          </w:p>
        </w:tc>
        <w:tc>
          <w:tcPr>
            <w:tcW w:w="0" w:type="auto"/>
            <w:shd w:val="clear" w:color="auto" w:fill="auto"/>
            <w:tcMar>
              <w:top w:w="40" w:type="dxa"/>
              <w:bottom w:w="40" w:type="dxa"/>
              <w:right w:w="20" w:type="dxa"/>
            </w:tcMar>
            <w:vAlign w:val="bottom"/>
          </w:tcPr>
          <w:p w14:paraId="20AE21DA"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21DB"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1DC"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21DD"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21DE" w14:textId="77777777" w:rsidR="00B626E7" w:rsidRDefault="00B626E7">
            <w:pPr>
              <w:rPr>
                <w:rFonts w:ascii="宋体"/>
              </w:rPr>
            </w:pPr>
          </w:p>
        </w:tc>
        <w:tc>
          <w:tcPr>
            <w:tcW w:w="0" w:type="auto"/>
            <w:shd w:val="clear" w:color="auto" w:fill="auto"/>
          </w:tcPr>
          <w:p w14:paraId="20AE21DF" w14:textId="77777777" w:rsidR="00B626E7" w:rsidRDefault="00B626E7">
            <w:pPr>
              <w:rPr>
                <w:rFonts w:ascii="宋体"/>
              </w:rPr>
            </w:pPr>
          </w:p>
        </w:tc>
        <w:tc>
          <w:tcPr>
            <w:tcW w:w="0" w:type="auto"/>
            <w:shd w:val="clear" w:color="auto" w:fill="auto"/>
          </w:tcPr>
          <w:p w14:paraId="20AE21E0" w14:textId="77777777" w:rsidR="00B626E7" w:rsidRDefault="00B626E7">
            <w:pPr>
              <w:rPr>
                <w:rFonts w:ascii="宋体"/>
              </w:rPr>
            </w:pPr>
          </w:p>
        </w:tc>
        <w:tc>
          <w:tcPr>
            <w:tcW w:w="0" w:type="auto"/>
            <w:shd w:val="clear" w:color="auto" w:fill="auto"/>
          </w:tcPr>
          <w:p w14:paraId="20AE21E1" w14:textId="77777777" w:rsidR="00B626E7" w:rsidRDefault="00B626E7">
            <w:pPr>
              <w:rPr>
                <w:rFonts w:ascii="宋体"/>
              </w:rPr>
            </w:pPr>
          </w:p>
        </w:tc>
        <w:tc>
          <w:tcPr>
            <w:tcW w:w="0" w:type="auto"/>
            <w:shd w:val="clear" w:color="auto" w:fill="auto"/>
          </w:tcPr>
          <w:p w14:paraId="20AE21E2" w14:textId="77777777" w:rsidR="00B626E7" w:rsidRDefault="00B626E7">
            <w:pPr>
              <w:rPr>
                <w:rFonts w:ascii="宋体"/>
              </w:rPr>
            </w:pPr>
          </w:p>
        </w:tc>
        <w:tc>
          <w:tcPr>
            <w:tcW w:w="0" w:type="auto"/>
            <w:shd w:val="clear" w:color="auto" w:fill="auto"/>
          </w:tcPr>
          <w:p w14:paraId="20AE21E3" w14:textId="77777777" w:rsidR="00B626E7" w:rsidRDefault="00B626E7">
            <w:pPr>
              <w:rPr>
                <w:rFonts w:ascii="宋体"/>
              </w:rPr>
            </w:pPr>
          </w:p>
        </w:tc>
        <w:tc>
          <w:tcPr>
            <w:tcW w:w="0" w:type="auto"/>
            <w:shd w:val="clear" w:color="auto" w:fill="auto"/>
          </w:tcPr>
          <w:p w14:paraId="20AE21E4" w14:textId="77777777" w:rsidR="00B626E7" w:rsidRDefault="00B626E7">
            <w:pPr>
              <w:rPr>
                <w:rFonts w:ascii="宋体"/>
              </w:rPr>
            </w:pPr>
          </w:p>
        </w:tc>
        <w:tc>
          <w:tcPr>
            <w:tcW w:w="0" w:type="auto"/>
            <w:shd w:val="clear" w:color="auto" w:fill="auto"/>
          </w:tcPr>
          <w:p w14:paraId="20AE21E5" w14:textId="77777777" w:rsidR="00B626E7" w:rsidRDefault="00B626E7">
            <w:pPr>
              <w:rPr>
                <w:rFonts w:ascii="宋体"/>
              </w:rPr>
            </w:pPr>
          </w:p>
        </w:tc>
        <w:tc>
          <w:tcPr>
            <w:tcW w:w="0" w:type="auto"/>
            <w:shd w:val="clear" w:color="auto" w:fill="auto"/>
          </w:tcPr>
          <w:p w14:paraId="20AE21E6" w14:textId="77777777" w:rsidR="00B626E7" w:rsidRDefault="00B626E7">
            <w:pPr>
              <w:rPr>
                <w:rFonts w:ascii="宋体"/>
              </w:rPr>
            </w:pPr>
          </w:p>
        </w:tc>
        <w:tc>
          <w:tcPr>
            <w:tcW w:w="0" w:type="auto"/>
            <w:shd w:val="clear" w:color="auto" w:fill="auto"/>
          </w:tcPr>
          <w:p w14:paraId="20AE21E7" w14:textId="77777777" w:rsidR="00B626E7" w:rsidRDefault="00B626E7">
            <w:pPr>
              <w:rPr>
                <w:rFonts w:ascii="宋体"/>
              </w:rPr>
            </w:pPr>
          </w:p>
        </w:tc>
        <w:tc>
          <w:tcPr>
            <w:tcW w:w="0" w:type="auto"/>
            <w:shd w:val="clear" w:color="auto" w:fill="auto"/>
          </w:tcPr>
          <w:p w14:paraId="20AE21E8" w14:textId="77777777" w:rsidR="00B626E7" w:rsidRDefault="00B626E7">
            <w:pPr>
              <w:rPr>
                <w:rFonts w:ascii="宋体"/>
              </w:rPr>
            </w:pPr>
          </w:p>
        </w:tc>
        <w:tc>
          <w:tcPr>
            <w:tcW w:w="0" w:type="auto"/>
            <w:shd w:val="clear" w:color="auto" w:fill="auto"/>
          </w:tcPr>
          <w:p w14:paraId="20AE21E9" w14:textId="77777777" w:rsidR="00B626E7" w:rsidRDefault="00B626E7">
            <w:pPr>
              <w:rPr>
                <w:rFonts w:ascii="宋体"/>
              </w:rPr>
            </w:pPr>
          </w:p>
        </w:tc>
        <w:tc>
          <w:tcPr>
            <w:tcW w:w="0" w:type="auto"/>
            <w:shd w:val="clear" w:color="auto" w:fill="auto"/>
          </w:tcPr>
          <w:p w14:paraId="20AE21EA" w14:textId="77777777" w:rsidR="00B626E7" w:rsidRDefault="00B626E7">
            <w:pPr>
              <w:rPr>
                <w:rFonts w:ascii="宋体"/>
              </w:rPr>
            </w:pPr>
          </w:p>
        </w:tc>
        <w:tc>
          <w:tcPr>
            <w:tcW w:w="0" w:type="auto"/>
            <w:shd w:val="clear" w:color="auto" w:fill="auto"/>
          </w:tcPr>
          <w:p w14:paraId="20AE21EB" w14:textId="77777777" w:rsidR="00B626E7" w:rsidRDefault="00B626E7">
            <w:pPr>
              <w:rPr>
                <w:rFonts w:ascii="宋体"/>
              </w:rPr>
            </w:pPr>
          </w:p>
        </w:tc>
        <w:tc>
          <w:tcPr>
            <w:tcW w:w="0" w:type="auto"/>
            <w:shd w:val="clear" w:color="auto" w:fill="auto"/>
          </w:tcPr>
          <w:p w14:paraId="20AE21EC" w14:textId="77777777" w:rsidR="00B626E7" w:rsidRDefault="00B626E7">
            <w:pPr>
              <w:rPr>
                <w:rFonts w:ascii="宋体"/>
              </w:rPr>
            </w:pPr>
          </w:p>
        </w:tc>
        <w:tc>
          <w:tcPr>
            <w:tcW w:w="0" w:type="auto"/>
            <w:shd w:val="clear" w:color="auto" w:fill="auto"/>
          </w:tcPr>
          <w:p w14:paraId="20AE21ED" w14:textId="77777777" w:rsidR="00B626E7" w:rsidRDefault="00B626E7">
            <w:pPr>
              <w:rPr>
                <w:rFonts w:ascii="宋体"/>
              </w:rPr>
            </w:pPr>
          </w:p>
        </w:tc>
        <w:tc>
          <w:tcPr>
            <w:tcW w:w="0" w:type="auto"/>
            <w:shd w:val="clear" w:color="auto" w:fill="auto"/>
          </w:tcPr>
          <w:p w14:paraId="20AE21EE" w14:textId="77777777" w:rsidR="00B626E7" w:rsidRDefault="00B626E7">
            <w:pPr>
              <w:rPr>
                <w:rFonts w:ascii="宋体"/>
              </w:rPr>
            </w:pPr>
          </w:p>
        </w:tc>
        <w:tc>
          <w:tcPr>
            <w:tcW w:w="0" w:type="auto"/>
            <w:shd w:val="clear" w:color="auto" w:fill="auto"/>
          </w:tcPr>
          <w:p w14:paraId="20AE21EF" w14:textId="77777777" w:rsidR="00B626E7" w:rsidRDefault="00B626E7">
            <w:pPr>
              <w:rPr>
                <w:rFonts w:ascii="宋体"/>
              </w:rPr>
            </w:pPr>
          </w:p>
        </w:tc>
        <w:tc>
          <w:tcPr>
            <w:tcW w:w="0" w:type="auto"/>
            <w:shd w:val="clear" w:color="auto" w:fill="auto"/>
          </w:tcPr>
          <w:p w14:paraId="20AE21F0" w14:textId="77777777" w:rsidR="00B626E7" w:rsidRDefault="00B626E7">
            <w:pPr>
              <w:rPr>
                <w:rFonts w:ascii="宋体"/>
              </w:rPr>
            </w:pPr>
          </w:p>
        </w:tc>
        <w:tc>
          <w:tcPr>
            <w:tcW w:w="0" w:type="auto"/>
            <w:shd w:val="clear" w:color="auto" w:fill="auto"/>
          </w:tcPr>
          <w:p w14:paraId="20AE21F1" w14:textId="77777777" w:rsidR="00B626E7" w:rsidRDefault="00B626E7">
            <w:pPr>
              <w:rPr>
                <w:rFonts w:ascii="宋体"/>
              </w:rPr>
            </w:pPr>
          </w:p>
        </w:tc>
        <w:tc>
          <w:tcPr>
            <w:tcW w:w="0" w:type="auto"/>
            <w:shd w:val="clear" w:color="auto" w:fill="auto"/>
          </w:tcPr>
          <w:p w14:paraId="20AE21F2" w14:textId="77777777" w:rsidR="00B626E7" w:rsidRDefault="00B626E7">
            <w:pPr>
              <w:rPr>
                <w:rFonts w:ascii="宋体"/>
              </w:rPr>
            </w:pPr>
          </w:p>
        </w:tc>
        <w:tc>
          <w:tcPr>
            <w:tcW w:w="0" w:type="auto"/>
            <w:shd w:val="clear" w:color="auto" w:fill="auto"/>
          </w:tcPr>
          <w:p w14:paraId="20AE21F3" w14:textId="77777777" w:rsidR="00B626E7" w:rsidRDefault="00B626E7">
            <w:pPr>
              <w:rPr>
                <w:rFonts w:ascii="宋体"/>
              </w:rPr>
            </w:pPr>
          </w:p>
        </w:tc>
        <w:tc>
          <w:tcPr>
            <w:tcW w:w="0" w:type="auto"/>
            <w:shd w:val="clear" w:color="auto" w:fill="auto"/>
          </w:tcPr>
          <w:p w14:paraId="20AE21F4" w14:textId="77777777" w:rsidR="00B626E7" w:rsidRDefault="00B626E7">
            <w:pPr>
              <w:rPr>
                <w:rFonts w:ascii="宋体"/>
              </w:rPr>
            </w:pPr>
          </w:p>
        </w:tc>
        <w:tc>
          <w:tcPr>
            <w:tcW w:w="0" w:type="auto"/>
            <w:shd w:val="clear" w:color="auto" w:fill="auto"/>
          </w:tcPr>
          <w:p w14:paraId="20AE21F5" w14:textId="77777777" w:rsidR="00B626E7" w:rsidRDefault="00B626E7">
            <w:pPr>
              <w:rPr>
                <w:rFonts w:ascii="宋体"/>
              </w:rPr>
            </w:pPr>
          </w:p>
        </w:tc>
      </w:tr>
      <w:tr w:rsidR="00B626E7" w14:paraId="20AE2228" w14:textId="77777777">
        <w:tc>
          <w:tcPr>
            <w:tcW w:w="0" w:type="auto"/>
            <w:gridSpan w:val="3"/>
            <w:shd w:val="clear" w:color="auto" w:fill="auto"/>
            <w:tcMar>
              <w:top w:w="40" w:type="dxa"/>
              <w:left w:w="20" w:type="dxa"/>
              <w:bottom w:w="40" w:type="dxa"/>
              <w:right w:w="20" w:type="dxa"/>
            </w:tcMar>
            <w:vAlign w:val="bottom"/>
          </w:tcPr>
          <w:p w14:paraId="20AE21F7" w14:textId="77777777" w:rsidR="00B626E7" w:rsidRDefault="00175C1D">
            <w:pPr>
              <w:ind w:hanging="180"/>
              <w:textAlignment w:val="bottom"/>
            </w:pPr>
            <w:r>
              <w:rPr>
                <w:rFonts w:ascii="Arial" w:eastAsia="宋体" w:hAnsi="Arial" w:cs="Arial"/>
                <w:b/>
                <w:bCs/>
                <w:color w:val="333333"/>
                <w:sz w:val="18"/>
                <w:szCs w:val="18"/>
              </w:rPr>
              <w:t>Total assets</w:t>
            </w:r>
          </w:p>
        </w:tc>
        <w:tc>
          <w:tcPr>
            <w:tcW w:w="0" w:type="auto"/>
            <w:gridSpan w:val="3"/>
            <w:shd w:val="clear" w:color="auto" w:fill="auto"/>
            <w:tcMar>
              <w:left w:w="20" w:type="dxa"/>
              <w:right w:w="20" w:type="dxa"/>
            </w:tcMar>
            <w:vAlign w:val="bottom"/>
          </w:tcPr>
          <w:p w14:paraId="20AE21F8" w14:textId="77777777" w:rsidR="00B626E7" w:rsidRDefault="00B626E7">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20AE21F9"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20AE21FA" w14:textId="77777777" w:rsidR="00B626E7" w:rsidRDefault="00175C1D">
            <w:pPr>
              <w:jc w:val="right"/>
              <w:textAlignment w:val="bottom"/>
            </w:pPr>
            <w:r>
              <w:rPr>
                <w:rFonts w:ascii="Arial" w:eastAsia="宋体" w:hAnsi="Arial" w:cs="Arial"/>
                <w:b/>
                <w:bCs/>
                <w:color w:val="333333"/>
                <w:sz w:val="18"/>
                <w:szCs w:val="18"/>
              </w:rPr>
              <w:t>2,824 </w:t>
            </w:r>
          </w:p>
        </w:tc>
        <w:tc>
          <w:tcPr>
            <w:tcW w:w="0" w:type="auto"/>
            <w:tcBorders>
              <w:top w:val="single" w:sz="8" w:space="0" w:color="333333"/>
            </w:tcBorders>
            <w:shd w:val="clear" w:color="auto" w:fill="auto"/>
            <w:tcMar>
              <w:top w:w="40" w:type="dxa"/>
              <w:bottom w:w="40" w:type="dxa"/>
              <w:right w:w="20" w:type="dxa"/>
            </w:tcMar>
            <w:vAlign w:val="bottom"/>
          </w:tcPr>
          <w:p w14:paraId="20AE21FB"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21FC" w14:textId="77777777" w:rsidR="00B626E7" w:rsidRDefault="00B626E7">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20AE21FD"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20AE21FE" w14:textId="77777777" w:rsidR="00B626E7" w:rsidRDefault="00175C1D">
            <w:pPr>
              <w:jc w:val="right"/>
              <w:textAlignment w:val="bottom"/>
            </w:pPr>
            <w:r>
              <w:rPr>
                <w:rFonts w:ascii="Arial" w:eastAsia="宋体" w:hAnsi="Arial" w:cs="Arial"/>
                <w:b/>
                <w:bCs/>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20AE21FF"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2200" w14:textId="77777777" w:rsidR="00B626E7" w:rsidRDefault="00B626E7">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20AE2201"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20AE2202" w14:textId="77777777" w:rsidR="00B626E7" w:rsidRDefault="00175C1D">
            <w:pPr>
              <w:jc w:val="right"/>
              <w:textAlignment w:val="bottom"/>
            </w:pPr>
            <w:r>
              <w:rPr>
                <w:rFonts w:ascii="Arial" w:eastAsia="宋体" w:hAnsi="Arial" w:cs="Arial"/>
                <w:b/>
                <w:bCs/>
                <w:color w:val="333333"/>
                <w:sz w:val="18"/>
                <w:szCs w:val="18"/>
              </w:rPr>
              <w:t>2,824 </w:t>
            </w:r>
          </w:p>
        </w:tc>
        <w:tc>
          <w:tcPr>
            <w:tcW w:w="0" w:type="auto"/>
            <w:tcBorders>
              <w:top w:val="single" w:sz="8" w:space="0" w:color="333333"/>
            </w:tcBorders>
            <w:shd w:val="clear" w:color="auto" w:fill="auto"/>
            <w:tcMar>
              <w:top w:w="40" w:type="dxa"/>
              <w:bottom w:w="40" w:type="dxa"/>
              <w:right w:w="20" w:type="dxa"/>
            </w:tcMar>
            <w:vAlign w:val="bottom"/>
          </w:tcPr>
          <w:p w14:paraId="20AE2203"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2204" w14:textId="77777777" w:rsidR="00B626E7" w:rsidRDefault="00B626E7">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20AE2205"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20AE2206" w14:textId="77777777" w:rsidR="00B626E7" w:rsidRDefault="00175C1D">
            <w:pPr>
              <w:jc w:val="right"/>
              <w:textAlignment w:val="bottom"/>
            </w:pPr>
            <w:r>
              <w:rPr>
                <w:rFonts w:ascii="Arial" w:eastAsia="宋体" w:hAnsi="Arial" w:cs="Arial"/>
                <w:b/>
                <w:bCs/>
                <w:color w:val="333333"/>
                <w:sz w:val="18"/>
                <w:szCs w:val="18"/>
              </w:rPr>
              <w:t>(144)</w:t>
            </w:r>
          </w:p>
        </w:tc>
        <w:tc>
          <w:tcPr>
            <w:tcW w:w="0" w:type="auto"/>
            <w:tcBorders>
              <w:top w:val="single" w:sz="8" w:space="0" w:color="333333"/>
            </w:tcBorders>
            <w:shd w:val="clear" w:color="auto" w:fill="auto"/>
            <w:tcMar>
              <w:top w:w="40" w:type="dxa"/>
              <w:bottom w:w="40" w:type="dxa"/>
              <w:right w:w="20" w:type="dxa"/>
            </w:tcMar>
            <w:vAlign w:val="bottom"/>
          </w:tcPr>
          <w:p w14:paraId="20AE2207"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2208" w14:textId="77777777" w:rsidR="00B626E7" w:rsidRDefault="00B626E7">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20AE2209"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20AE220A" w14:textId="77777777" w:rsidR="00B626E7" w:rsidRDefault="00175C1D">
            <w:pPr>
              <w:jc w:val="right"/>
              <w:textAlignment w:val="bottom"/>
            </w:pPr>
            <w:r>
              <w:rPr>
                <w:rFonts w:ascii="Arial" w:eastAsia="宋体" w:hAnsi="Arial" w:cs="Arial"/>
                <w:b/>
                <w:bCs/>
                <w:color w:val="333333"/>
                <w:sz w:val="18"/>
                <w:szCs w:val="18"/>
              </w:rPr>
              <w:t>(2,658)</w:t>
            </w:r>
          </w:p>
        </w:tc>
        <w:tc>
          <w:tcPr>
            <w:tcW w:w="0" w:type="auto"/>
            <w:tcBorders>
              <w:top w:val="single" w:sz="8" w:space="0" w:color="333333"/>
            </w:tcBorders>
            <w:shd w:val="clear" w:color="auto" w:fill="auto"/>
            <w:tcMar>
              <w:top w:w="40" w:type="dxa"/>
              <w:bottom w:w="40" w:type="dxa"/>
              <w:right w:w="20" w:type="dxa"/>
            </w:tcMar>
            <w:vAlign w:val="bottom"/>
          </w:tcPr>
          <w:p w14:paraId="20AE220B"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220C" w14:textId="77777777" w:rsidR="00B626E7" w:rsidRDefault="00B626E7">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20AE220D"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20AE220E" w14:textId="77777777" w:rsidR="00B626E7" w:rsidRDefault="00175C1D">
            <w:pPr>
              <w:jc w:val="right"/>
              <w:textAlignment w:val="bottom"/>
            </w:pPr>
            <w:r>
              <w:rPr>
                <w:rFonts w:ascii="Arial" w:eastAsia="宋体" w:hAnsi="Arial" w:cs="Arial"/>
                <w:b/>
                <w:bCs/>
                <w:color w:val="333333"/>
                <w:sz w:val="18"/>
                <w:szCs w:val="18"/>
              </w:rPr>
              <w:t>22 </w:t>
            </w:r>
          </w:p>
        </w:tc>
        <w:tc>
          <w:tcPr>
            <w:tcW w:w="0" w:type="auto"/>
            <w:tcBorders>
              <w:top w:val="single" w:sz="8" w:space="0" w:color="333333"/>
            </w:tcBorders>
            <w:shd w:val="clear" w:color="auto" w:fill="auto"/>
            <w:tcMar>
              <w:top w:w="40" w:type="dxa"/>
              <w:bottom w:w="40" w:type="dxa"/>
              <w:right w:w="20" w:type="dxa"/>
            </w:tcMar>
            <w:vAlign w:val="bottom"/>
          </w:tcPr>
          <w:p w14:paraId="20AE220F"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E2210" w14:textId="77777777" w:rsidR="00B626E7" w:rsidRDefault="00B626E7">
            <w:pPr>
              <w:rPr>
                <w:rFonts w:ascii="宋体"/>
              </w:rPr>
            </w:pPr>
          </w:p>
        </w:tc>
        <w:tc>
          <w:tcPr>
            <w:tcW w:w="0" w:type="auto"/>
            <w:shd w:val="clear" w:color="auto" w:fill="auto"/>
          </w:tcPr>
          <w:p w14:paraId="20AE2211" w14:textId="77777777" w:rsidR="00B626E7" w:rsidRDefault="00B626E7">
            <w:pPr>
              <w:rPr>
                <w:rFonts w:ascii="宋体"/>
              </w:rPr>
            </w:pPr>
          </w:p>
        </w:tc>
        <w:tc>
          <w:tcPr>
            <w:tcW w:w="0" w:type="auto"/>
            <w:shd w:val="clear" w:color="auto" w:fill="auto"/>
          </w:tcPr>
          <w:p w14:paraId="20AE2212" w14:textId="77777777" w:rsidR="00B626E7" w:rsidRDefault="00B626E7">
            <w:pPr>
              <w:rPr>
                <w:rFonts w:ascii="宋体"/>
              </w:rPr>
            </w:pPr>
          </w:p>
        </w:tc>
        <w:tc>
          <w:tcPr>
            <w:tcW w:w="0" w:type="auto"/>
            <w:shd w:val="clear" w:color="auto" w:fill="auto"/>
          </w:tcPr>
          <w:p w14:paraId="20AE2213" w14:textId="77777777" w:rsidR="00B626E7" w:rsidRDefault="00B626E7">
            <w:pPr>
              <w:rPr>
                <w:rFonts w:ascii="宋体"/>
              </w:rPr>
            </w:pPr>
          </w:p>
        </w:tc>
        <w:tc>
          <w:tcPr>
            <w:tcW w:w="0" w:type="auto"/>
            <w:shd w:val="clear" w:color="auto" w:fill="auto"/>
          </w:tcPr>
          <w:p w14:paraId="20AE2214" w14:textId="77777777" w:rsidR="00B626E7" w:rsidRDefault="00B626E7">
            <w:pPr>
              <w:rPr>
                <w:rFonts w:ascii="宋体"/>
              </w:rPr>
            </w:pPr>
          </w:p>
        </w:tc>
        <w:tc>
          <w:tcPr>
            <w:tcW w:w="0" w:type="auto"/>
            <w:shd w:val="clear" w:color="auto" w:fill="auto"/>
          </w:tcPr>
          <w:p w14:paraId="20AE2215" w14:textId="77777777" w:rsidR="00B626E7" w:rsidRDefault="00B626E7">
            <w:pPr>
              <w:rPr>
                <w:rFonts w:ascii="宋体"/>
              </w:rPr>
            </w:pPr>
          </w:p>
        </w:tc>
        <w:tc>
          <w:tcPr>
            <w:tcW w:w="0" w:type="auto"/>
            <w:shd w:val="clear" w:color="auto" w:fill="auto"/>
          </w:tcPr>
          <w:p w14:paraId="20AE2216" w14:textId="77777777" w:rsidR="00B626E7" w:rsidRDefault="00B626E7">
            <w:pPr>
              <w:rPr>
                <w:rFonts w:ascii="宋体"/>
              </w:rPr>
            </w:pPr>
          </w:p>
        </w:tc>
        <w:tc>
          <w:tcPr>
            <w:tcW w:w="0" w:type="auto"/>
            <w:shd w:val="clear" w:color="auto" w:fill="auto"/>
          </w:tcPr>
          <w:p w14:paraId="20AE2217" w14:textId="77777777" w:rsidR="00B626E7" w:rsidRDefault="00B626E7">
            <w:pPr>
              <w:rPr>
                <w:rFonts w:ascii="宋体"/>
              </w:rPr>
            </w:pPr>
          </w:p>
        </w:tc>
        <w:tc>
          <w:tcPr>
            <w:tcW w:w="0" w:type="auto"/>
            <w:shd w:val="clear" w:color="auto" w:fill="auto"/>
          </w:tcPr>
          <w:p w14:paraId="20AE2218" w14:textId="77777777" w:rsidR="00B626E7" w:rsidRDefault="00B626E7">
            <w:pPr>
              <w:rPr>
                <w:rFonts w:ascii="宋体"/>
              </w:rPr>
            </w:pPr>
          </w:p>
        </w:tc>
        <w:tc>
          <w:tcPr>
            <w:tcW w:w="0" w:type="auto"/>
            <w:shd w:val="clear" w:color="auto" w:fill="auto"/>
          </w:tcPr>
          <w:p w14:paraId="20AE2219" w14:textId="77777777" w:rsidR="00B626E7" w:rsidRDefault="00B626E7">
            <w:pPr>
              <w:rPr>
                <w:rFonts w:ascii="宋体"/>
              </w:rPr>
            </w:pPr>
          </w:p>
        </w:tc>
        <w:tc>
          <w:tcPr>
            <w:tcW w:w="0" w:type="auto"/>
            <w:shd w:val="clear" w:color="auto" w:fill="auto"/>
          </w:tcPr>
          <w:p w14:paraId="20AE221A" w14:textId="77777777" w:rsidR="00B626E7" w:rsidRDefault="00B626E7">
            <w:pPr>
              <w:rPr>
                <w:rFonts w:ascii="宋体"/>
              </w:rPr>
            </w:pPr>
          </w:p>
        </w:tc>
        <w:tc>
          <w:tcPr>
            <w:tcW w:w="0" w:type="auto"/>
            <w:shd w:val="clear" w:color="auto" w:fill="auto"/>
          </w:tcPr>
          <w:p w14:paraId="20AE221B" w14:textId="77777777" w:rsidR="00B626E7" w:rsidRDefault="00B626E7">
            <w:pPr>
              <w:rPr>
                <w:rFonts w:ascii="宋体"/>
              </w:rPr>
            </w:pPr>
          </w:p>
        </w:tc>
        <w:tc>
          <w:tcPr>
            <w:tcW w:w="0" w:type="auto"/>
            <w:shd w:val="clear" w:color="auto" w:fill="auto"/>
          </w:tcPr>
          <w:p w14:paraId="20AE221C" w14:textId="77777777" w:rsidR="00B626E7" w:rsidRDefault="00B626E7">
            <w:pPr>
              <w:rPr>
                <w:rFonts w:ascii="宋体"/>
              </w:rPr>
            </w:pPr>
          </w:p>
        </w:tc>
        <w:tc>
          <w:tcPr>
            <w:tcW w:w="0" w:type="auto"/>
            <w:shd w:val="clear" w:color="auto" w:fill="auto"/>
          </w:tcPr>
          <w:p w14:paraId="20AE221D" w14:textId="77777777" w:rsidR="00B626E7" w:rsidRDefault="00B626E7">
            <w:pPr>
              <w:rPr>
                <w:rFonts w:ascii="宋体"/>
              </w:rPr>
            </w:pPr>
          </w:p>
        </w:tc>
        <w:tc>
          <w:tcPr>
            <w:tcW w:w="0" w:type="auto"/>
            <w:shd w:val="clear" w:color="auto" w:fill="auto"/>
          </w:tcPr>
          <w:p w14:paraId="20AE221E" w14:textId="77777777" w:rsidR="00B626E7" w:rsidRDefault="00B626E7">
            <w:pPr>
              <w:rPr>
                <w:rFonts w:ascii="宋体"/>
              </w:rPr>
            </w:pPr>
          </w:p>
        </w:tc>
        <w:tc>
          <w:tcPr>
            <w:tcW w:w="0" w:type="auto"/>
            <w:shd w:val="clear" w:color="auto" w:fill="auto"/>
          </w:tcPr>
          <w:p w14:paraId="20AE221F" w14:textId="77777777" w:rsidR="00B626E7" w:rsidRDefault="00B626E7">
            <w:pPr>
              <w:rPr>
                <w:rFonts w:ascii="宋体"/>
              </w:rPr>
            </w:pPr>
          </w:p>
        </w:tc>
        <w:tc>
          <w:tcPr>
            <w:tcW w:w="0" w:type="auto"/>
            <w:shd w:val="clear" w:color="auto" w:fill="auto"/>
          </w:tcPr>
          <w:p w14:paraId="20AE2220" w14:textId="77777777" w:rsidR="00B626E7" w:rsidRDefault="00B626E7">
            <w:pPr>
              <w:rPr>
                <w:rFonts w:ascii="宋体"/>
              </w:rPr>
            </w:pPr>
          </w:p>
        </w:tc>
        <w:tc>
          <w:tcPr>
            <w:tcW w:w="0" w:type="auto"/>
            <w:shd w:val="clear" w:color="auto" w:fill="auto"/>
          </w:tcPr>
          <w:p w14:paraId="20AE2221" w14:textId="77777777" w:rsidR="00B626E7" w:rsidRDefault="00B626E7">
            <w:pPr>
              <w:rPr>
                <w:rFonts w:ascii="宋体"/>
              </w:rPr>
            </w:pPr>
          </w:p>
        </w:tc>
        <w:tc>
          <w:tcPr>
            <w:tcW w:w="0" w:type="auto"/>
            <w:shd w:val="clear" w:color="auto" w:fill="auto"/>
          </w:tcPr>
          <w:p w14:paraId="20AE2222" w14:textId="77777777" w:rsidR="00B626E7" w:rsidRDefault="00B626E7">
            <w:pPr>
              <w:rPr>
                <w:rFonts w:ascii="宋体"/>
              </w:rPr>
            </w:pPr>
          </w:p>
        </w:tc>
        <w:tc>
          <w:tcPr>
            <w:tcW w:w="0" w:type="auto"/>
            <w:shd w:val="clear" w:color="auto" w:fill="auto"/>
          </w:tcPr>
          <w:p w14:paraId="20AE2223" w14:textId="77777777" w:rsidR="00B626E7" w:rsidRDefault="00B626E7">
            <w:pPr>
              <w:rPr>
                <w:rFonts w:ascii="宋体"/>
              </w:rPr>
            </w:pPr>
          </w:p>
        </w:tc>
        <w:tc>
          <w:tcPr>
            <w:tcW w:w="0" w:type="auto"/>
            <w:shd w:val="clear" w:color="auto" w:fill="auto"/>
          </w:tcPr>
          <w:p w14:paraId="20AE2224" w14:textId="77777777" w:rsidR="00B626E7" w:rsidRDefault="00B626E7">
            <w:pPr>
              <w:rPr>
                <w:rFonts w:ascii="宋体"/>
              </w:rPr>
            </w:pPr>
          </w:p>
        </w:tc>
        <w:tc>
          <w:tcPr>
            <w:tcW w:w="0" w:type="auto"/>
            <w:shd w:val="clear" w:color="auto" w:fill="auto"/>
          </w:tcPr>
          <w:p w14:paraId="20AE2225" w14:textId="77777777" w:rsidR="00B626E7" w:rsidRDefault="00B626E7">
            <w:pPr>
              <w:rPr>
                <w:rFonts w:ascii="宋体"/>
              </w:rPr>
            </w:pPr>
          </w:p>
        </w:tc>
        <w:tc>
          <w:tcPr>
            <w:tcW w:w="0" w:type="auto"/>
            <w:shd w:val="clear" w:color="auto" w:fill="auto"/>
          </w:tcPr>
          <w:p w14:paraId="20AE2226" w14:textId="77777777" w:rsidR="00B626E7" w:rsidRDefault="00B626E7">
            <w:pPr>
              <w:rPr>
                <w:rFonts w:ascii="宋体"/>
              </w:rPr>
            </w:pPr>
          </w:p>
        </w:tc>
        <w:tc>
          <w:tcPr>
            <w:tcW w:w="0" w:type="auto"/>
            <w:shd w:val="clear" w:color="auto" w:fill="auto"/>
          </w:tcPr>
          <w:p w14:paraId="20AE2227" w14:textId="77777777" w:rsidR="00B626E7" w:rsidRDefault="00B626E7">
            <w:pPr>
              <w:rPr>
                <w:rFonts w:ascii="宋体"/>
              </w:rPr>
            </w:pPr>
          </w:p>
        </w:tc>
      </w:tr>
      <w:tr w:rsidR="00B626E7" w14:paraId="20AE224E" w14:textId="77777777">
        <w:tc>
          <w:tcPr>
            <w:tcW w:w="0" w:type="auto"/>
            <w:gridSpan w:val="3"/>
            <w:shd w:val="clear" w:color="auto" w:fill="auto"/>
            <w:tcMar>
              <w:top w:w="40" w:type="dxa"/>
              <w:left w:w="20" w:type="dxa"/>
              <w:bottom w:w="40" w:type="dxa"/>
              <w:right w:w="20" w:type="dxa"/>
            </w:tcMar>
            <w:vAlign w:val="bottom"/>
          </w:tcPr>
          <w:p w14:paraId="20AE2229" w14:textId="77777777" w:rsidR="00B626E7" w:rsidRDefault="00175C1D">
            <w:pPr>
              <w:ind w:hanging="180"/>
              <w:textAlignment w:val="bottom"/>
            </w:pPr>
            <w:r>
              <w:rPr>
                <w:rFonts w:ascii="Arial" w:eastAsia="宋体" w:hAnsi="Arial" w:cs="Arial"/>
                <w:color w:val="333333"/>
                <w:sz w:val="18"/>
                <w:szCs w:val="18"/>
              </w:rPr>
              <w:t>Liabilities:</w:t>
            </w:r>
          </w:p>
        </w:tc>
        <w:tc>
          <w:tcPr>
            <w:tcW w:w="0" w:type="auto"/>
            <w:gridSpan w:val="3"/>
            <w:shd w:val="clear" w:color="auto" w:fill="auto"/>
            <w:tcMar>
              <w:left w:w="20" w:type="dxa"/>
              <w:right w:w="20" w:type="dxa"/>
            </w:tcMar>
            <w:vAlign w:val="bottom"/>
          </w:tcPr>
          <w:p w14:paraId="20AE222A" w14:textId="77777777" w:rsidR="00B626E7" w:rsidRDefault="00B626E7">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20AE222B"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22C" w14:textId="77777777" w:rsidR="00B626E7" w:rsidRDefault="00B626E7">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20AE222D"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22E" w14:textId="77777777" w:rsidR="00B626E7" w:rsidRDefault="00B626E7">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20AE222F"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230" w14:textId="77777777" w:rsidR="00B626E7" w:rsidRDefault="00B626E7">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20AE2231"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232" w14:textId="77777777" w:rsidR="00B626E7" w:rsidRDefault="00B626E7">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20AE2233"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234" w14:textId="77777777" w:rsidR="00B626E7" w:rsidRDefault="00B626E7">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20AE2235" w14:textId="77777777" w:rsidR="00B626E7" w:rsidRDefault="00B626E7">
            <w:pPr>
              <w:rPr>
                <w:rFonts w:ascii="宋体"/>
              </w:rPr>
            </w:pPr>
          </w:p>
        </w:tc>
        <w:tc>
          <w:tcPr>
            <w:tcW w:w="0" w:type="auto"/>
            <w:shd w:val="clear" w:color="auto" w:fill="auto"/>
          </w:tcPr>
          <w:p w14:paraId="20AE2236" w14:textId="77777777" w:rsidR="00B626E7" w:rsidRDefault="00B626E7">
            <w:pPr>
              <w:rPr>
                <w:rFonts w:ascii="宋体"/>
              </w:rPr>
            </w:pPr>
          </w:p>
        </w:tc>
        <w:tc>
          <w:tcPr>
            <w:tcW w:w="0" w:type="auto"/>
            <w:shd w:val="clear" w:color="auto" w:fill="auto"/>
          </w:tcPr>
          <w:p w14:paraId="20AE2237" w14:textId="77777777" w:rsidR="00B626E7" w:rsidRDefault="00B626E7">
            <w:pPr>
              <w:rPr>
                <w:rFonts w:ascii="宋体"/>
              </w:rPr>
            </w:pPr>
          </w:p>
        </w:tc>
        <w:tc>
          <w:tcPr>
            <w:tcW w:w="0" w:type="auto"/>
            <w:shd w:val="clear" w:color="auto" w:fill="auto"/>
          </w:tcPr>
          <w:p w14:paraId="20AE2238" w14:textId="77777777" w:rsidR="00B626E7" w:rsidRDefault="00B626E7">
            <w:pPr>
              <w:rPr>
                <w:rFonts w:ascii="宋体"/>
              </w:rPr>
            </w:pPr>
          </w:p>
        </w:tc>
        <w:tc>
          <w:tcPr>
            <w:tcW w:w="0" w:type="auto"/>
            <w:shd w:val="clear" w:color="auto" w:fill="auto"/>
          </w:tcPr>
          <w:p w14:paraId="20AE2239" w14:textId="77777777" w:rsidR="00B626E7" w:rsidRDefault="00B626E7">
            <w:pPr>
              <w:rPr>
                <w:rFonts w:ascii="宋体"/>
              </w:rPr>
            </w:pPr>
          </w:p>
        </w:tc>
        <w:tc>
          <w:tcPr>
            <w:tcW w:w="0" w:type="auto"/>
            <w:shd w:val="clear" w:color="auto" w:fill="auto"/>
          </w:tcPr>
          <w:p w14:paraId="20AE223A" w14:textId="77777777" w:rsidR="00B626E7" w:rsidRDefault="00B626E7">
            <w:pPr>
              <w:rPr>
                <w:rFonts w:ascii="宋体"/>
              </w:rPr>
            </w:pPr>
          </w:p>
        </w:tc>
        <w:tc>
          <w:tcPr>
            <w:tcW w:w="0" w:type="auto"/>
            <w:shd w:val="clear" w:color="auto" w:fill="auto"/>
          </w:tcPr>
          <w:p w14:paraId="20AE223B" w14:textId="77777777" w:rsidR="00B626E7" w:rsidRDefault="00B626E7">
            <w:pPr>
              <w:rPr>
                <w:rFonts w:ascii="宋体"/>
              </w:rPr>
            </w:pPr>
          </w:p>
        </w:tc>
        <w:tc>
          <w:tcPr>
            <w:tcW w:w="0" w:type="auto"/>
            <w:shd w:val="clear" w:color="auto" w:fill="auto"/>
          </w:tcPr>
          <w:p w14:paraId="20AE223C" w14:textId="77777777" w:rsidR="00B626E7" w:rsidRDefault="00B626E7">
            <w:pPr>
              <w:rPr>
                <w:rFonts w:ascii="宋体"/>
              </w:rPr>
            </w:pPr>
          </w:p>
        </w:tc>
        <w:tc>
          <w:tcPr>
            <w:tcW w:w="0" w:type="auto"/>
            <w:shd w:val="clear" w:color="auto" w:fill="auto"/>
          </w:tcPr>
          <w:p w14:paraId="20AE223D" w14:textId="77777777" w:rsidR="00B626E7" w:rsidRDefault="00B626E7">
            <w:pPr>
              <w:rPr>
                <w:rFonts w:ascii="宋体"/>
              </w:rPr>
            </w:pPr>
          </w:p>
        </w:tc>
        <w:tc>
          <w:tcPr>
            <w:tcW w:w="0" w:type="auto"/>
            <w:shd w:val="clear" w:color="auto" w:fill="auto"/>
          </w:tcPr>
          <w:p w14:paraId="20AE223E" w14:textId="77777777" w:rsidR="00B626E7" w:rsidRDefault="00B626E7">
            <w:pPr>
              <w:rPr>
                <w:rFonts w:ascii="宋体"/>
              </w:rPr>
            </w:pPr>
          </w:p>
        </w:tc>
        <w:tc>
          <w:tcPr>
            <w:tcW w:w="0" w:type="auto"/>
            <w:shd w:val="clear" w:color="auto" w:fill="auto"/>
          </w:tcPr>
          <w:p w14:paraId="20AE223F" w14:textId="77777777" w:rsidR="00B626E7" w:rsidRDefault="00B626E7">
            <w:pPr>
              <w:rPr>
                <w:rFonts w:ascii="宋体"/>
              </w:rPr>
            </w:pPr>
          </w:p>
        </w:tc>
        <w:tc>
          <w:tcPr>
            <w:tcW w:w="0" w:type="auto"/>
            <w:shd w:val="clear" w:color="auto" w:fill="auto"/>
          </w:tcPr>
          <w:p w14:paraId="20AE2240" w14:textId="77777777" w:rsidR="00B626E7" w:rsidRDefault="00B626E7">
            <w:pPr>
              <w:rPr>
                <w:rFonts w:ascii="宋体"/>
              </w:rPr>
            </w:pPr>
          </w:p>
        </w:tc>
        <w:tc>
          <w:tcPr>
            <w:tcW w:w="0" w:type="auto"/>
            <w:shd w:val="clear" w:color="auto" w:fill="auto"/>
          </w:tcPr>
          <w:p w14:paraId="20AE2241" w14:textId="77777777" w:rsidR="00B626E7" w:rsidRDefault="00B626E7">
            <w:pPr>
              <w:rPr>
                <w:rFonts w:ascii="宋体"/>
              </w:rPr>
            </w:pPr>
          </w:p>
        </w:tc>
        <w:tc>
          <w:tcPr>
            <w:tcW w:w="0" w:type="auto"/>
            <w:shd w:val="clear" w:color="auto" w:fill="auto"/>
          </w:tcPr>
          <w:p w14:paraId="20AE2242" w14:textId="77777777" w:rsidR="00B626E7" w:rsidRDefault="00B626E7">
            <w:pPr>
              <w:rPr>
                <w:rFonts w:ascii="宋体"/>
              </w:rPr>
            </w:pPr>
          </w:p>
        </w:tc>
        <w:tc>
          <w:tcPr>
            <w:tcW w:w="0" w:type="auto"/>
            <w:shd w:val="clear" w:color="auto" w:fill="auto"/>
          </w:tcPr>
          <w:p w14:paraId="20AE2243" w14:textId="77777777" w:rsidR="00B626E7" w:rsidRDefault="00B626E7">
            <w:pPr>
              <w:rPr>
                <w:rFonts w:ascii="宋体"/>
              </w:rPr>
            </w:pPr>
          </w:p>
        </w:tc>
        <w:tc>
          <w:tcPr>
            <w:tcW w:w="0" w:type="auto"/>
            <w:shd w:val="clear" w:color="auto" w:fill="auto"/>
          </w:tcPr>
          <w:p w14:paraId="20AE2244" w14:textId="77777777" w:rsidR="00B626E7" w:rsidRDefault="00B626E7">
            <w:pPr>
              <w:rPr>
                <w:rFonts w:ascii="宋体"/>
              </w:rPr>
            </w:pPr>
          </w:p>
        </w:tc>
        <w:tc>
          <w:tcPr>
            <w:tcW w:w="0" w:type="auto"/>
            <w:shd w:val="clear" w:color="auto" w:fill="auto"/>
          </w:tcPr>
          <w:p w14:paraId="20AE2245" w14:textId="77777777" w:rsidR="00B626E7" w:rsidRDefault="00B626E7">
            <w:pPr>
              <w:rPr>
                <w:rFonts w:ascii="宋体"/>
              </w:rPr>
            </w:pPr>
          </w:p>
        </w:tc>
        <w:tc>
          <w:tcPr>
            <w:tcW w:w="0" w:type="auto"/>
            <w:shd w:val="clear" w:color="auto" w:fill="auto"/>
          </w:tcPr>
          <w:p w14:paraId="20AE2246" w14:textId="77777777" w:rsidR="00B626E7" w:rsidRDefault="00B626E7">
            <w:pPr>
              <w:rPr>
                <w:rFonts w:ascii="宋体"/>
              </w:rPr>
            </w:pPr>
          </w:p>
        </w:tc>
        <w:tc>
          <w:tcPr>
            <w:tcW w:w="0" w:type="auto"/>
            <w:shd w:val="clear" w:color="auto" w:fill="auto"/>
          </w:tcPr>
          <w:p w14:paraId="20AE2247" w14:textId="77777777" w:rsidR="00B626E7" w:rsidRDefault="00B626E7">
            <w:pPr>
              <w:rPr>
                <w:rFonts w:ascii="宋体"/>
              </w:rPr>
            </w:pPr>
          </w:p>
        </w:tc>
        <w:tc>
          <w:tcPr>
            <w:tcW w:w="0" w:type="auto"/>
            <w:shd w:val="clear" w:color="auto" w:fill="auto"/>
          </w:tcPr>
          <w:p w14:paraId="20AE2248" w14:textId="77777777" w:rsidR="00B626E7" w:rsidRDefault="00B626E7">
            <w:pPr>
              <w:rPr>
                <w:rFonts w:ascii="宋体"/>
              </w:rPr>
            </w:pPr>
          </w:p>
        </w:tc>
        <w:tc>
          <w:tcPr>
            <w:tcW w:w="0" w:type="auto"/>
            <w:shd w:val="clear" w:color="auto" w:fill="auto"/>
          </w:tcPr>
          <w:p w14:paraId="20AE2249" w14:textId="77777777" w:rsidR="00B626E7" w:rsidRDefault="00B626E7">
            <w:pPr>
              <w:rPr>
                <w:rFonts w:ascii="宋体"/>
              </w:rPr>
            </w:pPr>
          </w:p>
        </w:tc>
        <w:tc>
          <w:tcPr>
            <w:tcW w:w="0" w:type="auto"/>
            <w:shd w:val="clear" w:color="auto" w:fill="auto"/>
          </w:tcPr>
          <w:p w14:paraId="20AE224A" w14:textId="77777777" w:rsidR="00B626E7" w:rsidRDefault="00B626E7">
            <w:pPr>
              <w:rPr>
                <w:rFonts w:ascii="宋体"/>
              </w:rPr>
            </w:pPr>
          </w:p>
        </w:tc>
        <w:tc>
          <w:tcPr>
            <w:tcW w:w="0" w:type="auto"/>
            <w:shd w:val="clear" w:color="auto" w:fill="auto"/>
          </w:tcPr>
          <w:p w14:paraId="20AE224B" w14:textId="77777777" w:rsidR="00B626E7" w:rsidRDefault="00B626E7">
            <w:pPr>
              <w:rPr>
                <w:rFonts w:ascii="宋体"/>
              </w:rPr>
            </w:pPr>
          </w:p>
        </w:tc>
        <w:tc>
          <w:tcPr>
            <w:tcW w:w="0" w:type="auto"/>
            <w:shd w:val="clear" w:color="auto" w:fill="auto"/>
          </w:tcPr>
          <w:p w14:paraId="20AE224C" w14:textId="77777777" w:rsidR="00B626E7" w:rsidRDefault="00B626E7">
            <w:pPr>
              <w:rPr>
                <w:rFonts w:ascii="宋体"/>
              </w:rPr>
            </w:pPr>
          </w:p>
        </w:tc>
        <w:tc>
          <w:tcPr>
            <w:tcW w:w="0" w:type="auto"/>
            <w:shd w:val="clear" w:color="auto" w:fill="auto"/>
          </w:tcPr>
          <w:p w14:paraId="20AE224D" w14:textId="77777777" w:rsidR="00B626E7" w:rsidRDefault="00B626E7">
            <w:pPr>
              <w:rPr>
                <w:rFonts w:ascii="宋体"/>
              </w:rPr>
            </w:pPr>
          </w:p>
        </w:tc>
      </w:tr>
      <w:tr w:rsidR="00B626E7" w14:paraId="20AE2280" w14:textId="77777777">
        <w:tc>
          <w:tcPr>
            <w:tcW w:w="0" w:type="auto"/>
            <w:gridSpan w:val="3"/>
            <w:shd w:val="clear" w:color="auto" w:fill="auto"/>
            <w:tcMar>
              <w:top w:w="40" w:type="dxa"/>
              <w:left w:w="120" w:type="dxa"/>
              <w:bottom w:w="40" w:type="dxa"/>
              <w:right w:w="20" w:type="dxa"/>
            </w:tcMar>
          </w:tcPr>
          <w:p w14:paraId="20AE224F" w14:textId="77777777" w:rsidR="00B626E7" w:rsidRDefault="00175C1D">
            <w:pPr>
              <w:textAlignment w:val="top"/>
            </w:pPr>
            <w:r>
              <w:rPr>
                <w:rFonts w:ascii="Arial" w:eastAsia="宋体" w:hAnsi="Arial" w:cs="Arial"/>
                <w:color w:val="333333"/>
                <w:sz w:val="18"/>
                <w:szCs w:val="18"/>
              </w:rPr>
              <w:t>Derivative liabilities subject to master netting arrangements</w:t>
            </w:r>
          </w:p>
        </w:tc>
        <w:tc>
          <w:tcPr>
            <w:tcW w:w="0" w:type="auto"/>
            <w:gridSpan w:val="3"/>
            <w:shd w:val="clear" w:color="auto" w:fill="auto"/>
            <w:tcMar>
              <w:left w:w="20" w:type="dxa"/>
              <w:right w:w="20" w:type="dxa"/>
            </w:tcMar>
            <w:vAlign w:val="bottom"/>
          </w:tcPr>
          <w:p w14:paraId="20AE2250"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2251" w14:textId="77777777" w:rsidR="00B626E7" w:rsidRDefault="00175C1D">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20AE2252" w14:textId="77777777" w:rsidR="00B626E7" w:rsidRDefault="00175C1D">
            <w:pPr>
              <w:jc w:val="right"/>
              <w:textAlignment w:val="bottom"/>
            </w:pPr>
            <w:r>
              <w:rPr>
                <w:rFonts w:ascii="Arial" w:eastAsia="宋体" w:hAnsi="Arial" w:cs="Arial"/>
                <w:color w:val="333333"/>
                <w:sz w:val="18"/>
                <w:szCs w:val="18"/>
              </w:rPr>
              <w:t>262 </w:t>
            </w:r>
          </w:p>
        </w:tc>
        <w:tc>
          <w:tcPr>
            <w:tcW w:w="0" w:type="auto"/>
            <w:shd w:val="clear" w:color="auto" w:fill="auto"/>
            <w:tcMar>
              <w:top w:w="40" w:type="dxa"/>
              <w:bottom w:w="40" w:type="dxa"/>
              <w:right w:w="20" w:type="dxa"/>
            </w:tcMar>
            <w:vAlign w:val="bottom"/>
          </w:tcPr>
          <w:p w14:paraId="20AE2253"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2254"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2255" w14:textId="77777777" w:rsidR="00B626E7" w:rsidRDefault="00175C1D">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20AE2256"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20AE2257"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2258"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2259" w14:textId="77777777" w:rsidR="00B626E7" w:rsidRDefault="00175C1D">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20AE225A" w14:textId="77777777" w:rsidR="00B626E7" w:rsidRDefault="00175C1D">
            <w:pPr>
              <w:jc w:val="right"/>
              <w:textAlignment w:val="bottom"/>
            </w:pPr>
            <w:r>
              <w:rPr>
                <w:rFonts w:ascii="Arial" w:eastAsia="宋体" w:hAnsi="Arial" w:cs="Arial"/>
                <w:color w:val="333333"/>
                <w:sz w:val="18"/>
                <w:szCs w:val="18"/>
              </w:rPr>
              <w:t>262 </w:t>
            </w:r>
          </w:p>
        </w:tc>
        <w:tc>
          <w:tcPr>
            <w:tcW w:w="0" w:type="auto"/>
            <w:shd w:val="clear" w:color="auto" w:fill="auto"/>
            <w:tcMar>
              <w:top w:w="40" w:type="dxa"/>
              <w:bottom w:w="40" w:type="dxa"/>
              <w:right w:w="20" w:type="dxa"/>
            </w:tcMar>
            <w:vAlign w:val="bottom"/>
          </w:tcPr>
          <w:p w14:paraId="20AE225B"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225C"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225D" w14:textId="77777777" w:rsidR="00B626E7" w:rsidRDefault="00175C1D">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20AE225E" w14:textId="77777777" w:rsidR="00B626E7" w:rsidRDefault="00175C1D">
            <w:pPr>
              <w:jc w:val="right"/>
              <w:textAlignment w:val="bottom"/>
            </w:pPr>
            <w:r>
              <w:rPr>
                <w:rFonts w:ascii="Arial" w:eastAsia="宋体" w:hAnsi="Arial" w:cs="Arial"/>
                <w:color w:val="333333"/>
                <w:sz w:val="18"/>
                <w:szCs w:val="18"/>
              </w:rPr>
              <w:t>(144)</w:t>
            </w:r>
          </w:p>
        </w:tc>
        <w:tc>
          <w:tcPr>
            <w:tcW w:w="0" w:type="auto"/>
            <w:shd w:val="clear" w:color="auto" w:fill="auto"/>
            <w:tcMar>
              <w:top w:w="40" w:type="dxa"/>
              <w:bottom w:w="40" w:type="dxa"/>
              <w:right w:w="20" w:type="dxa"/>
            </w:tcMar>
            <w:vAlign w:val="bottom"/>
          </w:tcPr>
          <w:p w14:paraId="20AE225F"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2260"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2261" w14:textId="77777777" w:rsidR="00B626E7" w:rsidRDefault="00175C1D">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20AE2262" w14:textId="77777777" w:rsidR="00B626E7" w:rsidRDefault="00175C1D">
            <w:pPr>
              <w:jc w:val="right"/>
              <w:textAlignment w:val="bottom"/>
            </w:pPr>
            <w:r>
              <w:rPr>
                <w:rFonts w:ascii="Arial" w:eastAsia="宋体" w:hAnsi="Arial" w:cs="Arial"/>
                <w:color w:val="333333"/>
                <w:sz w:val="18"/>
                <w:szCs w:val="18"/>
              </w:rPr>
              <w:t>(72)</w:t>
            </w:r>
          </w:p>
        </w:tc>
        <w:tc>
          <w:tcPr>
            <w:tcW w:w="0" w:type="auto"/>
            <w:shd w:val="clear" w:color="auto" w:fill="auto"/>
            <w:tcMar>
              <w:top w:w="40" w:type="dxa"/>
              <w:bottom w:w="40" w:type="dxa"/>
              <w:right w:w="20" w:type="dxa"/>
            </w:tcMar>
            <w:vAlign w:val="bottom"/>
          </w:tcPr>
          <w:p w14:paraId="20AE2263"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2264"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2265" w14:textId="77777777" w:rsidR="00B626E7" w:rsidRDefault="00175C1D">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20AE2266" w14:textId="77777777" w:rsidR="00B626E7" w:rsidRDefault="00175C1D">
            <w:pPr>
              <w:jc w:val="right"/>
              <w:textAlignment w:val="bottom"/>
            </w:pPr>
            <w:r>
              <w:rPr>
                <w:rFonts w:ascii="Arial" w:eastAsia="宋体" w:hAnsi="Arial" w:cs="Arial"/>
                <w:color w:val="333333"/>
                <w:sz w:val="18"/>
                <w:szCs w:val="18"/>
              </w:rPr>
              <w:t>46 </w:t>
            </w:r>
          </w:p>
        </w:tc>
        <w:tc>
          <w:tcPr>
            <w:tcW w:w="0" w:type="auto"/>
            <w:shd w:val="clear" w:color="auto" w:fill="auto"/>
            <w:tcMar>
              <w:top w:w="40" w:type="dxa"/>
              <w:bottom w:w="40" w:type="dxa"/>
              <w:right w:w="20" w:type="dxa"/>
            </w:tcMar>
            <w:vAlign w:val="bottom"/>
          </w:tcPr>
          <w:p w14:paraId="20AE2267"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2268" w14:textId="77777777" w:rsidR="00B626E7" w:rsidRDefault="00B626E7">
            <w:pPr>
              <w:rPr>
                <w:rFonts w:ascii="宋体"/>
              </w:rPr>
            </w:pPr>
          </w:p>
        </w:tc>
        <w:tc>
          <w:tcPr>
            <w:tcW w:w="0" w:type="auto"/>
            <w:shd w:val="clear" w:color="auto" w:fill="auto"/>
          </w:tcPr>
          <w:p w14:paraId="20AE2269" w14:textId="77777777" w:rsidR="00B626E7" w:rsidRDefault="00B626E7">
            <w:pPr>
              <w:rPr>
                <w:rFonts w:ascii="宋体"/>
              </w:rPr>
            </w:pPr>
          </w:p>
        </w:tc>
        <w:tc>
          <w:tcPr>
            <w:tcW w:w="0" w:type="auto"/>
            <w:shd w:val="clear" w:color="auto" w:fill="auto"/>
          </w:tcPr>
          <w:p w14:paraId="20AE226A" w14:textId="77777777" w:rsidR="00B626E7" w:rsidRDefault="00B626E7">
            <w:pPr>
              <w:rPr>
                <w:rFonts w:ascii="宋体"/>
              </w:rPr>
            </w:pPr>
          </w:p>
        </w:tc>
        <w:tc>
          <w:tcPr>
            <w:tcW w:w="0" w:type="auto"/>
            <w:shd w:val="clear" w:color="auto" w:fill="auto"/>
          </w:tcPr>
          <w:p w14:paraId="20AE226B" w14:textId="77777777" w:rsidR="00B626E7" w:rsidRDefault="00B626E7">
            <w:pPr>
              <w:rPr>
                <w:rFonts w:ascii="宋体"/>
              </w:rPr>
            </w:pPr>
          </w:p>
        </w:tc>
        <w:tc>
          <w:tcPr>
            <w:tcW w:w="0" w:type="auto"/>
            <w:shd w:val="clear" w:color="auto" w:fill="auto"/>
          </w:tcPr>
          <w:p w14:paraId="20AE226C" w14:textId="77777777" w:rsidR="00B626E7" w:rsidRDefault="00B626E7">
            <w:pPr>
              <w:rPr>
                <w:rFonts w:ascii="宋体"/>
              </w:rPr>
            </w:pPr>
          </w:p>
        </w:tc>
        <w:tc>
          <w:tcPr>
            <w:tcW w:w="0" w:type="auto"/>
            <w:shd w:val="clear" w:color="auto" w:fill="auto"/>
          </w:tcPr>
          <w:p w14:paraId="20AE226D" w14:textId="77777777" w:rsidR="00B626E7" w:rsidRDefault="00B626E7">
            <w:pPr>
              <w:rPr>
                <w:rFonts w:ascii="宋体"/>
              </w:rPr>
            </w:pPr>
          </w:p>
        </w:tc>
        <w:tc>
          <w:tcPr>
            <w:tcW w:w="0" w:type="auto"/>
            <w:shd w:val="clear" w:color="auto" w:fill="auto"/>
          </w:tcPr>
          <w:p w14:paraId="20AE226E" w14:textId="77777777" w:rsidR="00B626E7" w:rsidRDefault="00B626E7">
            <w:pPr>
              <w:rPr>
                <w:rFonts w:ascii="宋体"/>
              </w:rPr>
            </w:pPr>
          </w:p>
        </w:tc>
        <w:tc>
          <w:tcPr>
            <w:tcW w:w="0" w:type="auto"/>
            <w:shd w:val="clear" w:color="auto" w:fill="auto"/>
          </w:tcPr>
          <w:p w14:paraId="20AE226F" w14:textId="77777777" w:rsidR="00B626E7" w:rsidRDefault="00B626E7">
            <w:pPr>
              <w:rPr>
                <w:rFonts w:ascii="宋体"/>
              </w:rPr>
            </w:pPr>
          </w:p>
        </w:tc>
        <w:tc>
          <w:tcPr>
            <w:tcW w:w="0" w:type="auto"/>
            <w:shd w:val="clear" w:color="auto" w:fill="auto"/>
          </w:tcPr>
          <w:p w14:paraId="20AE2270" w14:textId="77777777" w:rsidR="00B626E7" w:rsidRDefault="00B626E7">
            <w:pPr>
              <w:rPr>
                <w:rFonts w:ascii="宋体"/>
              </w:rPr>
            </w:pPr>
          </w:p>
        </w:tc>
        <w:tc>
          <w:tcPr>
            <w:tcW w:w="0" w:type="auto"/>
            <w:shd w:val="clear" w:color="auto" w:fill="auto"/>
          </w:tcPr>
          <w:p w14:paraId="20AE2271" w14:textId="77777777" w:rsidR="00B626E7" w:rsidRDefault="00B626E7">
            <w:pPr>
              <w:rPr>
                <w:rFonts w:ascii="宋体"/>
              </w:rPr>
            </w:pPr>
          </w:p>
        </w:tc>
        <w:tc>
          <w:tcPr>
            <w:tcW w:w="0" w:type="auto"/>
            <w:shd w:val="clear" w:color="auto" w:fill="auto"/>
          </w:tcPr>
          <w:p w14:paraId="20AE2272" w14:textId="77777777" w:rsidR="00B626E7" w:rsidRDefault="00B626E7">
            <w:pPr>
              <w:rPr>
                <w:rFonts w:ascii="宋体"/>
              </w:rPr>
            </w:pPr>
          </w:p>
        </w:tc>
        <w:tc>
          <w:tcPr>
            <w:tcW w:w="0" w:type="auto"/>
            <w:shd w:val="clear" w:color="auto" w:fill="auto"/>
          </w:tcPr>
          <w:p w14:paraId="20AE2273" w14:textId="77777777" w:rsidR="00B626E7" w:rsidRDefault="00B626E7">
            <w:pPr>
              <w:rPr>
                <w:rFonts w:ascii="宋体"/>
              </w:rPr>
            </w:pPr>
          </w:p>
        </w:tc>
        <w:tc>
          <w:tcPr>
            <w:tcW w:w="0" w:type="auto"/>
            <w:shd w:val="clear" w:color="auto" w:fill="auto"/>
          </w:tcPr>
          <w:p w14:paraId="20AE2274" w14:textId="77777777" w:rsidR="00B626E7" w:rsidRDefault="00B626E7">
            <w:pPr>
              <w:rPr>
                <w:rFonts w:ascii="宋体"/>
              </w:rPr>
            </w:pPr>
          </w:p>
        </w:tc>
        <w:tc>
          <w:tcPr>
            <w:tcW w:w="0" w:type="auto"/>
            <w:shd w:val="clear" w:color="auto" w:fill="auto"/>
          </w:tcPr>
          <w:p w14:paraId="20AE2275" w14:textId="77777777" w:rsidR="00B626E7" w:rsidRDefault="00B626E7">
            <w:pPr>
              <w:rPr>
                <w:rFonts w:ascii="宋体"/>
              </w:rPr>
            </w:pPr>
          </w:p>
        </w:tc>
        <w:tc>
          <w:tcPr>
            <w:tcW w:w="0" w:type="auto"/>
            <w:shd w:val="clear" w:color="auto" w:fill="auto"/>
          </w:tcPr>
          <w:p w14:paraId="20AE2276" w14:textId="77777777" w:rsidR="00B626E7" w:rsidRDefault="00B626E7">
            <w:pPr>
              <w:rPr>
                <w:rFonts w:ascii="宋体"/>
              </w:rPr>
            </w:pPr>
          </w:p>
        </w:tc>
        <w:tc>
          <w:tcPr>
            <w:tcW w:w="0" w:type="auto"/>
            <w:shd w:val="clear" w:color="auto" w:fill="auto"/>
          </w:tcPr>
          <w:p w14:paraId="20AE2277" w14:textId="77777777" w:rsidR="00B626E7" w:rsidRDefault="00B626E7">
            <w:pPr>
              <w:rPr>
                <w:rFonts w:ascii="宋体"/>
              </w:rPr>
            </w:pPr>
          </w:p>
        </w:tc>
        <w:tc>
          <w:tcPr>
            <w:tcW w:w="0" w:type="auto"/>
            <w:shd w:val="clear" w:color="auto" w:fill="auto"/>
          </w:tcPr>
          <w:p w14:paraId="20AE2278" w14:textId="77777777" w:rsidR="00B626E7" w:rsidRDefault="00B626E7">
            <w:pPr>
              <w:rPr>
                <w:rFonts w:ascii="宋体"/>
              </w:rPr>
            </w:pPr>
          </w:p>
        </w:tc>
        <w:tc>
          <w:tcPr>
            <w:tcW w:w="0" w:type="auto"/>
            <w:shd w:val="clear" w:color="auto" w:fill="auto"/>
          </w:tcPr>
          <w:p w14:paraId="20AE2279" w14:textId="77777777" w:rsidR="00B626E7" w:rsidRDefault="00B626E7">
            <w:pPr>
              <w:rPr>
                <w:rFonts w:ascii="宋体"/>
              </w:rPr>
            </w:pPr>
          </w:p>
        </w:tc>
        <w:tc>
          <w:tcPr>
            <w:tcW w:w="0" w:type="auto"/>
            <w:shd w:val="clear" w:color="auto" w:fill="auto"/>
          </w:tcPr>
          <w:p w14:paraId="20AE227A" w14:textId="77777777" w:rsidR="00B626E7" w:rsidRDefault="00B626E7">
            <w:pPr>
              <w:rPr>
                <w:rFonts w:ascii="宋体"/>
              </w:rPr>
            </w:pPr>
          </w:p>
        </w:tc>
        <w:tc>
          <w:tcPr>
            <w:tcW w:w="0" w:type="auto"/>
            <w:shd w:val="clear" w:color="auto" w:fill="auto"/>
          </w:tcPr>
          <w:p w14:paraId="20AE227B" w14:textId="77777777" w:rsidR="00B626E7" w:rsidRDefault="00B626E7">
            <w:pPr>
              <w:rPr>
                <w:rFonts w:ascii="宋体"/>
              </w:rPr>
            </w:pPr>
          </w:p>
        </w:tc>
        <w:tc>
          <w:tcPr>
            <w:tcW w:w="0" w:type="auto"/>
            <w:shd w:val="clear" w:color="auto" w:fill="auto"/>
          </w:tcPr>
          <w:p w14:paraId="20AE227C" w14:textId="77777777" w:rsidR="00B626E7" w:rsidRDefault="00B626E7">
            <w:pPr>
              <w:rPr>
                <w:rFonts w:ascii="宋体"/>
              </w:rPr>
            </w:pPr>
          </w:p>
        </w:tc>
        <w:tc>
          <w:tcPr>
            <w:tcW w:w="0" w:type="auto"/>
            <w:shd w:val="clear" w:color="auto" w:fill="auto"/>
          </w:tcPr>
          <w:p w14:paraId="20AE227D" w14:textId="77777777" w:rsidR="00B626E7" w:rsidRDefault="00B626E7">
            <w:pPr>
              <w:rPr>
                <w:rFonts w:ascii="宋体"/>
              </w:rPr>
            </w:pPr>
          </w:p>
        </w:tc>
        <w:tc>
          <w:tcPr>
            <w:tcW w:w="0" w:type="auto"/>
            <w:shd w:val="clear" w:color="auto" w:fill="auto"/>
          </w:tcPr>
          <w:p w14:paraId="20AE227E" w14:textId="77777777" w:rsidR="00B626E7" w:rsidRDefault="00B626E7">
            <w:pPr>
              <w:rPr>
                <w:rFonts w:ascii="宋体"/>
              </w:rPr>
            </w:pPr>
          </w:p>
        </w:tc>
        <w:tc>
          <w:tcPr>
            <w:tcW w:w="0" w:type="auto"/>
            <w:shd w:val="clear" w:color="auto" w:fill="auto"/>
          </w:tcPr>
          <w:p w14:paraId="20AE227F" w14:textId="77777777" w:rsidR="00B626E7" w:rsidRDefault="00B626E7">
            <w:pPr>
              <w:rPr>
                <w:rFonts w:ascii="宋体"/>
              </w:rPr>
            </w:pPr>
          </w:p>
        </w:tc>
      </w:tr>
      <w:tr w:rsidR="00B626E7" w14:paraId="20AE22B2" w14:textId="77777777">
        <w:tc>
          <w:tcPr>
            <w:tcW w:w="0" w:type="auto"/>
            <w:gridSpan w:val="3"/>
            <w:shd w:val="clear" w:color="auto" w:fill="auto"/>
            <w:tcMar>
              <w:top w:w="40" w:type="dxa"/>
              <w:left w:w="20" w:type="dxa"/>
              <w:bottom w:w="40" w:type="dxa"/>
              <w:right w:w="20" w:type="dxa"/>
            </w:tcMar>
            <w:vAlign w:val="bottom"/>
          </w:tcPr>
          <w:p w14:paraId="20AE2281" w14:textId="77777777" w:rsidR="00B626E7" w:rsidRDefault="00175C1D">
            <w:pPr>
              <w:ind w:hanging="180"/>
              <w:textAlignment w:val="bottom"/>
            </w:pPr>
            <w:r>
              <w:rPr>
                <w:rFonts w:ascii="Arial" w:eastAsia="宋体" w:hAnsi="Arial" w:cs="Arial"/>
                <w:b/>
                <w:bCs/>
                <w:color w:val="333333"/>
                <w:sz w:val="18"/>
                <w:szCs w:val="18"/>
              </w:rPr>
              <w:t>Total liabilities</w:t>
            </w:r>
          </w:p>
        </w:tc>
        <w:tc>
          <w:tcPr>
            <w:tcW w:w="0" w:type="auto"/>
            <w:gridSpan w:val="3"/>
            <w:shd w:val="clear" w:color="auto" w:fill="auto"/>
            <w:tcMar>
              <w:left w:w="20" w:type="dxa"/>
              <w:right w:w="20" w:type="dxa"/>
            </w:tcMar>
            <w:vAlign w:val="bottom"/>
          </w:tcPr>
          <w:p w14:paraId="20AE2282"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2283"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2284" w14:textId="77777777" w:rsidR="00B626E7" w:rsidRDefault="00175C1D">
            <w:pPr>
              <w:jc w:val="right"/>
              <w:textAlignment w:val="bottom"/>
            </w:pPr>
            <w:r>
              <w:rPr>
                <w:rFonts w:ascii="Arial" w:eastAsia="宋体" w:hAnsi="Arial" w:cs="Arial"/>
                <w:b/>
                <w:bCs/>
                <w:color w:val="333333"/>
                <w:sz w:val="18"/>
                <w:szCs w:val="18"/>
              </w:rPr>
              <w:t>262 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2285"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2286"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2287"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2288" w14:textId="77777777" w:rsidR="00B626E7" w:rsidRDefault="00175C1D">
            <w:pPr>
              <w:jc w:val="right"/>
              <w:textAlignment w:val="bottom"/>
            </w:pPr>
            <w:r>
              <w:rPr>
                <w:rFonts w:ascii="Arial" w:eastAsia="宋体" w:hAnsi="Arial" w:cs="Arial"/>
                <w:b/>
                <w:bCs/>
                <w:color w:val="333333"/>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2289"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228A"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228B"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228C" w14:textId="77777777" w:rsidR="00B626E7" w:rsidRDefault="00175C1D">
            <w:pPr>
              <w:jc w:val="right"/>
              <w:textAlignment w:val="bottom"/>
            </w:pPr>
            <w:r>
              <w:rPr>
                <w:rFonts w:ascii="Arial" w:eastAsia="宋体" w:hAnsi="Arial" w:cs="Arial"/>
                <w:b/>
                <w:bCs/>
                <w:color w:val="333333"/>
                <w:sz w:val="18"/>
                <w:szCs w:val="18"/>
              </w:rPr>
              <w:t>262 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228D"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228E"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228F"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2290" w14:textId="77777777" w:rsidR="00B626E7" w:rsidRDefault="00175C1D">
            <w:pPr>
              <w:jc w:val="right"/>
              <w:textAlignment w:val="bottom"/>
            </w:pPr>
            <w:r>
              <w:rPr>
                <w:rFonts w:ascii="Arial" w:eastAsia="宋体" w:hAnsi="Arial" w:cs="Arial"/>
                <w:b/>
                <w:bCs/>
                <w:color w:val="333333"/>
                <w:sz w:val="18"/>
                <w:szCs w:val="18"/>
              </w:rPr>
              <w:t>(144)</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2291"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2292"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2293"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2294" w14:textId="77777777" w:rsidR="00B626E7" w:rsidRDefault="00175C1D">
            <w:pPr>
              <w:jc w:val="right"/>
              <w:textAlignment w:val="bottom"/>
            </w:pPr>
            <w:r>
              <w:rPr>
                <w:rFonts w:ascii="Arial" w:eastAsia="宋体" w:hAnsi="Arial" w:cs="Arial"/>
                <w:b/>
                <w:bCs/>
                <w:color w:val="333333"/>
                <w:sz w:val="18"/>
                <w:szCs w:val="18"/>
              </w:rPr>
              <w:t>(72)</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2295"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2296"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2297"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2298" w14:textId="77777777" w:rsidR="00B626E7" w:rsidRDefault="00175C1D">
            <w:pPr>
              <w:jc w:val="right"/>
              <w:textAlignment w:val="bottom"/>
            </w:pPr>
            <w:r>
              <w:rPr>
                <w:rFonts w:ascii="Arial" w:eastAsia="宋体" w:hAnsi="Arial" w:cs="Arial"/>
                <w:b/>
                <w:bCs/>
                <w:color w:val="333333"/>
                <w:sz w:val="18"/>
                <w:szCs w:val="18"/>
              </w:rPr>
              <w:t>46 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2299"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E229A" w14:textId="77777777" w:rsidR="00B626E7" w:rsidRDefault="00B626E7">
            <w:pPr>
              <w:rPr>
                <w:rFonts w:ascii="宋体"/>
              </w:rPr>
            </w:pPr>
          </w:p>
        </w:tc>
        <w:tc>
          <w:tcPr>
            <w:tcW w:w="0" w:type="auto"/>
            <w:shd w:val="clear" w:color="auto" w:fill="auto"/>
          </w:tcPr>
          <w:p w14:paraId="20AE229B" w14:textId="77777777" w:rsidR="00B626E7" w:rsidRDefault="00B626E7">
            <w:pPr>
              <w:rPr>
                <w:rFonts w:ascii="宋体"/>
              </w:rPr>
            </w:pPr>
          </w:p>
        </w:tc>
        <w:tc>
          <w:tcPr>
            <w:tcW w:w="0" w:type="auto"/>
            <w:shd w:val="clear" w:color="auto" w:fill="auto"/>
          </w:tcPr>
          <w:p w14:paraId="20AE229C" w14:textId="77777777" w:rsidR="00B626E7" w:rsidRDefault="00B626E7">
            <w:pPr>
              <w:rPr>
                <w:rFonts w:ascii="宋体"/>
              </w:rPr>
            </w:pPr>
          </w:p>
        </w:tc>
        <w:tc>
          <w:tcPr>
            <w:tcW w:w="0" w:type="auto"/>
            <w:shd w:val="clear" w:color="auto" w:fill="auto"/>
          </w:tcPr>
          <w:p w14:paraId="20AE229D" w14:textId="77777777" w:rsidR="00B626E7" w:rsidRDefault="00B626E7">
            <w:pPr>
              <w:rPr>
                <w:rFonts w:ascii="宋体"/>
              </w:rPr>
            </w:pPr>
          </w:p>
        </w:tc>
        <w:tc>
          <w:tcPr>
            <w:tcW w:w="0" w:type="auto"/>
            <w:shd w:val="clear" w:color="auto" w:fill="auto"/>
          </w:tcPr>
          <w:p w14:paraId="20AE229E" w14:textId="77777777" w:rsidR="00B626E7" w:rsidRDefault="00B626E7">
            <w:pPr>
              <w:rPr>
                <w:rFonts w:ascii="宋体"/>
              </w:rPr>
            </w:pPr>
          </w:p>
        </w:tc>
        <w:tc>
          <w:tcPr>
            <w:tcW w:w="0" w:type="auto"/>
            <w:shd w:val="clear" w:color="auto" w:fill="auto"/>
          </w:tcPr>
          <w:p w14:paraId="20AE229F" w14:textId="77777777" w:rsidR="00B626E7" w:rsidRDefault="00B626E7">
            <w:pPr>
              <w:rPr>
                <w:rFonts w:ascii="宋体"/>
              </w:rPr>
            </w:pPr>
          </w:p>
        </w:tc>
        <w:tc>
          <w:tcPr>
            <w:tcW w:w="0" w:type="auto"/>
            <w:shd w:val="clear" w:color="auto" w:fill="auto"/>
          </w:tcPr>
          <w:p w14:paraId="20AE22A0" w14:textId="77777777" w:rsidR="00B626E7" w:rsidRDefault="00B626E7">
            <w:pPr>
              <w:rPr>
                <w:rFonts w:ascii="宋体"/>
              </w:rPr>
            </w:pPr>
          </w:p>
        </w:tc>
        <w:tc>
          <w:tcPr>
            <w:tcW w:w="0" w:type="auto"/>
            <w:shd w:val="clear" w:color="auto" w:fill="auto"/>
          </w:tcPr>
          <w:p w14:paraId="20AE22A1" w14:textId="77777777" w:rsidR="00B626E7" w:rsidRDefault="00B626E7">
            <w:pPr>
              <w:rPr>
                <w:rFonts w:ascii="宋体"/>
              </w:rPr>
            </w:pPr>
          </w:p>
        </w:tc>
        <w:tc>
          <w:tcPr>
            <w:tcW w:w="0" w:type="auto"/>
            <w:shd w:val="clear" w:color="auto" w:fill="auto"/>
          </w:tcPr>
          <w:p w14:paraId="20AE22A2" w14:textId="77777777" w:rsidR="00B626E7" w:rsidRDefault="00B626E7">
            <w:pPr>
              <w:rPr>
                <w:rFonts w:ascii="宋体"/>
              </w:rPr>
            </w:pPr>
          </w:p>
        </w:tc>
        <w:tc>
          <w:tcPr>
            <w:tcW w:w="0" w:type="auto"/>
            <w:shd w:val="clear" w:color="auto" w:fill="auto"/>
          </w:tcPr>
          <w:p w14:paraId="20AE22A3" w14:textId="77777777" w:rsidR="00B626E7" w:rsidRDefault="00B626E7">
            <w:pPr>
              <w:rPr>
                <w:rFonts w:ascii="宋体"/>
              </w:rPr>
            </w:pPr>
          </w:p>
        </w:tc>
        <w:tc>
          <w:tcPr>
            <w:tcW w:w="0" w:type="auto"/>
            <w:shd w:val="clear" w:color="auto" w:fill="auto"/>
          </w:tcPr>
          <w:p w14:paraId="20AE22A4" w14:textId="77777777" w:rsidR="00B626E7" w:rsidRDefault="00B626E7">
            <w:pPr>
              <w:rPr>
                <w:rFonts w:ascii="宋体"/>
              </w:rPr>
            </w:pPr>
          </w:p>
        </w:tc>
        <w:tc>
          <w:tcPr>
            <w:tcW w:w="0" w:type="auto"/>
            <w:shd w:val="clear" w:color="auto" w:fill="auto"/>
          </w:tcPr>
          <w:p w14:paraId="20AE22A5" w14:textId="77777777" w:rsidR="00B626E7" w:rsidRDefault="00B626E7">
            <w:pPr>
              <w:rPr>
                <w:rFonts w:ascii="宋体"/>
              </w:rPr>
            </w:pPr>
          </w:p>
        </w:tc>
        <w:tc>
          <w:tcPr>
            <w:tcW w:w="0" w:type="auto"/>
            <w:shd w:val="clear" w:color="auto" w:fill="auto"/>
          </w:tcPr>
          <w:p w14:paraId="20AE22A6" w14:textId="77777777" w:rsidR="00B626E7" w:rsidRDefault="00B626E7">
            <w:pPr>
              <w:rPr>
                <w:rFonts w:ascii="宋体"/>
              </w:rPr>
            </w:pPr>
          </w:p>
        </w:tc>
        <w:tc>
          <w:tcPr>
            <w:tcW w:w="0" w:type="auto"/>
            <w:shd w:val="clear" w:color="auto" w:fill="auto"/>
          </w:tcPr>
          <w:p w14:paraId="20AE22A7" w14:textId="77777777" w:rsidR="00B626E7" w:rsidRDefault="00B626E7">
            <w:pPr>
              <w:rPr>
                <w:rFonts w:ascii="宋体"/>
              </w:rPr>
            </w:pPr>
          </w:p>
        </w:tc>
        <w:tc>
          <w:tcPr>
            <w:tcW w:w="0" w:type="auto"/>
            <w:shd w:val="clear" w:color="auto" w:fill="auto"/>
          </w:tcPr>
          <w:p w14:paraId="20AE22A8" w14:textId="77777777" w:rsidR="00B626E7" w:rsidRDefault="00B626E7">
            <w:pPr>
              <w:rPr>
                <w:rFonts w:ascii="宋体"/>
              </w:rPr>
            </w:pPr>
          </w:p>
        </w:tc>
        <w:tc>
          <w:tcPr>
            <w:tcW w:w="0" w:type="auto"/>
            <w:shd w:val="clear" w:color="auto" w:fill="auto"/>
          </w:tcPr>
          <w:p w14:paraId="20AE22A9" w14:textId="77777777" w:rsidR="00B626E7" w:rsidRDefault="00B626E7">
            <w:pPr>
              <w:rPr>
                <w:rFonts w:ascii="宋体"/>
              </w:rPr>
            </w:pPr>
          </w:p>
        </w:tc>
        <w:tc>
          <w:tcPr>
            <w:tcW w:w="0" w:type="auto"/>
            <w:shd w:val="clear" w:color="auto" w:fill="auto"/>
          </w:tcPr>
          <w:p w14:paraId="20AE22AA" w14:textId="77777777" w:rsidR="00B626E7" w:rsidRDefault="00B626E7">
            <w:pPr>
              <w:rPr>
                <w:rFonts w:ascii="宋体"/>
              </w:rPr>
            </w:pPr>
          </w:p>
        </w:tc>
        <w:tc>
          <w:tcPr>
            <w:tcW w:w="0" w:type="auto"/>
            <w:shd w:val="clear" w:color="auto" w:fill="auto"/>
          </w:tcPr>
          <w:p w14:paraId="20AE22AB" w14:textId="77777777" w:rsidR="00B626E7" w:rsidRDefault="00B626E7">
            <w:pPr>
              <w:rPr>
                <w:rFonts w:ascii="宋体"/>
              </w:rPr>
            </w:pPr>
          </w:p>
        </w:tc>
        <w:tc>
          <w:tcPr>
            <w:tcW w:w="0" w:type="auto"/>
            <w:shd w:val="clear" w:color="auto" w:fill="auto"/>
          </w:tcPr>
          <w:p w14:paraId="20AE22AC" w14:textId="77777777" w:rsidR="00B626E7" w:rsidRDefault="00B626E7">
            <w:pPr>
              <w:rPr>
                <w:rFonts w:ascii="宋体"/>
              </w:rPr>
            </w:pPr>
          </w:p>
        </w:tc>
        <w:tc>
          <w:tcPr>
            <w:tcW w:w="0" w:type="auto"/>
            <w:shd w:val="clear" w:color="auto" w:fill="auto"/>
          </w:tcPr>
          <w:p w14:paraId="20AE22AD" w14:textId="77777777" w:rsidR="00B626E7" w:rsidRDefault="00B626E7">
            <w:pPr>
              <w:rPr>
                <w:rFonts w:ascii="宋体"/>
              </w:rPr>
            </w:pPr>
          </w:p>
        </w:tc>
        <w:tc>
          <w:tcPr>
            <w:tcW w:w="0" w:type="auto"/>
            <w:shd w:val="clear" w:color="auto" w:fill="auto"/>
          </w:tcPr>
          <w:p w14:paraId="20AE22AE" w14:textId="77777777" w:rsidR="00B626E7" w:rsidRDefault="00B626E7">
            <w:pPr>
              <w:rPr>
                <w:rFonts w:ascii="宋体"/>
              </w:rPr>
            </w:pPr>
          </w:p>
        </w:tc>
        <w:tc>
          <w:tcPr>
            <w:tcW w:w="0" w:type="auto"/>
            <w:shd w:val="clear" w:color="auto" w:fill="auto"/>
          </w:tcPr>
          <w:p w14:paraId="20AE22AF" w14:textId="77777777" w:rsidR="00B626E7" w:rsidRDefault="00B626E7">
            <w:pPr>
              <w:rPr>
                <w:rFonts w:ascii="宋体"/>
              </w:rPr>
            </w:pPr>
          </w:p>
        </w:tc>
        <w:tc>
          <w:tcPr>
            <w:tcW w:w="0" w:type="auto"/>
            <w:shd w:val="clear" w:color="auto" w:fill="auto"/>
          </w:tcPr>
          <w:p w14:paraId="20AE22B0" w14:textId="77777777" w:rsidR="00B626E7" w:rsidRDefault="00B626E7">
            <w:pPr>
              <w:rPr>
                <w:rFonts w:ascii="宋体"/>
              </w:rPr>
            </w:pPr>
          </w:p>
        </w:tc>
        <w:tc>
          <w:tcPr>
            <w:tcW w:w="0" w:type="auto"/>
            <w:shd w:val="clear" w:color="auto" w:fill="auto"/>
          </w:tcPr>
          <w:p w14:paraId="20AE22B1" w14:textId="77777777" w:rsidR="00B626E7" w:rsidRDefault="00B626E7">
            <w:pPr>
              <w:rPr>
                <w:rFonts w:ascii="宋体"/>
              </w:rPr>
            </w:pPr>
          </w:p>
        </w:tc>
      </w:tr>
    </w:tbl>
    <w:p w14:paraId="20AE22B3" w14:textId="77777777" w:rsidR="00B626E7" w:rsidRDefault="00175C1D">
      <w:pPr>
        <w:spacing w:before="180" w:after="180"/>
      </w:pPr>
      <w:r>
        <w:rPr>
          <w:rFonts w:ascii="Arial" w:eastAsia="宋体" w:hAnsi="Arial" w:cs="Arial"/>
          <w:color w:val="333333"/>
          <w:sz w:val="18"/>
          <w:szCs w:val="18"/>
        </w:rPr>
        <w:t>We obtain and secure available collateral from counterparties against obligations, including securities lending transaction</w:t>
      </w:r>
      <w:r>
        <w:rPr>
          <w:rFonts w:ascii="Arial" w:eastAsia="宋体" w:hAnsi="Arial" w:cs="Arial"/>
          <w:color w:val="333333"/>
          <w:sz w:val="18"/>
          <w:szCs w:val="18"/>
        </w:rPr>
        <w:t>s and reverse repurchase agreements, when we deem it appropriate.</w:t>
      </w:r>
    </w:p>
    <w:p w14:paraId="20AE22B4" w14:textId="77777777" w:rsidR="00B626E7" w:rsidRDefault="00175C1D">
      <w:pPr>
        <w:spacing w:after="180"/>
      </w:pPr>
      <w:r>
        <w:rPr>
          <w:rFonts w:ascii="Arial" w:eastAsia="宋体" w:hAnsi="Arial" w:cs="Arial"/>
          <w:b/>
          <w:bCs/>
          <w:color w:val="0071C5"/>
        </w:rPr>
        <w:t>DERIVATIVES IN CASH FLOW HEDGING RELATIONSHIPS</w:t>
      </w:r>
    </w:p>
    <w:p w14:paraId="20AE22B5" w14:textId="77777777" w:rsidR="00B626E7" w:rsidRDefault="00175C1D">
      <w:pPr>
        <w:spacing w:after="180"/>
      </w:pPr>
      <w:r>
        <w:rPr>
          <w:rFonts w:ascii="Arial" w:eastAsia="宋体" w:hAnsi="Arial" w:cs="Arial"/>
          <w:color w:val="333333"/>
          <w:sz w:val="18"/>
          <w:szCs w:val="18"/>
        </w:rPr>
        <w:t xml:space="preserve">The before-tax net gains or losses attributed to cash flow hedges, recognized in other comprehensive income (loss), were $392 million net </w:t>
      </w:r>
      <w:r>
        <w:rPr>
          <w:rFonts w:ascii="Arial" w:eastAsia="宋体" w:hAnsi="Arial" w:cs="Arial"/>
          <w:color w:val="000000"/>
          <w:sz w:val="18"/>
          <w:szCs w:val="18"/>
        </w:rPr>
        <w:t>gains</w:t>
      </w:r>
      <w:r>
        <w:rPr>
          <w:rFonts w:ascii="Arial" w:eastAsia="宋体" w:hAnsi="Arial" w:cs="Arial"/>
          <w:color w:val="333333"/>
          <w:sz w:val="18"/>
          <w:szCs w:val="18"/>
        </w:rPr>
        <w:t xml:space="preserve"> in the second quarter of 2020 and $19 million net gains in the first six months of 2020 ($122 million net gains in the second quarter of 2019 and $151 million net </w:t>
      </w:r>
      <w:r>
        <w:rPr>
          <w:rFonts w:ascii="Arial" w:eastAsia="宋体" w:hAnsi="Arial" w:cs="Arial"/>
          <w:color w:val="000000"/>
          <w:sz w:val="18"/>
          <w:szCs w:val="18"/>
        </w:rPr>
        <w:t>gains</w:t>
      </w:r>
      <w:r>
        <w:rPr>
          <w:rFonts w:ascii="Arial" w:eastAsia="宋体" w:hAnsi="Arial" w:cs="Arial"/>
          <w:color w:val="333333"/>
          <w:sz w:val="18"/>
          <w:szCs w:val="18"/>
        </w:rPr>
        <w:t xml:space="preserve"> in the first six months of 2019). Substantially all of our cash flow hedges were forei</w:t>
      </w:r>
      <w:r>
        <w:rPr>
          <w:rFonts w:ascii="Arial" w:eastAsia="宋体" w:hAnsi="Arial" w:cs="Arial"/>
          <w:color w:val="333333"/>
          <w:sz w:val="18"/>
          <w:szCs w:val="18"/>
        </w:rPr>
        <w:t>gn currency contracts for all periods presented.</w:t>
      </w:r>
    </w:p>
    <w:p w14:paraId="20AE22B6" w14:textId="77777777" w:rsidR="00B626E7" w:rsidRDefault="00175C1D">
      <w:pPr>
        <w:spacing w:after="180"/>
      </w:pPr>
      <w:r>
        <w:rPr>
          <w:rFonts w:ascii="Arial" w:eastAsia="宋体" w:hAnsi="Arial" w:cs="Arial"/>
          <w:color w:val="333333"/>
          <w:sz w:val="18"/>
          <w:szCs w:val="18"/>
        </w:rPr>
        <w:t xml:space="preserve">During the first six months of 2020 and 2019, the amounts excluded from effectiveness testing were insignificant. </w:t>
      </w:r>
    </w:p>
    <w:p w14:paraId="20AE22B7" w14:textId="77777777" w:rsidR="00B626E7" w:rsidRDefault="00B626E7">
      <w:pPr>
        <w:spacing w:after="180"/>
      </w:pPr>
    </w:p>
    <w:p w14:paraId="20AE22B8" w14:textId="77777777" w:rsidR="00B626E7" w:rsidRDefault="00B626E7">
      <w:pPr>
        <w:spacing w:after="180"/>
      </w:pPr>
    </w:p>
    <w:p w14:paraId="20AE22B9" w14:textId="77777777" w:rsidR="00B626E7" w:rsidRDefault="00B626E7">
      <w:pPr>
        <w:spacing w:after="180"/>
      </w:pPr>
    </w:p>
    <w:p w14:paraId="20AE22BA" w14:textId="77777777" w:rsidR="00B626E7" w:rsidRDefault="00B626E7">
      <w:pPr>
        <w:spacing w:after="180"/>
      </w:pPr>
    </w:p>
    <w:p w14:paraId="20AE22BB" w14:textId="77777777" w:rsidR="00B626E7" w:rsidRDefault="00B626E7">
      <w:pPr>
        <w:spacing w:after="180"/>
      </w:pPr>
    </w:p>
    <w:p w14:paraId="20AE22BC" w14:textId="77777777" w:rsidR="00B626E7" w:rsidRDefault="00B626E7">
      <w:pPr>
        <w:spacing w:after="180"/>
      </w:pPr>
    </w:p>
    <w:p w14:paraId="20AE22BD" w14:textId="77777777" w:rsidR="00B626E7" w:rsidRDefault="00B626E7">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4"/>
        <w:gridCol w:w="2423"/>
        <w:gridCol w:w="84"/>
        <w:gridCol w:w="83"/>
        <w:gridCol w:w="3471"/>
        <w:gridCol w:w="83"/>
        <w:gridCol w:w="83"/>
        <w:gridCol w:w="1942"/>
        <w:gridCol w:w="83"/>
      </w:tblGrid>
      <w:tr w:rsidR="00B626E7" w14:paraId="20AE22C7" w14:textId="77777777">
        <w:tc>
          <w:tcPr>
            <w:tcW w:w="50" w:type="pct"/>
            <w:shd w:val="clear" w:color="auto" w:fill="auto"/>
            <w:vAlign w:val="bottom"/>
          </w:tcPr>
          <w:p w14:paraId="20AE22BE" w14:textId="77777777" w:rsidR="00B626E7" w:rsidRDefault="00B626E7">
            <w:pPr>
              <w:rPr>
                <w:rFonts w:ascii="宋体"/>
              </w:rPr>
            </w:pPr>
          </w:p>
        </w:tc>
        <w:tc>
          <w:tcPr>
            <w:tcW w:w="1452" w:type="pct"/>
            <w:shd w:val="clear" w:color="auto" w:fill="auto"/>
            <w:vAlign w:val="bottom"/>
          </w:tcPr>
          <w:p w14:paraId="20AE22BF" w14:textId="77777777" w:rsidR="00B626E7" w:rsidRDefault="00B626E7">
            <w:pPr>
              <w:rPr>
                <w:rFonts w:ascii="宋体"/>
              </w:rPr>
            </w:pPr>
          </w:p>
        </w:tc>
        <w:tc>
          <w:tcPr>
            <w:tcW w:w="50" w:type="pct"/>
            <w:shd w:val="clear" w:color="auto" w:fill="auto"/>
            <w:vAlign w:val="bottom"/>
          </w:tcPr>
          <w:p w14:paraId="20AE22C0" w14:textId="77777777" w:rsidR="00B626E7" w:rsidRDefault="00B626E7">
            <w:pPr>
              <w:rPr>
                <w:rFonts w:ascii="宋体"/>
              </w:rPr>
            </w:pPr>
          </w:p>
        </w:tc>
        <w:tc>
          <w:tcPr>
            <w:tcW w:w="50" w:type="pct"/>
            <w:shd w:val="clear" w:color="auto" w:fill="auto"/>
            <w:vAlign w:val="bottom"/>
          </w:tcPr>
          <w:p w14:paraId="20AE22C1" w14:textId="77777777" w:rsidR="00B626E7" w:rsidRDefault="00B626E7">
            <w:pPr>
              <w:rPr>
                <w:rFonts w:ascii="宋体"/>
              </w:rPr>
            </w:pPr>
          </w:p>
        </w:tc>
        <w:tc>
          <w:tcPr>
            <w:tcW w:w="2081" w:type="pct"/>
            <w:shd w:val="clear" w:color="auto" w:fill="auto"/>
            <w:vAlign w:val="bottom"/>
          </w:tcPr>
          <w:p w14:paraId="20AE22C2" w14:textId="77777777" w:rsidR="00B626E7" w:rsidRDefault="00B626E7">
            <w:pPr>
              <w:rPr>
                <w:rFonts w:ascii="宋体"/>
              </w:rPr>
            </w:pPr>
          </w:p>
        </w:tc>
        <w:tc>
          <w:tcPr>
            <w:tcW w:w="50" w:type="pct"/>
            <w:shd w:val="clear" w:color="auto" w:fill="auto"/>
            <w:vAlign w:val="bottom"/>
          </w:tcPr>
          <w:p w14:paraId="20AE22C3" w14:textId="77777777" w:rsidR="00B626E7" w:rsidRDefault="00B626E7">
            <w:pPr>
              <w:rPr>
                <w:rFonts w:ascii="宋体"/>
              </w:rPr>
            </w:pPr>
          </w:p>
        </w:tc>
        <w:tc>
          <w:tcPr>
            <w:tcW w:w="50" w:type="pct"/>
            <w:shd w:val="clear" w:color="auto" w:fill="auto"/>
            <w:vAlign w:val="bottom"/>
          </w:tcPr>
          <w:p w14:paraId="20AE22C4" w14:textId="77777777" w:rsidR="00B626E7" w:rsidRDefault="00B626E7">
            <w:pPr>
              <w:rPr>
                <w:rFonts w:ascii="宋体"/>
              </w:rPr>
            </w:pPr>
          </w:p>
        </w:tc>
        <w:tc>
          <w:tcPr>
            <w:tcW w:w="1165" w:type="pct"/>
            <w:shd w:val="clear" w:color="auto" w:fill="auto"/>
            <w:vAlign w:val="bottom"/>
          </w:tcPr>
          <w:p w14:paraId="20AE22C5" w14:textId="77777777" w:rsidR="00B626E7" w:rsidRDefault="00B626E7">
            <w:pPr>
              <w:rPr>
                <w:rFonts w:ascii="宋体"/>
              </w:rPr>
            </w:pPr>
          </w:p>
        </w:tc>
        <w:tc>
          <w:tcPr>
            <w:tcW w:w="50" w:type="pct"/>
            <w:shd w:val="clear" w:color="auto" w:fill="auto"/>
            <w:vAlign w:val="bottom"/>
          </w:tcPr>
          <w:p w14:paraId="20AE22C6" w14:textId="77777777" w:rsidR="00B626E7" w:rsidRDefault="00B626E7">
            <w:pPr>
              <w:rPr>
                <w:rFonts w:ascii="宋体"/>
              </w:rPr>
            </w:pPr>
          </w:p>
        </w:tc>
      </w:tr>
      <w:tr w:rsidR="00B626E7" w14:paraId="20AE22CB" w14:textId="77777777">
        <w:tc>
          <w:tcPr>
            <w:tcW w:w="0" w:type="auto"/>
            <w:gridSpan w:val="3"/>
            <w:tcBorders>
              <w:top w:val="single" w:sz="8" w:space="0" w:color="0071C5"/>
            </w:tcBorders>
            <w:shd w:val="clear" w:color="auto" w:fill="auto"/>
            <w:tcMar>
              <w:top w:w="40" w:type="dxa"/>
              <w:left w:w="20" w:type="dxa"/>
              <w:bottom w:w="40" w:type="dxa"/>
              <w:right w:w="20" w:type="dxa"/>
            </w:tcMar>
            <w:vAlign w:val="center"/>
          </w:tcPr>
          <w:p w14:paraId="20AE22C8" w14:textId="77777777" w:rsidR="00B626E7" w:rsidRDefault="00175C1D">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Viewer10_files/intc-20200627_g15.jpg"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59" wp14:editId="20AE3C5A">
                  <wp:extent cx="304800" cy="304800"/>
                  <wp:effectExtent l="0" t="0" r="0" b="0"/>
                  <wp:docPr id="52" name="图片 83"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83" descr="IMG_28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Arial" w:eastAsia="宋体" w:hAnsi="Arial" w:cs="Arial"/>
                <w:color w:val="333333"/>
                <w:sz w:val="16"/>
                <w:szCs w:val="16"/>
              </w:rPr>
              <w:t>FINANCIAL STATEMENTS</w:t>
            </w:r>
          </w:p>
        </w:tc>
        <w:tc>
          <w:tcPr>
            <w:tcW w:w="0" w:type="auto"/>
            <w:gridSpan w:val="3"/>
            <w:tcBorders>
              <w:top w:val="single" w:sz="8" w:space="0" w:color="0071C5"/>
              <w:left w:val="single" w:sz="24" w:space="0" w:color="0071C5"/>
            </w:tcBorders>
            <w:shd w:val="clear" w:color="auto" w:fill="auto"/>
            <w:tcMar>
              <w:top w:w="40" w:type="dxa"/>
              <w:left w:w="20" w:type="dxa"/>
              <w:bottom w:w="40" w:type="dxa"/>
              <w:right w:w="20" w:type="dxa"/>
            </w:tcMar>
            <w:vAlign w:val="bottom"/>
          </w:tcPr>
          <w:p w14:paraId="20AE22C9" w14:textId="77777777" w:rsidR="00B626E7" w:rsidRDefault="00175C1D">
            <w:pPr>
              <w:textAlignment w:val="bottom"/>
            </w:pPr>
            <w:r>
              <w:rPr>
                <w:rFonts w:ascii="Arial" w:eastAsia="宋体" w:hAnsi="Arial" w:cs="Arial"/>
                <w:color w:val="333333"/>
                <w:sz w:val="16"/>
                <w:szCs w:val="16"/>
              </w:rPr>
              <w:t>  Notes to Financial Statements</w:t>
            </w: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22CA" w14:textId="77777777" w:rsidR="00B626E7" w:rsidRDefault="00175C1D">
            <w:pPr>
              <w:jc w:val="right"/>
              <w:textAlignment w:val="bottom"/>
            </w:pPr>
            <w:r>
              <w:rPr>
                <w:rFonts w:ascii="Arial" w:eastAsia="宋体" w:hAnsi="Arial" w:cs="Arial"/>
                <w:color w:val="333333"/>
                <w:sz w:val="16"/>
                <w:szCs w:val="16"/>
              </w:rPr>
              <w:t>22</w:t>
            </w:r>
          </w:p>
        </w:tc>
      </w:tr>
    </w:tbl>
    <w:p w14:paraId="20AE22CC" w14:textId="77777777" w:rsidR="00B626E7" w:rsidRDefault="00175C1D">
      <w:r>
        <w:pict w14:anchorId="20AE3C5B">
          <v:rect id="_x0000_i1048" style="width:415.3pt;height:1.5pt" o:hralign="center" o:hrstd="t" o:hr="t" fillcolor="#a0a0a0" stroked="f"/>
        </w:pict>
      </w:r>
    </w:p>
    <w:p w14:paraId="20AE22CD" w14:textId="77777777" w:rsidR="00B626E7" w:rsidRDefault="00175C1D">
      <w:pPr>
        <w:spacing w:after="180"/>
        <w:jc w:val="right"/>
      </w:pPr>
      <w:hyperlink r:id="rId49" w:anchor="ib035cc8759904e51927d703ec8414366_7" w:history="1">
        <w:r>
          <w:rPr>
            <w:rStyle w:val="a5"/>
            <w:rFonts w:ascii="Arial" w:eastAsia="宋体" w:hAnsi="Arial" w:cs="Arial"/>
            <w:b/>
            <w:bCs/>
            <w:sz w:val="16"/>
            <w:szCs w:val="16"/>
          </w:rPr>
          <w:t>Table of Contents</w:t>
        </w:r>
      </w:hyperlink>
    </w:p>
    <w:p w14:paraId="20AE22CE" w14:textId="77777777" w:rsidR="00B626E7" w:rsidRDefault="00B626E7">
      <w:pPr>
        <w:spacing w:after="180"/>
        <w:jc w:val="right"/>
      </w:pPr>
    </w:p>
    <w:p w14:paraId="20AE22CF" w14:textId="77777777" w:rsidR="00B626E7" w:rsidRDefault="00175C1D">
      <w:pPr>
        <w:spacing w:after="180"/>
      </w:pPr>
      <w:r>
        <w:rPr>
          <w:rFonts w:ascii="Arial" w:eastAsia="宋体" w:hAnsi="Arial" w:cs="Arial"/>
          <w:b/>
          <w:bCs/>
          <w:color w:val="0071C5"/>
        </w:rPr>
        <w:t>DERIVATIVES IN FAIR VALUE HEDGING RELATIONSHIPS</w:t>
      </w:r>
    </w:p>
    <w:p w14:paraId="20AE22D0" w14:textId="77777777" w:rsidR="00B626E7" w:rsidRDefault="00175C1D">
      <w:pPr>
        <w:spacing w:after="120"/>
      </w:pPr>
      <w:r>
        <w:rPr>
          <w:rFonts w:ascii="Arial" w:eastAsia="宋体" w:hAnsi="Arial" w:cs="Arial"/>
          <w:color w:val="333333"/>
          <w:sz w:val="18"/>
          <w:szCs w:val="18"/>
        </w:rPr>
        <w:t xml:space="preserve">The effects of derivative </w:t>
      </w:r>
      <w:r>
        <w:rPr>
          <w:rFonts w:ascii="Arial" w:eastAsia="宋体" w:hAnsi="Arial" w:cs="Arial"/>
          <w:color w:val="333333"/>
          <w:sz w:val="18"/>
          <w:szCs w:val="18"/>
        </w:rPr>
        <w:t>instruments designated as fair value hedges, recognized in interest and other, net for each period were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3617"/>
        <w:gridCol w:w="37"/>
        <w:gridCol w:w="36"/>
        <w:gridCol w:w="36"/>
        <w:gridCol w:w="36"/>
        <w:gridCol w:w="136"/>
        <w:gridCol w:w="663"/>
        <w:gridCol w:w="86"/>
        <w:gridCol w:w="36"/>
        <w:gridCol w:w="36"/>
        <w:gridCol w:w="36"/>
        <w:gridCol w:w="136"/>
        <w:gridCol w:w="671"/>
        <w:gridCol w:w="86"/>
        <w:gridCol w:w="36"/>
        <w:gridCol w:w="36"/>
        <w:gridCol w:w="36"/>
        <w:gridCol w:w="136"/>
        <w:gridCol w:w="671"/>
        <w:gridCol w:w="86"/>
        <w:gridCol w:w="36"/>
        <w:gridCol w:w="36"/>
        <w:gridCol w:w="36"/>
        <w:gridCol w:w="136"/>
        <w:gridCol w:w="671"/>
        <w:gridCol w:w="86"/>
        <w:gridCol w:w="36"/>
        <w:gridCol w:w="36"/>
        <w:gridCol w:w="36"/>
        <w:gridCol w:w="36"/>
        <w:gridCol w:w="36"/>
        <w:gridCol w:w="36"/>
        <w:gridCol w:w="36"/>
        <w:gridCol w:w="36"/>
        <w:gridCol w:w="36"/>
        <w:gridCol w:w="36"/>
        <w:gridCol w:w="36"/>
        <w:gridCol w:w="36"/>
        <w:gridCol w:w="36"/>
        <w:gridCol w:w="36"/>
        <w:gridCol w:w="36"/>
        <w:gridCol w:w="36"/>
        <w:gridCol w:w="36"/>
        <w:gridCol w:w="36"/>
      </w:tblGrid>
      <w:tr w:rsidR="00B626E7" w14:paraId="20AE22EC" w14:textId="77777777">
        <w:trPr>
          <w:gridAfter w:val="18"/>
        </w:trPr>
        <w:tc>
          <w:tcPr>
            <w:tcW w:w="50" w:type="pct"/>
            <w:shd w:val="clear" w:color="auto" w:fill="auto"/>
          </w:tcPr>
          <w:p w14:paraId="20AE22D1" w14:textId="77777777" w:rsidR="00B626E7" w:rsidRDefault="00B626E7">
            <w:pPr>
              <w:rPr>
                <w:rFonts w:ascii="宋体"/>
              </w:rPr>
            </w:pPr>
          </w:p>
        </w:tc>
        <w:tc>
          <w:tcPr>
            <w:tcW w:w="2386" w:type="pct"/>
            <w:shd w:val="clear" w:color="auto" w:fill="auto"/>
          </w:tcPr>
          <w:p w14:paraId="20AE22D2" w14:textId="77777777" w:rsidR="00B626E7" w:rsidRDefault="00B626E7">
            <w:pPr>
              <w:rPr>
                <w:rFonts w:ascii="宋体"/>
              </w:rPr>
            </w:pPr>
          </w:p>
        </w:tc>
        <w:tc>
          <w:tcPr>
            <w:tcW w:w="50" w:type="pct"/>
            <w:shd w:val="clear" w:color="auto" w:fill="auto"/>
          </w:tcPr>
          <w:p w14:paraId="20AE22D3" w14:textId="77777777" w:rsidR="00B626E7" w:rsidRDefault="00B626E7">
            <w:pPr>
              <w:rPr>
                <w:rFonts w:ascii="宋体"/>
              </w:rPr>
            </w:pPr>
          </w:p>
        </w:tc>
        <w:tc>
          <w:tcPr>
            <w:tcW w:w="5" w:type="pct"/>
            <w:shd w:val="clear" w:color="auto" w:fill="auto"/>
          </w:tcPr>
          <w:p w14:paraId="20AE22D4" w14:textId="77777777" w:rsidR="00B626E7" w:rsidRDefault="00B626E7">
            <w:pPr>
              <w:rPr>
                <w:rFonts w:ascii="宋体"/>
              </w:rPr>
            </w:pPr>
          </w:p>
        </w:tc>
        <w:tc>
          <w:tcPr>
            <w:tcW w:w="24" w:type="pct"/>
            <w:shd w:val="clear" w:color="auto" w:fill="auto"/>
          </w:tcPr>
          <w:p w14:paraId="20AE22D5" w14:textId="77777777" w:rsidR="00B626E7" w:rsidRDefault="00B626E7">
            <w:pPr>
              <w:rPr>
                <w:rFonts w:ascii="宋体"/>
              </w:rPr>
            </w:pPr>
          </w:p>
        </w:tc>
        <w:tc>
          <w:tcPr>
            <w:tcW w:w="5" w:type="pct"/>
            <w:shd w:val="clear" w:color="auto" w:fill="auto"/>
          </w:tcPr>
          <w:p w14:paraId="20AE22D6" w14:textId="77777777" w:rsidR="00B626E7" w:rsidRDefault="00B626E7">
            <w:pPr>
              <w:rPr>
                <w:rFonts w:ascii="宋体"/>
              </w:rPr>
            </w:pPr>
          </w:p>
        </w:tc>
        <w:tc>
          <w:tcPr>
            <w:tcW w:w="50" w:type="pct"/>
            <w:shd w:val="clear" w:color="auto" w:fill="auto"/>
          </w:tcPr>
          <w:p w14:paraId="20AE22D7" w14:textId="77777777" w:rsidR="00B626E7" w:rsidRDefault="00B626E7">
            <w:pPr>
              <w:rPr>
                <w:rFonts w:ascii="宋体"/>
              </w:rPr>
            </w:pPr>
          </w:p>
        </w:tc>
        <w:tc>
          <w:tcPr>
            <w:tcW w:w="494" w:type="pct"/>
            <w:shd w:val="clear" w:color="auto" w:fill="auto"/>
          </w:tcPr>
          <w:p w14:paraId="20AE22D8" w14:textId="77777777" w:rsidR="00B626E7" w:rsidRDefault="00B626E7">
            <w:pPr>
              <w:rPr>
                <w:rFonts w:ascii="宋体"/>
              </w:rPr>
            </w:pPr>
          </w:p>
        </w:tc>
        <w:tc>
          <w:tcPr>
            <w:tcW w:w="50" w:type="pct"/>
            <w:shd w:val="clear" w:color="auto" w:fill="auto"/>
          </w:tcPr>
          <w:p w14:paraId="20AE22D9" w14:textId="77777777" w:rsidR="00B626E7" w:rsidRDefault="00B626E7">
            <w:pPr>
              <w:rPr>
                <w:rFonts w:ascii="宋体"/>
              </w:rPr>
            </w:pPr>
          </w:p>
        </w:tc>
        <w:tc>
          <w:tcPr>
            <w:tcW w:w="5" w:type="pct"/>
            <w:shd w:val="clear" w:color="auto" w:fill="auto"/>
          </w:tcPr>
          <w:p w14:paraId="20AE22DA" w14:textId="77777777" w:rsidR="00B626E7" w:rsidRDefault="00B626E7">
            <w:pPr>
              <w:rPr>
                <w:rFonts w:ascii="宋体"/>
              </w:rPr>
            </w:pPr>
          </w:p>
        </w:tc>
        <w:tc>
          <w:tcPr>
            <w:tcW w:w="24" w:type="pct"/>
            <w:shd w:val="clear" w:color="auto" w:fill="auto"/>
          </w:tcPr>
          <w:p w14:paraId="20AE22DB" w14:textId="77777777" w:rsidR="00B626E7" w:rsidRDefault="00B626E7">
            <w:pPr>
              <w:rPr>
                <w:rFonts w:ascii="宋体"/>
              </w:rPr>
            </w:pPr>
          </w:p>
        </w:tc>
        <w:tc>
          <w:tcPr>
            <w:tcW w:w="5" w:type="pct"/>
            <w:shd w:val="clear" w:color="auto" w:fill="auto"/>
          </w:tcPr>
          <w:p w14:paraId="20AE22DC" w14:textId="77777777" w:rsidR="00B626E7" w:rsidRDefault="00B626E7">
            <w:pPr>
              <w:rPr>
                <w:rFonts w:ascii="宋体"/>
              </w:rPr>
            </w:pPr>
          </w:p>
        </w:tc>
        <w:tc>
          <w:tcPr>
            <w:tcW w:w="50" w:type="pct"/>
            <w:shd w:val="clear" w:color="auto" w:fill="auto"/>
          </w:tcPr>
          <w:p w14:paraId="20AE22DD" w14:textId="77777777" w:rsidR="00B626E7" w:rsidRDefault="00B626E7">
            <w:pPr>
              <w:rPr>
                <w:rFonts w:ascii="宋体"/>
              </w:rPr>
            </w:pPr>
          </w:p>
        </w:tc>
        <w:tc>
          <w:tcPr>
            <w:tcW w:w="494" w:type="pct"/>
            <w:shd w:val="clear" w:color="auto" w:fill="auto"/>
          </w:tcPr>
          <w:p w14:paraId="20AE22DE" w14:textId="77777777" w:rsidR="00B626E7" w:rsidRDefault="00B626E7">
            <w:pPr>
              <w:rPr>
                <w:rFonts w:ascii="宋体"/>
              </w:rPr>
            </w:pPr>
          </w:p>
        </w:tc>
        <w:tc>
          <w:tcPr>
            <w:tcW w:w="50" w:type="pct"/>
            <w:shd w:val="clear" w:color="auto" w:fill="auto"/>
          </w:tcPr>
          <w:p w14:paraId="20AE22DF" w14:textId="77777777" w:rsidR="00B626E7" w:rsidRDefault="00B626E7">
            <w:pPr>
              <w:rPr>
                <w:rFonts w:ascii="宋体"/>
              </w:rPr>
            </w:pPr>
          </w:p>
        </w:tc>
        <w:tc>
          <w:tcPr>
            <w:tcW w:w="5" w:type="pct"/>
            <w:shd w:val="clear" w:color="auto" w:fill="auto"/>
          </w:tcPr>
          <w:p w14:paraId="20AE22E0" w14:textId="77777777" w:rsidR="00B626E7" w:rsidRDefault="00B626E7">
            <w:pPr>
              <w:rPr>
                <w:rFonts w:ascii="宋体"/>
              </w:rPr>
            </w:pPr>
          </w:p>
        </w:tc>
        <w:tc>
          <w:tcPr>
            <w:tcW w:w="24" w:type="pct"/>
            <w:shd w:val="clear" w:color="auto" w:fill="auto"/>
          </w:tcPr>
          <w:p w14:paraId="20AE22E1" w14:textId="77777777" w:rsidR="00B626E7" w:rsidRDefault="00B626E7">
            <w:pPr>
              <w:rPr>
                <w:rFonts w:ascii="宋体"/>
              </w:rPr>
            </w:pPr>
          </w:p>
        </w:tc>
        <w:tc>
          <w:tcPr>
            <w:tcW w:w="5" w:type="pct"/>
            <w:shd w:val="clear" w:color="auto" w:fill="auto"/>
          </w:tcPr>
          <w:p w14:paraId="20AE22E2" w14:textId="77777777" w:rsidR="00B626E7" w:rsidRDefault="00B626E7">
            <w:pPr>
              <w:rPr>
                <w:rFonts w:ascii="宋体"/>
              </w:rPr>
            </w:pPr>
          </w:p>
        </w:tc>
        <w:tc>
          <w:tcPr>
            <w:tcW w:w="50" w:type="pct"/>
            <w:shd w:val="clear" w:color="auto" w:fill="auto"/>
          </w:tcPr>
          <w:p w14:paraId="20AE22E3" w14:textId="77777777" w:rsidR="00B626E7" w:rsidRDefault="00B626E7">
            <w:pPr>
              <w:rPr>
                <w:rFonts w:ascii="宋体"/>
              </w:rPr>
            </w:pPr>
          </w:p>
        </w:tc>
        <w:tc>
          <w:tcPr>
            <w:tcW w:w="494" w:type="pct"/>
            <w:shd w:val="clear" w:color="auto" w:fill="auto"/>
          </w:tcPr>
          <w:p w14:paraId="20AE22E4" w14:textId="77777777" w:rsidR="00B626E7" w:rsidRDefault="00B626E7">
            <w:pPr>
              <w:rPr>
                <w:rFonts w:ascii="宋体"/>
              </w:rPr>
            </w:pPr>
          </w:p>
        </w:tc>
        <w:tc>
          <w:tcPr>
            <w:tcW w:w="50" w:type="pct"/>
            <w:shd w:val="clear" w:color="auto" w:fill="auto"/>
          </w:tcPr>
          <w:p w14:paraId="20AE22E5" w14:textId="77777777" w:rsidR="00B626E7" w:rsidRDefault="00B626E7">
            <w:pPr>
              <w:rPr>
                <w:rFonts w:ascii="宋体"/>
              </w:rPr>
            </w:pPr>
          </w:p>
        </w:tc>
        <w:tc>
          <w:tcPr>
            <w:tcW w:w="5" w:type="pct"/>
            <w:shd w:val="clear" w:color="auto" w:fill="auto"/>
          </w:tcPr>
          <w:p w14:paraId="20AE22E6" w14:textId="77777777" w:rsidR="00B626E7" w:rsidRDefault="00B626E7">
            <w:pPr>
              <w:rPr>
                <w:rFonts w:ascii="宋体"/>
              </w:rPr>
            </w:pPr>
          </w:p>
        </w:tc>
        <w:tc>
          <w:tcPr>
            <w:tcW w:w="24" w:type="pct"/>
            <w:shd w:val="clear" w:color="auto" w:fill="auto"/>
          </w:tcPr>
          <w:p w14:paraId="20AE22E7" w14:textId="77777777" w:rsidR="00B626E7" w:rsidRDefault="00B626E7">
            <w:pPr>
              <w:rPr>
                <w:rFonts w:ascii="宋体"/>
              </w:rPr>
            </w:pPr>
          </w:p>
        </w:tc>
        <w:tc>
          <w:tcPr>
            <w:tcW w:w="5" w:type="pct"/>
            <w:shd w:val="clear" w:color="auto" w:fill="auto"/>
          </w:tcPr>
          <w:p w14:paraId="20AE22E8" w14:textId="77777777" w:rsidR="00B626E7" w:rsidRDefault="00B626E7">
            <w:pPr>
              <w:rPr>
                <w:rFonts w:ascii="宋体"/>
              </w:rPr>
            </w:pPr>
          </w:p>
        </w:tc>
        <w:tc>
          <w:tcPr>
            <w:tcW w:w="50" w:type="pct"/>
            <w:shd w:val="clear" w:color="auto" w:fill="auto"/>
          </w:tcPr>
          <w:p w14:paraId="20AE22E9" w14:textId="77777777" w:rsidR="00B626E7" w:rsidRDefault="00B626E7">
            <w:pPr>
              <w:rPr>
                <w:rFonts w:ascii="宋体"/>
              </w:rPr>
            </w:pPr>
          </w:p>
        </w:tc>
        <w:tc>
          <w:tcPr>
            <w:tcW w:w="494" w:type="pct"/>
            <w:shd w:val="clear" w:color="auto" w:fill="auto"/>
          </w:tcPr>
          <w:p w14:paraId="20AE22EA" w14:textId="77777777" w:rsidR="00B626E7" w:rsidRDefault="00B626E7">
            <w:pPr>
              <w:rPr>
                <w:rFonts w:ascii="宋体"/>
              </w:rPr>
            </w:pPr>
          </w:p>
        </w:tc>
        <w:tc>
          <w:tcPr>
            <w:tcW w:w="50" w:type="pct"/>
            <w:shd w:val="clear" w:color="auto" w:fill="auto"/>
          </w:tcPr>
          <w:p w14:paraId="20AE22EB" w14:textId="77777777" w:rsidR="00B626E7" w:rsidRDefault="00B626E7">
            <w:pPr>
              <w:rPr>
                <w:rFonts w:ascii="宋体"/>
              </w:rPr>
            </w:pPr>
          </w:p>
        </w:tc>
      </w:tr>
      <w:tr w:rsidR="00B626E7" w14:paraId="20AE22F6" w14:textId="77777777">
        <w:tc>
          <w:tcPr>
            <w:tcW w:w="0" w:type="auto"/>
            <w:gridSpan w:val="3"/>
            <w:shd w:val="clear" w:color="auto" w:fill="auto"/>
            <w:tcMar>
              <w:left w:w="20" w:type="dxa"/>
              <w:right w:w="20" w:type="dxa"/>
            </w:tcMar>
            <w:vAlign w:val="bottom"/>
          </w:tcPr>
          <w:p w14:paraId="20AE22ED"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2EE" w14:textId="77777777" w:rsidR="00B626E7" w:rsidRDefault="00B626E7">
            <w:pPr>
              <w:rPr>
                <w:rFonts w:ascii="宋体"/>
              </w:rPr>
            </w:pPr>
          </w:p>
        </w:tc>
        <w:tc>
          <w:tcPr>
            <w:tcW w:w="0" w:type="auto"/>
            <w:gridSpan w:val="21"/>
            <w:tcBorders>
              <w:bottom w:val="single" w:sz="8" w:space="0" w:color="0071C5"/>
            </w:tcBorders>
            <w:shd w:val="clear" w:color="auto" w:fill="FFFFFF"/>
            <w:tcMar>
              <w:top w:w="40" w:type="dxa"/>
              <w:left w:w="20" w:type="dxa"/>
              <w:bottom w:w="40" w:type="dxa"/>
              <w:right w:w="20" w:type="dxa"/>
            </w:tcMar>
            <w:vAlign w:val="bottom"/>
          </w:tcPr>
          <w:p w14:paraId="20AE22EF" w14:textId="77777777" w:rsidR="00B626E7" w:rsidRDefault="00175C1D">
            <w:pPr>
              <w:jc w:val="center"/>
              <w:textAlignment w:val="bottom"/>
            </w:pPr>
            <w:r>
              <w:rPr>
                <w:rFonts w:ascii="Arial" w:eastAsia="宋体" w:hAnsi="Arial" w:cs="Arial"/>
                <w:b/>
                <w:bCs/>
                <w:color w:val="333333"/>
                <w:sz w:val="18"/>
                <w:szCs w:val="18"/>
              </w:rPr>
              <w:t xml:space="preserve">Gains (Losses) Recognized in Consolidated Condensed Statements of Income on Derivatives </w:t>
            </w:r>
          </w:p>
        </w:tc>
        <w:tc>
          <w:tcPr>
            <w:tcW w:w="0" w:type="auto"/>
            <w:gridSpan w:val="3"/>
            <w:shd w:val="clear" w:color="auto" w:fill="auto"/>
          </w:tcPr>
          <w:p w14:paraId="20AE22F0" w14:textId="77777777" w:rsidR="00B626E7" w:rsidRDefault="00B626E7">
            <w:pPr>
              <w:rPr>
                <w:rFonts w:ascii="宋体"/>
                <w:vanish/>
              </w:rPr>
            </w:pPr>
          </w:p>
        </w:tc>
        <w:tc>
          <w:tcPr>
            <w:tcW w:w="0" w:type="auto"/>
            <w:gridSpan w:val="3"/>
            <w:shd w:val="clear" w:color="auto" w:fill="auto"/>
          </w:tcPr>
          <w:p w14:paraId="20AE22F1" w14:textId="77777777" w:rsidR="00B626E7" w:rsidRDefault="00B626E7">
            <w:pPr>
              <w:rPr>
                <w:rFonts w:ascii="宋体"/>
                <w:vanish/>
              </w:rPr>
            </w:pPr>
          </w:p>
        </w:tc>
        <w:tc>
          <w:tcPr>
            <w:tcW w:w="0" w:type="auto"/>
            <w:gridSpan w:val="3"/>
            <w:shd w:val="clear" w:color="auto" w:fill="auto"/>
          </w:tcPr>
          <w:p w14:paraId="20AE22F2" w14:textId="77777777" w:rsidR="00B626E7" w:rsidRDefault="00B626E7">
            <w:pPr>
              <w:rPr>
                <w:rFonts w:ascii="宋体"/>
                <w:vanish/>
              </w:rPr>
            </w:pPr>
          </w:p>
        </w:tc>
        <w:tc>
          <w:tcPr>
            <w:tcW w:w="0" w:type="auto"/>
            <w:gridSpan w:val="3"/>
            <w:shd w:val="clear" w:color="auto" w:fill="auto"/>
          </w:tcPr>
          <w:p w14:paraId="20AE22F3" w14:textId="77777777" w:rsidR="00B626E7" w:rsidRDefault="00B626E7">
            <w:pPr>
              <w:rPr>
                <w:rFonts w:ascii="宋体"/>
                <w:vanish/>
              </w:rPr>
            </w:pPr>
          </w:p>
        </w:tc>
        <w:tc>
          <w:tcPr>
            <w:tcW w:w="0" w:type="auto"/>
            <w:gridSpan w:val="3"/>
            <w:shd w:val="clear" w:color="auto" w:fill="auto"/>
          </w:tcPr>
          <w:p w14:paraId="20AE22F4" w14:textId="77777777" w:rsidR="00B626E7" w:rsidRDefault="00B626E7">
            <w:pPr>
              <w:rPr>
                <w:rFonts w:ascii="宋体"/>
                <w:vanish/>
              </w:rPr>
            </w:pPr>
          </w:p>
        </w:tc>
        <w:tc>
          <w:tcPr>
            <w:tcW w:w="0" w:type="auto"/>
            <w:gridSpan w:val="3"/>
            <w:shd w:val="clear" w:color="auto" w:fill="auto"/>
          </w:tcPr>
          <w:p w14:paraId="20AE22F5" w14:textId="77777777" w:rsidR="00B626E7" w:rsidRDefault="00B626E7">
            <w:pPr>
              <w:rPr>
                <w:rFonts w:ascii="宋体"/>
                <w:vanish/>
              </w:rPr>
            </w:pPr>
          </w:p>
        </w:tc>
      </w:tr>
      <w:tr w:rsidR="00B626E7" w14:paraId="20AE2306" w14:textId="77777777">
        <w:tc>
          <w:tcPr>
            <w:tcW w:w="0" w:type="auto"/>
            <w:gridSpan w:val="3"/>
            <w:shd w:val="clear" w:color="auto" w:fill="auto"/>
            <w:tcMar>
              <w:left w:w="20" w:type="dxa"/>
              <w:right w:w="20" w:type="dxa"/>
            </w:tcMar>
            <w:vAlign w:val="bottom"/>
          </w:tcPr>
          <w:p w14:paraId="20AE22F7"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2F8" w14:textId="77777777" w:rsidR="00B626E7" w:rsidRDefault="00B626E7">
            <w:pPr>
              <w:rPr>
                <w:rFonts w:ascii="宋体"/>
              </w:rPr>
            </w:pPr>
          </w:p>
        </w:tc>
        <w:tc>
          <w:tcPr>
            <w:tcW w:w="0" w:type="auto"/>
            <w:gridSpan w:val="9"/>
            <w:tcBorders>
              <w:top w:val="single" w:sz="8" w:space="0" w:color="0071C5"/>
            </w:tcBorders>
            <w:shd w:val="clear" w:color="auto" w:fill="auto"/>
            <w:tcMar>
              <w:top w:w="40" w:type="dxa"/>
              <w:left w:w="20" w:type="dxa"/>
              <w:bottom w:w="40" w:type="dxa"/>
              <w:right w:w="20" w:type="dxa"/>
            </w:tcMar>
            <w:vAlign w:val="bottom"/>
          </w:tcPr>
          <w:p w14:paraId="20AE22F9" w14:textId="77777777" w:rsidR="00B626E7" w:rsidRDefault="00175C1D">
            <w:pPr>
              <w:jc w:val="center"/>
              <w:textAlignment w:val="bottom"/>
            </w:pPr>
            <w:r>
              <w:rPr>
                <w:rFonts w:ascii="Arial" w:eastAsia="宋体" w:hAnsi="Arial" w:cs="Arial"/>
                <w:b/>
                <w:bCs/>
                <w:color w:val="333333"/>
                <w:sz w:val="18"/>
                <w:szCs w:val="18"/>
              </w:rPr>
              <w:t>Three Months Ended</w:t>
            </w:r>
          </w:p>
        </w:tc>
        <w:tc>
          <w:tcPr>
            <w:tcW w:w="0" w:type="auto"/>
            <w:gridSpan w:val="3"/>
            <w:shd w:val="clear" w:color="auto" w:fill="auto"/>
          </w:tcPr>
          <w:p w14:paraId="20AE22FA" w14:textId="77777777" w:rsidR="00B626E7" w:rsidRDefault="00B626E7">
            <w:pPr>
              <w:rPr>
                <w:rFonts w:ascii="宋体"/>
                <w:vanish/>
              </w:rPr>
            </w:pPr>
          </w:p>
        </w:tc>
        <w:tc>
          <w:tcPr>
            <w:tcW w:w="0" w:type="auto"/>
            <w:gridSpan w:val="3"/>
            <w:shd w:val="clear" w:color="auto" w:fill="auto"/>
          </w:tcPr>
          <w:p w14:paraId="20AE22FB" w14:textId="77777777" w:rsidR="00B626E7" w:rsidRDefault="00B626E7">
            <w:pPr>
              <w:rPr>
                <w:rFonts w:ascii="宋体"/>
                <w:vanish/>
              </w:rPr>
            </w:pPr>
          </w:p>
        </w:tc>
        <w:tc>
          <w:tcPr>
            <w:tcW w:w="0" w:type="auto"/>
            <w:gridSpan w:val="3"/>
            <w:tcBorders>
              <w:top w:val="single" w:sz="8" w:space="0" w:color="0071C5"/>
            </w:tcBorders>
            <w:shd w:val="clear" w:color="auto" w:fill="auto"/>
            <w:tcMar>
              <w:left w:w="20" w:type="dxa"/>
              <w:right w:w="20" w:type="dxa"/>
            </w:tcMar>
            <w:vAlign w:val="bottom"/>
          </w:tcPr>
          <w:p w14:paraId="20AE22FC" w14:textId="77777777" w:rsidR="00B626E7" w:rsidRDefault="00B626E7">
            <w:pPr>
              <w:rPr>
                <w:rFonts w:ascii="宋体"/>
              </w:rPr>
            </w:pPr>
          </w:p>
        </w:tc>
        <w:tc>
          <w:tcPr>
            <w:tcW w:w="0" w:type="auto"/>
            <w:gridSpan w:val="9"/>
            <w:tcBorders>
              <w:top w:val="single" w:sz="8" w:space="0" w:color="0071C5"/>
            </w:tcBorders>
            <w:shd w:val="clear" w:color="auto" w:fill="auto"/>
            <w:tcMar>
              <w:top w:w="40" w:type="dxa"/>
              <w:left w:w="20" w:type="dxa"/>
              <w:bottom w:w="40" w:type="dxa"/>
              <w:right w:w="20" w:type="dxa"/>
            </w:tcMar>
            <w:vAlign w:val="bottom"/>
          </w:tcPr>
          <w:p w14:paraId="20AE22FD" w14:textId="77777777" w:rsidR="00B626E7" w:rsidRDefault="00175C1D">
            <w:pPr>
              <w:jc w:val="center"/>
              <w:textAlignment w:val="bottom"/>
            </w:pPr>
            <w:r>
              <w:rPr>
                <w:rFonts w:ascii="Arial" w:eastAsia="宋体" w:hAnsi="Arial" w:cs="Arial"/>
                <w:b/>
                <w:bCs/>
                <w:color w:val="333333"/>
                <w:sz w:val="18"/>
                <w:szCs w:val="18"/>
              </w:rPr>
              <w:t>Six Months Ended</w:t>
            </w:r>
          </w:p>
        </w:tc>
        <w:tc>
          <w:tcPr>
            <w:tcW w:w="0" w:type="auto"/>
            <w:gridSpan w:val="3"/>
            <w:shd w:val="clear" w:color="auto" w:fill="auto"/>
          </w:tcPr>
          <w:p w14:paraId="20AE22FE" w14:textId="77777777" w:rsidR="00B626E7" w:rsidRDefault="00B626E7">
            <w:pPr>
              <w:rPr>
                <w:rFonts w:ascii="宋体"/>
                <w:vanish/>
              </w:rPr>
            </w:pPr>
          </w:p>
        </w:tc>
        <w:tc>
          <w:tcPr>
            <w:tcW w:w="0" w:type="auto"/>
            <w:gridSpan w:val="3"/>
            <w:shd w:val="clear" w:color="auto" w:fill="auto"/>
          </w:tcPr>
          <w:p w14:paraId="20AE22FF" w14:textId="77777777" w:rsidR="00B626E7" w:rsidRDefault="00B626E7">
            <w:pPr>
              <w:rPr>
                <w:rFonts w:ascii="宋体"/>
                <w:vanish/>
              </w:rPr>
            </w:pPr>
          </w:p>
        </w:tc>
        <w:tc>
          <w:tcPr>
            <w:tcW w:w="0" w:type="auto"/>
            <w:shd w:val="clear" w:color="auto" w:fill="auto"/>
          </w:tcPr>
          <w:p w14:paraId="20AE2300" w14:textId="77777777" w:rsidR="00B626E7" w:rsidRDefault="00B626E7">
            <w:pPr>
              <w:rPr>
                <w:rFonts w:ascii="宋体"/>
              </w:rPr>
            </w:pPr>
          </w:p>
        </w:tc>
        <w:tc>
          <w:tcPr>
            <w:tcW w:w="0" w:type="auto"/>
            <w:shd w:val="clear" w:color="auto" w:fill="auto"/>
          </w:tcPr>
          <w:p w14:paraId="20AE2301" w14:textId="77777777" w:rsidR="00B626E7" w:rsidRDefault="00B626E7">
            <w:pPr>
              <w:rPr>
                <w:rFonts w:ascii="宋体"/>
              </w:rPr>
            </w:pPr>
          </w:p>
        </w:tc>
        <w:tc>
          <w:tcPr>
            <w:tcW w:w="0" w:type="auto"/>
            <w:shd w:val="clear" w:color="auto" w:fill="auto"/>
          </w:tcPr>
          <w:p w14:paraId="20AE2302" w14:textId="77777777" w:rsidR="00B626E7" w:rsidRDefault="00B626E7">
            <w:pPr>
              <w:rPr>
                <w:rFonts w:ascii="宋体"/>
              </w:rPr>
            </w:pPr>
          </w:p>
        </w:tc>
        <w:tc>
          <w:tcPr>
            <w:tcW w:w="0" w:type="auto"/>
            <w:shd w:val="clear" w:color="auto" w:fill="auto"/>
          </w:tcPr>
          <w:p w14:paraId="20AE2303" w14:textId="77777777" w:rsidR="00B626E7" w:rsidRDefault="00B626E7">
            <w:pPr>
              <w:rPr>
                <w:rFonts w:ascii="宋体"/>
              </w:rPr>
            </w:pPr>
          </w:p>
        </w:tc>
        <w:tc>
          <w:tcPr>
            <w:tcW w:w="0" w:type="auto"/>
            <w:shd w:val="clear" w:color="auto" w:fill="auto"/>
          </w:tcPr>
          <w:p w14:paraId="20AE2304" w14:textId="77777777" w:rsidR="00B626E7" w:rsidRDefault="00B626E7">
            <w:pPr>
              <w:rPr>
                <w:rFonts w:ascii="宋体"/>
              </w:rPr>
            </w:pPr>
          </w:p>
        </w:tc>
        <w:tc>
          <w:tcPr>
            <w:tcW w:w="0" w:type="auto"/>
            <w:shd w:val="clear" w:color="auto" w:fill="auto"/>
          </w:tcPr>
          <w:p w14:paraId="20AE2305" w14:textId="77777777" w:rsidR="00B626E7" w:rsidRDefault="00B626E7">
            <w:pPr>
              <w:rPr>
                <w:rFonts w:ascii="宋体"/>
              </w:rPr>
            </w:pPr>
          </w:p>
        </w:tc>
      </w:tr>
      <w:tr w:rsidR="00B626E7" w14:paraId="20AE2322" w14:textId="77777777">
        <w:tc>
          <w:tcPr>
            <w:tcW w:w="0" w:type="auto"/>
            <w:gridSpan w:val="3"/>
            <w:shd w:val="clear" w:color="auto" w:fill="auto"/>
            <w:tcMar>
              <w:top w:w="40" w:type="dxa"/>
              <w:left w:w="20" w:type="dxa"/>
              <w:bottom w:w="40" w:type="dxa"/>
              <w:right w:w="20" w:type="dxa"/>
            </w:tcMar>
            <w:vAlign w:val="bottom"/>
          </w:tcPr>
          <w:p w14:paraId="20AE2307" w14:textId="77777777" w:rsidR="00B626E7" w:rsidRDefault="00175C1D">
            <w:pPr>
              <w:ind w:hanging="180"/>
              <w:textAlignment w:val="bottom"/>
            </w:pPr>
            <w:r>
              <w:rPr>
                <w:rFonts w:ascii="Arial" w:eastAsia="宋体" w:hAnsi="Arial" w:cs="Arial"/>
                <w:b/>
                <w:bCs/>
                <w:color w:val="333333"/>
                <w:sz w:val="18"/>
                <w:szCs w:val="18"/>
              </w:rPr>
              <w:t>(In Millions)</w:t>
            </w:r>
          </w:p>
        </w:tc>
        <w:tc>
          <w:tcPr>
            <w:tcW w:w="0" w:type="auto"/>
            <w:gridSpan w:val="3"/>
            <w:shd w:val="clear" w:color="auto" w:fill="auto"/>
            <w:tcMar>
              <w:left w:w="20" w:type="dxa"/>
              <w:right w:w="20" w:type="dxa"/>
            </w:tcMar>
            <w:vAlign w:val="bottom"/>
          </w:tcPr>
          <w:p w14:paraId="20AE2308"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2309" w14:textId="77777777" w:rsidR="00B626E7" w:rsidRDefault="00175C1D">
            <w:pPr>
              <w:jc w:val="center"/>
              <w:textAlignment w:val="bottom"/>
            </w:pPr>
            <w:r>
              <w:rPr>
                <w:rFonts w:ascii="Arial" w:eastAsia="宋体" w:hAnsi="Arial" w:cs="Arial"/>
                <w:b/>
                <w:bCs/>
                <w:color w:val="333333"/>
                <w:sz w:val="18"/>
                <w:szCs w:val="18"/>
              </w:rPr>
              <w:t>Jun 27, 2020</w:t>
            </w:r>
          </w:p>
        </w:tc>
        <w:tc>
          <w:tcPr>
            <w:tcW w:w="0" w:type="auto"/>
            <w:gridSpan w:val="3"/>
            <w:tcBorders>
              <w:top w:val="single" w:sz="8" w:space="0" w:color="0071C5"/>
            </w:tcBorders>
            <w:shd w:val="clear" w:color="auto" w:fill="auto"/>
            <w:tcMar>
              <w:left w:w="20" w:type="dxa"/>
              <w:right w:w="20" w:type="dxa"/>
            </w:tcMar>
            <w:vAlign w:val="bottom"/>
          </w:tcPr>
          <w:p w14:paraId="20AE230A"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230B" w14:textId="77777777" w:rsidR="00B626E7" w:rsidRDefault="00175C1D">
            <w:pPr>
              <w:jc w:val="center"/>
              <w:textAlignment w:val="bottom"/>
            </w:pPr>
            <w:r>
              <w:rPr>
                <w:rFonts w:ascii="Arial" w:eastAsia="宋体" w:hAnsi="Arial" w:cs="Arial"/>
                <w:b/>
                <w:bCs/>
                <w:color w:val="333333"/>
                <w:sz w:val="18"/>
                <w:szCs w:val="18"/>
              </w:rPr>
              <w:t>Jun 29, 2019</w:t>
            </w:r>
          </w:p>
        </w:tc>
        <w:tc>
          <w:tcPr>
            <w:tcW w:w="0" w:type="auto"/>
            <w:gridSpan w:val="3"/>
            <w:shd w:val="clear" w:color="auto" w:fill="auto"/>
            <w:tcMar>
              <w:left w:w="20" w:type="dxa"/>
              <w:right w:w="20" w:type="dxa"/>
            </w:tcMar>
            <w:vAlign w:val="bottom"/>
          </w:tcPr>
          <w:p w14:paraId="20AE230C"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230D" w14:textId="77777777" w:rsidR="00B626E7" w:rsidRDefault="00175C1D">
            <w:pPr>
              <w:jc w:val="center"/>
              <w:textAlignment w:val="bottom"/>
            </w:pPr>
            <w:r>
              <w:rPr>
                <w:rFonts w:ascii="Arial" w:eastAsia="宋体" w:hAnsi="Arial" w:cs="Arial"/>
                <w:b/>
                <w:bCs/>
                <w:color w:val="333333"/>
                <w:sz w:val="18"/>
                <w:szCs w:val="18"/>
              </w:rPr>
              <w:t>Jun 27, 2020</w:t>
            </w:r>
          </w:p>
        </w:tc>
        <w:tc>
          <w:tcPr>
            <w:tcW w:w="0" w:type="auto"/>
            <w:gridSpan w:val="3"/>
            <w:tcBorders>
              <w:top w:val="single" w:sz="8" w:space="0" w:color="0071C5"/>
            </w:tcBorders>
            <w:shd w:val="clear" w:color="auto" w:fill="auto"/>
            <w:tcMar>
              <w:left w:w="20" w:type="dxa"/>
              <w:right w:w="20" w:type="dxa"/>
            </w:tcMar>
            <w:vAlign w:val="bottom"/>
          </w:tcPr>
          <w:p w14:paraId="20AE230E"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230F" w14:textId="77777777" w:rsidR="00B626E7" w:rsidRDefault="00175C1D">
            <w:pPr>
              <w:jc w:val="center"/>
              <w:textAlignment w:val="bottom"/>
            </w:pPr>
            <w:r>
              <w:rPr>
                <w:rFonts w:ascii="Arial" w:eastAsia="宋体" w:hAnsi="Arial" w:cs="Arial"/>
                <w:b/>
                <w:bCs/>
                <w:color w:val="333333"/>
                <w:sz w:val="18"/>
                <w:szCs w:val="18"/>
              </w:rPr>
              <w:t>Jun 29, 2019</w:t>
            </w:r>
          </w:p>
        </w:tc>
        <w:tc>
          <w:tcPr>
            <w:tcW w:w="0" w:type="auto"/>
            <w:shd w:val="clear" w:color="auto" w:fill="auto"/>
          </w:tcPr>
          <w:p w14:paraId="20AE2310" w14:textId="77777777" w:rsidR="00B626E7" w:rsidRDefault="00B626E7">
            <w:pPr>
              <w:rPr>
                <w:rFonts w:ascii="宋体"/>
              </w:rPr>
            </w:pPr>
          </w:p>
        </w:tc>
        <w:tc>
          <w:tcPr>
            <w:tcW w:w="0" w:type="auto"/>
            <w:shd w:val="clear" w:color="auto" w:fill="auto"/>
          </w:tcPr>
          <w:p w14:paraId="20AE2311" w14:textId="77777777" w:rsidR="00B626E7" w:rsidRDefault="00B626E7">
            <w:pPr>
              <w:rPr>
                <w:rFonts w:ascii="宋体"/>
              </w:rPr>
            </w:pPr>
          </w:p>
        </w:tc>
        <w:tc>
          <w:tcPr>
            <w:tcW w:w="0" w:type="auto"/>
            <w:shd w:val="clear" w:color="auto" w:fill="auto"/>
          </w:tcPr>
          <w:p w14:paraId="20AE2312" w14:textId="77777777" w:rsidR="00B626E7" w:rsidRDefault="00B626E7">
            <w:pPr>
              <w:rPr>
                <w:rFonts w:ascii="宋体"/>
              </w:rPr>
            </w:pPr>
          </w:p>
        </w:tc>
        <w:tc>
          <w:tcPr>
            <w:tcW w:w="0" w:type="auto"/>
            <w:shd w:val="clear" w:color="auto" w:fill="auto"/>
          </w:tcPr>
          <w:p w14:paraId="20AE2313" w14:textId="77777777" w:rsidR="00B626E7" w:rsidRDefault="00B626E7">
            <w:pPr>
              <w:rPr>
                <w:rFonts w:ascii="宋体"/>
              </w:rPr>
            </w:pPr>
          </w:p>
        </w:tc>
        <w:tc>
          <w:tcPr>
            <w:tcW w:w="0" w:type="auto"/>
            <w:shd w:val="clear" w:color="auto" w:fill="auto"/>
          </w:tcPr>
          <w:p w14:paraId="20AE2314" w14:textId="77777777" w:rsidR="00B626E7" w:rsidRDefault="00B626E7">
            <w:pPr>
              <w:rPr>
                <w:rFonts w:ascii="宋体"/>
              </w:rPr>
            </w:pPr>
          </w:p>
        </w:tc>
        <w:tc>
          <w:tcPr>
            <w:tcW w:w="0" w:type="auto"/>
            <w:shd w:val="clear" w:color="auto" w:fill="auto"/>
          </w:tcPr>
          <w:p w14:paraId="20AE2315" w14:textId="77777777" w:rsidR="00B626E7" w:rsidRDefault="00B626E7">
            <w:pPr>
              <w:rPr>
                <w:rFonts w:ascii="宋体"/>
              </w:rPr>
            </w:pPr>
          </w:p>
        </w:tc>
        <w:tc>
          <w:tcPr>
            <w:tcW w:w="0" w:type="auto"/>
            <w:shd w:val="clear" w:color="auto" w:fill="auto"/>
          </w:tcPr>
          <w:p w14:paraId="20AE2316" w14:textId="77777777" w:rsidR="00B626E7" w:rsidRDefault="00B626E7">
            <w:pPr>
              <w:rPr>
                <w:rFonts w:ascii="宋体"/>
              </w:rPr>
            </w:pPr>
          </w:p>
        </w:tc>
        <w:tc>
          <w:tcPr>
            <w:tcW w:w="0" w:type="auto"/>
            <w:shd w:val="clear" w:color="auto" w:fill="auto"/>
          </w:tcPr>
          <w:p w14:paraId="20AE2317" w14:textId="77777777" w:rsidR="00B626E7" w:rsidRDefault="00B626E7">
            <w:pPr>
              <w:rPr>
                <w:rFonts w:ascii="宋体"/>
              </w:rPr>
            </w:pPr>
          </w:p>
        </w:tc>
        <w:tc>
          <w:tcPr>
            <w:tcW w:w="0" w:type="auto"/>
            <w:shd w:val="clear" w:color="auto" w:fill="auto"/>
          </w:tcPr>
          <w:p w14:paraId="20AE2318" w14:textId="77777777" w:rsidR="00B626E7" w:rsidRDefault="00B626E7">
            <w:pPr>
              <w:rPr>
                <w:rFonts w:ascii="宋体"/>
              </w:rPr>
            </w:pPr>
          </w:p>
        </w:tc>
        <w:tc>
          <w:tcPr>
            <w:tcW w:w="0" w:type="auto"/>
            <w:shd w:val="clear" w:color="auto" w:fill="auto"/>
          </w:tcPr>
          <w:p w14:paraId="20AE2319" w14:textId="77777777" w:rsidR="00B626E7" w:rsidRDefault="00B626E7">
            <w:pPr>
              <w:rPr>
                <w:rFonts w:ascii="宋体"/>
              </w:rPr>
            </w:pPr>
          </w:p>
        </w:tc>
        <w:tc>
          <w:tcPr>
            <w:tcW w:w="0" w:type="auto"/>
            <w:shd w:val="clear" w:color="auto" w:fill="auto"/>
          </w:tcPr>
          <w:p w14:paraId="20AE231A" w14:textId="77777777" w:rsidR="00B626E7" w:rsidRDefault="00B626E7">
            <w:pPr>
              <w:rPr>
                <w:rFonts w:ascii="宋体"/>
              </w:rPr>
            </w:pPr>
          </w:p>
        </w:tc>
        <w:tc>
          <w:tcPr>
            <w:tcW w:w="0" w:type="auto"/>
            <w:shd w:val="clear" w:color="auto" w:fill="auto"/>
          </w:tcPr>
          <w:p w14:paraId="20AE231B" w14:textId="77777777" w:rsidR="00B626E7" w:rsidRDefault="00B626E7">
            <w:pPr>
              <w:rPr>
                <w:rFonts w:ascii="宋体"/>
              </w:rPr>
            </w:pPr>
          </w:p>
        </w:tc>
        <w:tc>
          <w:tcPr>
            <w:tcW w:w="0" w:type="auto"/>
            <w:shd w:val="clear" w:color="auto" w:fill="auto"/>
          </w:tcPr>
          <w:p w14:paraId="20AE231C" w14:textId="77777777" w:rsidR="00B626E7" w:rsidRDefault="00B626E7">
            <w:pPr>
              <w:rPr>
                <w:rFonts w:ascii="宋体"/>
              </w:rPr>
            </w:pPr>
          </w:p>
        </w:tc>
        <w:tc>
          <w:tcPr>
            <w:tcW w:w="0" w:type="auto"/>
            <w:shd w:val="clear" w:color="auto" w:fill="auto"/>
          </w:tcPr>
          <w:p w14:paraId="20AE231D" w14:textId="77777777" w:rsidR="00B626E7" w:rsidRDefault="00B626E7">
            <w:pPr>
              <w:rPr>
                <w:rFonts w:ascii="宋体"/>
              </w:rPr>
            </w:pPr>
          </w:p>
        </w:tc>
        <w:tc>
          <w:tcPr>
            <w:tcW w:w="0" w:type="auto"/>
            <w:shd w:val="clear" w:color="auto" w:fill="auto"/>
          </w:tcPr>
          <w:p w14:paraId="20AE231E" w14:textId="77777777" w:rsidR="00B626E7" w:rsidRDefault="00B626E7">
            <w:pPr>
              <w:rPr>
                <w:rFonts w:ascii="宋体"/>
              </w:rPr>
            </w:pPr>
          </w:p>
        </w:tc>
        <w:tc>
          <w:tcPr>
            <w:tcW w:w="0" w:type="auto"/>
            <w:shd w:val="clear" w:color="auto" w:fill="auto"/>
          </w:tcPr>
          <w:p w14:paraId="20AE231F" w14:textId="77777777" w:rsidR="00B626E7" w:rsidRDefault="00B626E7">
            <w:pPr>
              <w:rPr>
                <w:rFonts w:ascii="宋体"/>
              </w:rPr>
            </w:pPr>
          </w:p>
        </w:tc>
        <w:tc>
          <w:tcPr>
            <w:tcW w:w="0" w:type="auto"/>
            <w:shd w:val="clear" w:color="auto" w:fill="auto"/>
          </w:tcPr>
          <w:p w14:paraId="20AE2320" w14:textId="77777777" w:rsidR="00B626E7" w:rsidRDefault="00B626E7">
            <w:pPr>
              <w:rPr>
                <w:rFonts w:ascii="宋体"/>
              </w:rPr>
            </w:pPr>
          </w:p>
        </w:tc>
        <w:tc>
          <w:tcPr>
            <w:tcW w:w="0" w:type="auto"/>
            <w:shd w:val="clear" w:color="auto" w:fill="auto"/>
          </w:tcPr>
          <w:p w14:paraId="20AE2321" w14:textId="77777777" w:rsidR="00B626E7" w:rsidRDefault="00B626E7">
            <w:pPr>
              <w:rPr>
                <w:rFonts w:ascii="宋体"/>
              </w:rPr>
            </w:pPr>
          </w:p>
        </w:tc>
      </w:tr>
      <w:tr w:rsidR="00B626E7" w14:paraId="20AE2346" w14:textId="77777777">
        <w:tc>
          <w:tcPr>
            <w:tcW w:w="0" w:type="auto"/>
            <w:gridSpan w:val="3"/>
            <w:tcBorders>
              <w:top w:val="single" w:sz="8" w:space="0" w:color="0071C5"/>
            </w:tcBorders>
            <w:shd w:val="clear" w:color="auto" w:fill="auto"/>
            <w:tcMar>
              <w:top w:w="40" w:type="dxa"/>
              <w:left w:w="20" w:type="dxa"/>
              <w:bottom w:w="40" w:type="dxa"/>
              <w:right w:w="20" w:type="dxa"/>
            </w:tcMar>
          </w:tcPr>
          <w:p w14:paraId="20AE2323" w14:textId="77777777" w:rsidR="00B626E7" w:rsidRDefault="00175C1D">
            <w:pPr>
              <w:ind w:hanging="180"/>
              <w:textAlignment w:val="top"/>
            </w:pPr>
            <w:r>
              <w:rPr>
                <w:rFonts w:ascii="Arial" w:eastAsia="宋体" w:hAnsi="Arial" w:cs="Arial"/>
                <w:color w:val="333333"/>
                <w:sz w:val="18"/>
                <w:szCs w:val="18"/>
              </w:rPr>
              <w:t>Interest rate contracts</w:t>
            </w:r>
          </w:p>
        </w:tc>
        <w:tc>
          <w:tcPr>
            <w:tcW w:w="0" w:type="auto"/>
            <w:gridSpan w:val="3"/>
            <w:shd w:val="clear" w:color="auto" w:fill="auto"/>
            <w:tcMar>
              <w:left w:w="20" w:type="dxa"/>
              <w:right w:w="20" w:type="dxa"/>
            </w:tcMar>
            <w:vAlign w:val="bottom"/>
          </w:tcPr>
          <w:p w14:paraId="20AE2324"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2325" w14:textId="77777777" w:rsidR="00B626E7" w:rsidRDefault="00175C1D">
            <w:pPr>
              <w:textAlignment w:val="bottom"/>
            </w:pPr>
            <w:r>
              <w:rPr>
                <w:rFonts w:ascii="Arial" w:eastAsia="宋体" w:hAnsi="Arial" w:cs="Arial"/>
                <w:color w:val="026DCE"/>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2326" w14:textId="77777777" w:rsidR="00B626E7" w:rsidRDefault="00175C1D">
            <w:pPr>
              <w:jc w:val="right"/>
              <w:textAlignment w:val="bottom"/>
            </w:pPr>
            <w:r>
              <w:rPr>
                <w:rFonts w:ascii="Arial" w:eastAsia="宋体" w:hAnsi="Arial" w:cs="Arial"/>
                <w:color w:val="026DCE"/>
                <w:sz w:val="18"/>
                <w:szCs w:val="18"/>
              </w:rPr>
              <w:t>78 </w:t>
            </w:r>
          </w:p>
        </w:tc>
        <w:tc>
          <w:tcPr>
            <w:tcW w:w="0" w:type="auto"/>
            <w:tcBorders>
              <w:top w:val="single" w:sz="8" w:space="0" w:color="0071C5"/>
            </w:tcBorders>
            <w:shd w:val="clear" w:color="auto" w:fill="auto"/>
            <w:tcMar>
              <w:top w:w="40" w:type="dxa"/>
              <w:bottom w:w="40" w:type="dxa"/>
              <w:right w:w="20" w:type="dxa"/>
            </w:tcMar>
            <w:vAlign w:val="bottom"/>
          </w:tcPr>
          <w:p w14:paraId="20AE2327"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2328"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2329" w14:textId="77777777" w:rsidR="00B626E7" w:rsidRDefault="00175C1D">
            <w:pPr>
              <w:textAlignment w:val="bottom"/>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232A" w14:textId="77777777" w:rsidR="00B626E7" w:rsidRDefault="00175C1D">
            <w:pPr>
              <w:jc w:val="right"/>
              <w:textAlignment w:val="bottom"/>
            </w:pPr>
            <w:r>
              <w:rPr>
                <w:rFonts w:ascii="Arial" w:eastAsia="宋体" w:hAnsi="Arial" w:cs="Arial"/>
                <w:color w:val="333333"/>
                <w:sz w:val="18"/>
                <w:szCs w:val="18"/>
              </w:rPr>
              <w:t>554 </w:t>
            </w:r>
          </w:p>
        </w:tc>
        <w:tc>
          <w:tcPr>
            <w:tcW w:w="0" w:type="auto"/>
            <w:tcBorders>
              <w:top w:val="single" w:sz="8" w:space="0" w:color="0071C5"/>
            </w:tcBorders>
            <w:shd w:val="clear" w:color="auto" w:fill="auto"/>
            <w:tcMar>
              <w:top w:w="40" w:type="dxa"/>
              <w:bottom w:w="40" w:type="dxa"/>
              <w:right w:w="20" w:type="dxa"/>
            </w:tcMar>
            <w:vAlign w:val="bottom"/>
          </w:tcPr>
          <w:p w14:paraId="20AE232B"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232C"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232D" w14:textId="77777777" w:rsidR="00B626E7" w:rsidRDefault="00175C1D">
            <w:pPr>
              <w:textAlignment w:val="bottom"/>
            </w:pPr>
            <w:r>
              <w:rPr>
                <w:rFonts w:ascii="Arial" w:eastAsia="宋体" w:hAnsi="Arial" w:cs="Arial"/>
                <w:color w:val="026DCE"/>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232E" w14:textId="77777777" w:rsidR="00B626E7" w:rsidRDefault="00175C1D">
            <w:pPr>
              <w:jc w:val="right"/>
              <w:textAlignment w:val="bottom"/>
            </w:pPr>
            <w:r>
              <w:rPr>
                <w:rFonts w:ascii="Arial" w:eastAsia="宋体" w:hAnsi="Arial" w:cs="Arial"/>
                <w:color w:val="026DCE"/>
                <w:sz w:val="18"/>
                <w:szCs w:val="18"/>
              </w:rPr>
              <w:t>1,032 </w:t>
            </w:r>
          </w:p>
        </w:tc>
        <w:tc>
          <w:tcPr>
            <w:tcW w:w="0" w:type="auto"/>
            <w:tcBorders>
              <w:top w:val="single" w:sz="8" w:space="0" w:color="0071C5"/>
            </w:tcBorders>
            <w:shd w:val="clear" w:color="auto" w:fill="auto"/>
            <w:tcMar>
              <w:top w:w="40" w:type="dxa"/>
              <w:bottom w:w="40" w:type="dxa"/>
              <w:right w:w="20" w:type="dxa"/>
            </w:tcMar>
            <w:vAlign w:val="bottom"/>
          </w:tcPr>
          <w:p w14:paraId="20AE232F"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2330"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2331" w14:textId="77777777" w:rsidR="00B626E7" w:rsidRDefault="00175C1D">
            <w:pPr>
              <w:textAlignment w:val="bottom"/>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2332" w14:textId="77777777" w:rsidR="00B626E7" w:rsidRDefault="00175C1D">
            <w:pPr>
              <w:jc w:val="right"/>
              <w:textAlignment w:val="bottom"/>
            </w:pPr>
            <w:r>
              <w:rPr>
                <w:rFonts w:ascii="Arial" w:eastAsia="宋体" w:hAnsi="Arial" w:cs="Arial"/>
                <w:color w:val="333333"/>
                <w:sz w:val="18"/>
                <w:szCs w:val="18"/>
              </w:rPr>
              <w:t>1,039 </w:t>
            </w:r>
          </w:p>
        </w:tc>
        <w:tc>
          <w:tcPr>
            <w:tcW w:w="0" w:type="auto"/>
            <w:tcBorders>
              <w:top w:val="single" w:sz="8" w:space="0" w:color="0071C5"/>
            </w:tcBorders>
            <w:shd w:val="clear" w:color="auto" w:fill="auto"/>
            <w:tcMar>
              <w:top w:w="40" w:type="dxa"/>
              <w:bottom w:w="40" w:type="dxa"/>
              <w:right w:w="20" w:type="dxa"/>
            </w:tcMar>
            <w:vAlign w:val="bottom"/>
          </w:tcPr>
          <w:p w14:paraId="20AE2333"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2334" w14:textId="77777777" w:rsidR="00B626E7" w:rsidRDefault="00B626E7">
            <w:pPr>
              <w:rPr>
                <w:rFonts w:ascii="宋体"/>
              </w:rPr>
            </w:pPr>
          </w:p>
        </w:tc>
        <w:tc>
          <w:tcPr>
            <w:tcW w:w="0" w:type="auto"/>
            <w:shd w:val="clear" w:color="auto" w:fill="auto"/>
          </w:tcPr>
          <w:p w14:paraId="20AE2335" w14:textId="77777777" w:rsidR="00B626E7" w:rsidRDefault="00B626E7">
            <w:pPr>
              <w:rPr>
                <w:rFonts w:ascii="宋体"/>
              </w:rPr>
            </w:pPr>
          </w:p>
        </w:tc>
        <w:tc>
          <w:tcPr>
            <w:tcW w:w="0" w:type="auto"/>
            <w:shd w:val="clear" w:color="auto" w:fill="auto"/>
          </w:tcPr>
          <w:p w14:paraId="20AE2336" w14:textId="77777777" w:rsidR="00B626E7" w:rsidRDefault="00B626E7">
            <w:pPr>
              <w:rPr>
                <w:rFonts w:ascii="宋体"/>
              </w:rPr>
            </w:pPr>
          </w:p>
        </w:tc>
        <w:tc>
          <w:tcPr>
            <w:tcW w:w="0" w:type="auto"/>
            <w:shd w:val="clear" w:color="auto" w:fill="auto"/>
          </w:tcPr>
          <w:p w14:paraId="20AE2337" w14:textId="77777777" w:rsidR="00B626E7" w:rsidRDefault="00B626E7">
            <w:pPr>
              <w:rPr>
                <w:rFonts w:ascii="宋体"/>
              </w:rPr>
            </w:pPr>
          </w:p>
        </w:tc>
        <w:tc>
          <w:tcPr>
            <w:tcW w:w="0" w:type="auto"/>
            <w:shd w:val="clear" w:color="auto" w:fill="auto"/>
          </w:tcPr>
          <w:p w14:paraId="20AE2338" w14:textId="77777777" w:rsidR="00B626E7" w:rsidRDefault="00B626E7">
            <w:pPr>
              <w:rPr>
                <w:rFonts w:ascii="宋体"/>
              </w:rPr>
            </w:pPr>
          </w:p>
        </w:tc>
        <w:tc>
          <w:tcPr>
            <w:tcW w:w="0" w:type="auto"/>
            <w:shd w:val="clear" w:color="auto" w:fill="auto"/>
          </w:tcPr>
          <w:p w14:paraId="20AE2339" w14:textId="77777777" w:rsidR="00B626E7" w:rsidRDefault="00B626E7">
            <w:pPr>
              <w:rPr>
                <w:rFonts w:ascii="宋体"/>
              </w:rPr>
            </w:pPr>
          </w:p>
        </w:tc>
        <w:tc>
          <w:tcPr>
            <w:tcW w:w="0" w:type="auto"/>
            <w:shd w:val="clear" w:color="auto" w:fill="auto"/>
          </w:tcPr>
          <w:p w14:paraId="20AE233A" w14:textId="77777777" w:rsidR="00B626E7" w:rsidRDefault="00B626E7">
            <w:pPr>
              <w:rPr>
                <w:rFonts w:ascii="宋体"/>
              </w:rPr>
            </w:pPr>
          </w:p>
        </w:tc>
        <w:tc>
          <w:tcPr>
            <w:tcW w:w="0" w:type="auto"/>
            <w:shd w:val="clear" w:color="auto" w:fill="auto"/>
          </w:tcPr>
          <w:p w14:paraId="20AE233B" w14:textId="77777777" w:rsidR="00B626E7" w:rsidRDefault="00B626E7">
            <w:pPr>
              <w:rPr>
                <w:rFonts w:ascii="宋体"/>
              </w:rPr>
            </w:pPr>
          </w:p>
        </w:tc>
        <w:tc>
          <w:tcPr>
            <w:tcW w:w="0" w:type="auto"/>
            <w:shd w:val="clear" w:color="auto" w:fill="auto"/>
          </w:tcPr>
          <w:p w14:paraId="20AE233C" w14:textId="77777777" w:rsidR="00B626E7" w:rsidRDefault="00B626E7">
            <w:pPr>
              <w:rPr>
                <w:rFonts w:ascii="宋体"/>
              </w:rPr>
            </w:pPr>
          </w:p>
        </w:tc>
        <w:tc>
          <w:tcPr>
            <w:tcW w:w="0" w:type="auto"/>
            <w:shd w:val="clear" w:color="auto" w:fill="auto"/>
          </w:tcPr>
          <w:p w14:paraId="20AE233D" w14:textId="77777777" w:rsidR="00B626E7" w:rsidRDefault="00B626E7">
            <w:pPr>
              <w:rPr>
                <w:rFonts w:ascii="宋体"/>
              </w:rPr>
            </w:pPr>
          </w:p>
        </w:tc>
        <w:tc>
          <w:tcPr>
            <w:tcW w:w="0" w:type="auto"/>
            <w:shd w:val="clear" w:color="auto" w:fill="auto"/>
          </w:tcPr>
          <w:p w14:paraId="20AE233E" w14:textId="77777777" w:rsidR="00B626E7" w:rsidRDefault="00B626E7">
            <w:pPr>
              <w:rPr>
                <w:rFonts w:ascii="宋体"/>
              </w:rPr>
            </w:pPr>
          </w:p>
        </w:tc>
        <w:tc>
          <w:tcPr>
            <w:tcW w:w="0" w:type="auto"/>
            <w:shd w:val="clear" w:color="auto" w:fill="auto"/>
          </w:tcPr>
          <w:p w14:paraId="20AE233F" w14:textId="77777777" w:rsidR="00B626E7" w:rsidRDefault="00B626E7">
            <w:pPr>
              <w:rPr>
                <w:rFonts w:ascii="宋体"/>
              </w:rPr>
            </w:pPr>
          </w:p>
        </w:tc>
        <w:tc>
          <w:tcPr>
            <w:tcW w:w="0" w:type="auto"/>
            <w:shd w:val="clear" w:color="auto" w:fill="auto"/>
          </w:tcPr>
          <w:p w14:paraId="20AE2340" w14:textId="77777777" w:rsidR="00B626E7" w:rsidRDefault="00B626E7">
            <w:pPr>
              <w:rPr>
                <w:rFonts w:ascii="宋体"/>
              </w:rPr>
            </w:pPr>
          </w:p>
        </w:tc>
        <w:tc>
          <w:tcPr>
            <w:tcW w:w="0" w:type="auto"/>
            <w:shd w:val="clear" w:color="auto" w:fill="auto"/>
          </w:tcPr>
          <w:p w14:paraId="20AE2341" w14:textId="77777777" w:rsidR="00B626E7" w:rsidRDefault="00B626E7">
            <w:pPr>
              <w:rPr>
                <w:rFonts w:ascii="宋体"/>
              </w:rPr>
            </w:pPr>
          </w:p>
        </w:tc>
        <w:tc>
          <w:tcPr>
            <w:tcW w:w="0" w:type="auto"/>
            <w:shd w:val="clear" w:color="auto" w:fill="auto"/>
          </w:tcPr>
          <w:p w14:paraId="20AE2342" w14:textId="77777777" w:rsidR="00B626E7" w:rsidRDefault="00B626E7">
            <w:pPr>
              <w:rPr>
                <w:rFonts w:ascii="宋体"/>
              </w:rPr>
            </w:pPr>
          </w:p>
        </w:tc>
        <w:tc>
          <w:tcPr>
            <w:tcW w:w="0" w:type="auto"/>
            <w:shd w:val="clear" w:color="auto" w:fill="auto"/>
          </w:tcPr>
          <w:p w14:paraId="20AE2343" w14:textId="77777777" w:rsidR="00B626E7" w:rsidRDefault="00B626E7">
            <w:pPr>
              <w:rPr>
                <w:rFonts w:ascii="宋体"/>
              </w:rPr>
            </w:pPr>
          </w:p>
        </w:tc>
        <w:tc>
          <w:tcPr>
            <w:tcW w:w="0" w:type="auto"/>
            <w:shd w:val="clear" w:color="auto" w:fill="auto"/>
          </w:tcPr>
          <w:p w14:paraId="20AE2344" w14:textId="77777777" w:rsidR="00B626E7" w:rsidRDefault="00B626E7">
            <w:pPr>
              <w:rPr>
                <w:rFonts w:ascii="宋体"/>
              </w:rPr>
            </w:pPr>
          </w:p>
        </w:tc>
        <w:tc>
          <w:tcPr>
            <w:tcW w:w="0" w:type="auto"/>
            <w:shd w:val="clear" w:color="auto" w:fill="auto"/>
          </w:tcPr>
          <w:p w14:paraId="20AE2345" w14:textId="77777777" w:rsidR="00B626E7" w:rsidRDefault="00B626E7">
            <w:pPr>
              <w:rPr>
                <w:rFonts w:ascii="宋体"/>
              </w:rPr>
            </w:pPr>
          </w:p>
        </w:tc>
      </w:tr>
      <w:tr w:rsidR="00B626E7" w14:paraId="20AE2366" w14:textId="77777777">
        <w:tc>
          <w:tcPr>
            <w:tcW w:w="0" w:type="auto"/>
            <w:gridSpan w:val="3"/>
            <w:shd w:val="clear" w:color="auto" w:fill="auto"/>
            <w:tcMar>
              <w:top w:w="40" w:type="dxa"/>
              <w:left w:w="20" w:type="dxa"/>
              <w:bottom w:w="40" w:type="dxa"/>
              <w:right w:w="20" w:type="dxa"/>
            </w:tcMar>
            <w:vAlign w:val="bottom"/>
          </w:tcPr>
          <w:p w14:paraId="20AE2347" w14:textId="77777777" w:rsidR="00B626E7" w:rsidRDefault="00175C1D">
            <w:pPr>
              <w:textAlignment w:val="bottom"/>
            </w:pPr>
            <w:r>
              <w:rPr>
                <w:rFonts w:ascii="Arial" w:eastAsia="宋体" w:hAnsi="Arial" w:cs="Arial"/>
                <w:color w:val="333333"/>
                <w:sz w:val="18"/>
                <w:szCs w:val="18"/>
              </w:rPr>
              <w:t>Hedged items</w:t>
            </w:r>
          </w:p>
        </w:tc>
        <w:tc>
          <w:tcPr>
            <w:tcW w:w="0" w:type="auto"/>
            <w:gridSpan w:val="3"/>
            <w:shd w:val="clear" w:color="auto" w:fill="auto"/>
            <w:tcMar>
              <w:left w:w="20" w:type="dxa"/>
              <w:right w:w="20" w:type="dxa"/>
            </w:tcMar>
            <w:vAlign w:val="bottom"/>
          </w:tcPr>
          <w:p w14:paraId="20AE2348"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349" w14:textId="77777777" w:rsidR="00B626E7" w:rsidRDefault="00175C1D">
            <w:pPr>
              <w:jc w:val="right"/>
              <w:textAlignment w:val="bottom"/>
            </w:pPr>
            <w:r>
              <w:rPr>
                <w:rFonts w:ascii="Arial" w:eastAsia="宋体" w:hAnsi="Arial" w:cs="Arial"/>
                <w:color w:val="026DCE"/>
                <w:sz w:val="18"/>
                <w:szCs w:val="18"/>
              </w:rPr>
              <w:t>(78)</w:t>
            </w:r>
          </w:p>
        </w:tc>
        <w:tc>
          <w:tcPr>
            <w:tcW w:w="0" w:type="auto"/>
            <w:shd w:val="clear" w:color="auto" w:fill="auto"/>
            <w:tcMar>
              <w:top w:w="40" w:type="dxa"/>
              <w:bottom w:w="40" w:type="dxa"/>
              <w:right w:w="20" w:type="dxa"/>
            </w:tcMar>
            <w:vAlign w:val="bottom"/>
          </w:tcPr>
          <w:p w14:paraId="20AE234A"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234B"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34C" w14:textId="77777777" w:rsidR="00B626E7" w:rsidRDefault="00175C1D">
            <w:pPr>
              <w:jc w:val="right"/>
              <w:textAlignment w:val="bottom"/>
            </w:pPr>
            <w:r>
              <w:rPr>
                <w:rFonts w:ascii="Arial" w:eastAsia="宋体" w:hAnsi="Arial" w:cs="Arial"/>
                <w:color w:val="333333"/>
                <w:sz w:val="18"/>
                <w:szCs w:val="18"/>
              </w:rPr>
              <w:t>(554)</w:t>
            </w:r>
          </w:p>
        </w:tc>
        <w:tc>
          <w:tcPr>
            <w:tcW w:w="0" w:type="auto"/>
            <w:shd w:val="clear" w:color="auto" w:fill="auto"/>
            <w:tcMar>
              <w:top w:w="40" w:type="dxa"/>
              <w:bottom w:w="40" w:type="dxa"/>
              <w:right w:w="20" w:type="dxa"/>
            </w:tcMar>
            <w:vAlign w:val="bottom"/>
          </w:tcPr>
          <w:p w14:paraId="20AE234D"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234E"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34F" w14:textId="77777777" w:rsidR="00B626E7" w:rsidRDefault="00175C1D">
            <w:pPr>
              <w:jc w:val="right"/>
              <w:textAlignment w:val="bottom"/>
            </w:pPr>
            <w:r>
              <w:rPr>
                <w:rFonts w:ascii="Arial" w:eastAsia="宋体" w:hAnsi="Arial" w:cs="Arial"/>
                <w:color w:val="026DCE"/>
                <w:sz w:val="18"/>
                <w:szCs w:val="18"/>
              </w:rPr>
              <w:t>(1,032)</w:t>
            </w:r>
          </w:p>
        </w:tc>
        <w:tc>
          <w:tcPr>
            <w:tcW w:w="0" w:type="auto"/>
            <w:shd w:val="clear" w:color="auto" w:fill="auto"/>
            <w:tcMar>
              <w:top w:w="40" w:type="dxa"/>
              <w:bottom w:w="40" w:type="dxa"/>
              <w:right w:w="20" w:type="dxa"/>
            </w:tcMar>
            <w:vAlign w:val="bottom"/>
          </w:tcPr>
          <w:p w14:paraId="20AE2350"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2351"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352" w14:textId="77777777" w:rsidR="00B626E7" w:rsidRDefault="00175C1D">
            <w:pPr>
              <w:jc w:val="right"/>
              <w:textAlignment w:val="bottom"/>
            </w:pPr>
            <w:r>
              <w:rPr>
                <w:rFonts w:ascii="Arial" w:eastAsia="宋体" w:hAnsi="Arial" w:cs="Arial"/>
                <w:color w:val="333333"/>
                <w:sz w:val="18"/>
                <w:szCs w:val="18"/>
              </w:rPr>
              <w:t>(1,039)</w:t>
            </w:r>
          </w:p>
        </w:tc>
        <w:tc>
          <w:tcPr>
            <w:tcW w:w="0" w:type="auto"/>
            <w:shd w:val="clear" w:color="auto" w:fill="auto"/>
            <w:tcMar>
              <w:top w:w="40" w:type="dxa"/>
              <w:bottom w:w="40" w:type="dxa"/>
              <w:right w:w="20" w:type="dxa"/>
            </w:tcMar>
            <w:vAlign w:val="bottom"/>
          </w:tcPr>
          <w:p w14:paraId="20AE2353"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2354" w14:textId="77777777" w:rsidR="00B626E7" w:rsidRDefault="00B626E7">
            <w:pPr>
              <w:rPr>
                <w:rFonts w:ascii="宋体"/>
              </w:rPr>
            </w:pPr>
          </w:p>
        </w:tc>
        <w:tc>
          <w:tcPr>
            <w:tcW w:w="0" w:type="auto"/>
            <w:shd w:val="clear" w:color="auto" w:fill="auto"/>
          </w:tcPr>
          <w:p w14:paraId="20AE2355" w14:textId="77777777" w:rsidR="00B626E7" w:rsidRDefault="00B626E7">
            <w:pPr>
              <w:rPr>
                <w:rFonts w:ascii="宋体"/>
              </w:rPr>
            </w:pPr>
          </w:p>
        </w:tc>
        <w:tc>
          <w:tcPr>
            <w:tcW w:w="0" w:type="auto"/>
            <w:shd w:val="clear" w:color="auto" w:fill="auto"/>
          </w:tcPr>
          <w:p w14:paraId="20AE2356" w14:textId="77777777" w:rsidR="00B626E7" w:rsidRDefault="00B626E7">
            <w:pPr>
              <w:rPr>
                <w:rFonts w:ascii="宋体"/>
              </w:rPr>
            </w:pPr>
          </w:p>
        </w:tc>
        <w:tc>
          <w:tcPr>
            <w:tcW w:w="0" w:type="auto"/>
            <w:shd w:val="clear" w:color="auto" w:fill="auto"/>
          </w:tcPr>
          <w:p w14:paraId="20AE2357" w14:textId="77777777" w:rsidR="00B626E7" w:rsidRDefault="00B626E7">
            <w:pPr>
              <w:rPr>
                <w:rFonts w:ascii="宋体"/>
              </w:rPr>
            </w:pPr>
          </w:p>
        </w:tc>
        <w:tc>
          <w:tcPr>
            <w:tcW w:w="0" w:type="auto"/>
            <w:shd w:val="clear" w:color="auto" w:fill="auto"/>
          </w:tcPr>
          <w:p w14:paraId="20AE2358" w14:textId="77777777" w:rsidR="00B626E7" w:rsidRDefault="00B626E7">
            <w:pPr>
              <w:rPr>
                <w:rFonts w:ascii="宋体"/>
              </w:rPr>
            </w:pPr>
          </w:p>
        </w:tc>
        <w:tc>
          <w:tcPr>
            <w:tcW w:w="0" w:type="auto"/>
            <w:shd w:val="clear" w:color="auto" w:fill="auto"/>
          </w:tcPr>
          <w:p w14:paraId="20AE2359" w14:textId="77777777" w:rsidR="00B626E7" w:rsidRDefault="00B626E7">
            <w:pPr>
              <w:rPr>
                <w:rFonts w:ascii="宋体"/>
              </w:rPr>
            </w:pPr>
          </w:p>
        </w:tc>
        <w:tc>
          <w:tcPr>
            <w:tcW w:w="0" w:type="auto"/>
            <w:shd w:val="clear" w:color="auto" w:fill="auto"/>
          </w:tcPr>
          <w:p w14:paraId="20AE235A" w14:textId="77777777" w:rsidR="00B626E7" w:rsidRDefault="00B626E7">
            <w:pPr>
              <w:rPr>
                <w:rFonts w:ascii="宋体"/>
              </w:rPr>
            </w:pPr>
          </w:p>
        </w:tc>
        <w:tc>
          <w:tcPr>
            <w:tcW w:w="0" w:type="auto"/>
            <w:shd w:val="clear" w:color="auto" w:fill="auto"/>
          </w:tcPr>
          <w:p w14:paraId="20AE235B" w14:textId="77777777" w:rsidR="00B626E7" w:rsidRDefault="00B626E7">
            <w:pPr>
              <w:rPr>
                <w:rFonts w:ascii="宋体"/>
              </w:rPr>
            </w:pPr>
          </w:p>
        </w:tc>
        <w:tc>
          <w:tcPr>
            <w:tcW w:w="0" w:type="auto"/>
            <w:shd w:val="clear" w:color="auto" w:fill="auto"/>
          </w:tcPr>
          <w:p w14:paraId="20AE235C" w14:textId="77777777" w:rsidR="00B626E7" w:rsidRDefault="00B626E7">
            <w:pPr>
              <w:rPr>
                <w:rFonts w:ascii="宋体"/>
              </w:rPr>
            </w:pPr>
          </w:p>
        </w:tc>
        <w:tc>
          <w:tcPr>
            <w:tcW w:w="0" w:type="auto"/>
            <w:shd w:val="clear" w:color="auto" w:fill="auto"/>
          </w:tcPr>
          <w:p w14:paraId="20AE235D" w14:textId="77777777" w:rsidR="00B626E7" w:rsidRDefault="00B626E7">
            <w:pPr>
              <w:rPr>
                <w:rFonts w:ascii="宋体"/>
              </w:rPr>
            </w:pPr>
          </w:p>
        </w:tc>
        <w:tc>
          <w:tcPr>
            <w:tcW w:w="0" w:type="auto"/>
            <w:shd w:val="clear" w:color="auto" w:fill="auto"/>
          </w:tcPr>
          <w:p w14:paraId="20AE235E" w14:textId="77777777" w:rsidR="00B626E7" w:rsidRDefault="00B626E7">
            <w:pPr>
              <w:rPr>
                <w:rFonts w:ascii="宋体"/>
              </w:rPr>
            </w:pPr>
          </w:p>
        </w:tc>
        <w:tc>
          <w:tcPr>
            <w:tcW w:w="0" w:type="auto"/>
            <w:shd w:val="clear" w:color="auto" w:fill="auto"/>
          </w:tcPr>
          <w:p w14:paraId="20AE235F" w14:textId="77777777" w:rsidR="00B626E7" w:rsidRDefault="00B626E7">
            <w:pPr>
              <w:rPr>
                <w:rFonts w:ascii="宋体"/>
              </w:rPr>
            </w:pPr>
          </w:p>
        </w:tc>
        <w:tc>
          <w:tcPr>
            <w:tcW w:w="0" w:type="auto"/>
            <w:shd w:val="clear" w:color="auto" w:fill="auto"/>
          </w:tcPr>
          <w:p w14:paraId="20AE2360" w14:textId="77777777" w:rsidR="00B626E7" w:rsidRDefault="00B626E7">
            <w:pPr>
              <w:rPr>
                <w:rFonts w:ascii="宋体"/>
              </w:rPr>
            </w:pPr>
          </w:p>
        </w:tc>
        <w:tc>
          <w:tcPr>
            <w:tcW w:w="0" w:type="auto"/>
            <w:shd w:val="clear" w:color="auto" w:fill="auto"/>
          </w:tcPr>
          <w:p w14:paraId="20AE2361" w14:textId="77777777" w:rsidR="00B626E7" w:rsidRDefault="00B626E7">
            <w:pPr>
              <w:rPr>
                <w:rFonts w:ascii="宋体"/>
              </w:rPr>
            </w:pPr>
          </w:p>
        </w:tc>
        <w:tc>
          <w:tcPr>
            <w:tcW w:w="0" w:type="auto"/>
            <w:shd w:val="clear" w:color="auto" w:fill="auto"/>
          </w:tcPr>
          <w:p w14:paraId="20AE2362" w14:textId="77777777" w:rsidR="00B626E7" w:rsidRDefault="00B626E7">
            <w:pPr>
              <w:rPr>
                <w:rFonts w:ascii="宋体"/>
              </w:rPr>
            </w:pPr>
          </w:p>
        </w:tc>
        <w:tc>
          <w:tcPr>
            <w:tcW w:w="0" w:type="auto"/>
            <w:shd w:val="clear" w:color="auto" w:fill="auto"/>
          </w:tcPr>
          <w:p w14:paraId="20AE2363" w14:textId="77777777" w:rsidR="00B626E7" w:rsidRDefault="00B626E7">
            <w:pPr>
              <w:rPr>
                <w:rFonts w:ascii="宋体"/>
              </w:rPr>
            </w:pPr>
          </w:p>
        </w:tc>
        <w:tc>
          <w:tcPr>
            <w:tcW w:w="0" w:type="auto"/>
            <w:shd w:val="clear" w:color="auto" w:fill="auto"/>
          </w:tcPr>
          <w:p w14:paraId="20AE2364" w14:textId="77777777" w:rsidR="00B626E7" w:rsidRDefault="00B626E7">
            <w:pPr>
              <w:rPr>
                <w:rFonts w:ascii="宋体"/>
              </w:rPr>
            </w:pPr>
          </w:p>
        </w:tc>
        <w:tc>
          <w:tcPr>
            <w:tcW w:w="0" w:type="auto"/>
            <w:shd w:val="clear" w:color="auto" w:fill="auto"/>
          </w:tcPr>
          <w:p w14:paraId="20AE2365" w14:textId="77777777" w:rsidR="00B626E7" w:rsidRDefault="00B626E7">
            <w:pPr>
              <w:rPr>
                <w:rFonts w:ascii="宋体"/>
              </w:rPr>
            </w:pPr>
          </w:p>
        </w:tc>
      </w:tr>
      <w:tr w:rsidR="00B626E7" w14:paraId="20AE238A" w14:textId="77777777">
        <w:tc>
          <w:tcPr>
            <w:tcW w:w="0" w:type="auto"/>
            <w:gridSpan w:val="3"/>
            <w:shd w:val="clear" w:color="auto" w:fill="auto"/>
            <w:tcMar>
              <w:top w:w="40" w:type="dxa"/>
              <w:left w:w="20" w:type="dxa"/>
              <w:bottom w:w="40" w:type="dxa"/>
              <w:right w:w="20" w:type="dxa"/>
            </w:tcMar>
          </w:tcPr>
          <w:p w14:paraId="20AE2367" w14:textId="77777777" w:rsidR="00B626E7" w:rsidRDefault="00175C1D">
            <w:pPr>
              <w:ind w:hanging="180"/>
              <w:textAlignment w:val="top"/>
            </w:pPr>
            <w:r>
              <w:rPr>
                <w:rFonts w:ascii="Arial" w:eastAsia="宋体" w:hAnsi="Arial" w:cs="Arial"/>
                <w:b/>
                <w:bCs/>
                <w:color w:val="333333"/>
                <w:sz w:val="18"/>
                <w:szCs w:val="18"/>
              </w:rPr>
              <w:t>Total</w:t>
            </w:r>
          </w:p>
        </w:tc>
        <w:tc>
          <w:tcPr>
            <w:tcW w:w="0" w:type="auto"/>
            <w:gridSpan w:val="3"/>
            <w:shd w:val="clear" w:color="auto" w:fill="auto"/>
            <w:tcMar>
              <w:left w:w="20" w:type="dxa"/>
              <w:right w:w="20" w:type="dxa"/>
            </w:tcMar>
            <w:vAlign w:val="bottom"/>
          </w:tcPr>
          <w:p w14:paraId="20AE2368"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2369" w14:textId="77777777" w:rsidR="00B626E7" w:rsidRDefault="00175C1D">
            <w:pPr>
              <w:textAlignment w:val="bottom"/>
            </w:pPr>
            <w:r>
              <w:rPr>
                <w:rFonts w:ascii="Arial" w:eastAsia="宋体" w:hAnsi="Arial" w:cs="Arial"/>
                <w:b/>
                <w:bCs/>
                <w:color w:val="026DCE"/>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236A" w14:textId="77777777" w:rsidR="00B626E7" w:rsidRDefault="00175C1D">
            <w:pPr>
              <w:jc w:val="right"/>
              <w:textAlignment w:val="bottom"/>
            </w:pPr>
            <w:r>
              <w:rPr>
                <w:rFonts w:ascii="Arial" w:eastAsia="宋体" w:hAnsi="Arial" w:cs="Arial"/>
                <w:b/>
                <w:bCs/>
                <w:color w:val="026DCE"/>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236B"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236C"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236D"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236E" w14:textId="77777777" w:rsidR="00B626E7" w:rsidRDefault="00175C1D">
            <w:pPr>
              <w:jc w:val="right"/>
              <w:textAlignment w:val="bottom"/>
            </w:pPr>
            <w:r>
              <w:rPr>
                <w:rFonts w:ascii="Arial" w:eastAsia="宋体" w:hAnsi="Arial" w:cs="Arial"/>
                <w:b/>
                <w:bCs/>
                <w:color w:val="333333"/>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236F"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2370"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2371" w14:textId="77777777" w:rsidR="00B626E7" w:rsidRDefault="00175C1D">
            <w:pPr>
              <w:textAlignment w:val="bottom"/>
            </w:pPr>
            <w:r>
              <w:rPr>
                <w:rFonts w:ascii="Arial" w:eastAsia="宋体" w:hAnsi="Arial" w:cs="Arial"/>
                <w:b/>
                <w:bCs/>
                <w:color w:val="026DCE"/>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2372" w14:textId="77777777" w:rsidR="00B626E7" w:rsidRDefault="00175C1D">
            <w:pPr>
              <w:jc w:val="right"/>
              <w:textAlignment w:val="bottom"/>
            </w:pPr>
            <w:r>
              <w:rPr>
                <w:rFonts w:ascii="Arial" w:eastAsia="宋体" w:hAnsi="Arial" w:cs="Arial"/>
                <w:b/>
                <w:bCs/>
                <w:color w:val="026DCE"/>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2373"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2374"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2375"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2376" w14:textId="77777777" w:rsidR="00B626E7" w:rsidRDefault="00175C1D">
            <w:pPr>
              <w:jc w:val="right"/>
              <w:textAlignment w:val="bottom"/>
            </w:pPr>
            <w:r>
              <w:rPr>
                <w:rFonts w:ascii="Arial" w:eastAsia="宋体" w:hAnsi="Arial" w:cs="Arial"/>
                <w:b/>
                <w:bCs/>
                <w:color w:val="333333"/>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2377"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E2378" w14:textId="77777777" w:rsidR="00B626E7" w:rsidRDefault="00B626E7">
            <w:pPr>
              <w:rPr>
                <w:rFonts w:ascii="宋体"/>
              </w:rPr>
            </w:pPr>
          </w:p>
        </w:tc>
        <w:tc>
          <w:tcPr>
            <w:tcW w:w="0" w:type="auto"/>
            <w:shd w:val="clear" w:color="auto" w:fill="auto"/>
          </w:tcPr>
          <w:p w14:paraId="20AE2379" w14:textId="77777777" w:rsidR="00B626E7" w:rsidRDefault="00B626E7">
            <w:pPr>
              <w:rPr>
                <w:rFonts w:ascii="宋体"/>
              </w:rPr>
            </w:pPr>
          </w:p>
        </w:tc>
        <w:tc>
          <w:tcPr>
            <w:tcW w:w="0" w:type="auto"/>
            <w:shd w:val="clear" w:color="auto" w:fill="auto"/>
          </w:tcPr>
          <w:p w14:paraId="20AE237A" w14:textId="77777777" w:rsidR="00B626E7" w:rsidRDefault="00B626E7">
            <w:pPr>
              <w:rPr>
                <w:rFonts w:ascii="宋体"/>
              </w:rPr>
            </w:pPr>
          </w:p>
        </w:tc>
        <w:tc>
          <w:tcPr>
            <w:tcW w:w="0" w:type="auto"/>
            <w:shd w:val="clear" w:color="auto" w:fill="auto"/>
          </w:tcPr>
          <w:p w14:paraId="20AE237B" w14:textId="77777777" w:rsidR="00B626E7" w:rsidRDefault="00B626E7">
            <w:pPr>
              <w:rPr>
                <w:rFonts w:ascii="宋体"/>
              </w:rPr>
            </w:pPr>
          </w:p>
        </w:tc>
        <w:tc>
          <w:tcPr>
            <w:tcW w:w="0" w:type="auto"/>
            <w:shd w:val="clear" w:color="auto" w:fill="auto"/>
          </w:tcPr>
          <w:p w14:paraId="20AE237C" w14:textId="77777777" w:rsidR="00B626E7" w:rsidRDefault="00B626E7">
            <w:pPr>
              <w:rPr>
                <w:rFonts w:ascii="宋体"/>
              </w:rPr>
            </w:pPr>
          </w:p>
        </w:tc>
        <w:tc>
          <w:tcPr>
            <w:tcW w:w="0" w:type="auto"/>
            <w:shd w:val="clear" w:color="auto" w:fill="auto"/>
          </w:tcPr>
          <w:p w14:paraId="20AE237D" w14:textId="77777777" w:rsidR="00B626E7" w:rsidRDefault="00B626E7">
            <w:pPr>
              <w:rPr>
                <w:rFonts w:ascii="宋体"/>
              </w:rPr>
            </w:pPr>
          </w:p>
        </w:tc>
        <w:tc>
          <w:tcPr>
            <w:tcW w:w="0" w:type="auto"/>
            <w:shd w:val="clear" w:color="auto" w:fill="auto"/>
          </w:tcPr>
          <w:p w14:paraId="20AE237E" w14:textId="77777777" w:rsidR="00B626E7" w:rsidRDefault="00B626E7">
            <w:pPr>
              <w:rPr>
                <w:rFonts w:ascii="宋体"/>
              </w:rPr>
            </w:pPr>
          </w:p>
        </w:tc>
        <w:tc>
          <w:tcPr>
            <w:tcW w:w="0" w:type="auto"/>
            <w:shd w:val="clear" w:color="auto" w:fill="auto"/>
          </w:tcPr>
          <w:p w14:paraId="20AE237F" w14:textId="77777777" w:rsidR="00B626E7" w:rsidRDefault="00B626E7">
            <w:pPr>
              <w:rPr>
                <w:rFonts w:ascii="宋体"/>
              </w:rPr>
            </w:pPr>
          </w:p>
        </w:tc>
        <w:tc>
          <w:tcPr>
            <w:tcW w:w="0" w:type="auto"/>
            <w:shd w:val="clear" w:color="auto" w:fill="auto"/>
          </w:tcPr>
          <w:p w14:paraId="20AE2380" w14:textId="77777777" w:rsidR="00B626E7" w:rsidRDefault="00B626E7">
            <w:pPr>
              <w:rPr>
                <w:rFonts w:ascii="宋体"/>
              </w:rPr>
            </w:pPr>
          </w:p>
        </w:tc>
        <w:tc>
          <w:tcPr>
            <w:tcW w:w="0" w:type="auto"/>
            <w:shd w:val="clear" w:color="auto" w:fill="auto"/>
          </w:tcPr>
          <w:p w14:paraId="20AE2381" w14:textId="77777777" w:rsidR="00B626E7" w:rsidRDefault="00B626E7">
            <w:pPr>
              <w:rPr>
                <w:rFonts w:ascii="宋体"/>
              </w:rPr>
            </w:pPr>
          </w:p>
        </w:tc>
        <w:tc>
          <w:tcPr>
            <w:tcW w:w="0" w:type="auto"/>
            <w:shd w:val="clear" w:color="auto" w:fill="auto"/>
          </w:tcPr>
          <w:p w14:paraId="20AE2382" w14:textId="77777777" w:rsidR="00B626E7" w:rsidRDefault="00B626E7">
            <w:pPr>
              <w:rPr>
                <w:rFonts w:ascii="宋体"/>
              </w:rPr>
            </w:pPr>
          </w:p>
        </w:tc>
        <w:tc>
          <w:tcPr>
            <w:tcW w:w="0" w:type="auto"/>
            <w:shd w:val="clear" w:color="auto" w:fill="auto"/>
          </w:tcPr>
          <w:p w14:paraId="20AE2383" w14:textId="77777777" w:rsidR="00B626E7" w:rsidRDefault="00B626E7">
            <w:pPr>
              <w:rPr>
                <w:rFonts w:ascii="宋体"/>
              </w:rPr>
            </w:pPr>
          </w:p>
        </w:tc>
        <w:tc>
          <w:tcPr>
            <w:tcW w:w="0" w:type="auto"/>
            <w:shd w:val="clear" w:color="auto" w:fill="auto"/>
          </w:tcPr>
          <w:p w14:paraId="20AE2384" w14:textId="77777777" w:rsidR="00B626E7" w:rsidRDefault="00B626E7">
            <w:pPr>
              <w:rPr>
                <w:rFonts w:ascii="宋体"/>
              </w:rPr>
            </w:pPr>
          </w:p>
        </w:tc>
        <w:tc>
          <w:tcPr>
            <w:tcW w:w="0" w:type="auto"/>
            <w:shd w:val="clear" w:color="auto" w:fill="auto"/>
          </w:tcPr>
          <w:p w14:paraId="20AE2385" w14:textId="77777777" w:rsidR="00B626E7" w:rsidRDefault="00B626E7">
            <w:pPr>
              <w:rPr>
                <w:rFonts w:ascii="宋体"/>
              </w:rPr>
            </w:pPr>
          </w:p>
        </w:tc>
        <w:tc>
          <w:tcPr>
            <w:tcW w:w="0" w:type="auto"/>
            <w:shd w:val="clear" w:color="auto" w:fill="auto"/>
          </w:tcPr>
          <w:p w14:paraId="20AE2386" w14:textId="77777777" w:rsidR="00B626E7" w:rsidRDefault="00B626E7">
            <w:pPr>
              <w:rPr>
                <w:rFonts w:ascii="宋体"/>
              </w:rPr>
            </w:pPr>
          </w:p>
        </w:tc>
        <w:tc>
          <w:tcPr>
            <w:tcW w:w="0" w:type="auto"/>
            <w:shd w:val="clear" w:color="auto" w:fill="auto"/>
          </w:tcPr>
          <w:p w14:paraId="20AE2387" w14:textId="77777777" w:rsidR="00B626E7" w:rsidRDefault="00B626E7">
            <w:pPr>
              <w:rPr>
                <w:rFonts w:ascii="宋体"/>
              </w:rPr>
            </w:pPr>
          </w:p>
        </w:tc>
        <w:tc>
          <w:tcPr>
            <w:tcW w:w="0" w:type="auto"/>
            <w:shd w:val="clear" w:color="auto" w:fill="auto"/>
          </w:tcPr>
          <w:p w14:paraId="20AE2388" w14:textId="77777777" w:rsidR="00B626E7" w:rsidRDefault="00B626E7">
            <w:pPr>
              <w:rPr>
                <w:rFonts w:ascii="宋体"/>
              </w:rPr>
            </w:pPr>
          </w:p>
        </w:tc>
        <w:tc>
          <w:tcPr>
            <w:tcW w:w="0" w:type="auto"/>
            <w:shd w:val="clear" w:color="auto" w:fill="auto"/>
          </w:tcPr>
          <w:p w14:paraId="20AE2389" w14:textId="77777777" w:rsidR="00B626E7" w:rsidRDefault="00B626E7">
            <w:pPr>
              <w:rPr>
                <w:rFonts w:ascii="宋体"/>
              </w:rPr>
            </w:pPr>
          </w:p>
        </w:tc>
      </w:tr>
    </w:tbl>
    <w:p w14:paraId="20AE238B" w14:textId="77777777" w:rsidR="00B626E7" w:rsidRDefault="00175C1D">
      <w:pPr>
        <w:spacing w:before="180" w:after="120"/>
      </w:pPr>
      <w:r>
        <w:rPr>
          <w:rFonts w:ascii="Arial" w:eastAsia="宋体" w:hAnsi="Arial" w:cs="Arial"/>
          <w:color w:val="333333"/>
          <w:sz w:val="18"/>
          <w:szCs w:val="18"/>
        </w:rPr>
        <w:t>The amounts recorded on the Consolidated Condensed Ba</w:t>
      </w:r>
      <w:r>
        <w:rPr>
          <w:rFonts w:ascii="Arial" w:eastAsia="宋体" w:hAnsi="Arial" w:cs="Arial"/>
          <w:color w:val="333333"/>
          <w:sz w:val="18"/>
          <w:szCs w:val="18"/>
        </w:rPr>
        <w:t>lance Sheets related to cumulative basis adjustments for fair value hedges for each period were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2785"/>
        <w:gridCol w:w="36"/>
        <w:gridCol w:w="36"/>
        <w:gridCol w:w="36"/>
        <w:gridCol w:w="36"/>
        <w:gridCol w:w="136"/>
        <w:gridCol w:w="686"/>
        <w:gridCol w:w="86"/>
        <w:gridCol w:w="36"/>
        <w:gridCol w:w="36"/>
        <w:gridCol w:w="36"/>
        <w:gridCol w:w="136"/>
        <w:gridCol w:w="686"/>
        <w:gridCol w:w="86"/>
        <w:gridCol w:w="36"/>
        <w:gridCol w:w="36"/>
        <w:gridCol w:w="36"/>
        <w:gridCol w:w="136"/>
        <w:gridCol w:w="586"/>
        <w:gridCol w:w="86"/>
        <w:gridCol w:w="36"/>
        <w:gridCol w:w="36"/>
        <w:gridCol w:w="36"/>
        <w:gridCol w:w="136"/>
        <w:gridCol w:w="436"/>
        <w:gridCol w:w="86"/>
        <w:gridCol w:w="360"/>
        <w:gridCol w:w="360"/>
        <w:gridCol w:w="360"/>
        <w:gridCol w:w="360"/>
        <w:gridCol w:w="36"/>
        <w:gridCol w:w="36"/>
        <w:gridCol w:w="36"/>
        <w:gridCol w:w="36"/>
        <w:gridCol w:w="36"/>
        <w:gridCol w:w="36"/>
        <w:gridCol w:w="36"/>
        <w:gridCol w:w="36"/>
        <w:gridCol w:w="36"/>
      </w:tblGrid>
      <w:tr w:rsidR="00B626E7" w14:paraId="20AE23A8" w14:textId="77777777">
        <w:trPr>
          <w:gridAfter w:val="12"/>
        </w:trPr>
        <w:tc>
          <w:tcPr>
            <w:tcW w:w="50" w:type="pct"/>
            <w:shd w:val="clear" w:color="auto" w:fill="auto"/>
          </w:tcPr>
          <w:p w14:paraId="20AE238C" w14:textId="77777777" w:rsidR="00B626E7" w:rsidRDefault="00B626E7">
            <w:pPr>
              <w:rPr>
                <w:rFonts w:ascii="宋体"/>
              </w:rPr>
            </w:pPr>
          </w:p>
        </w:tc>
        <w:tc>
          <w:tcPr>
            <w:tcW w:w="2386" w:type="pct"/>
            <w:shd w:val="clear" w:color="auto" w:fill="auto"/>
          </w:tcPr>
          <w:p w14:paraId="20AE238D" w14:textId="77777777" w:rsidR="00B626E7" w:rsidRDefault="00B626E7">
            <w:pPr>
              <w:rPr>
                <w:rFonts w:ascii="宋体"/>
              </w:rPr>
            </w:pPr>
          </w:p>
        </w:tc>
        <w:tc>
          <w:tcPr>
            <w:tcW w:w="50" w:type="pct"/>
            <w:shd w:val="clear" w:color="auto" w:fill="auto"/>
          </w:tcPr>
          <w:p w14:paraId="20AE238E" w14:textId="77777777" w:rsidR="00B626E7" w:rsidRDefault="00B626E7">
            <w:pPr>
              <w:rPr>
                <w:rFonts w:ascii="宋体"/>
              </w:rPr>
            </w:pPr>
          </w:p>
        </w:tc>
        <w:tc>
          <w:tcPr>
            <w:tcW w:w="5" w:type="pct"/>
            <w:shd w:val="clear" w:color="auto" w:fill="auto"/>
          </w:tcPr>
          <w:p w14:paraId="20AE238F" w14:textId="77777777" w:rsidR="00B626E7" w:rsidRDefault="00B626E7">
            <w:pPr>
              <w:rPr>
                <w:rFonts w:ascii="宋体"/>
              </w:rPr>
            </w:pPr>
          </w:p>
        </w:tc>
        <w:tc>
          <w:tcPr>
            <w:tcW w:w="24" w:type="pct"/>
            <w:shd w:val="clear" w:color="auto" w:fill="auto"/>
          </w:tcPr>
          <w:p w14:paraId="20AE2390" w14:textId="77777777" w:rsidR="00B626E7" w:rsidRDefault="00B626E7">
            <w:pPr>
              <w:rPr>
                <w:rFonts w:ascii="宋体"/>
              </w:rPr>
            </w:pPr>
          </w:p>
        </w:tc>
        <w:tc>
          <w:tcPr>
            <w:tcW w:w="5" w:type="pct"/>
            <w:shd w:val="clear" w:color="auto" w:fill="auto"/>
          </w:tcPr>
          <w:p w14:paraId="20AE2391" w14:textId="77777777" w:rsidR="00B626E7" w:rsidRDefault="00B626E7">
            <w:pPr>
              <w:rPr>
                <w:rFonts w:ascii="宋体"/>
              </w:rPr>
            </w:pPr>
          </w:p>
        </w:tc>
        <w:tc>
          <w:tcPr>
            <w:tcW w:w="50" w:type="pct"/>
            <w:shd w:val="clear" w:color="auto" w:fill="auto"/>
          </w:tcPr>
          <w:p w14:paraId="20AE2392" w14:textId="77777777" w:rsidR="00B626E7" w:rsidRDefault="00B626E7">
            <w:pPr>
              <w:rPr>
                <w:rFonts w:ascii="宋体"/>
              </w:rPr>
            </w:pPr>
          </w:p>
        </w:tc>
        <w:tc>
          <w:tcPr>
            <w:tcW w:w="494" w:type="pct"/>
            <w:shd w:val="clear" w:color="auto" w:fill="auto"/>
          </w:tcPr>
          <w:p w14:paraId="20AE2393" w14:textId="77777777" w:rsidR="00B626E7" w:rsidRDefault="00B626E7">
            <w:pPr>
              <w:rPr>
                <w:rFonts w:ascii="宋体"/>
              </w:rPr>
            </w:pPr>
          </w:p>
        </w:tc>
        <w:tc>
          <w:tcPr>
            <w:tcW w:w="50" w:type="pct"/>
            <w:shd w:val="clear" w:color="auto" w:fill="auto"/>
          </w:tcPr>
          <w:p w14:paraId="20AE2394" w14:textId="77777777" w:rsidR="00B626E7" w:rsidRDefault="00B626E7">
            <w:pPr>
              <w:rPr>
                <w:rFonts w:ascii="宋体"/>
              </w:rPr>
            </w:pPr>
          </w:p>
        </w:tc>
        <w:tc>
          <w:tcPr>
            <w:tcW w:w="5" w:type="pct"/>
            <w:shd w:val="clear" w:color="auto" w:fill="auto"/>
          </w:tcPr>
          <w:p w14:paraId="20AE2395" w14:textId="77777777" w:rsidR="00B626E7" w:rsidRDefault="00B626E7">
            <w:pPr>
              <w:rPr>
                <w:rFonts w:ascii="宋体"/>
              </w:rPr>
            </w:pPr>
          </w:p>
        </w:tc>
        <w:tc>
          <w:tcPr>
            <w:tcW w:w="24" w:type="pct"/>
            <w:shd w:val="clear" w:color="auto" w:fill="auto"/>
          </w:tcPr>
          <w:p w14:paraId="20AE2396" w14:textId="77777777" w:rsidR="00B626E7" w:rsidRDefault="00B626E7">
            <w:pPr>
              <w:rPr>
                <w:rFonts w:ascii="宋体"/>
              </w:rPr>
            </w:pPr>
          </w:p>
        </w:tc>
        <w:tc>
          <w:tcPr>
            <w:tcW w:w="5" w:type="pct"/>
            <w:shd w:val="clear" w:color="auto" w:fill="auto"/>
          </w:tcPr>
          <w:p w14:paraId="20AE2397" w14:textId="77777777" w:rsidR="00B626E7" w:rsidRDefault="00B626E7">
            <w:pPr>
              <w:rPr>
                <w:rFonts w:ascii="宋体"/>
              </w:rPr>
            </w:pPr>
          </w:p>
        </w:tc>
        <w:tc>
          <w:tcPr>
            <w:tcW w:w="50" w:type="pct"/>
            <w:shd w:val="clear" w:color="auto" w:fill="auto"/>
          </w:tcPr>
          <w:p w14:paraId="20AE2398" w14:textId="77777777" w:rsidR="00B626E7" w:rsidRDefault="00B626E7">
            <w:pPr>
              <w:rPr>
                <w:rFonts w:ascii="宋体"/>
              </w:rPr>
            </w:pPr>
          </w:p>
        </w:tc>
        <w:tc>
          <w:tcPr>
            <w:tcW w:w="494" w:type="pct"/>
            <w:shd w:val="clear" w:color="auto" w:fill="auto"/>
          </w:tcPr>
          <w:p w14:paraId="20AE2399" w14:textId="77777777" w:rsidR="00B626E7" w:rsidRDefault="00B626E7">
            <w:pPr>
              <w:rPr>
                <w:rFonts w:ascii="宋体"/>
              </w:rPr>
            </w:pPr>
          </w:p>
        </w:tc>
        <w:tc>
          <w:tcPr>
            <w:tcW w:w="50" w:type="pct"/>
            <w:shd w:val="clear" w:color="auto" w:fill="auto"/>
          </w:tcPr>
          <w:p w14:paraId="20AE239A" w14:textId="77777777" w:rsidR="00B626E7" w:rsidRDefault="00B626E7">
            <w:pPr>
              <w:rPr>
                <w:rFonts w:ascii="宋体"/>
              </w:rPr>
            </w:pPr>
          </w:p>
        </w:tc>
        <w:tc>
          <w:tcPr>
            <w:tcW w:w="5" w:type="pct"/>
            <w:shd w:val="clear" w:color="auto" w:fill="auto"/>
          </w:tcPr>
          <w:p w14:paraId="20AE239B" w14:textId="77777777" w:rsidR="00B626E7" w:rsidRDefault="00B626E7">
            <w:pPr>
              <w:rPr>
                <w:rFonts w:ascii="宋体"/>
              </w:rPr>
            </w:pPr>
          </w:p>
        </w:tc>
        <w:tc>
          <w:tcPr>
            <w:tcW w:w="24" w:type="pct"/>
            <w:shd w:val="clear" w:color="auto" w:fill="auto"/>
          </w:tcPr>
          <w:p w14:paraId="20AE239C" w14:textId="77777777" w:rsidR="00B626E7" w:rsidRDefault="00B626E7">
            <w:pPr>
              <w:rPr>
                <w:rFonts w:ascii="宋体"/>
              </w:rPr>
            </w:pPr>
          </w:p>
        </w:tc>
        <w:tc>
          <w:tcPr>
            <w:tcW w:w="5" w:type="pct"/>
            <w:shd w:val="clear" w:color="auto" w:fill="auto"/>
          </w:tcPr>
          <w:p w14:paraId="20AE239D" w14:textId="77777777" w:rsidR="00B626E7" w:rsidRDefault="00B626E7">
            <w:pPr>
              <w:rPr>
                <w:rFonts w:ascii="宋体"/>
              </w:rPr>
            </w:pPr>
          </w:p>
        </w:tc>
        <w:tc>
          <w:tcPr>
            <w:tcW w:w="50" w:type="pct"/>
            <w:shd w:val="clear" w:color="auto" w:fill="auto"/>
          </w:tcPr>
          <w:p w14:paraId="20AE239E" w14:textId="77777777" w:rsidR="00B626E7" w:rsidRDefault="00B626E7">
            <w:pPr>
              <w:rPr>
                <w:rFonts w:ascii="宋体"/>
              </w:rPr>
            </w:pPr>
          </w:p>
        </w:tc>
        <w:tc>
          <w:tcPr>
            <w:tcW w:w="494" w:type="pct"/>
            <w:shd w:val="clear" w:color="auto" w:fill="auto"/>
          </w:tcPr>
          <w:p w14:paraId="20AE239F" w14:textId="77777777" w:rsidR="00B626E7" w:rsidRDefault="00B626E7">
            <w:pPr>
              <w:rPr>
                <w:rFonts w:ascii="宋体"/>
              </w:rPr>
            </w:pPr>
          </w:p>
        </w:tc>
        <w:tc>
          <w:tcPr>
            <w:tcW w:w="50" w:type="pct"/>
            <w:shd w:val="clear" w:color="auto" w:fill="auto"/>
          </w:tcPr>
          <w:p w14:paraId="20AE23A0" w14:textId="77777777" w:rsidR="00B626E7" w:rsidRDefault="00B626E7">
            <w:pPr>
              <w:rPr>
                <w:rFonts w:ascii="宋体"/>
              </w:rPr>
            </w:pPr>
          </w:p>
        </w:tc>
        <w:tc>
          <w:tcPr>
            <w:tcW w:w="5" w:type="pct"/>
            <w:shd w:val="clear" w:color="auto" w:fill="auto"/>
          </w:tcPr>
          <w:p w14:paraId="20AE23A1" w14:textId="77777777" w:rsidR="00B626E7" w:rsidRDefault="00B626E7">
            <w:pPr>
              <w:rPr>
                <w:rFonts w:ascii="宋体"/>
              </w:rPr>
            </w:pPr>
          </w:p>
        </w:tc>
        <w:tc>
          <w:tcPr>
            <w:tcW w:w="24" w:type="pct"/>
            <w:shd w:val="clear" w:color="auto" w:fill="auto"/>
          </w:tcPr>
          <w:p w14:paraId="20AE23A2" w14:textId="77777777" w:rsidR="00B626E7" w:rsidRDefault="00B626E7">
            <w:pPr>
              <w:rPr>
                <w:rFonts w:ascii="宋体"/>
              </w:rPr>
            </w:pPr>
          </w:p>
        </w:tc>
        <w:tc>
          <w:tcPr>
            <w:tcW w:w="5" w:type="pct"/>
            <w:shd w:val="clear" w:color="auto" w:fill="auto"/>
          </w:tcPr>
          <w:p w14:paraId="20AE23A3" w14:textId="77777777" w:rsidR="00B626E7" w:rsidRDefault="00B626E7">
            <w:pPr>
              <w:rPr>
                <w:rFonts w:ascii="宋体"/>
              </w:rPr>
            </w:pPr>
          </w:p>
        </w:tc>
        <w:tc>
          <w:tcPr>
            <w:tcW w:w="50" w:type="pct"/>
            <w:shd w:val="clear" w:color="auto" w:fill="auto"/>
          </w:tcPr>
          <w:p w14:paraId="20AE23A4" w14:textId="77777777" w:rsidR="00B626E7" w:rsidRDefault="00B626E7">
            <w:pPr>
              <w:rPr>
                <w:rFonts w:ascii="宋体"/>
              </w:rPr>
            </w:pPr>
          </w:p>
        </w:tc>
        <w:tc>
          <w:tcPr>
            <w:tcW w:w="494" w:type="pct"/>
            <w:shd w:val="clear" w:color="auto" w:fill="auto"/>
          </w:tcPr>
          <w:p w14:paraId="20AE23A5" w14:textId="77777777" w:rsidR="00B626E7" w:rsidRDefault="00B626E7">
            <w:pPr>
              <w:rPr>
                <w:rFonts w:ascii="宋体"/>
              </w:rPr>
            </w:pPr>
          </w:p>
        </w:tc>
        <w:tc>
          <w:tcPr>
            <w:tcW w:w="50" w:type="pct"/>
            <w:shd w:val="clear" w:color="auto" w:fill="auto"/>
          </w:tcPr>
          <w:p w14:paraId="20AE23A6" w14:textId="77777777" w:rsidR="00B626E7" w:rsidRDefault="00B626E7">
            <w:pPr>
              <w:rPr>
                <w:rFonts w:ascii="宋体"/>
              </w:rPr>
            </w:pPr>
          </w:p>
        </w:tc>
        <w:tc>
          <w:tcPr>
            <w:tcW w:w="0" w:type="auto"/>
            <w:shd w:val="clear" w:color="auto" w:fill="auto"/>
          </w:tcPr>
          <w:p w14:paraId="20AE23A7" w14:textId="77777777" w:rsidR="00B626E7" w:rsidRDefault="00B626E7">
            <w:pPr>
              <w:rPr>
                <w:rFonts w:ascii="宋体"/>
                <w:vanish/>
              </w:rPr>
            </w:pPr>
          </w:p>
        </w:tc>
      </w:tr>
      <w:tr w:rsidR="00B626E7" w14:paraId="20AE23B3" w14:textId="77777777">
        <w:tc>
          <w:tcPr>
            <w:tcW w:w="0" w:type="auto"/>
            <w:gridSpan w:val="3"/>
            <w:shd w:val="clear" w:color="auto" w:fill="auto"/>
            <w:tcMar>
              <w:top w:w="40" w:type="dxa"/>
              <w:left w:w="20" w:type="dxa"/>
              <w:bottom w:w="40" w:type="dxa"/>
              <w:right w:w="20" w:type="dxa"/>
            </w:tcMar>
            <w:vAlign w:val="bottom"/>
          </w:tcPr>
          <w:p w14:paraId="20AE23A9" w14:textId="77777777" w:rsidR="00B626E7" w:rsidRDefault="00175C1D">
            <w:pPr>
              <w:textAlignment w:val="bottom"/>
            </w:pPr>
            <w:r>
              <w:rPr>
                <w:rFonts w:ascii="Arial" w:eastAsia="宋体" w:hAnsi="Arial" w:cs="Arial"/>
                <w:b/>
                <w:bCs/>
                <w:color w:val="333333"/>
                <w:sz w:val="18"/>
                <w:szCs w:val="18"/>
              </w:rPr>
              <w:t>Line Item in the Consolidated Condensed Balance Sheet in Which the Hedged Item is Included</w:t>
            </w:r>
          </w:p>
        </w:tc>
        <w:tc>
          <w:tcPr>
            <w:tcW w:w="0" w:type="auto"/>
            <w:gridSpan w:val="3"/>
            <w:shd w:val="clear" w:color="auto" w:fill="auto"/>
            <w:tcMar>
              <w:left w:w="20" w:type="dxa"/>
              <w:right w:w="20" w:type="dxa"/>
            </w:tcMar>
            <w:vAlign w:val="bottom"/>
          </w:tcPr>
          <w:p w14:paraId="20AE23AA" w14:textId="77777777" w:rsidR="00B626E7" w:rsidRDefault="00B626E7">
            <w:pPr>
              <w:rPr>
                <w:rFonts w:ascii="宋体"/>
              </w:rPr>
            </w:pPr>
          </w:p>
        </w:tc>
        <w:tc>
          <w:tcPr>
            <w:tcW w:w="0" w:type="auto"/>
            <w:gridSpan w:val="9"/>
            <w:shd w:val="clear" w:color="auto" w:fill="auto"/>
            <w:tcMar>
              <w:top w:w="40" w:type="dxa"/>
              <w:left w:w="20" w:type="dxa"/>
              <w:bottom w:w="40" w:type="dxa"/>
              <w:right w:w="20" w:type="dxa"/>
            </w:tcMar>
            <w:vAlign w:val="bottom"/>
          </w:tcPr>
          <w:p w14:paraId="20AE23AB" w14:textId="77777777" w:rsidR="00B626E7" w:rsidRDefault="00175C1D">
            <w:pPr>
              <w:jc w:val="center"/>
              <w:textAlignment w:val="bottom"/>
            </w:pPr>
            <w:r>
              <w:rPr>
                <w:rFonts w:ascii="Arial" w:eastAsia="宋体" w:hAnsi="Arial" w:cs="Arial"/>
                <w:b/>
                <w:bCs/>
                <w:color w:val="333333"/>
                <w:sz w:val="18"/>
                <w:szCs w:val="18"/>
              </w:rPr>
              <w:t>Carrying Amount of the Hedged Item Asset/(Liabilities)</w:t>
            </w:r>
          </w:p>
        </w:tc>
        <w:tc>
          <w:tcPr>
            <w:tcW w:w="0" w:type="auto"/>
            <w:gridSpan w:val="3"/>
            <w:shd w:val="clear" w:color="auto" w:fill="auto"/>
          </w:tcPr>
          <w:p w14:paraId="20AE23AC" w14:textId="77777777" w:rsidR="00B626E7" w:rsidRDefault="00B626E7">
            <w:pPr>
              <w:rPr>
                <w:rFonts w:ascii="宋体"/>
                <w:vanish/>
              </w:rPr>
            </w:pPr>
          </w:p>
        </w:tc>
        <w:tc>
          <w:tcPr>
            <w:tcW w:w="0" w:type="auto"/>
            <w:gridSpan w:val="3"/>
            <w:shd w:val="clear" w:color="auto" w:fill="auto"/>
          </w:tcPr>
          <w:p w14:paraId="20AE23AD" w14:textId="77777777" w:rsidR="00B626E7" w:rsidRDefault="00B626E7">
            <w:pPr>
              <w:rPr>
                <w:rFonts w:ascii="宋体"/>
                <w:vanish/>
              </w:rPr>
            </w:pPr>
          </w:p>
        </w:tc>
        <w:tc>
          <w:tcPr>
            <w:tcW w:w="0" w:type="auto"/>
            <w:gridSpan w:val="3"/>
            <w:shd w:val="clear" w:color="auto" w:fill="auto"/>
            <w:tcMar>
              <w:left w:w="20" w:type="dxa"/>
              <w:right w:w="20" w:type="dxa"/>
            </w:tcMar>
            <w:vAlign w:val="bottom"/>
          </w:tcPr>
          <w:p w14:paraId="20AE23AE" w14:textId="77777777" w:rsidR="00B626E7" w:rsidRDefault="00B626E7">
            <w:pPr>
              <w:rPr>
                <w:rFonts w:ascii="宋体"/>
              </w:rPr>
            </w:pPr>
          </w:p>
        </w:tc>
        <w:tc>
          <w:tcPr>
            <w:tcW w:w="0" w:type="auto"/>
            <w:gridSpan w:val="7"/>
            <w:shd w:val="clear" w:color="auto" w:fill="auto"/>
            <w:tcMar>
              <w:top w:w="40" w:type="dxa"/>
              <w:left w:w="20" w:type="dxa"/>
              <w:bottom w:w="40" w:type="dxa"/>
              <w:right w:w="20" w:type="dxa"/>
            </w:tcMar>
            <w:vAlign w:val="bottom"/>
          </w:tcPr>
          <w:p w14:paraId="20AE23AF" w14:textId="77777777" w:rsidR="00B626E7" w:rsidRDefault="00175C1D">
            <w:pPr>
              <w:jc w:val="center"/>
              <w:textAlignment w:val="bottom"/>
            </w:pPr>
            <w:r>
              <w:rPr>
                <w:rFonts w:ascii="Arial" w:eastAsia="宋体" w:hAnsi="Arial" w:cs="Arial"/>
                <w:b/>
                <w:bCs/>
                <w:color w:val="333333"/>
                <w:sz w:val="18"/>
                <w:szCs w:val="18"/>
              </w:rPr>
              <w:t>Cumulative Amount of Fair Value Hedging Adjustment Included in the Carrying Amount Assets/(Liabilities)</w:t>
            </w:r>
          </w:p>
        </w:tc>
        <w:tc>
          <w:tcPr>
            <w:tcW w:w="0" w:type="auto"/>
            <w:gridSpan w:val="3"/>
            <w:shd w:val="clear" w:color="auto" w:fill="auto"/>
          </w:tcPr>
          <w:p w14:paraId="20AE23B0" w14:textId="77777777" w:rsidR="00B626E7" w:rsidRDefault="00B626E7">
            <w:pPr>
              <w:rPr>
                <w:rFonts w:ascii="宋体"/>
                <w:vanish/>
              </w:rPr>
            </w:pPr>
          </w:p>
        </w:tc>
        <w:tc>
          <w:tcPr>
            <w:tcW w:w="0" w:type="auto"/>
            <w:gridSpan w:val="3"/>
            <w:shd w:val="clear" w:color="auto" w:fill="auto"/>
          </w:tcPr>
          <w:p w14:paraId="20AE23B1" w14:textId="77777777" w:rsidR="00B626E7" w:rsidRDefault="00B626E7">
            <w:pPr>
              <w:rPr>
                <w:rFonts w:ascii="宋体"/>
                <w:vanish/>
              </w:rPr>
            </w:pPr>
          </w:p>
        </w:tc>
        <w:tc>
          <w:tcPr>
            <w:tcW w:w="0" w:type="auto"/>
            <w:gridSpan w:val="3"/>
            <w:shd w:val="clear" w:color="auto" w:fill="auto"/>
          </w:tcPr>
          <w:p w14:paraId="20AE23B2" w14:textId="77777777" w:rsidR="00B626E7" w:rsidRDefault="00B626E7">
            <w:pPr>
              <w:rPr>
                <w:rFonts w:ascii="宋体"/>
                <w:vanish/>
              </w:rPr>
            </w:pPr>
          </w:p>
        </w:tc>
      </w:tr>
      <w:tr w:rsidR="00B626E7" w14:paraId="20AE23CA" w14:textId="77777777">
        <w:tc>
          <w:tcPr>
            <w:tcW w:w="0" w:type="auto"/>
            <w:gridSpan w:val="3"/>
            <w:shd w:val="clear" w:color="auto" w:fill="auto"/>
            <w:tcMar>
              <w:top w:w="40" w:type="dxa"/>
              <w:left w:w="20" w:type="dxa"/>
              <w:bottom w:w="40" w:type="dxa"/>
              <w:right w:w="20" w:type="dxa"/>
            </w:tcMar>
            <w:vAlign w:val="bottom"/>
          </w:tcPr>
          <w:p w14:paraId="20AE23B4" w14:textId="77777777" w:rsidR="00B626E7" w:rsidRDefault="00175C1D">
            <w:pPr>
              <w:textAlignment w:val="bottom"/>
            </w:pPr>
            <w:r>
              <w:rPr>
                <w:rFonts w:ascii="Arial" w:eastAsia="宋体" w:hAnsi="Arial" w:cs="Arial"/>
                <w:b/>
                <w:bCs/>
                <w:color w:val="333333"/>
                <w:sz w:val="18"/>
                <w:szCs w:val="18"/>
              </w:rPr>
              <w:t>(In Millions)</w:t>
            </w:r>
          </w:p>
        </w:tc>
        <w:tc>
          <w:tcPr>
            <w:tcW w:w="0" w:type="auto"/>
            <w:gridSpan w:val="3"/>
            <w:shd w:val="clear" w:color="auto" w:fill="auto"/>
            <w:tcMar>
              <w:left w:w="20" w:type="dxa"/>
              <w:right w:w="20" w:type="dxa"/>
            </w:tcMar>
            <w:vAlign w:val="bottom"/>
          </w:tcPr>
          <w:p w14:paraId="20AE23B5"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23B6" w14:textId="77777777" w:rsidR="00B626E7" w:rsidRDefault="00175C1D">
            <w:pPr>
              <w:jc w:val="center"/>
              <w:textAlignment w:val="bottom"/>
            </w:pPr>
            <w:r>
              <w:rPr>
                <w:rFonts w:ascii="Arial" w:eastAsia="宋体" w:hAnsi="Arial" w:cs="Arial"/>
                <w:b/>
                <w:bCs/>
                <w:color w:val="333333"/>
                <w:sz w:val="18"/>
                <w:szCs w:val="18"/>
              </w:rPr>
              <w:t>Jun 27, 2020</w:t>
            </w:r>
          </w:p>
        </w:tc>
        <w:tc>
          <w:tcPr>
            <w:tcW w:w="0" w:type="auto"/>
            <w:gridSpan w:val="3"/>
            <w:tcBorders>
              <w:top w:val="single" w:sz="8" w:space="0" w:color="0071C5"/>
            </w:tcBorders>
            <w:shd w:val="clear" w:color="auto" w:fill="auto"/>
            <w:tcMar>
              <w:left w:w="20" w:type="dxa"/>
              <w:right w:w="20" w:type="dxa"/>
            </w:tcMar>
            <w:vAlign w:val="bottom"/>
          </w:tcPr>
          <w:p w14:paraId="20AE23B7"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23B8" w14:textId="77777777" w:rsidR="00B626E7" w:rsidRDefault="00175C1D">
            <w:pPr>
              <w:jc w:val="center"/>
              <w:textAlignment w:val="bottom"/>
            </w:pPr>
            <w:r>
              <w:rPr>
                <w:rFonts w:ascii="Arial" w:eastAsia="宋体" w:hAnsi="Arial" w:cs="Arial"/>
                <w:b/>
                <w:bCs/>
                <w:color w:val="333333"/>
                <w:sz w:val="18"/>
                <w:szCs w:val="18"/>
              </w:rPr>
              <w:t>Dec 28, 2019</w:t>
            </w:r>
          </w:p>
        </w:tc>
        <w:tc>
          <w:tcPr>
            <w:tcW w:w="0" w:type="auto"/>
            <w:gridSpan w:val="3"/>
            <w:shd w:val="clear" w:color="auto" w:fill="auto"/>
            <w:tcMar>
              <w:left w:w="20" w:type="dxa"/>
              <w:right w:w="20" w:type="dxa"/>
            </w:tcMar>
            <w:vAlign w:val="bottom"/>
          </w:tcPr>
          <w:p w14:paraId="20AE23B9"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23BA" w14:textId="77777777" w:rsidR="00B626E7" w:rsidRDefault="00175C1D">
            <w:pPr>
              <w:jc w:val="center"/>
              <w:textAlignment w:val="bottom"/>
            </w:pPr>
            <w:r>
              <w:rPr>
                <w:rFonts w:ascii="Arial" w:eastAsia="宋体" w:hAnsi="Arial" w:cs="Arial"/>
                <w:b/>
                <w:bCs/>
                <w:color w:val="333333"/>
                <w:sz w:val="18"/>
                <w:szCs w:val="18"/>
              </w:rPr>
              <w:t>Jun 27, 2020</w:t>
            </w:r>
          </w:p>
        </w:tc>
        <w:tc>
          <w:tcPr>
            <w:tcW w:w="0" w:type="auto"/>
            <w:gridSpan w:val="3"/>
            <w:tcBorders>
              <w:top w:val="single" w:sz="8" w:space="0" w:color="0071C5"/>
            </w:tcBorders>
            <w:shd w:val="clear" w:color="auto" w:fill="auto"/>
            <w:tcMar>
              <w:left w:w="20" w:type="dxa"/>
              <w:right w:w="20" w:type="dxa"/>
            </w:tcMar>
            <w:vAlign w:val="bottom"/>
          </w:tcPr>
          <w:p w14:paraId="20AE23BB"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23BC" w14:textId="77777777" w:rsidR="00B626E7" w:rsidRDefault="00175C1D">
            <w:pPr>
              <w:jc w:val="center"/>
              <w:textAlignment w:val="bottom"/>
            </w:pPr>
            <w:r>
              <w:rPr>
                <w:rFonts w:ascii="Arial" w:eastAsia="宋体" w:hAnsi="Arial" w:cs="Arial"/>
                <w:b/>
                <w:bCs/>
                <w:color w:val="333333"/>
                <w:sz w:val="18"/>
                <w:szCs w:val="18"/>
              </w:rPr>
              <w:t>Dec 28, 2019</w:t>
            </w:r>
          </w:p>
        </w:tc>
        <w:tc>
          <w:tcPr>
            <w:tcW w:w="0" w:type="auto"/>
            <w:shd w:val="clear" w:color="auto" w:fill="auto"/>
          </w:tcPr>
          <w:p w14:paraId="20AE23BD" w14:textId="77777777" w:rsidR="00B626E7" w:rsidRDefault="00B626E7">
            <w:pPr>
              <w:rPr>
                <w:rFonts w:ascii="宋体"/>
                <w:vanish/>
              </w:rPr>
            </w:pPr>
          </w:p>
        </w:tc>
        <w:tc>
          <w:tcPr>
            <w:tcW w:w="0" w:type="auto"/>
            <w:shd w:val="clear" w:color="auto" w:fill="auto"/>
          </w:tcPr>
          <w:p w14:paraId="20AE23BE" w14:textId="77777777" w:rsidR="00B626E7" w:rsidRDefault="00B626E7">
            <w:pPr>
              <w:rPr>
                <w:rFonts w:ascii="宋体"/>
              </w:rPr>
            </w:pPr>
          </w:p>
        </w:tc>
        <w:tc>
          <w:tcPr>
            <w:tcW w:w="0" w:type="auto"/>
            <w:shd w:val="clear" w:color="auto" w:fill="auto"/>
          </w:tcPr>
          <w:p w14:paraId="20AE23BF" w14:textId="77777777" w:rsidR="00B626E7" w:rsidRDefault="00B626E7">
            <w:pPr>
              <w:rPr>
                <w:rFonts w:ascii="宋体"/>
              </w:rPr>
            </w:pPr>
          </w:p>
        </w:tc>
        <w:tc>
          <w:tcPr>
            <w:tcW w:w="0" w:type="auto"/>
            <w:shd w:val="clear" w:color="auto" w:fill="auto"/>
          </w:tcPr>
          <w:p w14:paraId="20AE23C0" w14:textId="77777777" w:rsidR="00B626E7" w:rsidRDefault="00B626E7">
            <w:pPr>
              <w:rPr>
                <w:rFonts w:ascii="宋体"/>
              </w:rPr>
            </w:pPr>
          </w:p>
        </w:tc>
        <w:tc>
          <w:tcPr>
            <w:tcW w:w="0" w:type="auto"/>
            <w:shd w:val="clear" w:color="auto" w:fill="auto"/>
          </w:tcPr>
          <w:p w14:paraId="20AE23C1" w14:textId="77777777" w:rsidR="00B626E7" w:rsidRDefault="00B626E7">
            <w:pPr>
              <w:rPr>
                <w:rFonts w:ascii="宋体"/>
              </w:rPr>
            </w:pPr>
          </w:p>
        </w:tc>
        <w:tc>
          <w:tcPr>
            <w:tcW w:w="0" w:type="auto"/>
            <w:shd w:val="clear" w:color="auto" w:fill="auto"/>
          </w:tcPr>
          <w:p w14:paraId="20AE23C2" w14:textId="77777777" w:rsidR="00B626E7" w:rsidRDefault="00B626E7">
            <w:pPr>
              <w:rPr>
                <w:rFonts w:ascii="宋体"/>
              </w:rPr>
            </w:pPr>
          </w:p>
        </w:tc>
        <w:tc>
          <w:tcPr>
            <w:tcW w:w="0" w:type="auto"/>
            <w:shd w:val="clear" w:color="auto" w:fill="auto"/>
          </w:tcPr>
          <w:p w14:paraId="20AE23C3" w14:textId="77777777" w:rsidR="00B626E7" w:rsidRDefault="00B626E7">
            <w:pPr>
              <w:rPr>
                <w:rFonts w:ascii="宋体"/>
              </w:rPr>
            </w:pPr>
          </w:p>
        </w:tc>
        <w:tc>
          <w:tcPr>
            <w:tcW w:w="0" w:type="auto"/>
            <w:shd w:val="clear" w:color="auto" w:fill="auto"/>
          </w:tcPr>
          <w:p w14:paraId="20AE23C4" w14:textId="77777777" w:rsidR="00B626E7" w:rsidRDefault="00B626E7">
            <w:pPr>
              <w:rPr>
                <w:rFonts w:ascii="宋体"/>
              </w:rPr>
            </w:pPr>
          </w:p>
        </w:tc>
        <w:tc>
          <w:tcPr>
            <w:tcW w:w="0" w:type="auto"/>
            <w:shd w:val="clear" w:color="auto" w:fill="auto"/>
          </w:tcPr>
          <w:p w14:paraId="20AE23C5" w14:textId="77777777" w:rsidR="00B626E7" w:rsidRDefault="00B626E7">
            <w:pPr>
              <w:rPr>
                <w:rFonts w:ascii="宋体"/>
              </w:rPr>
            </w:pPr>
          </w:p>
        </w:tc>
        <w:tc>
          <w:tcPr>
            <w:tcW w:w="0" w:type="auto"/>
            <w:shd w:val="clear" w:color="auto" w:fill="auto"/>
          </w:tcPr>
          <w:p w14:paraId="20AE23C6" w14:textId="77777777" w:rsidR="00B626E7" w:rsidRDefault="00B626E7">
            <w:pPr>
              <w:rPr>
                <w:rFonts w:ascii="宋体"/>
              </w:rPr>
            </w:pPr>
          </w:p>
        </w:tc>
        <w:tc>
          <w:tcPr>
            <w:tcW w:w="0" w:type="auto"/>
            <w:shd w:val="clear" w:color="auto" w:fill="auto"/>
          </w:tcPr>
          <w:p w14:paraId="20AE23C7" w14:textId="77777777" w:rsidR="00B626E7" w:rsidRDefault="00B626E7">
            <w:pPr>
              <w:rPr>
                <w:rFonts w:ascii="宋体"/>
              </w:rPr>
            </w:pPr>
          </w:p>
        </w:tc>
        <w:tc>
          <w:tcPr>
            <w:tcW w:w="0" w:type="auto"/>
            <w:shd w:val="clear" w:color="auto" w:fill="auto"/>
          </w:tcPr>
          <w:p w14:paraId="20AE23C8" w14:textId="77777777" w:rsidR="00B626E7" w:rsidRDefault="00B626E7">
            <w:pPr>
              <w:rPr>
                <w:rFonts w:ascii="宋体"/>
              </w:rPr>
            </w:pPr>
          </w:p>
        </w:tc>
        <w:tc>
          <w:tcPr>
            <w:tcW w:w="0" w:type="auto"/>
            <w:shd w:val="clear" w:color="auto" w:fill="auto"/>
          </w:tcPr>
          <w:p w14:paraId="20AE23C9" w14:textId="77777777" w:rsidR="00B626E7" w:rsidRDefault="00B626E7">
            <w:pPr>
              <w:rPr>
                <w:rFonts w:ascii="宋体"/>
              </w:rPr>
            </w:pPr>
          </w:p>
        </w:tc>
      </w:tr>
      <w:tr w:rsidR="00B626E7" w14:paraId="20AE23E9" w14:textId="77777777">
        <w:tc>
          <w:tcPr>
            <w:tcW w:w="0" w:type="auto"/>
            <w:gridSpan w:val="3"/>
            <w:tcBorders>
              <w:top w:val="single" w:sz="8" w:space="0" w:color="0071C5"/>
            </w:tcBorders>
            <w:shd w:val="clear" w:color="auto" w:fill="auto"/>
            <w:tcMar>
              <w:top w:w="40" w:type="dxa"/>
              <w:left w:w="20" w:type="dxa"/>
              <w:bottom w:w="40" w:type="dxa"/>
              <w:right w:w="20" w:type="dxa"/>
            </w:tcMar>
          </w:tcPr>
          <w:p w14:paraId="20AE23CB" w14:textId="77777777" w:rsidR="00B626E7" w:rsidRDefault="00175C1D">
            <w:pPr>
              <w:textAlignment w:val="top"/>
            </w:pPr>
            <w:r>
              <w:rPr>
                <w:rFonts w:ascii="Arial" w:eastAsia="宋体" w:hAnsi="Arial" w:cs="Arial"/>
                <w:color w:val="333333"/>
                <w:sz w:val="18"/>
                <w:szCs w:val="18"/>
              </w:rPr>
              <w:t>Long-term debt</w:t>
            </w:r>
          </w:p>
        </w:tc>
        <w:tc>
          <w:tcPr>
            <w:tcW w:w="0" w:type="auto"/>
            <w:gridSpan w:val="3"/>
            <w:shd w:val="clear" w:color="auto" w:fill="auto"/>
            <w:tcMar>
              <w:left w:w="20" w:type="dxa"/>
              <w:right w:w="20" w:type="dxa"/>
            </w:tcMar>
            <w:vAlign w:val="bottom"/>
          </w:tcPr>
          <w:p w14:paraId="20AE23CC"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23CD" w14:textId="77777777" w:rsidR="00B626E7" w:rsidRDefault="00175C1D">
            <w:pPr>
              <w:textAlignment w:val="bottom"/>
            </w:pPr>
            <w:r>
              <w:rPr>
                <w:rFonts w:ascii="Arial" w:eastAsia="宋体" w:hAnsi="Arial" w:cs="Arial"/>
                <w:color w:val="026DCE"/>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23CE" w14:textId="77777777" w:rsidR="00B626E7" w:rsidRDefault="00175C1D">
            <w:pPr>
              <w:jc w:val="right"/>
              <w:textAlignment w:val="bottom"/>
            </w:pPr>
            <w:r>
              <w:rPr>
                <w:rFonts w:ascii="Arial" w:eastAsia="宋体" w:hAnsi="Arial" w:cs="Arial"/>
                <w:color w:val="026DCE"/>
                <w:sz w:val="18"/>
                <w:szCs w:val="18"/>
              </w:rPr>
              <w:t>(13,710)</w:t>
            </w:r>
          </w:p>
        </w:tc>
        <w:tc>
          <w:tcPr>
            <w:tcW w:w="0" w:type="auto"/>
            <w:tcBorders>
              <w:top w:val="single" w:sz="8" w:space="0" w:color="0071C5"/>
            </w:tcBorders>
            <w:shd w:val="clear" w:color="auto" w:fill="auto"/>
            <w:tcMar>
              <w:top w:w="40" w:type="dxa"/>
              <w:bottom w:w="40" w:type="dxa"/>
              <w:right w:w="20" w:type="dxa"/>
            </w:tcMar>
            <w:vAlign w:val="bottom"/>
          </w:tcPr>
          <w:p w14:paraId="20AE23CF"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23D0"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23D1" w14:textId="77777777" w:rsidR="00B626E7" w:rsidRDefault="00175C1D">
            <w:pPr>
              <w:textAlignment w:val="bottom"/>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23D2" w14:textId="77777777" w:rsidR="00B626E7" w:rsidRDefault="00175C1D">
            <w:pPr>
              <w:jc w:val="right"/>
              <w:textAlignment w:val="bottom"/>
            </w:pPr>
            <w:r>
              <w:rPr>
                <w:rFonts w:ascii="Arial" w:eastAsia="宋体" w:hAnsi="Arial" w:cs="Arial"/>
                <w:color w:val="333333"/>
                <w:sz w:val="18"/>
                <w:szCs w:val="18"/>
              </w:rPr>
              <w:t>(12,678)</w:t>
            </w:r>
          </w:p>
        </w:tc>
        <w:tc>
          <w:tcPr>
            <w:tcW w:w="0" w:type="auto"/>
            <w:tcBorders>
              <w:top w:val="single" w:sz="8" w:space="0" w:color="0071C5"/>
            </w:tcBorders>
            <w:shd w:val="clear" w:color="auto" w:fill="auto"/>
            <w:tcMar>
              <w:top w:w="40" w:type="dxa"/>
              <w:bottom w:w="40" w:type="dxa"/>
              <w:right w:w="20" w:type="dxa"/>
            </w:tcMar>
            <w:vAlign w:val="bottom"/>
          </w:tcPr>
          <w:p w14:paraId="20AE23D3"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23D4"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23D5" w14:textId="77777777" w:rsidR="00B626E7" w:rsidRDefault="00175C1D">
            <w:pPr>
              <w:textAlignment w:val="bottom"/>
            </w:pPr>
            <w:r>
              <w:rPr>
                <w:rFonts w:ascii="Arial" w:eastAsia="宋体" w:hAnsi="Arial" w:cs="Arial"/>
                <w:color w:val="026DCE"/>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23D6" w14:textId="77777777" w:rsidR="00B626E7" w:rsidRDefault="00175C1D">
            <w:pPr>
              <w:jc w:val="right"/>
              <w:textAlignment w:val="bottom"/>
            </w:pPr>
            <w:r>
              <w:rPr>
                <w:rFonts w:ascii="Arial" w:eastAsia="宋体" w:hAnsi="Arial" w:cs="Arial"/>
                <w:color w:val="026DCE"/>
                <w:sz w:val="18"/>
                <w:szCs w:val="18"/>
              </w:rPr>
              <w:t>(1,713)</w:t>
            </w:r>
          </w:p>
        </w:tc>
        <w:tc>
          <w:tcPr>
            <w:tcW w:w="0" w:type="auto"/>
            <w:tcBorders>
              <w:top w:val="single" w:sz="8" w:space="0" w:color="0071C5"/>
            </w:tcBorders>
            <w:shd w:val="clear" w:color="auto" w:fill="auto"/>
            <w:tcMar>
              <w:top w:w="40" w:type="dxa"/>
              <w:bottom w:w="40" w:type="dxa"/>
              <w:right w:w="20" w:type="dxa"/>
            </w:tcMar>
            <w:vAlign w:val="bottom"/>
          </w:tcPr>
          <w:p w14:paraId="20AE23D7"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23D8"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23D9" w14:textId="77777777" w:rsidR="00B626E7" w:rsidRDefault="00175C1D">
            <w:pPr>
              <w:textAlignment w:val="bottom"/>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23DA" w14:textId="77777777" w:rsidR="00B626E7" w:rsidRDefault="00175C1D">
            <w:pPr>
              <w:jc w:val="right"/>
              <w:textAlignment w:val="bottom"/>
            </w:pPr>
            <w:r>
              <w:rPr>
                <w:rFonts w:ascii="Arial" w:eastAsia="宋体" w:hAnsi="Arial" w:cs="Arial"/>
                <w:color w:val="333333"/>
                <w:sz w:val="18"/>
                <w:szCs w:val="18"/>
              </w:rPr>
              <w:t>(681)</w:t>
            </w:r>
          </w:p>
        </w:tc>
        <w:tc>
          <w:tcPr>
            <w:tcW w:w="0" w:type="auto"/>
            <w:tcBorders>
              <w:top w:val="single" w:sz="8" w:space="0" w:color="0071C5"/>
            </w:tcBorders>
            <w:shd w:val="clear" w:color="auto" w:fill="auto"/>
            <w:tcMar>
              <w:top w:w="40" w:type="dxa"/>
              <w:bottom w:w="40" w:type="dxa"/>
              <w:right w:w="20" w:type="dxa"/>
            </w:tcMar>
            <w:vAlign w:val="bottom"/>
          </w:tcPr>
          <w:p w14:paraId="20AE23DB"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23DC" w14:textId="77777777" w:rsidR="00B626E7" w:rsidRDefault="00B626E7">
            <w:pPr>
              <w:rPr>
                <w:rFonts w:ascii="宋体"/>
                <w:vanish/>
              </w:rPr>
            </w:pPr>
          </w:p>
        </w:tc>
        <w:tc>
          <w:tcPr>
            <w:tcW w:w="0" w:type="auto"/>
            <w:shd w:val="clear" w:color="auto" w:fill="auto"/>
          </w:tcPr>
          <w:p w14:paraId="20AE23DD" w14:textId="77777777" w:rsidR="00B626E7" w:rsidRDefault="00B626E7">
            <w:pPr>
              <w:rPr>
                <w:rFonts w:ascii="宋体"/>
              </w:rPr>
            </w:pPr>
          </w:p>
        </w:tc>
        <w:tc>
          <w:tcPr>
            <w:tcW w:w="0" w:type="auto"/>
            <w:shd w:val="clear" w:color="auto" w:fill="auto"/>
          </w:tcPr>
          <w:p w14:paraId="20AE23DE" w14:textId="77777777" w:rsidR="00B626E7" w:rsidRDefault="00B626E7">
            <w:pPr>
              <w:rPr>
                <w:rFonts w:ascii="宋体"/>
              </w:rPr>
            </w:pPr>
          </w:p>
        </w:tc>
        <w:tc>
          <w:tcPr>
            <w:tcW w:w="0" w:type="auto"/>
            <w:shd w:val="clear" w:color="auto" w:fill="auto"/>
          </w:tcPr>
          <w:p w14:paraId="20AE23DF" w14:textId="77777777" w:rsidR="00B626E7" w:rsidRDefault="00B626E7">
            <w:pPr>
              <w:rPr>
                <w:rFonts w:ascii="宋体"/>
              </w:rPr>
            </w:pPr>
          </w:p>
        </w:tc>
        <w:tc>
          <w:tcPr>
            <w:tcW w:w="0" w:type="auto"/>
            <w:shd w:val="clear" w:color="auto" w:fill="auto"/>
          </w:tcPr>
          <w:p w14:paraId="20AE23E0" w14:textId="77777777" w:rsidR="00B626E7" w:rsidRDefault="00B626E7">
            <w:pPr>
              <w:rPr>
                <w:rFonts w:ascii="宋体"/>
              </w:rPr>
            </w:pPr>
          </w:p>
        </w:tc>
        <w:tc>
          <w:tcPr>
            <w:tcW w:w="0" w:type="auto"/>
            <w:shd w:val="clear" w:color="auto" w:fill="auto"/>
          </w:tcPr>
          <w:p w14:paraId="20AE23E1" w14:textId="77777777" w:rsidR="00B626E7" w:rsidRDefault="00B626E7">
            <w:pPr>
              <w:rPr>
                <w:rFonts w:ascii="宋体"/>
              </w:rPr>
            </w:pPr>
          </w:p>
        </w:tc>
        <w:tc>
          <w:tcPr>
            <w:tcW w:w="0" w:type="auto"/>
            <w:shd w:val="clear" w:color="auto" w:fill="auto"/>
          </w:tcPr>
          <w:p w14:paraId="20AE23E2" w14:textId="77777777" w:rsidR="00B626E7" w:rsidRDefault="00B626E7">
            <w:pPr>
              <w:rPr>
                <w:rFonts w:ascii="宋体"/>
              </w:rPr>
            </w:pPr>
          </w:p>
        </w:tc>
        <w:tc>
          <w:tcPr>
            <w:tcW w:w="0" w:type="auto"/>
            <w:shd w:val="clear" w:color="auto" w:fill="auto"/>
          </w:tcPr>
          <w:p w14:paraId="20AE23E3" w14:textId="77777777" w:rsidR="00B626E7" w:rsidRDefault="00B626E7">
            <w:pPr>
              <w:rPr>
                <w:rFonts w:ascii="宋体"/>
              </w:rPr>
            </w:pPr>
          </w:p>
        </w:tc>
        <w:tc>
          <w:tcPr>
            <w:tcW w:w="0" w:type="auto"/>
            <w:shd w:val="clear" w:color="auto" w:fill="auto"/>
          </w:tcPr>
          <w:p w14:paraId="20AE23E4" w14:textId="77777777" w:rsidR="00B626E7" w:rsidRDefault="00B626E7">
            <w:pPr>
              <w:rPr>
                <w:rFonts w:ascii="宋体"/>
              </w:rPr>
            </w:pPr>
          </w:p>
        </w:tc>
        <w:tc>
          <w:tcPr>
            <w:tcW w:w="0" w:type="auto"/>
            <w:shd w:val="clear" w:color="auto" w:fill="auto"/>
          </w:tcPr>
          <w:p w14:paraId="20AE23E5" w14:textId="77777777" w:rsidR="00B626E7" w:rsidRDefault="00B626E7">
            <w:pPr>
              <w:rPr>
                <w:rFonts w:ascii="宋体"/>
              </w:rPr>
            </w:pPr>
          </w:p>
        </w:tc>
        <w:tc>
          <w:tcPr>
            <w:tcW w:w="0" w:type="auto"/>
            <w:shd w:val="clear" w:color="auto" w:fill="auto"/>
          </w:tcPr>
          <w:p w14:paraId="20AE23E6" w14:textId="77777777" w:rsidR="00B626E7" w:rsidRDefault="00B626E7">
            <w:pPr>
              <w:rPr>
                <w:rFonts w:ascii="宋体"/>
              </w:rPr>
            </w:pPr>
          </w:p>
        </w:tc>
        <w:tc>
          <w:tcPr>
            <w:tcW w:w="0" w:type="auto"/>
            <w:shd w:val="clear" w:color="auto" w:fill="auto"/>
          </w:tcPr>
          <w:p w14:paraId="20AE23E7" w14:textId="77777777" w:rsidR="00B626E7" w:rsidRDefault="00B626E7">
            <w:pPr>
              <w:rPr>
                <w:rFonts w:ascii="宋体"/>
              </w:rPr>
            </w:pPr>
          </w:p>
        </w:tc>
        <w:tc>
          <w:tcPr>
            <w:tcW w:w="0" w:type="auto"/>
            <w:shd w:val="clear" w:color="auto" w:fill="auto"/>
          </w:tcPr>
          <w:p w14:paraId="20AE23E8" w14:textId="77777777" w:rsidR="00B626E7" w:rsidRDefault="00B626E7">
            <w:pPr>
              <w:rPr>
                <w:rFonts w:ascii="宋体"/>
              </w:rPr>
            </w:pPr>
          </w:p>
        </w:tc>
      </w:tr>
    </w:tbl>
    <w:p w14:paraId="20AE23EA" w14:textId="77777777" w:rsidR="00B626E7" w:rsidRDefault="00175C1D">
      <w:pPr>
        <w:spacing w:before="180" w:after="180"/>
      </w:pPr>
      <w:r>
        <w:rPr>
          <w:rFonts w:ascii="Arial" w:eastAsia="宋体" w:hAnsi="Arial" w:cs="Arial"/>
          <w:color w:val="333333"/>
          <w:sz w:val="18"/>
          <w:szCs w:val="18"/>
        </w:rPr>
        <w:t xml:space="preserve">The total notional amount of pay-variable and receive-fixed interest rate swaps was $12.0 </w:t>
      </w:r>
      <w:r>
        <w:rPr>
          <w:rFonts w:ascii="Arial" w:eastAsia="宋体" w:hAnsi="Arial" w:cs="Arial"/>
          <w:color w:val="333333"/>
          <w:sz w:val="18"/>
          <w:szCs w:val="18"/>
        </w:rPr>
        <w:t>billion as of June 27, 2020 and as of December 28, 2019.</w:t>
      </w:r>
    </w:p>
    <w:p w14:paraId="20AE23EB" w14:textId="77777777" w:rsidR="00B626E7" w:rsidRDefault="00175C1D">
      <w:pPr>
        <w:spacing w:after="180"/>
      </w:pPr>
      <w:r>
        <w:rPr>
          <w:rFonts w:ascii="Arial" w:eastAsia="宋体" w:hAnsi="Arial" w:cs="Arial"/>
          <w:b/>
          <w:bCs/>
          <w:color w:val="0071C5"/>
        </w:rPr>
        <w:t>DERIVATIVES NOT DESIGNATED AS HEDGING INSTRUMENTS</w:t>
      </w:r>
    </w:p>
    <w:p w14:paraId="20AE23EC" w14:textId="77777777" w:rsidR="00B626E7" w:rsidRDefault="00175C1D">
      <w:pPr>
        <w:spacing w:after="180"/>
      </w:pPr>
      <w:r>
        <w:rPr>
          <w:rFonts w:ascii="Arial" w:eastAsia="宋体" w:hAnsi="Arial" w:cs="Arial"/>
          <w:color w:val="333333"/>
          <w:sz w:val="18"/>
          <w:szCs w:val="18"/>
        </w:rPr>
        <w:t>The effects of derivative instruments not designated as hedging instruments on the Consolidated Condensed Statements of Income for each period were a</w:t>
      </w:r>
      <w:r>
        <w:rPr>
          <w:rFonts w:ascii="Arial" w:eastAsia="宋体" w:hAnsi="Arial" w:cs="Arial"/>
          <w:color w:val="333333"/>
          <w:sz w:val="18"/>
          <w:szCs w:val="18"/>
        </w:rPr>
        <w:t>s follows:</w:t>
      </w:r>
    </w:p>
    <w:tbl>
      <w:tblPr>
        <w:tblW w:w="5000" w:type="pct"/>
        <w:tblCellMar>
          <w:top w:w="15" w:type="dxa"/>
          <w:left w:w="15" w:type="dxa"/>
          <w:bottom w:w="15" w:type="dxa"/>
          <w:right w:w="15" w:type="dxa"/>
        </w:tblCellMar>
        <w:tblLook w:val="04A0" w:firstRow="1" w:lastRow="0" w:firstColumn="1" w:lastColumn="0" w:noHBand="0" w:noVBand="1"/>
      </w:tblPr>
      <w:tblGrid>
        <w:gridCol w:w="42"/>
        <w:gridCol w:w="1696"/>
        <w:gridCol w:w="42"/>
        <w:gridCol w:w="36"/>
        <w:gridCol w:w="36"/>
        <w:gridCol w:w="36"/>
        <w:gridCol w:w="37"/>
        <w:gridCol w:w="1764"/>
        <w:gridCol w:w="42"/>
        <w:gridCol w:w="36"/>
        <w:gridCol w:w="36"/>
        <w:gridCol w:w="36"/>
        <w:gridCol w:w="136"/>
        <w:gridCol w:w="712"/>
        <w:gridCol w:w="86"/>
        <w:gridCol w:w="36"/>
        <w:gridCol w:w="36"/>
        <w:gridCol w:w="36"/>
        <w:gridCol w:w="136"/>
        <w:gridCol w:w="713"/>
        <w:gridCol w:w="86"/>
        <w:gridCol w:w="36"/>
        <w:gridCol w:w="36"/>
        <w:gridCol w:w="36"/>
        <w:gridCol w:w="136"/>
        <w:gridCol w:w="714"/>
        <w:gridCol w:w="86"/>
        <w:gridCol w:w="36"/>
        <w:gridCol w:w="36"/>
        <w:gridCol w:w="36"/>
        <w:gridCol w:w="136"/>
        <w:gridCol w:w="714"/>
        <w:gridCol w:w="86"/>
        <w:gridCol w:w="36"/>
        <w:gridCol w:w="36"/>
        <w:gridCol w:w="36"/>
        <w:gridCol w:w="36"/>
        <w:gridCol w:w="36"/>
        <w:gridCol w:w="36"/>
        <w:gridCol w:w="36"/>
        <w:gridCol w:w="36"/>
        <w:gridCol w:w="36"/>
        <w:gridCol w:w="36"/>
        <w:gridCol w:w="36"/>
        <w:gridCol w:w="36"/>
      </w:tblGrid>
      <w:tr w:rsidR="00B626E7" w14:paraId="20AE240E" w14:textId="77777777">
        <w:trPr>
          <w:gridAfter w:val="12"/>
        </w:trPr>
        <w:tc>
          <w:tcPr>
            <w:tcW w:w="50" w:type="pct"/>
            <w:shd w:val="clear" w:color="auto" w:fill="auto"/>
          </w:tcPr>
          <w:p w14:paraId="20AE23ED" w14:textId="77777777" w:rsidR="00B626E7" w:rsidRDefault="00B626E7">
            <w:pPr>
              <w:rPr>
                <w:rFonts w:ascii="宋体"/>
              </w:rPr>
            </w:pPr>
          </w:p>
        </w:tc>
        <w:tc>
          <w:tcPr>
            <w:tcW w:w="1095" w:type="pct"/>
            <w:shd w:val="clear" w:color="auto" w:fill="auto"/>
          </w:tcPr>
          <w:p w14:paraId="20AE23EE" w14:textId="77777777" w:rsidR="00B626E7" w:rsidRDefault="00B626E7">
            <w:pPr>
              <w:rPr>
                <w:rFonts w:ascii="宋体"/>
              </w:rPr>
            </w:pPr>
          </w:p>
        </w:tc>
        <w:tc>
          <w:tcPr>
            <w:tcW w:w="50" w:type="pct"/>
            <w:shd w:val="clear" w:color="auto" w:fill="auto"/>
          </w:tcPr>
          <w:p w14:paraId="20AE23EF" w14:textId="77777777" w:rsidR="00B626E7" w:rsidRDefault="00B626E7">
            <w:pPr>
              <w:rPr>
                <w:rFonts w:ascii="宋体"/>
              </w:rPr>
            </w:pPr>
          </w:p>
        </w:tc>
        <w:tc>
          <w:tcPr>
            <w:tcW w:w="5" w:type="pct"/>
            <w:shd w:val="clear" w:color="auto" w:fill="auto"/>
          </w:tcPr>
          <w:p w14:paraId="20AE23F0" w14:textId="77777777" w:rsidR="00B626E7" w:rsidRDefault="00B626E7">
            <w:pPr>
              <w:rPr>
                <w:rFonts w:ascii="宋体"/>
              </w:rPr>
            </w:pPr>
          </w:p>
        </w:tc>
        <w:tc>
          <w:tcPr>
            <w:tcW w:w="24" w:type="pct"/>
            <w:shd w:val="clear" w:color="auto" w:fill="auto"/>
          </w:tcPr>
          <w:p w14:paraId="20AE23F1" w14:textId="77777777" w:rsidR="00B626E7" w:rsidRDefault="00B626E7">
            <w:pPr>
              <w:rPr>
                <w:rFonts w:ascii="宋体"/>
              </w:rPr>
            </w:pPr>
          </w:p>
        </w:tc>
        <w:tc>
          <w:tcPr>
            <w:tcW w:w="5" w:type="pct"/>
            <w:shd w:val="clear" w:color="auto" w:fill="auto"/>
          </w:tcPr>
          <w:p w14:paraId="20AE23F2" w14:textId="77777777" w:rsidR="00B626E7" w:rsidRDefault="00B626E7">
            <w:pPr>
              <w:rPr>
                <w:rFonts w:ascii="宋体"/>
              </w:rPr>
            </w:pPr>
          </w:p>
        </w:tc>
        <w:tc>
          <w:tcPr>
            <w:tcW w:w="50" w:type="pct"/>
            <w:shd w:val="clear" w:color="auto" w:fill="auto"/>
          </w:tcPr>
          <w:p w14:paraId="20AE23F3" w14:textId="77777777" w:rsidR="00B626E7" w:rsidRDefault="00B626E7">
            <w:pPr>
              <w:rPr>
                <w:rFonts w:ascii="宋体"/>
              </w:rPr>
            </w:pPr>
          </w:p>
        </w:tc>
        <w:tc>
          <w:tcPr>
            <w:tcW w:w="1156" w:type="pct"/>
            <w:shd w:val="clear" w:color="auto" w:fill="auto"/>
          </w:tcPr>
          <w:p w14:paraId="20AE23F4" w14:textId="77777777" w:rsidR="00B626E7" w:rsidRDefault="00B626E7">
            <w:pPr>
              <w:rPr>
                <w:rFonts w:ascii="宋体"/>
              </w:rPr>
            </w:pPr>
          </w:p>
        </w:tc>
        <w:tc>
          <w:tcPr>
            <w:tcW w:w="50" w:type="pct"/>
            <w:shd w:val="clear" w:color="auto" w:fill="auto"/>
          </w:tcPr>
          <w:p w14:paraId="20AE23F5" w14:textId="77777777" w:rsidR="00B626E7" w:rsidRDefault="00B626E7">
            <w:pPr>
              <w:rPr>
                <w:rFonts w:ascii="宋体"/>
              </w:rPr>
            </w:pPr>
          </w:p>
        </w:tc>
        <w:tc>
          <w:tcPr>
            <w:tcW w:w="5" w:type="pct"/>
            <w:shd w:val="clear" w:color="auto" w:fill="auto"/>
          </w:tcPr>
          <w:p w14:paraId="20AE23F6" w14:textId="77777777" w:rsidR="00B626E7" w:rsidRDefault="00B626E7">
            <w:pPr>
              <w:rPr>
                <w:rFonts w:ascii="宋体"/>
              </w:rPr>
            </w:pPr>
          </w:p>
        </w:tc>
        <w:tc>
          <w:tcPr>
            <w:tcW w:w="24" w:type="pct"/>
            <w:shd w:val="clear" w:color="auto" w:fill="auto"/>
          </w:tcPr>
          <w:p w14:paraId="20AE23F7" w14:textId="77777777" w:rsidR="00B626E7" w:rsidRDefault="00B626E7">
            <w:pPr>
              <w:rPr>
                <w:rFonts w:ascii="宋体"/>
              </w:rPr>
            </w:pPr>
          </w:p>
        </w:tc>
        <w:tc>
          <w:tcPr>
            <w:tcW w:w="5" w:type="pct"/>
            <w:shd w:val="clear" w:color="auto" w:fill="auto"/>
          </w:tcPr>
          <w:p w14:paraId="20AE23F8" w14:textId="77777777" w:rsidR="00B626E7" w:rsidRDefault="00B626E7">
            <w:pPr>
              <w:rPr>
                <w:rFonts w:ascii="宋体"/>
              </w:rPr>
            </w:pPr>
          </w:p>
        </w:tc>
        <w:tc>
          <w:tcPr>
            <w:tcW w:w="50" w:type="pct"/>
            <w:shd w:val="clear" w:color="auto" w:fill="auto"/>
          </w:tcPr>
          <w:p w14:paraId="20AE23F9" w14:textId="77777777" w:rsidR="00B626E7" w:rsidRDefault="00B626E7">
            <w:pPr>
              <w:rPr>
                <w:rFonts w:ascii="宋体"/>
              </w:rPr>
            </w:pPr>
          </w:p>
        </w:tc>
        <w:tc>
          <w:tcPr>
            <w:tcW w:w="494" w:type="pct"/>
            <w:shd w:val="clear" w:color="auto" w:fill="auto"/>
          </w:tcPr>
          <w:p w14:paraId="20AE23FA" w14:textId="77777777" w:rsidR="00B626E7" w:rsidRDefault="00B626E7">
            <w:pPr>
              <w:rPr>
                <w:rFonts w:ascii="宋体"/>
              </w:rPr>
            </w:pPr>
          </w:p>
        </w:tc>
        <w:tc>
          <w:tcPr>
            <w:tcW w:w="50" w:type="pct"/>
            <w:shd w:val="clear" w:color="auto" w:fill="auto"/>
          </w:tcPr>
          <w:p w14:paraId="20AE23FB" w14:textId="77777777" w:rsidR="00B626E7" w:rsidRDefault="00B626E7">
            <w:pPr>
              <w:rPr>
                <w:rFonts w:ascii="宋体"/>
              </w:rPr>
            </w:pPr>
          </w:p>
        </w:tc>
        <w:tc>
          <w:tcPr>
            <w:tcW w:w="5" w:type="pct"/>
            <w:shd w:val="clear" w:color="auto" w:fill="auto"/>
          </w:tcPr>
          <w:p w14:paraId="20AE23FC" w14:textId="77777777" w:rsidR="00B626E7" w:rsidRDefault="00B626E7">
            <w:pPr>
              <w:rPr>
                <w:rFonts w:ascii="宋体"/>
              </w:rPr>
            </w:pPr>
          </w:p>
        </w:tc>
        <w:tc>
          <w:tcPr>
            <w:tcW w:w="24" w:type="pct"/>
            <w:shd w:val="clear" w:color="auto" w:fill="auto"/>
          </w:tcPr>
          <w:p w14:paraId="20AE23FD" w14:textId="77777777" w:rsidR="00B626E7" w:rsidRDefault="00B626E7">
            <w:pPr>
              <w:rPr>
                <w:rFonts w:ascii="宋体"/>
              </w:rPr>
            </w:pPr>
          </w:p>
        </w:tc>
        <w:tc>
          <w:tcPr>
            <w:tcW w:w="5" w:type="pct"/>
            <w:shd w:val="clear" w:color="auto" w:fill="auto"/>
          </w:tcPr>
          <w:p w14:paraId="20AE23FE" w14:textId="77777777" w:rsidR="00B626E7" w:rsidRDefault="00B626E7">
            <w:pPr>
              <w:rPr>
                <w:rFonts w:ascii="宋体"/>
              </w:rPr>
            </w:pPr>
          </w:p>
        </w:tc>
        <w:tc>
          <w:tcPr>
            <w:tcW w:w="50" w:type="pct"/>
            <w:shd w:val="clear" w:color="auto" w:fill="auto"/>
          </w:tcPr>
          <w:p w14:paraId="20AE23FF" w14:textId="77777777" w:rsidR="00B626E7" w:rsidRDefault="00B626E7">
            <w:pPr>
              <w:rPr>
                <w:rFonts w:ascii="宋体"/>
              </w:rPr>
            </w:pPr>
          </w:p>
        </w:tc>
        <w:tc>
          <w:tcPr>
            <w:tcW w:w="494" w:type="pct"/>
            <w:shd w:val="clear" w:color="auto" w:fill="auto"/>
          </w:tcPr>
          <w:p w14:paraId="20AE2400" w14:textId="77777777" w:rsidR="00B626E7" w:rsidRDefault="00B626E7">
            <w:pPr>
              <w:rPr>
                <w:rFonts w:ascii="宋体"/>
              </w:rPr>
            </w:pPr>
          </w:p>
        </w:tc>
        <w:tc>
          <w:tcPr>
            <w:tcW w:w="50" w:type="pct"/>
            <w:shd w:val="clear" w:color="auto" w:fill="auto"/>
          </w:tcPr>
          <w:p w14:paraId="20AE2401" w14:textId="77777777" w:rsidR="00B626E7" w:rsidRDefault="00B626E7">
            <w:pPr>
              <w:rPr>
                <w:rFonts w:ascii="宋体"/>
              </w:rPr>
            </w:pPr>
          </w:p>
        </w:tc>
        <w:tc>
          <w:tcPr>
            <w:tcW w:w="5" w:type="pct"/>
            <w:shd w:val="clear" w:color="auto" w:fill="auto"/>
          </w:tcPr>
          <w:p w14:paraId="20AE2402" w14:textId="77777777" w:rsidR="00B626E7" w:rsidRDefault="00B626E7">
            <w:pPr>
              <w:rPr>
                <w:rFonts w:ascii="宋体"/>
              </w:rPr>
            </w:pPr>
          </w:p>
        </w:tc>
        <w:tc>
          <w:tcPr>
            <w:tcW w:w="24" w:type="pct"/>
            <w:shd w:val="clear" w:color="auto" w:fill="auto"/>
          </w:tcPr>
          <w:p w14:paraId="20AE2403" w14:textId="77777777" w:rsidR="00B626E7" w:rsidRDefault="00B626E7">
            <w:pPr>
              <w:rPr>
                <w:rFonts w:ascii="宋体"/>
              </w:rPr>
            </w:pPr>
          </w:p>
        </w:tc>
        <w:tc>
          <w:tcPr>
            <w:tcW w:w="5" w:type="pct"/>
            <w:shd w:val="clear" w:color="auto" w:fill="auto"/>
          </w:tcPr>
          <w:p w14:paraId="20AE2404" w14:textId="77777777" w:rsidR="00B626E7" w:rsidRDefault="00B626E7">
            <w:pPr>
              <w:rPr>
                <w:rFonts w:ascii="宋体"/>
              </w:rPr>
            </w:pPr>
          </w:p>
        </w:tc>
        <w:tc>
          <w:tcPr>
            <w:tcW w:w="50" w:type="pct"/>
            <w:shd w:val="clear" w:color="auto" w:fill="auto"/>
          </w:tcPr>
          <w:p w14:paraId="20AE2405" w14:textId="77777777" w:rsidR="00B626E7" w:rsidRDefault="00B626E7">
            <w:pPr>
              <w:rPr>
                <w:rFonts w:ascii="宋体"/>
              </w:rPr>
            </w:pPr>
          </w:p>
        </w:tc>
        <w:tc>
          <w:tcPr>
            <w:tcW w:w="494" w:type="pct"/>
            <w:shd w:val="clear" w:color="auto" w:fill="auto"/>
          </w:tcPr>
          <w:p w14:paraId="20AE2406" w14:textId="77777777" w:rsidR="00B626E7" w:rsidRDefault="00B626E7">
            <w:pPr>
              <w:rPr>
                <w:rFonts w:ascii="宋体"/>
              </w:rPr>
            </w:pPr>
          </w:p>
        </w:tc>
        <w:tc>
          <w:tcPr>
            <w:tcW w:w="50" w:type="pct"/>
            <w:shd w:val="clear" w:color="auto" w:fill="auto"/>
          </w:tcPr>
          <w:p w14:paraId="20AE2407" w14:textId="77777777" w:rsidR="00B626E7" w:rsidRDefault="00B626E7">
            <w:pPr>
              <w:rPr>
                <w:rFonts w:ascii="宋体"/>
              </w:rPr>
            </w:pPr>
          </w:p>
        </w:tc>
        <w:tc>
          <w:tcPr>
            <w:tcW w:w="5" w:type="pct"/>
            <w:shd w:val="clear" w:color="auto" w:fill="auto"/>
          </w:tcPr>
          <w:p w14:paraId="20AE2408" w14:textId="77777777" w:rsidR="00B626E7" w:rsidRDefault="00B626E7">
            <w:pPr>
              <w:rPr>
                <w:rFonts w:ascii="宋体"/>
              </w:rPr>
            </w:pPr>
          </w:p>
        </w:tc>
        <w:tc>
          <w:tcPr>
            <w:tcW w:w="24" w:type="pct"/>
            <w:shd w:val="clear" w:color="auto" w:fill="auto"/>
          </w:tcPr>
          <w:p w14:paraId="20AE2409" w14:textId="77777777" w:rsidR="00B626E7" w:rsidRDefault="00B626E7">
            <w:pPr>
              <w:rPr>
                <w:rFonts w:ascii="宋体"/>
              </w:rPr>
            </w:pPr>
          </w:p>
        </w:tc>
        <w:tc>
          <w:tcPr>
            <w:tcW w:w="5" w:type="pct"/>
            <w:shd w:val="clear" w:color="auto" w:fill="auto"/>
          </w:tcPr>
          <w:p w14:paraId="20AE240A" w14:textId="77777777" w:rsidR="00B626E7" w:rsidRDefault="00B626E7">
            <w:pPr>
              <w:rPr>
                <w:rFonts w:ascii="宋体"/>
              </w:rPr>
            </w:pPr>
          </w:p>
        </w:tc>
        <w:tc>
          <w:tcPr>
            <w:tcW w:w="50" w:type="pct"/>
            <w:shd w:val="clear" w:color="auto" w:fill="auto"/>
          </w:tcPr>
          <w:p w14:paraId="20AE240B" w14:textId="77777777" w:rsidR="00B626E7" w:rsidRDefault="00B626E7">
            <w:pPr>
              <w:rPr>
                <w:rFonts w:ascii="宋体"/>
              </w:rPr>
            </w:pPr>
          </w:p>
        </w:tc>
        <w:tc>
          <w:tcPr>
            <w:tcW w:w="494" w:type="pct"/>
            <w:shd w:val="clear" w:color="auto" w:fill="auto"/>
          </w:tcPr>
          <w:p w14:paraId="20AE240C" w14:textId="77777777" w:rsidR="00B626E7" w:rsidRDefault="00B626E7">
            <w:pPr>
              <w:rPr>
                <w:rFonts w:ascii="宋体"/>
              </w:rPr>
            </w:pPr>
          </w:p>
        </w:tc>
        <w:tc>
          <w:tcPr>
            <w:tcW w:w="50" w:type="pct"/>
            <w:shd w:val="clear" w:color="auto" w:fill="auto"/>
          </w:tcPr>
          <w:p w14:paraId="20AE240D" w14:textId="77777777" w:rsidR="00B626E7" w:rsidRDefault="00B626E7">
            <w:pPr>
              <w:rPr>
                <w:rFonts w:ascii="宋体"/>
              </w:rPr>
            </w:pPr>
          </w:p>
        </w:tc>
      </w:tr>
      <w:tr w:rsidR="00B626E7" w14:paraId="20AE241A" w14:textId="77777777">
        <w:tc>
          <w:tcPr>
            <w:tcW w:w="0" w:type="auto"/>
            <w:gridSpan w:val="3"/>
            <w:shd w:val="clear" w:color="auto" w:fill="auto"/>
            <w:tcMar>
              <w:top w:w="40" w:type="dxa"/>
              <w:left w:w="20" w:type="dxa"/>
              <w:bottom w:w="40" w:type="dxa"/>
              <w:right w:w="20" w:type="dxa"/>
            </w:tcMar>
            <w:vAlign w:val="bottom"/>
          </w:tcPr>
          <w:p w14:paraId="20AE240F" w14:textId="77777777" w:rsidR="00B626E7" w:rsidRDefault="00175C1D">
            <w:pPr>
              <w:ind w:hanging="180"/>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2410"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bottom"/>
          </w:tcPr>
          <w:p w14:paraId="20AE2411" w14:textId="77777777" w:rsidR="00B626E7" w:rsidRDefault="00175C1D">
            <w:pPr>
              <w:ind w:hanging="180"/>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2412" w14:textId="77777777" w:rsidR="00B626E7" w:rsidRDefault="00B626E7">
            <w:pPr>
              <w:rPr>
                <w:rFonts w:ascii="宋体"/>
              </w:rPr>
            </w:pPr>
          </w:p>
        </w:tc>
        <w:tc>
          <w:tcPr>
            <w:tcW w:w="0" w:type="auto"/>
            <w:gridSpan w:val="9"/>
            <w:shd w:val="clear" w:color="auto" w:fill="auto"/>
            <w:tcMar>
              <w:top w:w="40" w:type="dxa"/>
              <w:left w:w="20" w:type="dxa"/>
              <w:bottom w:w="40" w:type="dxa"/>
              <w:right w:w="20" w:type="dxa"/>
            </w:tcMar>
            <w:vAlign w:val="bottom"/>
          </w:tcPr>
          <w:p w14:paraId="20AE2413" w14:textId="77777777" w:rsidR="00B626E7" w:rsidRDefault="00175C1D">
            <w:pPr>
              <w:jc w:val="center"/>
              <w:textAlignment w:val="bottom"/>
            </w:pPr>
            <w:r>
              <w:rPr>
                <w:rFonts w:ascii="Arial" w:eastAsia="宋体" w:hAnsi="Arial" w:cs="Arial"/>
                <w:b/>
                <w:bCs/>
                <w:color w:val="333333"/>
                <w:sz w:val="18"/>
                <w:szCs w:val="18"/>
              </w:rPr>
              <w:t>Three Months Ended</w:t>
            </w:r>
          </w:p>
        </w:tc>
        <w:tc>
          <w:tcPr>
            <w:tcW w:w="0" w:type="auto"/>
            <w:gridSpan w:val="3"/>
            <w:shd w:val="clear" w:color="auto" w:fill="auto"/>
          </w:tcPr>
          <w:p w14:paraId="20AE2414" w14:textId="77777777" w:rsidR="00B626E7" w:rsidRDefault="00B626E7">
            <w:pPr>
              <w:rPr>
                <w:rFonts w:ascii="宋体"/>
                <w:vanish/>
              </w:rPr>
            </w:pPr>
          </w:p>
        </w:tc>
        <w:tc>
          <w:tcPr>
            <w:tcW w:w="0" w:type="auto"/>
            <w:gridSpan w:val="3"/>
            <w:shd w:val="clear" w:color="auto" w:fill="auto"/>
          </w:tcPr>
          <w:p w14:paraId="20AE2415" w14:textId="77777777" w:rsidR="00B626E7" w:rsidRDefault="00B626E7">
            <w:pPr>
              <w:rPr>
                <w:rFonts w:ascii="宋体"/>
                <w:vanish/>
              </w:rPr>
            </w:pPr>
          </w:p>
        </w:tc>
        <w:tc>
          <w:tcPr>
            <w:tcW w:w="0" w:type="auto"/>
            <w:gridSpan w:val="3"/>
            <w:shd w:val="clear" w:color="auto" w:fill="auto"/>
            <w:tcMar>
              <w:left w:w="20" w:type="dxa"/>
              <w:right w:w="20" w:type="dxa"/>
            </w:tcMar>
            <w:vAlign w:val="bottom"/>
          </w:tcPr>
          <w:p w14:paraId="20AE2416" w14:textId="77777777" w:rsidR="00B626E7" w:rsidRDefault="00B626E7">
            <w:pPr>
              <w:rPr>
                <w:rFonts w:ascii="宋体"/>
              </w:rPr>
            </w:pPr>
          </w:p>
        </w:tc>
        <w:tc>
          <w:tcPr>
            <w:tcW w:w="0" w:type="auto"/>
            <w:gridSpan w:val="9"/>
            <w:shd w:val="clear" w:color="auto" w:fill="auto"/>
            <w:tcMar>
              <w:top w:w="40" w:type="dxa"/>
              <w:left w:w="20" w:type="dxa"/>
              <w:bottom w:w="40" w:type="dxa"/>
              <w:right w:w="20" w:type="dxa"/>
            </w:tcMar>
            <w:vAlign w:val="bottom"/>
          </w:tcPr>
          <w:p w14:paraId="20AE2417" w14:textId="77777777" w:rsidR="00B626E7" w:rsidRDefault="00175C1D">
            <w:pPr>
              <w:jc w:val="center"/>
              <w:textAlignment w:val="bottom"/>
            </w:pPr>
            <w:r>
              <w:rPr>
                <w:rFonts w:ascii="Arial" w:eastAsia="宋体" w:hAnsi="Arial" w:cs="Arial"/>
                <w:b/>
                <w:bCs/>
                <w:color w:val="333333"/>
                <w:sz w:val="18"/>
                <w:szCs w:val="18"/>
              </w:rPr>
              <w:t>Six Months Ended</w:t>
            </w:r>
          </w:p>
        </w:tc>
        <w:tc>
          <w:tcPr>
            <w:tcW w:w="0" w:type="auto"/>
            <w:gridSpan w:val="3"/>
            <w:shd w:val="clear" w:color="auto" w:fill="auto"/>
          </w:tcPr>
          <w:p w14:paraId="20AE2418" w14:textId="77777777" w:rsidR="00B626E7" w:rsidRDefault="00B626E7">
            <w:pPr>
              <w:rPr>
                <w:rFonts w:ascii="宋体"/>
                <w:vanish/>
              </w:rPr>
            </w:pPr>
          </w:p>
        </w:tc>
        <w:tc>
          <w:tcPr>
            <w:tcW w:w="0" w:type="auto"/>
            <w:gridSpan w:val="3"/>
            <w:shd w:val="clear" w:color="auto" w:fill="auto"/>
          </w:tcPr>
          <w:p w14:paraId="20AE2419" w14:textId="77777777" w:rsidR="00B626E7" w:rsidRDefault="00B626E7">
            <w:pPr>
              <w:rPr>
                <w:rFonts w:ascii="宋体"/>
                <w:vanish/>
              </w:rPr>
            </w:pPr>
          </w:p>
        </w:tc>
      </w:tr>
      <w:tr w:rsidR="00B626E7" w14:paraId="20AE2433" w14:textId="77777777">
        <w:tc>
          <w:tcPr>
            <w:tcW w:w="0" w:type="auto"/>
            <w:gridSpan w:val="3"/>
            <w:shd w:val="clear" w:color="auto" w:fill="auto"/>
            <w:tcMar>
              <w:top w:w="40" w:type="dxa"/>
              <w:left w:w="20" w:type="dxa"/>
              <w:bottom w:w="40" w:type="dxa"/>
              <w:right w:w="20" w:type="dxa"/>
            </w:tcMar>
            <w:vAlign w:val="bottom"/>
          </w:tcPr>
          <w:p w14:paraId="20AE241B" w14:textId="77777777" w:rsidR="00B626E7" w:rsidRDefault="00175C1D">
            <w:pPr>
              <w:ind w:hanging="180"/>
              <w:textAlignment w:val="bottom"/>
            </w:pPr>
            <w:r>
              <w:rPr>
                <w:rFonts w:ascii="Arial" w:eastAsia="宋体" w:hAnsi="Arial" w:cs="Arial"/>
                <w:b/>
                <w:bCs/>
                <w:color w:val="333333"/>
                <w:sz w:val="18"/>
                <w:szCs w:val="18"/>
              </w:rPr>
              <w:t>(In Millions)</w:t>
            </w:r>
          </w:p>
        </w:tc>
        <w:tc>
          <w:tcPr>
            <w:tcW w:w="0" w:type="auto"/>
            <w:gridSpan w:val="3"/>
            <w:shd w:val="clear" w:color="auto" w:fill="auto"/>
            <w:tcMar>
              <w:left w:w="20" w:type="dxa"/>
              <w:right w:w="20" w:type="dxa"/>
            </w:tcMar>
            <w:vAlign w:val="bottom"/>
          </w:tcPr>
          <w:p w14:paraId="20AE241C"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bottom"/>
          </w:tcPr>
          <w:p w14:paraId="20AE241D" w14:textId="77777777" w:rsidR="00B626E7" w:rsidRDefault="00175C1D">
            <w:pPr>
              <w:ind w:hanging="180"/>
              <w:jc w:val="center"/>
              <w:textAlignment w:val="bottom"/>
            </w:pPr>
            <w:r>
              <w:rPr>
                <w:rFonts w:ascii="Arial" w:eastAsia="宋体" w:hAnsi="Arial" w:cs="Arial"/>
                <w:b/>
                <w:bCs/>
                <w:color w:val="333333"/>
                <w:sz w:val="18"/>
                <w:szCs w:val="18"/>
              </w:rPr>
              <w:t>Location of Gains (Losses)</w:t>
            </w:r>
          </w:p>
          <w:p w14:paraId="20AE241E" w14:textId="77777777" w:rsidR="00B626E7" w:rsidRDefault="00175C1D">
            <w:pPr>
              <w:ind w:hanging="180"/>
              <w:jc w:val="center"/>
              <w:textAlignment w:val="bottom"/>
            </w:pPr>
            <w:r>
              <w:rPr>
                <w:rFonts w:ascii="Arial" w:eastAsia="宋体" w:hAnsi="Arial" w:cs="Arial"/>
                <w:b/>
                <w:bCs/>
                <w:color w:val="333333"/>
                <w:sz w:val="18"/>
                <w:szCs w:val="18"/>
              </w:rPr>
              <w:t xml:space="preserve">Recognized in </w:t>
            </w:r>
            <w:r>
              <w:rPr>
                <w:rFonts w:ascii="Arial" w:eastAsia="宋体" w:hAnsi="Arial" w:cs="Arial"/>
                <w:b/>
                <w:bCs/>
                <w:color w:val="333333"/>
                <w:sz w:val="18"/>
                <w:szCs w:val="18"/>
              </w:rPr>
              <w:t>Income on Derivatives</w:t>
            </w:r>
          </w:p>
        </w:tc>
        <w:tc>
          <w:tcPr>
            <w:tcW w:w="0" w:type="auto"/>
            <w:gridSpan w:val="3"/>
            <w:shd w:val="clear" w:color="auto" w:fill="auto"/>
            <w:tcMar>
              <w:left w:w="20" w:type="dxa"/>
              <w:right w:w="20" w:type="dxa"/>
            </w:tcMar>
            <w:vAlign w:val="bottom"/>
          </w:tcPr>
          <w:p w14:paraId="20AE241F"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2420" w14:textId="77777777" w:rsidR="00B626E7" w:rsidRDefault="00175C1D">
            <w:pPr>
              <w:jc w:val="center"/>
              <w:textAlignment w:val="bottom"/>
            </w:pPr>
            <w:r>
              <w:rPr>
                <w:rFonts w:ascii="Arial" w:eastAsia="宋体" w:hAnsi="Arial" w:cs="Arial"/>
                <w:b/>
                <w:bCs/>
                <w:color w:val="333333"/>
                <w:sz w:val="18"/>
                <w:szCs w:val="18"/>
              </w:rPr>
              <w:t>Jun 27, 2020</w:t>
            </w:r>
          </w:p>
        </w:tc>
        <w:tc>
          <w:tcPr>
            <w:tcW w:w="0" w:type="auto"/>
            <w:gridSpan w:val="3"/>
            <w:tcBorders>
              <w:top w:val="single" w:sz="8" w:space="0" w:color="0071C5"/>
            </w:tcBorders>
            <w:shd w:val="clear" w:color="auto" w:fill="auto"/>
            <w:tcMar>
              <w:left w:w="20" w:type="dxa"/>
              <w:right w:w="20" w:type="dxa"/>
            </w:tcMar>
            <w:vAlign w:val="bottom"/>
          </w:tcPr>
          <w:p w14:paraId="20AE2421"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2422" w14:textId="77777777" w:rsidR="00B626E7" w:rsidRDefault="00175C1D">
            <w:pPr>
              <w:jc w:val="center"/>
              <w:textAlignment w:val="bottom"/>
            </w:pPr>
            <w:r>
              <w:rPr>
                <w:rFonts w:ascii="Arial" w:eastAsia="宋体" w:hAnsi="Arial" w:cs="Arial"/>
                <w:b/>
                <w:bCs/>
                <w:color w:val="333333"/>
                <w:sz w:val="18"/>
                <w:szCs w:val="18"/>
              </w:rPr>
              <w:t>Jun 29, 2019</w:t>
            </w:r>
          </w:p>
        </w:tc>
        <w:tc>
          <w:tcPr>
            <w:tcW w:w="0" w:type="auto"/>
            <w:gridSpan w:val="3"/>
            <w:shd w:val="clear" w:color="auto" w:fill="auto"/>
            <w:tcMar>
              <w:left w:w="20" w:type="dxa"/>
              <w:right w:w="20" w:type="dxa"/>
            </w:tcMar>
            <w:vAlign w:val="bottom"/>
          </w:tcPr>
          <w:p w14:paraId="20AE2423"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2424" w14:textId="77777777" w:rsidR="00B626E7" w:rsidRDefault="00175C1D">
            <w:pPr>
              <w:jc w:val="center"/>
              <w:textAlignment w:val="bottom"/>
            </w:pPr>
            <w:r>
              <w:rPr>
                <w:rFonts w:ascii="Arial" w:eastAsia="宋体" w:hAnsi="Arial" w:cs="Arial"/>
                <w:b/>
                <w:bCs/>
                <w:color w:val="333333"/>
                <w:sz w:val="18"/>
                <w:szCs w:val="18"/>
              </w:rPr>
              <w:t>Jun 27, 2020</w:t>
            </w:r>
          </w:p>
        </w:tc>
        <w:tc>
          <w:tcPr>
            <w:tcW w:w="0" w:type="auto"/>
            <w:gridSpan w:val="3"/>
            <w:tcBorders>
              <w:top w:val="single" w:sz="8" w:space="0" w:color="0071C5"/>
            </w:tcBorders>
            <w:shd w:val="clear" w:color="auto" w:fill="auto"/>
            <w:tcMar>
              <w:left w:w="20" w:type="dxa"/>
              <w:right w:w="20" w:type="dxa"/>
            </w:tcMar>
            <w:vAlign w:val="bottom"/>
          </w:tcPr>
          <w:p w14:paraId="20AE2425"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2426" w14:textId="77777777" w:rsidR="00B626E7" w:rsidRDefault="00175C1D">
            <w:pPr>
              <w:jc w:val="center"/>
              <w:textAlignment w:val="bottom"/>
            </w:pPr>
            <w:r>
              <w:rPr>
                <w:rFonts w:ascii="Arial" w:eastAsia="宋体" w:hAnsi="Arial" w:cs="Arial"/>
                <w:b/>
                <w:bCs/>
                <w:color w:val="333333"/>
                <w:sz w:val="18"/>
                <w:szCs w:val="18"/>
              </w:rPr>
              <w:t>Jun 29, 2019</w:t>
            </w:r>
          </w:p>
        </w:tc>
        <w:tc>
          <w:tcPr>
            <w:tcW w:w="0" w:type="auto"/>
            <w:shd w:val="clear" w:color="auto" w:fill="auto"/>
          </w:tcPr>
          <w:p w14:paraId="20AE2427" w14:textId="77777777" w:rsidR="00B626E7" w:rsidRDefault="00B626E7">
            <w:pPr>
              <w:rPr>
                <w:rFonts w:ascii="宋体"/>
              </w:rPr>
            </w:pPr>
          </w:p>
        </w:tc>
        <w:tc>
          <w:tcPr>
            <w:tcW w:w="0" w:type="auto"/>
            <w:shd w:val="clear" w:color="auto" w:fill="auto"/>
          </w:tcPr>
          <w:p w14:paraId="20AE2428" w14:textId="77777777" w:rsidR="00B626E7" w:rsidRDefault="00B626E7">
            <w:pPr>
              <w:rPr>
                <w:rFonts w:ascii="宋体"/>
              </w:rPr>
            </w:pPr>
          </w:p>
        </w:tc>
        <w:tc>
          <w:tcPr>
            <w:tcW w:w="0" w:type="auto"/>
            <w:shd w:val="clear" w:color="auto" w:fill="auto"/>
          </w:tcPr>
          <w:p w14:paraId="20AE2429" w14:textId="77777777" w:rsidR="00B626E7" w:rsidRDefault="00B626E7">
            <w:pPr>
              <w:rPr>
                <w:rFonts w:ascii="宋体"/>
              </w:rPr>
            </w:pPr>
          </w:p>
        </w:tc>
        <w:tc>
          <w:tcPr>
            <w:tcW w:w="0" w:type="auto"/>
            <w:shd w:val="clear" w:color="auto" w:fill="auto"/>
          </w:tcPr>
          <w:p w14:paraId="20AE242A" w14:textId="77777777" w:rsidR="00B626E7" w:rsidRDefault="00B626E7">
            <w:pPr>
              <w:rPr>
                <w:rFonts w:ascii="宋体"/>
              </w:rPr>
            </w:pPr>
          </w:p>
        </w:tc>
        <w:tc>
          <w:tcPr>
            <w:tcW w:w="0" w:type="auto"/>
            <w:shd w:val="clear" w:color="auto" w:fill="auto"/>
          </w:tcPr>
          <w:p w14:paraId="20AE242B" w14:textId="77777777" w:rsidR="00B626E7" w:rsidRDefault="00B626E7">
            <w:pPr>
              <w:rPr>
                <w:rFonts w:ascii="宋体"/>
              </w:rPr>
            </w:pPr>
          </w:p>
        </w:tc>
        <w:tc>
          <w:tcPr>
            <w:tcW w:w="0" w:type="auto"/>
            <w:shd w:val="clear" w:color="auto" w:fill="auto"/>
          </w:tcPr>
          <w:p w14:paraId="20AE242C" w14:textId="77777777" w:rsidR="00B626E7" w:rsidRDefault="00B626E7">
            <w:pPr>
              <w:rPr>
                <w:rFonts w:ascii="宋体"/>
              </w:rPr>
            </w:pPr>
          </w:p>
        </w:tc>
        <w:tc>
          <w:tcPr>
            <w:tcW w:w="0" w:type="auto"/>
            <w:shd w:val="clear" w:color="auto" w:fill="auto"/>
          </w:tcPr>
          <w:p w14:paraId="20AE242D" w14:textId="77777777" w:rsidR="00B626E7" w:rsidRDefault="00B626E7">
            <w:pPr>
              <w:rPr>
                <w:rFonts w:ascii="宋体"/>
              </w:rPr>
            </w:pPr>
          </w:p>
        </w:tc>
        <w:tc>
          <w:tcPr>
            <w:tcW w:w="0" w:type="auto"/>
            <w:shd w:val="clear" w:color="auto" w:fill="auto"/>
          </w:tcPr>
          <w:p w14:paraId="20AE242E" w14:textId="77777777" w:rsidR="00B626E7" w:rsidRDefault="00B626E7">
            <w:pPr>
              <w:rPr>
                <w:rFonts w:ascii="宋体"/>
              </w:rPr>
            </w:pPr>
          </w:p>
        </w:tc>
        <w:tc>
          <w:tcPr>
            <w:tcW w:w="0" w:type="auto"/>
            <w:shd w:val="clear" w:color="auto" w:fill="auto"/>
          </w:tcPr>
          <w:p w14:paraId="20AE242F" w14:textId="77777777" w:rsidR="00B626E7" w:rsidRDefault="00B626E7">
            <w:pPr>
              <w:rPr>
                <w:rFonts w:ascii="宋体"/>
              </w:rPr>
            </w:pPr>
          </w:p>
        </w:tc>
        <w:tc>
          <w:tcPr>
            <w:tcW w:w="0" w:type="auto"/>
            <w:shd w:val="clear" w:color="auto" w:fill="auto"/>
          </w:tcPr>
          <w:p w14:paraId="20AE2430" w14:textId="77777777" w:rsidR="00B626E7" w:rsidRDefault="00B626E7">
            <w:pPr>
              <w:rPr>
                <w:rFonts w:ascii="宋体"/>
              </w:rPr>
            </w:pPr>
          </w:p>
        </w:tc>
        <w:tc>
          <w:tcPr>
            <w:tcW w:w="0" w:type="auto"/>
            <w:shd w:val="clear" w:color="auto" w:fill="auto"/>
          </w:tcPr>
          <w:p w14:paraId="20AE2431" w14:textId="77777777" w:rsidR="00B626E7" w:rsidRDefault="00B626E7">
            <w:pPr>
              <w:rPr>
                <w:rFonts w:ascii="宋体"/>
              </w:rPr>
            </w:pPr>
          </w:p>
        </w:tc>
        <w:tc>
          <w:tcPr>
            <w:tcW w:w="0" w:type="auto"/>
            <w:shd w:val="clear" w:color="auto" w:fill="auto"/>
          </w:tcPr>
          <w:p w14:paraId="20AE2432" w14:textId="77777777" w:rsidR="00B626E7" w:rsidRDefault="00B626E7">
            <w:pPr>
              <w:rPr>
                <w:rFonts w:ascii="宋体"/>
              </w:rPr>
            </w:pPr>
          </w:p>
        </w:tc>
      </w:tr>
      <w:tr w:rsidR="00B626E7" w14:paraId="20AE2453" w14:textId="77777777">
        <w:tc>
          <w:tcPr>
            <w:tcW w:w="0" w:type="auto"/>
            <w:gridSpan w:val="3"/>
            <w:tcBorders>
              <w:top w:val="single" w:sz="8" w:space="0" w:color="0071C5"/>
            </w:tcBorders>
            <w:shd w:val="clear" w:color="auto" w:fill="auto"/>
            <w:tcMar>
              <w:top w:w="40" w:type="dxa"/>
              <w:left w:w="20" w:type="dxa"/>
              <w:bottom w:w="40" w:type="dxa"/>
              <w:right w:w="20" w:type="dxa"/>
            </w:tcMar>
          </w:tcPr>
          <w:p w14:paraId="20AE2434" w14:textId="77777777" w:rsidR="00B626E7" w:rsidRDefault="00175C1D">
            <w:pPr>
              <w:ind w:hanging="180"/>
              <w:textAlignment w:val="top"/>
            </w:pPr>
            <w:r>
              <w:rPr>
                <w:rFonts w:ascii="Arial" w:eastAsia="宋体" w:hAnsi="Arial" w:cs="Arial"/>
                <w:color w:val="333333"/>
                <w:sz w:val="18"/>
                <w:szCs w:val="18"/>
              </w:rPr>
              <w:t>Foreign currency contracts</w:t>
            </w:r>
          </w:p>
        </w:tc>
        <w:tc>
          <w:tcPr>
            <w:tcW w:w="0" w:type="auto"/>
            <w:gridSpan w:val="3"/>
            <w:shd w:val="clear" w:color="auto" w:fill="auto"/>
            <w:tcMar>
              <w:left w:w="20" w:type="dxa"/>
              <w:right w:w="20" w:type="dxa"/>
            </w:tcMar>
            <w:vAlign w:val="bottom"/>
          </w:tcPr>
          <w:p w14:paraId="20AE2435"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tcPr>
          <w:p w14:paraId="20AE2436" w14:textId="77777777" w:rsidR="00B626E7" w:rsidRDefault="00175C1D">
            <w:pPr>
              <w:ind w:hanging="180"/>
              <w:textAlignment w:val="top"/>
            </w:pPr>
            <w:r>
              <w:rPr>
                <w:rFonts w:ascii="Arial" w:eastAsia="宋体" w:hAnsi="Arial" w:cs="Arial"/>
                <w:color w:val="333333"/>
                <w:sz w:val="18"/>
                <w:szCs w:val="18"/>
              </w:rPr>
              <w:t>Interest and other, net</w:t>
            </w:r>
          </w:p>
        </w:tc>
        <w:tc>
          <w:tcPr>
            <w:tcW w:w="0" w:type="auto"/>
            <w:gridSpan w:val="3"/>
            <w:shd w:val="clear" w:color="auto" w:fill="auto"/>
            <w:tcMar>
              <w:left w:w="20" w:type="dxa"/>
              <w:right w:w="20" w:type="dxa"/>
            </w:tcMar>
            <w:vAlign w:val="bottom"/>
          </w:tcPr>
          <w:p w14:paraId="20AE2437"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2438" w14:textId="77777777" w:rsidR="00B626E7" w:rsidRDefault="00175C1D">
            <w:pPr>
              <w:textAlignment w:val="bottom"/>
            </w:pPr>
            <w:r>
              <w:rPr>
                <w:rFonts w:ascii="Arial" w:eastAsia="宋体" w:hAnsi="Arial" w:cs="Arial"/>
                <w:color w:val="026DCE"/>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2439" w14:textId="77777777" w:rsidR="00B626E7" w:rsidRDefault="00175C1D">
            <w:pPr>
              <w:jc w:val="right"/>
              <w:textAlignment w:val="bottom"/>
            </w:pPr>
            <w:r>
              <w:rPr>
                <w:rFonts w:ascii="Arial" w:eastAsia="宋体" w:hAnsi="Arial" w:cs="Arial"/>
                <w:color w:val="026DCE"/>
                <w:sz w:val="18"/>
                <w:szCs w:val="18"/>
              </w:rPr>
              <w:t>(216)</w:t>
            </w:r>
          </w:p>
        </w:tc>
        <w:tc>
          <w:tcPr>
            <w:tcW w:w="0" w:type="auto"/>
            <w:tcBorders>
              <w:top w:val="single" w:sz="8" w:space="0" w:color="0071C5"/>
            </w:tcBorders>
            <w:shd w:val="clear" w:color="auto" w:fill="auto"/>
            <w:tcMar>
              <w:top w:w="40" w:type="dxa"/>
              <w:bottom w:w="40" w:type="dxa"/>
              <w:right w:w="20" w:type="dxa"/>
            </w:tcMar>
            <w:vAlign w:val="bottom"/>
          </w:tcPr>
          <w:p w14:paraId="20AE243A"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243B"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243C" w14:textId="77777777" w:rsidR="00B626E7" w:rsidRDefault="00175C1D">
            <w:pPr>
              <w:textAlignment w:val="bottom"/>
            </w:pPr>
            <w:r>
              <w:rPr>
                <w:rFonts w:ascii="Arial" w:eastAsia="宋体" w:hAnsi="Arial" w:cs="Arial"/>
                <w:color w:val="000000"/>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243D" w14:textId="77777777" w:rsidR="00B626E7" w:rsidRDefault="00175C1D">
            <w:pPr>
              <w:jc w:val="right"/>
              <w:textAlignment w:val="bottom"/>
            </w:pPr>
            <w:r>
              <w:rPr>
                <w:rFonts w:ascii="Arial" w:eastAsia="宋体" w:hAnsi="Arial" w:cs="Arial"/>
                <w:color w:val="000000"/>
                <w:sz w:val="18"/>
                <w:szCs w:val="18"/>
              </w:rPr>
              <w:t>(20)</w:t>
            </w:r>
          </w:p>
        </w:tc>
        <w:tc>
          <w:tcPr>
            <w:tcW w:w="0" w:type="auto"/>
            <w:tcBorders>
              <w:top w:val="single" w:sz="8" w:space="0" w:color="0071C5"/>
            </w:tcBorders>
            <w:shd w:val="clear" w:color="auto" w:fill="auto"/>
            <w:tcMar>
              <w:top w:w="40" w:type="dxa"/>
              <w:bottom w:w="40" w:type="dxa"/>
              <w:right w:w="20" w:type="dxa"/>
            </w:tcMar>
            <w:vAlign w:val="bottom"/>
          </w:tcPr>
          <w:p w14:paraId="20AE243E" w14:textId="77777777" w:rsidR="00B626E7" w:rsidRDefault="00175C1D">
            <w:pPr>
              <w:jc w:val="right"/>
              <w:textAlignment w:val="bottom"/>
            </w:pPr>
            <w:r>
              <w:rPr>
                <w:rFonts w:ascii="Arial" w:eastAsia="宋体" w:hAnsi="Arial" w:cs="Arial"/>
                <w:color w:val="000000"/>
                <w:sz w:val="18"/>
                <w:szCs w:val="18"/>
              </w:rPr>
              <w:t> </w:t>
            </w:r>
          </w:p>
        </w:tc>
        <w:tc>
          <w:tcPr>
            <w:tcW w:w="0" w:type="auto"/>
            <w:gridSpan w:val="3"/>
            <w:shd w:val="clear" w:color="auto" w:fill="auto"/>
            <w:tcMar>
              <w:left w:w="20" w:type="dxa"/>
              <w:right w:w="20" w:type="dxa"/>
            </w:tcMar>
            <w:vAlign w:val="bottom"/>
          </w:tcPr>
          <w:p w14:paraId="20AE243F"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2440" w14:textId="77777777" w:rsidR="00B626E7" w:rsidRDefault="00175C1D">
            <w:pPr>
              <w:textAlignment w:val="bottom"/>
            </w:pPr>
            <w:r>
              <w:rPr>
                <w:rFonts w:ascii="Arial" w:eastAsia="宋体" w:hAnsi="Arial" w:cs="Arial"/>
                <w:color w:val="026DCE"/>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2441" w14:textId="77777777" w:rsidR="00B626E7" w:rsidRDefault="00175C1D">
            <w:pPr>
              <w:jc w:val="right"/>
              <w:textAlignment w:val="bottom"/>
            </w:pPr>
            <w:r>
              <w:rPr>
                <w:rFonts w:ascii="Arial" w:eastAsia="宋体" w:hAnsi="Arial" w:cs="Arial"/>
                <w:color w:val="026DCE"/>
                <w:sz w:val="18"/>
                <w:szCs w:val="18"/>
              </w:rPr>
              <w:t>(62)</w:t>
            </w:r>
          </w:p>
        </w:tc>
        <w:tc>
          <w:tcPr>
            <w:tcW w:w="0" w:type="auto"/>
            <w:tcBorders>
              <w:top w:val="single" w:sz="8" w:space="0" w:color="0071C5"/>
            </w:tcBorders>
            <w:shd w:val="clear" w:color="auto" w:fill="auto"/>
            <w:tcMar>
              <w:top w:w="40" w:type="dxa"/>
              <w:bottom w:w="40" w:type="dxa"/>
              <w:right w:w="20" w:type="dxa"/>
            </w:tcMar>
            <w:vAlign w:val="bottom"/>
          </w:tcPr>
          <w:p w14:paraId="20AE2442"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2443"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2444" w14:textId="77777777" w:rsidR="00B626E7" w:rsidRDefault="00175C1D">
            <w:pPr>
              <w:textAlignment w:val="bottom"/>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2445" w14:textId="77777777" w:rsidR="00B626E7" w:rsidRDefault="00175C1D">
            <w:pPr>
              <w:jc w:val="right"/>
              <w:textAlignment w:val="bottom"/>
            </w:pPr>
            <w:r>
              <w:rPr>
                <w:rFonts w:ascii="Arial" w:eastAsia="宋体" w:hAnsi="Arial" w:cs="Arial"/>
                <w:color w:val="333333"/>
                <w:sz w:val="18"/>
                <w:szCs w:val="18"/>
              </w:rPr>
              <w:t>37 </w:t>
            </w:r>
          </w:p>
        </w:tc>
        <w:tc>
          <w:tcPr>
            <w:tcW w:w="0" w:type="auto"/>
            <w:tcBorders>
              <w:top w:val="single" w:sz="8" w:space="0" w:color="0071C5"/>
            </w:tcBorders>
            <w:shd w:val="clear" w:color="auto" w:fill="auto"/>
            <w:tcMar>
              <w:top w:w="40" w:type="dxa"/>
              <w:bottom w:w="40" w:type="dxa"/>
              <w:right w:w="20" w:type="dxa"/>
            </w:tcMar>
            <w:vAlign w:val="bottom"/>
          </w:tcPr>
          <w:p w14:paraId="20AE2446"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2447" w14:textId="77777777" w:rsidR="00B626E7" w:rsidRDefault="00B626E7">
            <w:pPr>
              <w:rPr>
                <w:rFonts w:ascii="宋体"/>
              </w:rPr>
            </w:pPr>
          </w:p>
        </w:tc>
        <w:tc>
          <w:tcPr>
            <w:tcW w:w="0" w:type="auto"/>
            <w:shd w:val="clear" w:color="auto" w:fill="auto"/>
          </w:tcPr>
          <w:p w14:paraId="20AE2448" w14:textId="77777777" w:rsidR="00B626E7" w:rsidRDefault="00B626E7">
            <w:pPr>
              <w:rPr>
                <w:rFonts w:ascii="宋体"/>
              </w:rPr>
            </w:pPr>
          </w:p>
        </w:tc>
        <w:tc>
          <w:tcPr>
            <w:tcW w:w="0" w:type="auto"/>
            <w:shd w:val="clear" w:color="auto" w:fill="auto"/>
          </w:tcPr>
          <w:p w14:paraId="20AE2449" w14:textId="77777777" w:rsidR="00B626E7" w:rsidRDefault="00B626E7">
            <w:pPr>
              <w:rPr>
                <w:rFonts w:ascii="宋体"/>
              </w:rPr>
            </w:pPr>
          </w:p>
        </w:tc>
        <w:tc>
          <w:tcPr>
            <w:tcW w:w="0" w:type="auto"/>
            <w:shd w:val="clear" w:color="auto" w:fill="auto"/>
          </w:tcPr>
          <w:p w14:paraId="20AE244A" w14:textId="77777777" w:rsidR="00B626E7" w:rsidRDefault="00B626E7">
            <w:pPr>
              <w:rPr>
                <w:rFonts w:ascii="宋体"/>
              </w:rPr>
            </w:pPr>
          </w:p>
        </w:tc>
        <w:tc>
          <w:tcPr>
            <w:tcW w:w="0" w:type="auto"/>
            <w:shd w:val="clear" w:color="auto" w:fill="auto"/>
          </w:tcPr>
          <w:p w14:paraId="20AE244B" w14:textId="77777777" w:rsidR="00B626E7" w:rsidRDefault="00B626E7">
            <w:pPr>
              <w:rPr>
                <w:rFonts w:ascii="宋体"/>
              </w:rPr>
            </w:pPr>
          </w:p>
        </w:tc>
        <w:tc>
          <w:tcPr>
            <w:tcW w:w="0" w:type="auto"/>
            <w:shd w:val="clear" w:color="auto" w:fill="auto"/>
          </w:tcPr>
          <w:p w14:paraId="20AE244C" w14:textId="77777777" w:rsidR="00B626E7" w:rsidRDefault="00B626E7">
            <w:pPr>
              <w:rPr>
                <w:rFonts w:ascii="宋体"/>
              </w:rPr>
            </w:pPr>
          </w:p>
        </w:tc>
        <w:tc>
          <w:tcPr>
            <w:tcW w:w="0" w:type="auto"/>
            <w:shd w:val="clear" w:color="auto" w:fill="auto"/>
          </w:tcPr>
          <w:p w14:paraId="20AE244D" w14:textId="77777777" w:rsidR="00B626E7" w:rsidRDefault="00B626E7">
            <w:pPr>
              <w:rPr>
                <w:rFonts w:ascii="宋体"/>
              </w:rPr>
            </w:pPr>
          </w:p>
        </w:tc>
        <w:tc>
          <w:tcPr>
            <w:tcW w:w="0" w:type="auto"/>
            <w:shd w:val="clear" w:color="auto" w:fill="auto"/>
          </w:tcPr>
          <w:p w14:paraId="20AE244E" w14:textId="77777777" w:rsidR="00B626E7" w:rsidRDefault="00B626E7">
            <w:pPr>
              <w:rPr>
                <w:rFonts w:ascii="宋体"/>
              </w:rPr>
            </w:pPr>
          </w:p>
        </w:tc>
        <w:tc>
          <w:tcPr>
            <w:tcW w:w="0" w:type="auto"/>
            <w:shd w:val="clear" w:color="auto" w:fill="auto"/>
          </w:tcPr>
          <w:p w14:paraId="20AE244F" w14:textId="77777777" w:rsidR="00B626E7" w:rsidRDefault="00B626E7">
            <w:pPr>
              <w:rPr>
                <w:rFonts w:ascii="宋体"/>
              </w:rPr>
            </w:pPr>
          </w:p>
        </w:tc>
        <w:tc>
          <w:tcPr>
            <w:tcW w:w="0" w:type="auto"/>
            <w:shd w:val="clear" w:color="auto" w:fill="auto"/>
          </w:tcPr>
          <w:p w14:paraId="20AE2450" w14:textId="77777777" w:rsidR="00B626E7" w:rsidRDefault="00B626E7">
            <w:pPr>
              <w:rPr>
                <w:rFonts w:ascii="宋体"/>
              </w:rPr>
            </w:pPr>
          </w:p>
        </w:tc>
        <w:tc>
          <w:tcPr>
            <w:tcW w:w="0" w:type="auto"/>
            <w:shd w:val="clear" w:color="auto" w:fill="auto"/>
          </w:tcPr>
          <w:p w14:paraId="20AE2451" w14:textId="77777777" w:rsidR="00B626E7" w:rsidRDefault="00B626E7">
            <w:pPr>
              <w:rPr>
                <w:rFonts w:ascii="宋体"/>
              </w:rPr>
            </w:pPr>
          </w:p>
        </w:tc>
        <w:tc>
          <w:tcPr>
            <w:tcW w:w="0" w:type="auto"/>
            <w:shd w:val="clear" w:color="auto" w:fill="auto"/>
          </w:tcPr>
          <w:p w14:paraId="20AE2452" w14:textId="77777777" w:rsidR="00B626E7" w:rsidRDefault="00B626E7">
            <w:pPr>
              <w:rPr>
                <w:rFonts w:ascii="宋体"/>
              </w:rPr>
            </w:pPr>
          </w:p>
        </w:tc>
      </w:tr>
      <w:tr w:rsidR="00B626E7" w14:paraId="20AE246F" w14:textId="77777777">
        <w:tc>
          <w:tcPr>
            <w:tcW w:w="0" w:type="auto"/>
            <w:gridSpan w:val="3"/>
            <w:shd w:val="clear" w:color="auto" w:fill="auto"/>
            <w:tcMar>
              <w:top w:w="40" w:type="dxa"/>
              <w:left w:w="20" w:type="dxa"/>
              <w:bottom w:w="40" w:type="dxa"/>
              <w:right w:w="20" w:type="dxa"/>
            </w:tcMar>
          </w:tcPr>
          <w:p w14:paraId="20AE2454" w14:textId="77777777" w:rsidR="00B626E7" w:rsidRDefault="00175C1D">
            <w:pPr>
              <w:ind w:hanging="180"/>
              <w:textAlignment w:val="top"/>
            </w:pPr>
            <w:r>
              <w:rPr>
                <w:rFonts w:ascii="Arial" w:eastAsia="宋体" w:hAnsi="Arial" w:cs="Arial"/>
                <w:color w:val="333333"/>
                <w:sz w:val="18"/>
                <w:szCs w:val="18"/>
              </w:rPr>
              <w:t>Interest rate contracts</w:t>
            </w:r>
          </w:p>
        </w:tc>
        <w:tc>
          <w:tcPr>
            <w:tcW w:w="0" w:type="auto"/>
            <w:gridSpan w:val="3"/>
            <w:shd w:val="clear" w:color="auto" w:fill="auto"/>
            <w:tcMar>
              <w:left w:w="20" w:type="dxa"/>
              <w:right w:w="20" w:type="dxa"/>
            </w:tcMar>
            <w:vAlign w:val="bottom"/>
          </w:tcPr>
          <w:p w14:paraId="20AE2455"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2456" w14:textId="77777777" w:rsidR="00B626E7" w:rsidRDefault="00175C1D">
            <w:pPr>
              <w:ind w:hanging="180"/>
              <w:textAlignment w:val="top"/>
            </w:pPr>
            <w:r>
              <w:rPr>
                <w:rFonts w:ascii="Arial" w:eastAsia="宋体" w:hAnsi="Arial" w:cs="Arial"/>
                <w:color w:val="333333"/>
                <w:sz w:val="18"/>
                <w:szCs w:val="18"/>
              </w:rPr>
              <w:t>Interest and other, net</w:t>
            </w:r>
          </w:p>
        </w:tc>
        <w:tc>
          <w:tcPr>
            <w:tcW w:w="0" w:type="auto"/>
            <w:gridSpan w:val="3"/>
            <w:shd w:val="clear" w:color="auto" w:fill="auto"/>
            <w:tcMar>
              <w:left w:w="20" w:type="dxa"/>
              <w:right w:w="20" w:type="dxa"/>
            </w:tcMar>
            <w:vAlign w:val="bottom"/>
          </w:tcPr>
          <w:p w14:paraId="20AE2457"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458" w14:textId="77777777" w:rsidR="00B626E7" w:rsidRDefault="00175C1D">
            <w:pPr>
              <w:jc w:val="right"/>
              <w:textAlignment w:val="bottom"/>
            </w:pPr>
            <w:r>
              <w:rPr>
                <w:rFonts w:ascii="Arial" w:eastAsia="宋体" w:hAnsi="Arial" w:cs="Arial"/>
                <w:color w:val="026DCE"/>
                <w:sz w:val="18"/>
                <w:szCs w:val="18"/>
              </w:rPr>
              <w:t>(14)</w:t>
            </w:r>
          </w:p>
        </w:tc>
        <w:tc>
          <w:tcPr>
            <w:tcW w:w="0" w:type="auto"/>
            <w:shd w:val="clear" w:color="auto" w:fill="auto"/>
            <w:tcMar>
              <w:top w:w="40" w:type="dxa"/>
              <w:bottom w:w="40" w:type="dxa"/>
              <w:right w:w="20" w:type="dxa"/>
            </w:tcMar>
            <w:vAlign w:val="bottom"/>
          </w:tcPr>
          <w:p w14:paraId="20AE2459"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245A"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45B" w14:textId="77777777" w:rsidR="00B626E7" w:rsidRDefault="00175C1D">
            <w:pPr>
              <w:jc w:val="right"/>
              <w:textAlignment w:val="bottom"/>
            </w:pPr>
            <w:r>
              <w:rPr>
                <w:rFonts w:ascii="Arial" w:eastAsia="宋体" w:hAnsi="Arial" w:cs="Arial"/>
                <w:color w:val="000000"/>
                <w:sz w:val="18"/>
                <w:szCs w:val="18"/>
              </w:rPr>
              <w:t>(25)</w:t>
            </w:r>
          </w:p>
        </w:tc>
        <w:tc>
          <w:tcPr>
            <w:tcW w:w="0" w:type="auto"/>
            <w:shd w:val="clear" w:color="auto" w:fill="auto"/>
            <w:tcMar>
              <w:top w:w="40" w:type="dxa"/>
              <w:bottom w:w="40" w:type="dxa"/>
              <w:right w:w="20" w:type="dxa"/>
            </w:tcMar>
            <w:vAlign w:val="bottom"/>
          </w:tcPr>
          <w:p w14:paraId="20AE245C" w14:textId="77777777" w:rsidR="00B626E7" w:rsidRDefault="00175C1D">
            <w:pPr>
              <w:jc w:val="right"/>
              <w:textAlignment w:val="bottom"/>
            </w:pPr>
            <w:r>
              <w:rPr>
                <w:rFonts w:ascii="Arial" w:eastAsia="宋体" w:hAnsi="Arial" w:cs="Arial"/>
                <w:color w:val="000000"/>
                <w:sz w:val="18"/>
                <w:szCs w:val="18"/>
              </w:rPr>
              <w:t> </w:t>
            </w:r>
          </w:p>
        </w:tc>
        <w:tc>
          <w:tcPr>
            <w:tcW w:w="0" w:type="auto"/>
            <w:gridSpan w:val="3"/>
            <w:shd w:val="clear" w:color="auto" w:fill="auto"/>
            <w:tcMar>
              <w:left w:w="20" w:type="dxa"/>
              <w:right w:w="20" w:type="dxa"/>
            </w:tcMar>
            <w:vAlign w:val="bottom"/>
          </w:tcPr>
          <w:p w14:paraId="20AE245D"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45E" w14:textId="77777777" w:rsidR="00B626E7" w:rsidRDefault="00175C1D">
            <w:pPr>
              <w:jc w:val="right"/>
              <w:textAlignment w:val="bottom"/>
            </w:pPr>
            <w:r>
              <w:rPr>
                <w:rFonts w:ascii="Arial" w:eastAsia="宋体" w:hAnsi="Arial" w:cs="Arial"/>
                <w:color w:val="026DCE"/>
                <w:sz w:val="18"/>
                <w:szCs w:val="18"/>
              </w:rPr>
              <w:t>(91)</w:t>
            </w:r>
          </w:p>
        </w:tc>
        <w:tc>
          <w:tcPr>
            <w:tcW w:w="0" w:type="auto"/>
            <w:shd w:val="clear" w:color="auto" w:fill="auto"/>
            <w:tcMar>
              <w:top w:w="40" w:type="dxa"/>
              <w:bottom w:w="40" w:type="dxa"/>
              <w:right w:w="20" w:type="dxa"/>
            </w:tcMar>
            <w:vAlign w:val="bottom"/>
          </w:tcPr>
          <w:p w14:paraId="20AE245F"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2460"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461" w14:textId="77777777" w:rsidR="00B626E7" w:rsidRDefault="00175C1D">
            <w:pPr>
              <w:jc w:val="right"/>
              <w:textAlignment w:val="bottom"/>
            </w:pPr>
            <w:r>
              <w:rPr>
                <w:rFonts w:ascii="Arial" w:eastAsia="宋体" w:hAnsi="Arial" w:cs="Arial"/>
                <w:color w:val="333333"/>
                <w:sz w:val="18"/>
                <w:szCs w:val="18"/>
              </w:rPr>
              <w:t>(39)</w:t>
            </w:r>
          </w:p>
        </w:tc>
        <w:tc>
          <w:tcPr>
            <w:tcW w:w="0" w:type="auto"/>
            <w:shd w:val="clear" w:color="auto" w:fill="auto"/>
            <w:tcMar>
              <w:top w:w="40" w:type="dxa"/>
              <w:bottom w:w="40" w:type="dxa"/>
              <w:right w:w="20" w:type="dxa"/>
            </w:tcMar>
            <w:vAlign w:val="bottom"/>
          </w:tcPr>
          <w:p w14:paraId="20AE2462"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2463" w14:textId="77777777" w:rsidR="00B626E7" w:rsidRDefault="00B626E7">
            <w:pPr>
              <w:rPr>
                <w:rFonts w:ascii="宋体"/>
              </w:rPr>
            </w:pPr>
          </w:p>
        </w:tc>
        <w:tc>
          <w:tcPr>
            <w:tcW w:w="0" w:type="auto"/>
            <w:shd w:val="clear" w:color="auto" w:fill="auto"/>
          </w:tcPr>
          <w:p w14:paraId="20AE2464" w14:textId="77777777" w:rsidR="00B626E7" w:rsidRDefault="00B626E7">
            <w:pPr>
              <w:rPr>
                <w:rFonts w:ascii="宋体"/>
              </w:rPr>
            </w:pPr>
          </w:p>
        </w:tc>
        <w:tc>
          <w:tcPr>
            <w:tcW w:w="0" w:type="auto"/>
            <w:shd w:val="clear" w:color="auto" w:fill="auto"/>
          </w:tcPr>
          <w:p w14:paraId="20AE2465" w14:textId="77777777" w:rsidR="00B626E7" w:rsidRDefault="00B626E7">
            <w:pPr>
              <w:rPr>
                <w:rFonts w:ascii="宋体"/>
              </w:rPr>
            </w:pPr>
          </w:p>
        </w:tc>
        <w:tc>
          <w:tcPr>
            <w:tcW w:w="0" w:type="auto"/>
            <w:shd w:val="clear" w:color="auto" w:fill="auto"/>
          </w:tcPr>
          <w:p w14:paraId="20AE2466" w14:textId="77777777" w:rsidR="00B626E7" w:rsidRDefault="00B626E7">
            <w:pPr>
              <w:rPr>
                <w:rFonts w:ascii="宋体"/>
              </w:rPr>
            </w:pPr>
          </w:p>
        </w:tc>
        <w:tc>
          <w:tcPr>
            <w:tcW w:w="0" w:type="auto"/>
            <w:shd w:val="clear" w:color="auto" w:fill="auto"/>
          </w:tcPr>
          <w:p w14:paraId="20AE2467" w14:textId="77777777" w:rsidR="00B626E7" w:rsidRDefault="00B626E7">
            <w:pPr>
              <w:rPr>
                <w:rFonts w:ascii="宋体"/>
              </w:rPr>
            </w:pPr>
          </w:p>
        </w:tc>
        <w:tc>
          <w:tcPr>
            <w:tcW w:w="0" w:type="auto"/>
            <w:shd w:val="clear" w:color="auto" w:fill="auto"/>
          </w:tcPr>
          <w:p w14:paraId="20AE2468" w14:textId="77777777" w:rsidR="00B626E7" w:rsidRDefault="00B626E7">
            <w:pPr>
              <w:rPr>
                <w:rFonts w:ascii="宋体"/>
              </w:rPr>
            </w:pPr>
          </w:p>
        </w:tc>
        <w:tc>
          <w:tcPr>
            <w:tcW w:w="0" w:type="auto"/>
            <w:shd w:val="clear" w:color="auto" w:fill="auto"/>
          </w:tcPr>
          <w:p w14:paraId="20AE2469" w14:textId="77777777" w:rsidR="00B626E7" w:rsidRDefault="00B626E7">
            <w:pPr>
              <w:rPr>
                <w:rFonts w:ascii="宋体"/>
              </w:rPr>
            </w:pPr>
          </w:p>
        </w:tc>
        <w:tc>
          <w:tcPr>
            <w:tcW w:w="0" w:type="auto"/>
            <w:shd w:val="clear" w:color="auto" w:fill="auto"/>
          </w:tcPr>
          <w:p w14:paraId="20AE246A" w14:textId="77777777" w:rsidR="00B626E7" w:rsidRDefault="00B626E7">
            <w:pPr>
              <w:rPr>
                <w:rFonts w:ascii="宋体"/>
              </w:rPr>
            </w:pPr>
          </w:p>
        </w:tc>
        <w:tc>
          <w:tcPr>
            <w:tcW w:w="0" w:type="auto"/>
            <w:shd w:val="clear" w:color="auto" w:fill="auto"/>
          </w:tcPr>
          <w:p w14:paraId="20AE246B" w14:textId="77777777" w:rsidR="00B626E7" w:rsidRDefault="00B626E7">
            <w:pPr>
              <w:rPr>
                <w:rFonts w:ascii="宋体"/>
              </w:rPr>
            </w:pPr>
          </w:p>
        </w:tc>
        <w:tc>
          <w:tcPr>
            <w:tcW w:w="0" w:type="auto"/>
            <w:shd w:val="clear" w:color="auto" w:fill="auto"/>
          </w:tcPr>
          <w:p w14:paraId="20AE246C" w14:textId="77777777" w:rsidR="00B626E7" w:rsidRDefault="00B626E7">
            <w:pPr>
              <w:rPr>
                <w:rFonts w:ascii="宋体"/>
              </w:rPr>
            </w:pPr>
          </w:p>
        </w:tc>
        <w:tc>
          <w:tcPr>
            <w:tcW w:w="0" w:type="auto"/>
            <w:shd w:val="clear" w:color="auto" w:fill="auto"/>
          </w:tcPr>
          <w:p w14:paraId="20AE246D" w14:textId="77777777" w:rsidR="00B626E7" w:rsidRDefault="00B626E7">
            <w:pPr>
              <w:rPr>
                <w:rFonts w:ascii="宋体"/>
              </w:rPr>
            </w:pPr>
          </w:p>
        </w:tc>
        <w:tc>
          <w:tcPr>
            <w:tcW w:w="0" w:type="auto"/>
            <w:shd w:val="clear" w:color="auto" w:fill="auto"/>
          </w:tcPr>
          <w:p w14:paraId="20AE246E" w14:textId="77777777" w:rsidR="00B626E7" w:rsidRDefault="00B626E7">
            <w:pPr>
              <w:rPr>
                <w:rFonts w:ascii="宋体"/>
              </w:rPr>
            </w:pPr>
          </w:p>
        </w:tc>
      </w:tr>
      <w:tr w:rsidR="00B626E7" w14:paraId="20AE248B" w14:textId="77777777">
        <w:tc>
          <w:tcPr>
            <w:tcW w:w="0" w:type="auto"/>
            <w:gridSpan w:val="3"/>
            <w:shd w:val="clear" w:color="auto" w:fill="auto"/>
            <w:tcMar>
              <w:top w:w="40" w:type="dxa"/>
              <w:left w:w="20" w:type="dxa"/>
              <w:bottom w:w="40" w:type="dxa"/>
              <w:right w:w="20" w:type="dxa"/>
            </w:tcMar>
          </w:tcPr>
          <w:p w14:paraId="20AE2470" w14:textId="77777777" w:rsidR="00B626E7" w:rsidRDefault="00175C1D">
            <w:pPr>
              <w:ind w:hanging="180"/>
              <w:textAlignment w:val="top"/>
            </w:pPr>
            <w:r>
              <w:rPr>
                <w:rFonts w:ascii="Arial" w:eastAsia="宋体" w:hAnsi="Arial" w:cs="Arial"/>
                <w:color w:val="333333"/>
                <w:sz w:val="18"/>
                <w:szCs w:val="18"/>
              </w:rPr>
              <w:t>Other</w:t>
            </w:r>
          </w:p>
        </w:tc>
        <w:tc>
          <w:tcPr>
            <w:tcW w:w="0" w:type="auto"/>
            <w:gridSpan w:val="3"/>
            <w:shd w:val="clear" w:color="auto" w:fill="auto"/>
            <w:tcMar>
              <w:left w:w="20" w:type="dxa"/>
              <w:right w:w="20" w:type="dxa"/>
            </w:tcMar>
            <w:vAlign w:val="bottom"/>
          </w:tcPr>
          <w:p w14:paraId="20AE2471"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2472" w14:textId="77777777" w:rsidR="00B626E7" w:rsidRDefault="00175C1D">
            <w:pPr>
              <w:ind w:hanging="180"/>
              <w:textAlignment w:val="top"/>
            </w:pPr>
            <w:r>
              <w:rPr>
                <w:rFonts w:ascii="Arial" w:eastAsia="宋体" w:hAnsi="Arial" w:cs="Arial"/>
                <w:color w:val="333333"/>
                <w:sz w:val="18"/>
                <w:szCs w:val="18"/>
              </w:rPr>
              <w:t>Various</w:t>
            </w:r>
          </w:p>
        </w:tc>
        <w:tc>
          <w:tcPr>
            <w:tcW w:w="0" w:type="auto"/>
            <w:gridSpan w:val="3"/>
            <w:shd w:val="clear" w:color="auto" w:fill="auto"/>
            <w:tcMar>
              <w:left w:w="20" w:type="dxa"/>
              <w:right w:w="20" w:type="dxa"/>
            </w:tcMar>
            <w:vAlign w:val="bottom"/>
          </w:tcPr>
          <w:p w14:paraId="20AE2473"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474" w14:textId="77777777" w:rsidR="00B626E7" w:rsidRDefault="00175C1D">
            <w:pPr>
              <w:jc w:val="right"/>
              <w:textAlignment w:val="bottom"/>
            </w:pPr>
            <w:r>
              <w:rPr>
                <w:rFonts w:ascii="Arial" w:eastAsia="宋体" w:hAnsi="Arial" w:cs="Arial"/>
                <w:color w:val="026DCE"/>
                <w:sz w:val="18"/>
                <w:szCs w:val="18"/>
              </w:rPr>
              <w:t>225 </w:t>
            </w:r>
          </w:p>
        </w:tc>
        <w:tc>
          <w:tcPr>
            <w:tcW w:w="0" w:type="auto"/>
            <w:shd w:val="clear" w:color="auto" w:fill="auto"/>
            <w:tcMar>
              <w:top w:w="40" w:type="dxa"/>
              <w:bottom w:w="40" w:type="dxa"/>
              <w:right w:w="20" w:type="dxa"/>
            </w:tcMar>
            <w:vAlign w:val="bottom"/>
          </w:tcPr>
          <w:p w14:paraId="20AE2475"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2476"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477" w14:textId="77777777" w:rsidR="00B626E7" w:rsidRDefault="00175C1D">
            <w:pPr>
              <w:jc w:val="right"/>
              <w:textAlignment w:val="bottom"/>
            </w:pPr>
            <w:r>
              <w:rPr>
                <w:rFonts w:ascii="Arial" w:eastAsia="宋体" w:hAnsi="Arial" w:cs="Arial"/>
                <w:color w:val="000000"/>
                <w:sz w:val="18"/>
                <w:szCs w:val="18"/>
              </w:rPr>
              <w:t>35 </w:t>
            </w:r>
          </w:p>
        </w:tc>
        <w:tc>
          <w:tcPr>
            <w:tcW w:w="0" w:type="auto"/>
            <w:shd w:val="clear" w:color="auto" w:fill="auto"/>
            <w:tcMar>
              <w:top w:w="40" w:type="dxa"/>
              <w:bottom w:w="40" w:type="dxa"/>
              <w:right w:w="20" w:type="dxa"/>
            </w:tcMar>
            <w:vAlign w:val="bottom"/>
          </w:tcPr>
          <w:p w14:paraId="20AE2478" w14:textId="77777777" w:rsidR="00B626E7" w:rsidRDefault="00175C1D">
            <w:pPr>
              <w:jc w:val="right"/>
              <w:textAlignment w:val="bottom"/>
            </w:pPr>
            <w:r>
              <w:rPr>
                <w:rFonts w:ascii="Arial" w:eastAsia="宋体" w:hAnsi="Arial" w:cs="Arial"/>
                <w:color w:val="000000"/>
                <w:sz w:val="18"/>
                <w:szCs w:val="18"/>
              </w:rPr>
              <w:t> </w:t>
            </w:r>
          </w:p>
        </w:tc>
        <w:tc>
          <w:tcPr>
            <w:tcW w:w="0" w:type="auto"/>
            <w:gridSpan w:val="3"/>
            <w:shd w:val="clear" w:color="auto" w:fill="auto"/>
            <w:tcMar>
              <w:left w:w="20" w:type="dxa"/>
              <w:right w:w="20" w:type="dxa"/>
            </w:tcMar>
            <w:vAlign w:val="bottom"/>
          </w:tcPr>
          <w:p w14:paraId="20AE2479"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47A" w14:textId="77777777" w:rsidR="00B626E7" w:rsidRDefault="00175C1D">
            <w:pPr>
              <w:jc w:val="right"/>
              <w:textAlignment w:val="bottom"/>
            </w:pPr>
            <w:r>
              <w:rPr>
                <w:rFonts w:ascii="Arial" w:eastAsia="宋体" w:hAnsi="Arial" w:cs="Arial"/>
                <w:color w:val="026DCE"/>
                <w:sz w:val="18"/>
                <w:szCs w:val="18"/>
              </w:rPr>
              <w:t>(43)</w:t>
            </w:r>
          </w:p>
        </w:tc>
        <w:tc>
          <w:tcPr>
            <w:tcW w:w="0" w:type="auto"/>
            <w:shd w:val="clear" w:color="auto" w:fill="auto"/>
            <w:tcMar>
              <w:top w:w="40" w:type="dxa"/>
              <w:bottom w:w="40" w:type="dxa"/>
              <w:right w:w="20" w:type="dxa"/>
            </w:tcMar>
            <w:vAlign w:val="bottom"/>
          </w:tcPr>
          <w:p w14:paraId="20AE247B"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247C"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47D" w14:textId="77777777" w:rsidR="00B626E7" w:rsidRDefault="00175C1D">
            <w:pPr>
              <w:jc w:val="right"/>
              <w:textAlignment w:val="bottom"/>
            </w:pPr>
            <w:r>
              <w:rPr>
                <w:rFonts w:ascii="Arial" w:eastAsia="宋体" w:hAnsi="Arial" w:cs="Arial"/>
                <w:color w:val="333333"/>
                <w:sz w:val="18"/>
                <w:szCs w:val="18"/>
              </w:rPr>
              <w:t>181 </w:t>
            </w:r>
          </w:p>
        </w:tc>
        <w:tc>
          <w:tcPr>
            <w:tcW w:w="0" w:type="auto"/>
            <w:shd w:val="clear" w:color="auto" w:fill="auto"/>
            <w:tcMar>
              <w:top w:w="40" w:type="dxa"/>
              <w:bottom w:w="40" w:type="dxa"/>
              <w:right w:w="20" w:type="dxa"/>
            </w:tcMar>
            <w:vAlign w:val="bottom"/>
          </w:tcPr>
          <w:p w14:paraId="20AE247E"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247F" w14:textId="77777777" w:rsidR="00B626E7" w:rsidRDefault="00B626E7">
            <w:pPr>
              <w:rPr>
                <w:rFonts w:ascii="宋体"/>
              </w:rPr>
            </w:pPr>
          </w:p>
        </w:tc>
        <w:tc>
          <w:tcPr>
            <w:tcW w:w="0" w:type="auto"/>
            <w:shd w:val="clear" w:color="auto" w:fill="auto"/>
          </w:tcPr>
          <w:p w14:paraId="20AE2480" w14:textId="77777777" w:rsidR="00B626E7" w:rsidRDefault="00B626E7">
            <w:pPr>
              <w:rPr>
                <w:rFonts w:ascii="宋体"/>
              </w:rPr>
            </w:pPr>
          </w:p>
        </w:tc>
        <w:tc>
          <w:tcPr>
            <w:tcW w:w="0" w:type="auto"/>
            <w:shd w:val="clear" w:color="auto" w:fill="auto"/>
          </w:tcPr>
          <w:p w14:paraId="20AE2481" w14:textId="77777777" w:rsidR="00B626E7" w:rsidRDefault="00B626E7">
            <w:pPr>
              <w:rPr>
                <w:rFonts w:ascii="宋体"/>
              </w:rPr>
            </w:pPr>
          </w:p>
        </w:tc>
        <w:tc>
          <w:tcPr>
            <w:tcW w:w="0" w:type="auto"/>
            <w:shd w:val="clear" w:color="auto" w:fill="auto"/>
          </w:tcPr>
          <w:p w14:paraId="20AE2482" w14:textId="77777777" w:rsidR="00B626E7" w:rsidRDefault="00B626E7">
            <w:pPr>
              <w:rPr>
                <w:rFonts w:ascii="宋体"/>
              </w:rPr>
            </w:pPr>
          </w:p>
        </w:tc>
        <w:tc>
          <w:tcPr>
            <w:tcW w:w="0" w:type="auto"/>
            <w:shd w:val="clear" w:color="auto" w:fill="auto"/>
          </w:tcPr>
          <w:p w14:paraId="20AE2483" w14:textId="77777777" w:rsidR="00B626E7" w:rsidRDefault="00B626E7">
            <w:pPr>
              <w:rPr>
                <w:rFonts w:ascii="宋体"/>
              </w:rPr>
            </w:pPr>
          </w:p>
        </w:tc>
        <w:tc>
          <w:tcPr>
            <w:tcW w:w="0" w:type="auto"/>
            <w:shd w:val="clear" w:color="auto" w:fill="auto"/>
          </w:tcPr>
          <w:p w14:paraId="20AE2484" w14:textId="77777777" w:rsidR="00B626E7" w:rsidRDefault="00B626E7">
            <w:pPr>
              <w:rPr>
                <w:rFonts w:ascii="宋体"/>
              </w:rPr>
            </w:pPr>
          </w:p>
        </w:tc>
        <w:tc>
          <w:tcPr>
            <w:tcW w:w="0" w:type="auto"/>
            <w:shd w:val="clear" w:color="auto" w:fill="auto"/>
          </w:tcPr>
          <w:p w14:paraId="20AE2485" w14:textId="77777777" w:rsidR="00B626E7" w:rsidRDefault="00B626E7">
            <w:pPr>
              <w:rPr>
                <w:rFonts w:ascii="宋体"/>
              </w:rPr>
            </w:pPr>
          </w:p>
        </w:tc>
        <w:tc>
          <w:tcPr>
            <w:tcW w:w="0" w:type="auto"/>
            <w:shd w:val="clear" w:color="auto" w:fill="auto"/>
          </w:tcPr>
          <w:p w14:paraId="20AE2486" w14:textId="77777777" w:rsidR="00B626E7" w:rsidRDefault="00B626E7">
            <w:pPr>
              <w:rPr>
                <w:rFonts w:ascii="宋体"/>
              </w:rPr>
            </w:pPr>
          </w:p>
        </w:tc>
        <w:tc>
          <w:tcPr>
            <w:tcW w:w="0" w:type="auto"/>
            <w:shd w:val="clear" w:color="auto" w:fill="auto"/>
          </w:tcPr>
          <w:p w14:paraId="20AE2487" w14:textId="77777777" w:rsidR="00B626E7" w:rsidRDefault="00B626E7">
            <w:pPr>
              <w:rPr>
                <w:rFonts w:ascii="宋体"/>
              </w:rPr>
            </w:pPr>
          </w:p>
        </w:tc>
        <w:tc>
          <w:tcPr>
            <w:tcW w:w="0" w:type="auto"/>
            <w:shd w:val="clear" w:color="auto" w:fill="auto"/>
          </w:tcPr>
          <w:p w14:paraId="20AE2488" w14:textId="77777777" w:rsidR="00B626E7" w:rsidRDefault="00B626E7">
            <w:pPr>
              <w:rPr>
                <w:rFonts w:ascii="宋体"/>
              </w:rPr>
            </w:pPr>
          </w:p>
        </w:tc>
        <w:tc>
          <w:tcPr>
            <w:tcW w:w="0" w:type="auto"/>
            <w:shd w:val="clear" w:color="auto" w:fill="auto"/>
          </w:tcPr>
          <w:p w14:paraId="20AE2489" w14:textId="77777777" w:rsidR="00B626E7" w:rsidRDefault="00B626E7">
            <w:pPr>
              <w:rPr>
                <w:rFonts w:ascii="宋体"/>
              </w:rPr>
            </w:pPr>
          </w:p>
        </w:tc>
        <w:tc>
          <w:tcPr>
            <w:tcW w:w="0" w:type="auto"/>
            <w:shd w:val="clear" w:color="auto" w:fill="auto"/>
          </w:tcPr>
          <w:p w14:paraId="20AE248A" w14:textId="77777777" w:rsidR="00B626E7" w:rsidRDefault="00B626E7">
            <w:pPr>
              <w:rPr>
                <w:rFonts w:ascii="宋体"/>
              </w:rPr>
            </w:pPr>
          </w:p>
        </w:tc>
      </w:tr>
      <w:tr w:rsidR="00B626E7" w14:paraId="20AE24AB" w14:textId="77777777">
        <w:tc>
          <w:tcPr>
            <w:tcW w:w="0" w:type="auto"/>
            <w:gridSpan w:val="3"/>
            <w:shd w:val="clear" w:color="auto" w:fill="auto"/>
            <w:tcMar>
              <w:top w:w="40" w:type="dxa"/>
              <w:left w:w="20" w:type="dxa"/>
              <w:bottom w:w="40" w:type="dxa"/>
              <w:right w:w="20" w:type="dxa"/>
            </w:tcMar>
          </w:tcPr>
          <w:p w14:paraId="20AE248C" w14:textId="77777777" w:rsidR="00B626E7" w:rsidRDefault="00175C1D">
            <w:pPr>
              <w:ind w:hanging="180"/>
              <w:textAlignment w:val="top"/>
            </w:pPr>
            <w:r>
              <w:rPr>
                <w:rFonts w:ascii="Arial" w:eastAsia="宋体" w:hAnsi="Arial" w:cs="Arial"/>
                <w:b/>
                <w:bCs/>
                <w:color w:val="333333"/>
                <w:sz w:val="18"/>
                <w:szCs w:val="18"/>
              </w:rPr>
              <w:t>Total</w:t>
            </w:r>
          </w:p>
        </w:tc>
        <w:tc>
          <w:tcPr>
            <w:tcW w:w="0" w:type="auto"/>
            <w:gridSpan w:val="3"/>
            <w:shd w:val="clear" w:color="auto" w:fill="auto"/>
            <w:tcMar>
              <w:left w:w="20" w:type="dxa"/>
              <w:right w:w="20" w:type="dxa"/>
            </w:tcMar>
            <w:vAlign w:val="bottom"/>
          </w:tcPr>
          <w:p w14:paraId="20AE248D"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48E"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48F"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2490" w14:textId="77777777" w:rsidR="00B626E7" w:rsidRDefault="00175C1D">
            <w:pPr>
              <w:textAlignment w:val="bottom"/>
            </w:pPr>
            <w:r>
              <w:rPr>
                <w:rFonts w:ascii="Arial" w:eastAsia="宋体" w:hAnsi="Arial" w:cs="Arial"/>
                <w:b/>
                <w:bCs/>
                <w:color w:val="026DCE"/>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2491" w14:textId="77777777" w:rsidR="00B626E7" w:rsidRDefault="00175C1D">
            <w:pPr>
              <w:jc w:val="right"/>
              <w:textAlignment w:val="bottom"/>
            </w:pPr>
            <w:r>
              <w:rPr>
                <w:rFonts w:ascii="Arial" w:eastAsia="宋体" w:hAnsi="Arial" w:cs="Arial"/>
                <w:b/>
                <w:bCs/>
                <w:color w:val="026DCE"/>
                <w:sz w:val="18"/>
                <w:szCs w:val="18"/>
              </w:rPr>
              <w:t>(5)</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2492"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2493"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2494"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2495" w14:textId="77777777" w:rsidR="00B626E7" w:rsidRDefault="00175C1D">
            <w:pPr>
              <w:jc w:val="right"/>
              <w:textAlignment w:val="bottom"/>
            </w:pPr>
            <w:r>
              <w:rPr>
                <w:rFonts w:ascii="Arial" w:eastAsia="宋体" w:hAnsi="Arial" w:cs="Arial"/>
                <w:b/>
                <w:bCs/>
                <w:color w:val="333333"/>
                <w:sz w:val="18"/>
                <w:szCs w:val="18"/>
              </w:rPr>
              <w:t>(10)</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2496"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2497"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2498" w14:textId="77777777" w:rsidR="00B626E7" w:rsidRDefault="00175C1D">
            <w:pPr>
              <w:textAlignment w:val="bottom"/>
            </w:pPr>
            <w:r>
              <w:rPr>
                <w:rFonts w:ascii="Arial" w:eastAsia="宋体" w:hAnsi="Arial" w:cs="Arial"/>
                <w:b/>
                <w:bCs/>
                <w:color w:val="026DCE"/>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2499" w14:textId="77777777" w:rsidR="00B626E7" w:rsidRDefault="00175C1D">
            <w:pPr>
              <w:jc w:val="right"/>
              <w:textAlignment w:val="bottom"/>
            </w:pPr>
            <w:r>
              <w:rPr>
                <w:rFonts w:ascii="Arial" w:eastAsia="宋体" w:hAnsi="Arial" w:cs="Arial"/>
                <w:b/>
                <w:bCs/>
                <w:color w:val="026DCE"/>
                <w:sz w:val="18"/>
                <w:szCs w:val="18"/>
              </w:rPr>
              <w:t>(196)</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249A"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249B"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249C"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249D" w14:textId="77777777" w:rsidR="00B626E7" w:rsidRDefault="00175C1D">
            <w:pPr>
              <w:jc w:val="right"/>
              <w:textAlignment w:val="bottom"/>
            </w:pPr>
            <w:r>
              <w:rPr>
                <w:rFonts w:ascii="Arial" w:eastAsia="宋体" w:hAnsi="Arial" w:cs="Arial"/>
                <w:b/>
                <w:bCs/>
                <w:color w:val="333333"/>
                <w:sz w:val="18"/>
                <w:szCs w:val="18"/>
              </w:rPr>
              <w:t>179 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249E"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E249F" w14:textId="77777777" w:rsidR="00B626E7" w:rsidRDefault="00B626E7">
            <w:pPr>
              <w:rPr>
                <w:rFonts w:ascii="宋体"/>
              </w:rPr>
            </w:pPr>
          </w:p>
        </w:tc>
        <w:tc>
          <w:tcPr>
            <w:tcW w:w="0" w:type="auto"/>
            <w:shd w:val="clear" w:color="auto" w:fill="auto"/>
          </w:tcPr>
          <w:p w14:paraId="20AE24A0" w14:textId="77777777" w:rsidR="00B626E7" w:rsidRDefault="00B626E7">
            <w:pPr>
              <w:rPr>
                <w:rFonts w:ascii="宋体"/>
              </w:rPr>
            </w:pPr>
          </w:p>
        </w:tc>
        <w:tc>
          <w:tcPr>
            <w:tcW w:w="0" w:type="auto"/>
            <w:shd w:val="clear" w:color="auto" w:fill="auto"/>
          </w:tcPr>
          <w:p w14:paraId="20AE24A1" w14:textId="77777777" w:rsidR="00B626E7" w:rsidRDefault="00B626E7">
            <w:pPr>
              <w:rPr>
                <w:rFonts w:ascii="宋体"/>
              </w:rPr>
            </w:pPr>
          </w:p>
        </w:tc>
        <w:tc>
          <w:tcPr>
            <w:tcW w:w="0" w:type="auto"/>
            <w:shd w:val="clear" w:color="auto" w:fill="auto"/>
          </w:tcPr>
          <w:p w14:paraId="20AE24A2" w14:textId="77777777" w:rsidR="00B626E7" w:rsidRDefault="00B626E7">
            <w:pPr>
              <w:rPr>
                <w:rFonts w:ascii="宋体"/>
              </w:rPr>
            </w:pPr>
          </w:p>
        </w:tc>
        <w:tc>
          <w:tcPr>
            <w:tcW w:w="0" w:type="auto"/>
            <w:shd w:val="clear" w:color="auto" w:fill="auto"/>
          </w:tcPr>
          <w:p w14:paraId="20AE24A3" w14:textId="77777777" w:rsidR="00B626E7" w:rsidRDefault="00B626E7">
            <w:pPr>
              <w:rPr>
                <w:rFonts w:ascii="宋体"/>
              </w:rPr>
            </w:pPr>
          </w:p>
        </w:tc>
        <w:tc>
          <w:tcPr>
            <w:tcW w:w="0" w:type="auto"/>
            <w:shd w:val="clear" w:color="auto" w:fill="auto"/>
          </w:tcPr>
          <w:p w14:paraId="20AE24A4" w14:textId="77777777" w:rsidR="00B626E7" w:rsidRDefault="00B626E7">
            <w:pPr>
              <w:rPr>
                <w:rFonts w:ascii="宋体"/>
              </w:rPr>
            </w:pPr>
          </w:p>
        </w:tc>
        <w:tc>
          <w:tcPr>
            <w:tcW w:w="0" w:type="auto"/>
            <w:shd w:val="clear" w:color="auto" w:fill="auto"/>
          </w:tcPr>
          <w:p w14:paraId="20AE24A5" w14:textId="77777777" w:rsidR="00B626E7" w:rsidRDefault="00B626E7">
            <w:pPr>
              <w:rPr>
                <w:rFonts w:ascii="宋体"/>
              </w:rPr>
            </w:pPr>
          </w:p>
        </w:tc>
        <w:tc>
          <w:tcPr>
            <w:tcW w:w="0" w:type="auto"/>
            <w:shd w:val="clear" w:color="auto" w:fill="auto"/>
          </w:tcPr>
          <w:p w14:paraId="20AE24A6" w14:textId="77777777" w:rsidR="00B626E7" w:rsidRDefault="00B626E7">
            <w:pPr>
              <w:rPr>
                <w:rFonts w:ascii="宋体"/>
              </w:rPr>
            </w:pPr>
          </w:p>
        </w:tc>
        <w:tc>
          <w:tcPr>
            <w:tcW w:w="0" w:type="auto"/>
            <w:shd w:val="clear" w:color="auto" w:fill="auto"/>
          </w:tcPr>
          <w:p w14:paraId="20AE24A7" w14:textId="77777777" w:rsidR="00B626E7" w:rsidRDefault="00B626E7">
            <w:pPr>
              <w:rPr>
                <w:rFonts w:ascii="宋体"/>
              </w:rPr>
            </w:pPr>
          </w:p>
        </w:tc>
        <w:tc>
          <w:tcPr>
            <w:tcW w:w="0" w:type="auto"/>
            <w:shd w:val="clear" w:color="auto" w:fill="auto"/>
          </w:tcPr>
          <w:p w14:paraId="20AE24A8" w14:textId="77777777" w:rsidR="00B626E7" w:rsidRDefault="00B626E7">
            <w:pPr>
              <w:rPr>
                <w:rFonts w:ascii="宋体"/>
              </w:rPr>
            </w:pPr>
          </w:p>
        </w:tc>
        <w:tc>
          <w:tcPr>
            <w:tcW w:w="0" w:type="auto"/>
            <w:shd w:val="clear" w:color="auto" w:fill="auto"/>
          </w:tcPr>
          <w:p w14:paraId="20AE24A9" w14:textId="77777777" w:rsidR="00B626E7" w:rsidRDefault="00B626E7">
            <w:pPr>
              <w:rPr>
                <w:rFonts w:ascii="宋体"/>
              </w:rPr>
            </w:pPr>
          </w:p>
        </w:tc>
        <w:tc>
          <w:tcPr>
            <w:tcW w:w="0" w:type="auto"/>
            <w:shd w:val="clear" w:color="auto" w:fill="auto"/>
          </w:tcPr>
          <w:p w14:paraId="20AE24AA" w14:textId="77777777" w:rsidR="00B626E7" w:rsidRDefault="00B626E7">
            <w:pPr>
              <w:rPr>
                <w:rFonts w:ascii="宋体"/>
              </w:rPr>
            </w:pPr>
          </w:p>
        </w:tc>
      </w:tr>
    </w:tbl>
    <w:p w14:paraId="20AE24AC" w14:textId="77777777" w:rsidR="00B626E7" w:rsidRDefault="00B626E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84"/>
        <w:gridCol w:w="937"/>
        <w:gridCol w:w="83"/>
        <w:gridCol w:w="83"/>
        <w:gridCol w:w="7066"/>
        <w:gridCol w:w="83"/>
      </w:tblGrid>
      <w:tr w:rsidR="00B626E7" w14:paraId="20AE24B3" w14:textId="77777777">
        <w:tc>
          <w:tcPr>
            <w:tcW w:w="50" w:type="pct"/>
            <w:shd w:val="clear" w:color="auto" w:fill="auto"/>
          </w:tcPr>
          <w:p w14:paraId="20AE24AD" w14:textId="77777777" w:rsidR="00B626E7" w:rsidRDefault="00B626E7">
            <w:pPr>
              <w:rPr>
                <w:rFonts w:ascii="宋体"/>
              </w:rPr>
            </w:pPr>
          </w:p>
        </w:tc>
        <w:tc>
          <w:tcPr>
            <w:tcW w:w="562" w:type="pct"/>
            <w:shd w:val="clear" w:color="auto" w:fill="auto"/>
          </w:tcPr>
          <w:p w14:paraId="20AE24AE" w14:textId="77777777" w:rsidR="00B626E7" w:rsidRDefault="00B626E7">
            <w:pPr>
              <w:rPr>
                <w:rFonts w:ascii="宋体"/>
              </w:rPr>
            </w:pPr>
          </w:p>
        </w:tc>
        <w:tc>
          <w:tcPr>
            <w:tcW w:w="50" w:type="pct"/>
            <w:shd w:val="clear" w:color="auto" w:fill="auto"/>
          </w:tcPr>
          <w:p w14:paraId="20AE24AF" w14:textId="77777777" w:rsidR="00B626E7" w:rsidRDefault="00B626E7">
            <w:pPr>
              <w:rPr>
                <w:rFonts w:ascii="宋体"/>
              </w:rPr>
            </w:pPr>
          </w:p>
        </w:tc>
        <w:tc>
          <w:tcPr>
            <w:tcW w:w="50" w:type="pct"/>
            <w:shd w:val="clear" w:color="auto" w:fill="auto"/>
          </w:tcPr>
          <w:p w14:paraId="20AE24B0" w14:textId="77777777" w:rsidR="00B626E7" w:rsidRDefault="00B626E7">
            <w:pPr>
              <w:rPr>
                <w:rFonts w:ascii="宋体"/>
              </w:rPr>
            </w:pPr>
          </w:p>
        </w:tc>
        <w:tc>
          <w:tcPr>
            <w:tcW w:w="4237" w:type="pct"/>
            <w:shd w:val="clear" w:color="auto" w:fill="auto"/>
          </w:tcPr>
          <w:p w14:paraId="20AE24B1" w14:textId="77777777" w:rsidR="00B626E7" w:rsidRDefault="00B626E7">
            <w:pPr>
              <w:rPr>
                <w:rFonts w:ascii="宋体"/>
              </w:rPr>
            </w:pPr>
          </w:p>
        </w:tc>
        <w:tc>
          <w:tcPr>
            <w:tcW w:w="50" w:type="pct"/>
            <w:shd w:val="clear" w:color="auto" w:fill="auto"/>
          </w:tcPr>
          <w:p w14:paraId="20AE24B2" w14:textId="77777777" w:rsidR="00B626E7" w:rsidRDefault="00B626E7">
            <w:pPr>
              <w:rPr>
                <w:rFonts w:ascii="宋体"/>
              </w:rPr>
            </w:pPr>
          </w:p>
        </w:tc>
      </w:tr>
      <w:tr w:rsidR="00B626E7" w14:paraId="20AE24B6" w14:textId="77777777">
        <w:tc>
          <w:tcPr>
            <w:tcW w:w="0" w:type="auto"/>
            <w:gridSpan w:val="3"/>
            <w:tcBorders>
              <w:bottom w:val="single" w:sz="8" w:space="0" w:color="0071C5"/>
            </w:tcBorders>
            <w:shd w:val="clear" w:color="auto" w:fill="0071C5"/>
            <w:tcMar>
              <w:top w:w="40" w:type="dxa"/>
              <w:left w:w="20" w:type="dxa"/>
              <w:bottom w:w="40" w:type="dxa"/>
              <w:right w:w="20" w:type="dxa"/>
            </w:tcMar>
            <w:vAlign w:val="bottom"/>
          </w:tcPr>
          <w:p w14:paraId="20AE24B4" w14:textId="77777777" w:rsidR="00B626E7" w:rsidRDefault="00175C1D">
            <w:pPr>
              <w:textAlignment w:val="bottom"/>
            </w:pPr>
            <w:r>
              <w:rPr>
                <w:rFonts w:ascii="Arial" w:eastAsia="宋体" w:hAnsi="Arial" w:cs="Arial"/>
                <w:b/>
                <w:bCs/>
                <w:color w:val="FFFFFF"/>
                <w:sz w:val="28"/>
                <w:szCs w:val="28"/>
              </w:rPr>
              <w:t xml:space="preserve">NOTE 13 : </w:t>
            </w:r>
          </w:p>
        </w:tc>
        <w:tc>
          <w:tcPr>
            <w:tcW w:w="0" w:type="auto"/>
            <w:gridSpan w:val="3"/>
            <w:tcBorders>
              <w:bottom w:val="single" w:sz="8" w:space="0" w:color="0071C5"/>
            </w:tcBorders>
            <w:shd w:val="clear" w:color="auto" w:fill="auto"/>
            <w:tcMar>
              <w:top w:w="40" w:type="dxa"/>
              <w:left w:w="20" w:type="dxa"/>
              <w:bottom w:w="40" w:type="dxa"/>
              <w:right w:w="20" w:type="dxa"/>
            </w:tcMar>
            <w:vAlign w:val="bottom"/>
          </w:tcPr>
          <w:p w14:paraId="20AE24B5" w14:textId="77777777" w:rsidR="00B626E7" w:rsidRDefault="00175C1D">
            <w:pPr>
              <w:textAlignment w:val="bottom"/>
            </w:pPr>
            <w:r>
              <w:rPr>
                <w:rFonts w:ascii="Arial" w:eastAsia="宋体" w:hAnsi="Arial" w:cs="Arial"/>
                <w:b/>
                <w:bCs/>
                <w:color w:val="0071C5"/>
                <w:sz w:val="28"/>
                <w:szCs w:val="28"/>
              </w:rPr>
              <w:t>CONTINGENCIES</w:t>
            </w:r>
          </w:p>
        </w:tc>
      </w:tr>
    </w:tbl>
    <w:p w14:paraId="20AE24B7" w14:textId="77777777" w:rsidR="00B626E7" w:rsidRDefault="00175C1D">
      <w:pPr>
        <w:spacing w:before="240" w:after="120"/>
      </w:pPr>
      <w:r>
        <w:rPr>
          <w:rFonts w:ascii="Arial" w:eastAsia="宋体" w:hAnsi="Arial" w:cs="Arial"/>
          <w:b/>
          <w:bCs/>
          <w:color w:val="0071C5"/>
        </w:rPr>
        <w:t>LEGAL PROCEEDINGS</w:t>
      </w:r>
    </w:p>
    <w:p w14:paraId="20AE24B8" w14:textId="77777777" w:rsidR="00B626E7" w:rsidRDefault="00175C1D">
      <w:pPr>
        <w:spacing w:after="180"/>
      </w:pPr>
      <w:r>
        <w:rPr>
          <w:rFonts w:ascii="Arial" w:eastAsia="宋体" w:hAnsi="Arial" w:cs="Arial"/>
          <w:color w:val="333333"/>
          <w:sz w:val="18"/>
          <w:szCs w:val="18"/>
        </w:rPr>
        <w:t xml:space="preserve">We are a </w:t>
      </w:r>
      <w:r>
        <w:rPr>
          <w:rFonts w:ascii="Arial" w:eastAsia="宋体" w:hAnsi="Arial" w:cs="Arial"/>
          <w:color w:val="333333"/>
          <w:sz w:val="18"/>
          <w:szCs w:val="18"/>
        </w:rPr>
        <w:t>party to various legal proceedings, including those noted in this section. Although management at present believes that the ultimate outcome of these proceedings, individually and in the aggregate, will not materially harm our financial position, results o</w:t>
      </w:r>
      <w:r>
        <w:rPr>
          <w:rFonts w:ascii="Arial" w:eastAsia="宋体" w:hAnsi="Arial" w:cs="Arial"/>
          <w:color w:val="333333"/>
          <w:sz w:val="18"/>
          <w:szCs w:val="18"/>
        </w:rPr>
        <w:t>f operations, cash flows, or overall trends, legal proceedings and related government investigations are subject to inherent uncertainties, and unfavorable rulings or other events could occur. Unfavorable resolutions could include substantial monetary dama</w:t>
      </w:r>
      <w:r>
        <w:rPr>
          <w:rFonts w:ascii="Arial" w:eastAsia="宋体" w:hAnsi="Arial" w:cs="Arial"/>
          <w:color w:val="333333"/>
          <w:sz w:val="18"/>
          <w:szCs w:val="18"/>
        </w:rPr>
        <w:t>ges. In addition, in matters for which injunctive relief or other conduct remedies are sought, unfavorable resolutions could include an injunction or other order prohibiting us from selling one or more products at all or in particular ways, precluding part</w:t>
      </w:r>
      <w:r>
        <w:rPr>
          <w:rFonts w:ascii="Arial" w:eastAsia="宋体" w:hAnsi="Arial" w:cs="Arial"/>
          <w:color w:val="333333"/>
          <w:sz w:val="18"/>
          <w:szCs w:val="18"/>
        </w:rPr>
        <w:t>icular business practices, or requiring other remedies. An unfavorable outcome may result in a material adverse impact on our business, results of operations, financial position, and overall trends. We might also conclude that settling one or more such mat</w:t>
      </w:r>
      <w:r>
        <w:rPr>
          <w:rFonts w:ascii="Arial" w:eastAsia="宋体" w:hAnsi="Arial" w:cs="Arial"/>
          <w:color w:val="333333"/>
          <w:sz w:val="18"/>
          <w:szCs w:val="18"/>
        </w:rPr>
        <w:t xml:space="preserve">ters is in the best interests of our stockholders, employees, and customers, and any such settlement could include substantial payments. Except as specifically described below, we have not concluded that settlement of any of the legal proceedings noted in </w:t>
      </w:r>
      <w:r>
        <w:rPr>
          <w:rFonts w:ascii="Arial" w:eastAsia="宋体" w:hAnsi="Arial" w:cs="Arial"/>
          <w:color w:val="333333"/>
          <w:sz w:val="18"/>
          <w:szCs w:val="18"/>
        </w:rPr>
        <w:t>this section is appropriate at this time.</w:t>
      </w:r>
    </w:p>
    <w:p w14:paraId="20AE24B9" w14:textId="77777777" w:rsidR="00B626E7" w:rsidRDefault="00B626E7">
      <w:pPr>
        <w:spacing w:after="180"/>
      </w:pPr>
    </w:p>
    <w:p w14:paraId="20AE24BA" w14:textId="77777777" w:rsidR="00B626E7" w:rsidRDefault="00B626E7">
      <w:pPr>
        <w:spacing w:after="180"/>
      </w:pPr>
    </w:p>
    <w:p w14:paraId="20AE24BB" w14:textId="77777777" w:rsidR="00B626E7" w:rsidRDefault="00B626E7">
      <w:pPr>
        <w:spacing w:after="180"/>
      </w:pPr>
    </w:p>
    <w:p w14:paraId="20AE24BC" w14:textId="77777777" w:rsidR="00B626E7" w:rsidRDefault="00B626E7">
      <w:pPr>
        <w:spacing w:after="180"/>
      </w:pPr>
    </w:p>
    <w:p w14:paraId="20AE24BD" w14:textId="77777777" w:rsidR="00B626E7" w:rsidRDefault="00B626E7">
      <w:pPr>
        <w:spacing w:after="180"/>
      </w:pPr>
    </w:p>
    <w:p w14:paraId="20AE24BE" w14:textId="77777777" w:rsidR="00B626E7" w:rsidRDefault="00B626E7">
      <w:pPr>
        <w:spacing w:after="180"/>
      </w:pPr>
    </w:p>
    <w:p w14:paraId="20AE24BF" w14:textId="77777777" w:rsidR="00B626E7" w:rsidRDefault="00B626E7">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4"/>
        <w:gridCol w:w="2423"/>
        <w:gridCol w:w="84"/>
        <w:gridCol w:w="83"/>
        <w:gridCol w:w="3471"/>
        <w:gridCol w:w="83"/>
        <w:gridCol w:w="83"/>
        <w:gridCol w:w="1942"/>
        <w:gridCol w:w="83"/>
      </w:tblGrid>
      <w:tr w:rsidR="00B626E7" w14:paraId="20AE24C9" w14:textId="77777777">
        <w:tc>
          <w:tcPr>
            <w:tcW w:w="50" w:type="pct"/>
            <w:shd w:val="clear" w:color="auto" w:fill="auto"/>
            <w:vAlign w:val="bottom"/>
          </w:tcPr>
          <w:p w14:paraId="20AE24C0" w14:textId="77777777" w:rsidR="00B626E7" w:rsidRDefault="00B626E7">
            <w:pPr>
              <w:rPr>
                <w:rFonts w:ascii="宋体"/>
              </w:rPr>
            </w:pPr>
          </w:p>
        </w:tc>
        <w:tc>
          <w:tcPr>
            <w:tcW w:w="1452" w:type="pct"/>
            <w:shd w:val="clear" w:color="auto" w:fill="auto"/>
            <w:vAlign w:val="bottom"/>
          </w:tcPr>
          <w:p w14:paraId="20AE24C1" w14:textId="77777777" w:rsidR="00B626E7" w:rsidRDefault="00B626E7">
            <w:pPr>
              <w:rPr>
                <w:rFonts w:ascii="宋体"/>
              </w:rPr>
            </w:pPr>
          </w:p>
        </w:tc>
        <w:tc>
          <w:tcPr>
            <w:tcW w:w="50" w:type="pct"/>
            <w:shd w:val="clear" w:color="auto" w:fill="auto"/>
            <w:vAlign w:val="bottom"/>
          </w:tcPr>
          <w:p w14:paraId="20AE24C2" w14:textId="77777777" w:rsidR="00B626E7" w:rsidRDefault="00B626E7">
            <w:pPr>
              <w:rPr>
                <w:rFonts w:ascii="宋体"/>
              </w:rPr>
            </w:pPr>
          </w:p>
        </w:tc>
        <w:tc>
          <w:tcPr>
            <w:tcW w:w="50" w:type="pct"/>
            <w:shd w:val="clear" w:color="auto" w:fill="auto"/>
            <w:vAlign w:val="bottom"/>
          </w:tcPr>
          <w:p w14:paraId="20AE24C3" w14:textId="77777777" w:rsidR="00B626E7" w:rsidRDefault="00B626E7">
            <w:pPr>
              <w:rPr>
                <w:rFonts w:ascii="宋体"/>
              </w:rPr>
            </w:pPr>
          </w:p>
        </w:tc>
        <w:tc>
          <w:tcPr>
            <w:tcW w:w="2081" w:type="pct"/>
            <w:shd w:val="clear" w:color="auto" w:fill="auto"/>
            <w:vAlign w:val="bottom"/>
          </w:tcPr>
          <w:p w14:paraId="20AE24C4" w14:textId="77777777" w:rsidR="00B626E7" w:rsidRDefault="00B626E7">
            <w:pPr>
              <w:rPr>
                <w:rFonts w:ascii="宋体"/>
              </w:rPr>
            </w:pPr>
          </w:p>
        </w:tc>
        <w:tc>
          <w:tcPr>
            <w:tcW w:w="50" w:type="pct"/>
            <w:shd w:val="clear" w:color="auto" w:fill="auto"/>
            <w:vAlign w:val="bottom"/>
          </w:tcPr>
          <w:p w14:paraId="20AE24C5" w14:textId="77777777" w:rsidR="00B626E7" w:rsidRDefault="00B626E7">
            <w:pPr>
              <w:rPr>
                <w:rFonts w:ascii="宋体"/>
              </w:rPr>
            </w:pPr>
          </w:p>
        </w:tc>
        <w:tc>
          <w:tcPr>
            <w:tcW w:w="50" w:type="pct"/>
            <w:shd w:val="clear" w:color="auto" w:fill="auto"/>
            <w:vAlign w:val="bottom"/>
          </w:tcPr>
          <w:p w14:paraId="20AE24C6" w14:textId="77777777" w:rsidR="00B626E7" w:rsidRDefault="00B626E7">
            <w:pPr>
              <w:rPr>
                <w:rFonts w:ascii="宋体"/>
              </w:rPr>
            </w:pPr>
          </w:p>
        </w:tc>
        <w:tc>
          <w:tcPr>
            <w:tcW w:w="1165" w:type="pct"/>
            <w:shd w:val="clear" w:color="auto" w:fill="auto"/>
            <w:vAlign w:val="bottom"/>
          </w:tcPr>
          <w:p w14:paraId="20AE24C7" w14:textId="77777777" w:rsidR="00B626E7" w:rsidRDefault="00B626E7">
            <w:pPr>
              <w:rPr>
                <w:rFonts w:ascii="宋体"/>
              </w:rPr>
            </w:pPr>
          </w:p>
        </w:tc>
        <w:tc>
          <w:tcPr>
            <w:tcW w:w="50" w:type="pct"/>
            <w:shd w:val="clear" w:color="auto" w:fill="auto"/>
            <w:vAlign w:val="bottom"/>
          </w:tcPr>
          <w:p w14:paraId="20AE24C8" w14:textId="77777777" w:rsidR="00B626E7" w:rsidRDefault="00B626E7">
            <w:pPr>
              <w:rPr>
                <w:rFonts w:ascii="宋体"/>
              </w:rPr>
            </w:pPr>
          </w:p>
        </w:tc>
      </w:tr>
      <w:tr w:rsidR="00B626E7" w14:paraId="20AE24CD" w14:textId="77777777">
        <w:tc>
          <w:tcPr>
            <w:tcW w:w="0" w:type="auto"/>
            <w:gridSpan w:val="3"/>
            <w:tcBorders>
              <w:top w:val="single" w:sz="8" w:space="0" w:color="0071C5"/>
            </w:tcBorders>
            <w:shd w:val="clear" w:color="auto" w:fill="auto"/>
            <w:tcMar>
              <w:top w:w="40" w:type="dxa"/>
              <w:left w:w="20" w:type="dxa"/>
              <w:bottom w:w="40" w:type="dxa"/>
              <w:right w:w="20" w:type="dxa"/>
            </w:tcMar>
            <w:vAlign w:val="center"/>
          </w:tcPr>
          <w:p w14:paraId="20AE24CA" w14:textId="77777777" w:rsidR="00B626E7" w:rsidRDefault="00175C1D">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Viewer10_files/intc-20200627_g15.jpg"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5C" wp14:editId="20AE3C5D">
                  <wp:extent cx="304800" cy="304800"/>
                  <wp:effectExtent l="0" t="0" r="0" b="0"/>
                  <wp:docPr id="53" name="图片 85"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85" descr="IMG_28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Arial" w:eastAsia="宋体" w:hAnsi="Arial" w:cs="Arial"/>
                <w:color w:val="333333"/>
                <w:sz w:val="16"/>
                <w:szCs w:val="16"/>
              </w:rPr>
              <w:t>FINANCIAL STATEMENTS</w:t>
            </w:r>
          </w:p>
        </w:tc>
        <w:tc>
          <w:tcPr>
            <w:tcW w:w="0" w:type="auto"/>
            <w:gridSpan w:val="3"/>
            <w:tcBorders>
              <w:top w:val="single" w:sz="8" w:space="0" w:color="0071C5"/>
              <w:left w:val="single" w:sz="24" w:space="0" w:color="0071C5"/>
            </w:tcBorders>
            <w:shd w:val="clear" w:color="auto" w:fill="auto"/>
            <w:tcMar>
              <w:top w:w="40" w:type="dxa"/>
              <w:left w:w="20" w:type="dxa"/>
              <w:bottom w:w="40" w:type="dxa"/>
              <w:right w:w="20" w:type="dxa"/>
            </w:tcMar>
            <w:vAlign w:val="bottom"/>
          </w:tcPr>
          <w:p w14:paraId="20AE24CB" w14:textId="77777777" w:rsidR="00B626E7" w:rsidRDefault="00175C1D">
            <w:pPr>
              <w:textAlignment w:val="bottom"/>
            </w:pPr>
            <w:r>
              <w:rPr>
                <w:rFonts w:ascii="Arial" w:eastAsia="宋体" w:hAnsi="Arial" w:cs="Arial"/>
                <w:color w:val="333333"/>
                <w:sz w:val="16"/>
                <w:szCs w:val="16"/>
              </w:rPr>
              <w:t>  Notes to Financial Statements</w:t>
            </w: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24CC" w14:textId="77777777" w:rsidR="00B626E7" w:rsidRDefault="00175C1D">
            <w:pPr>
              <w:jc w:val="right"/>
              <w:textAlignment w:val="bottom"/>
            </w:pPr>
            <w:r>
              <w:rPr>
                <w:rFonts w:ascii="Arial" w:eastAsia="宋体" w:hAnsi="Arial" w:cs="Arial"/>
                <w:color w:val="333333"/>
                <w:sz w:val="16"/>
                <w:szCs w:val="16"/>
              </w:rPr>
              <w:t>23</w:t>
            </w:r>
          </w:p>
        </w:tc>
      </w:tr>
    </w:tbl>
    <w:p w14:paraId="20AE24CE" w14:textId="77777777" w:rsidR="00B626E7" w:rsidRDefault="00175C1D">
      <w:r>
        <w:pict w14:anchorId="20AE3C5E">
          <v:rect id="_x0000_i1049" style="width:415.3pt;height:1.5pt" o:hralign="center" o:hrstd="t" o:hr="t" fillcolor="#a0a0a0" stroked="f"/>
        </w:pict>
      </w:r>
    </w:p>
    <w:p w14:paraId="20AE24CF" w14:textId="77777777" w:rsidR="00B626E7" w:rsidRDefault="00175C1D">
      <w:pPr>
        <w:spacing w:after="180"/>
        <w:jc w:val="right"/>
      </w:pPr>
      <w:hyperlink r:id="rId50" w:anchor="ib035cc8759904e51927d703ec8414366_7" w:history="1">
        <w:r>
          <w:rPr>
            <w:rStyle w:val="a5"/>
            <w:rFonts w:ascii="Arial" w:eastAsia="宋体" w:hAnsi="Arial" w:cs="Arial"/>
            <w:b/>
            <w:bCs/>
            <w:sz w:val="16"/>
            <w:szCs w:val="16"/>
          </w:rPr>
          <w:t>Table of Contents</w:t>
        </w:r>
      </w:hyperlink>
    </w:p>
    <w:p w14:paraId="20AE24D0" w14:textId="77777777" w:rsidR="00B626E7" w:rsidRDefault="00B626E7">
      <w:pPr>
        <w:spacing w:after="180"/>
        <w:jc w:val="right"/>
      </w:pPr>
    </w:p>
    <w:p w14:paraId="20AE24D1" w14:textId="77777777" w:rsidR="00B626E7" w:rsidRDefault="00175C1D">
      <w:pPr>
        <w:spacing w:after="120"/>
      </w:pPr>
      <w:r>
        <w:rPr>
          <w:rFonts w:ascii="Arial" w:eastAsia="宋体" w:hAnsi="Arial" w:cs="Arial"/>
          <w:b/>
          <w:bCs/>
          <w:color w:val="333333"/>
          <w:sz w:val="20"/>
          <w:szCs w:val="20"/>
        </w:rPr>
        <w:t>European Commission Competition Matter</w:t>
      </w:r>
    </w:p>
    <w:p w14:paraId="20AE24D2" w14:textId="77777777" w:rsidR="00B626E7" w:rsidRDefault="00175C1D">
      <w:pPr>
        <w:spacing w:after="180"/>
      </w:pPr>
      <w:r>
        <w:rPr>
          <w:rFonts w:ascii="Arial" w:eastAsia="宋体" w:hAnsi="Arial" w:cs="Arial"/>
          <w:color w:val="333333"/>
          <w:sz w:val="18"/>
          <w:szCs w:val="18"/>
        </w:rPr>
        <w:t>In 2001, the EC commenced an investigation re</w:t>
      </w:r>
      <w:r>
        <w:rPr>
          <w:rFonts w:ascii="Arial" w:eastAsia="宋体" w:hAnsi="Arial" w:cs="Arial"/>
          <w:color w:val="333333"/>
          <w:sz w:val="18"/>
          <w:szCs w:val="18"/>
        </w:rPr>
        <w:t>garding claims by Advanced Micro Devices, Inc. (AMD) that we used unfair business practices to persuade customers to buy our microprocessors. We received numerous requests for information and documents from the EC and we responded to each of those requests</w:t>
      </w:r>
      <w:r>
        <w:rPr>
          <w:rFonts w:ascii="Arial" w:eastAsia="宋体" w:hAnsi="Arial" w:cs="Arial"/>
          <w:color w:val="333333"/>
          <w:sz w:val="18"/>
          <w:szCs w:val="18"/>
        </w:rPr>
        <w:t>. The EC issued a Statement of Objections in July 2007 and held a hearing on that Statement in March 2008. The EC issued a Supplemental Statement of Objections in July 2008. In May 2009, the EC issued a decision finding that we had violated Article 82 of t</w:t>
      </w:r>
      <w:r>
        <w:rPr>
          <w:rFonts w:ascii="Arial" w:eastAsia="宋体" w:hAnsi="Arial" w:cs="Arial"/>
          <w:color w:val="333333"/>
          <w:sz w:val="18"/>
          <w:szCs w:val="18"/>
        </w:rPr>
        <w:t>he EC Treaty and Article 54 of the European Economic Area Agreement. In general, the EC found that we violated Article 82 (later renumbered as Article 102 by a new treaty) by offering alleged "conditional rebates and payments" that required our customers t</w:t>
      </w:r>
      <w:r>
        <w:rPr>
          <w:rFonts w:ascii="Arial" w:eastAsia="宋体" w:hAnsi="Arial" w:cs="Arial"/>
          <w:color w:val="333333"/>
          <w:sz w:val="18"/>
          <w:szCs w:val="18"/>
        </w:rPr>
        <w:t>o purchase all or most of their x86 microprocessors from us. The EC also found that we violated Article 82 by making alleged "payments to prevent sales of specific rival products." The EC imposed a fine in the amount of €1.1 billion ($1.4 billion as of May</w:t>
      </w:r>
      <w:r>
        <w:rPr>
          <w:rFonts w:ascii="Arial" w:eastAsia="宋体" w:hAnsi="Arial" w:cs="Arial"/>
          <w:color w:val="333333"/>
          <w:sz w:val="18"/>
          <w:szCs w:val="18"/>
        </w:rPr>
        <w:t xml:space="preserve"> 2009), which we subsequently paid during the third quarter of 2009, and ordered us to "immediately bring to an end the infringement referred to in" the EC decision.</w:t>
      </w:r>
    </w:p>
    <w:p w14:paraId="20AE24D3" w14:textId="77777777" w:rsidR="00B626E7" w:rsidRDefault="00175C1D">
      <w:pPr>
        <w:spacing w:after="180"/>
      </w:pPr>
      <w:r>
        <w:rPr>
          <w:rFonts w:ascii="Arial" w:eastAsia="宋体" w:hAnsi="Arial" w:cs="Arial"/>
          <w:color w:val="333333"/>
          <w:sz w:val="18"/>
          <w:szCs w:val="18"/>
        </w:rPr>
        <w:t>The EC decision contained no specific direction on whether or how we should modify our bus</w:t>
      </w:r>
      <w:r>
        <w:rPr>
          <w:rFonts w:ascii="Arial" w:eastAsia="宋体" w:hAnsi="Arial" w:cs="Arial"/>
          <w:color w:val="333333"/>
          <w:sz w:val="18"/>
          <w:szCs w:val="18"/>
        </w:rPr>
        <w:t xml:space="preserve">iness practices. Instead, the decision stated that we should "cease and desist" from further conduct that, in the EC's opinion, would violate applicable law. We took steps, which are subject to the EC's ongoing review, to comply with that decision pending </w:t>
      </w:r>
      <w:r>
        <w:rPr>
          <w:rFonts w:ascii="Arial" w:eastAsia="宋体" w:hAnsi="Arial" w:cs="Arial"/>
          <w:color w:val="333333"/>
          <w:sz w:val="18"/>
          <w:szCs w:val="18"/>
        </w:rPr>
        <w:t>appeal. We had discussions with the EC to better understand the decision and to explain changes to our business practices.</w:t>
      </w:r>
    </w:p>
    <w:p w14:paraId="20AE24D4" w14:textId="77777777" w:rsidR="00B626E7" w:rsidRDefault="00175C1D">
      <w:pPr>
        <w:spacing w:after="180"/>
      </w:pPr>
      <w:r>
        <w:rPr>
          <w:rFonts w:ascii="Arial" w:eastAsia="宋体" w:hAnsi="Arial" w:cs="Arial"/>
          <w:color w:val="333333"/>
          <w:sz w:val="18"/>
          <w:szCs w:val="18"/>
        </w:rPr>
        <w:t>We appealed the EC decision to the Court of First Instance (which has been renamed the General Court) in July 2009. The hearing of ou</w:t>
      </w:r>
      <w:r>
        <w:rPr>
          <w:rFonts w:ascii="Arial" w:eastAsia="宋体" w:hAnsi="Arial" w:cs="Arial"/>
          <w:color w:val="333333"/>
          <w:sz w:val="18"/>
          <w:szCs w:val="18"/>
        </w:rPr>
        <w:t>r appeal took place in July 2012. In June 2014, the General Court rejected our appeal in its entirety. In August 2014, we filed an appeal with the European Court of Justice. In November 2014, Intervener Association for Competitive Technologies filed commen</w:t>
      </w:r>
      <w:r>
        <w:rPr>
          <w:rFonts w:ascii="Arial" w:eastAsia="宋体" w:hAnsi="Arial" w:cs="Arial"/>
          <w:color w:val="333333"/>
          <w:sz w:val="18"/>
          <w:szCs w:val="18"/>
        </w:rPr>
        <w:t>ts in support of Intel’s grounds of appeal. The EC and interveners filed briefs in November 2014, we filed a reply in February 2015, and the EC filed a rejoinder in April 2015. The Court of Justice held oral argument in June 2016. In October 2016, Advocate</w:t>
      </w:r>
      <w:r>
        <w:rPr>
          <w:rFonts w:ascii="Arial" w:eastAsia="宋体" w:hAnsi="Arial" w:cs="Arial"/>
          <w:color w:val="333333"/>
          <w:sz w:val="18"/>
          <w:szCs w:val="18"/>
        </w:rPr>
        <w:t xml:space="preserve"> General Wahl, an advisor to the Court of Justice, issued a non-binding advisory opinion that favored Intel on a number of grounds. The Court of Justice issued its decision in September 2017, setting aside the judgment of the General Court and sending the </w:t>
      </w:r>
      <w:r>
        <w:rPr>
          <w:rFonts w:ascii="Arial" w:eastAsia="宋体" w:hAnsi="Arial" w:cs="Arial"/>
          <w:color w:val="333333"/>
          <w:sz w:val="18"/>
          <w:szCs w:val="18"/>
        </w:rPr>
        <w:t>case back to the General Court to examine whether the rebates at issue were capable of restricting competition. The General Court has appointed a panel of five judges to consider our appeal of the EC’s 2009 decision in light of the Court of Justice’s clari</w:t>
      </w:r>
      <w:r>
        <w:rPr>
          <w:rFonts w:ascii="Arial" w:eastAsia="宋体" w:hAnsi="Arial" w:cs="Arial"/>
          <w:color w:val="333333"/>
          <w:sz w:val="18"/>
          <w:szCs w:val="18"/>
        </w:rPr>
        <w:t>fications of the law. In November 2017, the parties filed initial “Observations” about the Court of Justice’s decision and the appeal and were invited by the General Court to offer supplemental comments to each other’s “Observations,” which the parties sub</w:t>
      </w:r>
      <w:r>
        <w:rPr>
          <w:rFonts w:ascii="Arial" w:eastAsia="宋体" w:hAnsi="Arial" w:cs="Arial"/>
          <w:color w:val="333333"/>
          <w:sz w:val="18"/>
          <w:szCs w:val="18"/>
        </w:rPr>
        <w:t xml:space="preserve">mitted in March 2018. Responses to other questions posed by the General Court were filed in May and June 2018. The General Court heard oral argument in March 2020. Pending the final decision in this matter, the fine paid by Intel has been placed by the EC </w:t>
      </w:r>
      <w:r>
        <w:rPr>
          <w:rFonts w:ascii="Arial" w:eastAsia="宋体" w:hAnsi="Arial" w:cs="Arial"/>
          <w:color w:val="333333"/>
          <w:sz w:val="18"/>
          <w:szCs w:val="18"/>
        </w:rPr>
        <w:t>in commercial bank accounts where it accrues interest.</w:t>
      </w:r>
    </w:p>
    <w:p w14:paraId="20AE24D5" w14:textId="77777777" w:rsidR="00B626E7" w:rsidRDefault="00175C1D">
      <w:pPr>
        <w:spacing w:after="120"/>
      </w:pPr>
      <w:r>
        <w:rPr>
          <w:rFonts w:ascii="Arial" w:eastAsia="宋体" w:hAnsi="Arial" w:cs="Arial"/>
          <w:b/>
          <w:bCs/>
          <w:color w:val="333333"/>
          <w:sz w:val="20"/>
          <w:szCs w:val="20"/>
        </w:rPr>
        <w:t>Litigation Related to Security Vulnerabilities</w:t>
      </w:r>
    </w:p>
    <w:p w14:paraId="20AE24D6" w14:textId="77777777" w:rsidR="00B626E7" w:rsidRDefault="00175C1D">
      <w:pPr>
        <w:spacing w:after="180"/>
      </w:pPr>
      <w:r>
        <w:rPr>
          <w:rFonts w:ascii="Arial" w:eastAsia="宋体" w:hAnsi="Arial" w:cs="Arial"/>
          <w:color w:val="333333"/>
          <w:sz w:val="18"/>
          <w:szCs w:val="18"/>
        </w:rPr>
        <w:t xml:space="preserve">In June 2017, a Google research team notified us and other companies that it had identified security vulnerabilities (now commonly referred to as </w:t>
      </w:r>
      <w:r>
        <w:rPr>
          <w:rFonts w:ascii="Arial" w:eastAsia="宋体" w:hAnsi="Arial" w:cs="Arial"/>
          <w:color w:val="333333"/>
          <w:sz w:val="18"/>
          <w:szCs w:val="18"/>
        </w:rPr>
        <w:t>“Spectre” and “Meltdown”) that affect many types of microprocessors, including our products. As is standard when findings like these are presented, we worked together with other companies in the industry to verify the research and develop and validate soft</w:t>
      </w:r>
      <w:r>
        <w:rPr>
          <w:rFonts w:ascii="Arial" w:eastAsia="宋体" w:hAnsi="Arial" w:cs="Arial"/>
          <w:color w:val="333333"/>
          <w:sz w:val="18"/>
          <w:szCs w:val="18"/>
        </w:rPr>
        <w:t>ware and firmware updates for impacted technologies. On January 3, 2018, information on the security vulnerabilities was publicly reported, before software and firmware updates to address the vulnerabilities were made widely available. Numerous lawsuits re</w:t>
      </w:r>
      <w:r>
        <w:rPr>
          <w:rFonts w:ascii="Arial" w:eastAsia="宋体" w:hAnsi="Arial" w:cs="Arial"/>
          <w:color w:val="333333"/>
          <w:sz w:val="18"/>
          <w:szCs w:val="18"/>
        </w:rPr>
        <w:t>lating to the Spectre and Meltdown security vulnerabilities, as well as another variant of these vulnerabilities (“Foreshadow”) that has since been identified, have been filed against Intel and, in certain cases, our current and former executives and direc</w:t>
      </w:r>
      <w:r>
        <w:rPr>
          <w:rFonts w:ascii="Arial" w:eastAsia="宋体" w:hAnsi="Arial" w:cs="Arial"/>
          <w:color w:val="333333"/>
          <w:sz w:val="18"/>
          <w:szCs w:val="18"/>
        </w:rPr>
        <w:t>tors, in U.S. federal and state courts and in certain courts in other countries.</w:t>
      </w:r>
    </w:p>
    <w:p w14:paraId="20AE24D7" w14:textId="77777777" w:rsidR="00B626E7" w:rsidRDefault="00175C1D">
      <w:pPr>
        <w:spacing w:after="180"/>
      </w:pPr>
      <w:r>
        <w:rPr>
          <w:rFonts w:ascii="Arial" w:eastAsia="宋体" w:hAnsi="Arial" w:cs="Arial"/>
          <w:color w:val="333333"/>
          <w:sz w:val="18"/>
          <w:szCs w:val="18"/>
        </w:rPr>
        <w:t>As of July 22, 2020, consumer class action lawsuits relating to certain security vulnerabilities publicly disclosed in 2018 were pending in the U.S., Canada, and Israel. The p</w:t>
      </w:r>
      <w:r>
        <w:rPr>
          <w:rFonts w:ascii="Arial" w:eastAsia="宋体" w:hAnsi="Arial" w:cs="Arial"/>
          <w:color w:val="333333"/>
          <w:sz w:val="18"/>
          <w:szCs w:val="18"/>
        </w:rPr>
        <w:t>laintiffs, who purport to represent various classes of purchasers of our products, generally claim to have been harmed by Intel's actions and/or omissions in connection with the security vulnerabilities and assert a variety of common law and statutory clai</w:t>
      </w:r>
      <w:r>
        <w:rPr>
          <w:rFonts w:ascii="Arial" w:eastAsia="宋体" w:hAnsi="Arial" w:cs="Arial"/>
          <w:color w:val="333333"/>
          <w:sz w:val="18"/>
          <w:szCs w:val="18"/>
        </w:rPr>
        <w:t>ms seeking monetary damages and equitable relief. In the U.S., numerous individual class action suits filed in various jurisdictions were consolidated in April 2018 for all pretrial proceedings in the U.S. District Court for the District of Oregon. In Marc</w:t>
      </w:r>
      <w:r>
        <w:rPr>
          <w:rFonts w:ascii="Arial" w:eastAsia="宋体" w:hAnsi="Arial" w:cs="Arial"/>
          <w:color w:val="333333"/>
          <w:sz w:val="18"/>
          <w:szCs w:val="18"/>
        </w:rPr>
        <w:t>h 2020, the court granted Intel's motion to dismiss the complaint in that consolidated action but granted plaintiffs leave to file an amended complaint, which they did in April 2020. In Canada, in one case pending in the Superior Court of Justice of Ontari</w:t>
      </w:r>
      <w:r>
        <w:rPr>
          <w:rFonts w:ascii="Arial" w:eastAsia="宋体" w:hAnsi="Arial" w:cs="Arial"/>
          <w:color w:val="333333"/>
          <w:sz w:val="18"/>
          <w:szCs w:val="18"/>
        </w:rPr>
        <w:t>o, an initial status conference has not yet been scheduled. In a second case pending in the Superior Court of Justice of Quebec, the court has stayed the case until January 2021. In Israel, both consumer class action lawsuits were filed in the District Cou</w:t>
      </w:r>
      <w:r>
        <w:rPr>
          <w:rFonts w:ascii="Arial" w:eastAsia="宋体" w:hAnsi="Arial" w:cs="Arial"/>
          <w:color w:val="333333"/>
          <w:sz w:val="18"/>
          <w:szCs w:val="18"/>
        </w:rPr>
        <w:t>rt of Haifa. In the first case, the District Court denied the parties' joint motion to stay filed in January 2019, but to date has deferred Intel's deadline to respond to the complaint in view of Intel's pending motion to dismiss in the consolidated procee</w:t>
      </w:r>
      <w:r>
        <w:rPr>
          <w:rFonts w:ascii="Arial" w:eastAsia="宋体" w:hAnsi="Arial" w:cs="Arial"/>
          <w:color w:val="333333"/>
          <w:sz w:val="18"/>
          <w:szCs w:val="18"/>
        </w:rPr>
        <w:t xml:space="preserve">ding in the U.S. Intel filed a motion to stay the second case pending resolution of the consolidated proceeding in the U.S., and a hearing on that motion has been scheduled for November 2020. Additional lawsuits and claims may be asserted seeking monetary </w:t>
      </w:r>
      <w:r>
        <w:rPr>
          <w:rFonts w:ascii="Arial" w:eastAsia="宋体" w:hAnsi="Arial" w:cs="Arial"/>
          <w:color w:val="333333"/>
          <w:sz w:val="18"/>
          <w:szCs w:val="18"/>
        </w:rPr>
        <w:t xml:space="preserve">damages or other related relief. We dispute the pending claims described above and intend to defend those lawsuits vigorously. Given the procedural posture and the nature of those cases, including that the pending proceedings are in the early stages, that </w:t>
      </w:r>
      <w:r>
        <w:rPr>
          <w:rFonts w:ascii="Arial" w:eastAsia="宋体" w:hAnsi="Arial" w:cs="Arial"/>
          <w:color w:val="333333"/>
          <w:sz w:val="18"/>
          <w:szCs w:val="18"/>
        </w:rPr>
        <w:t>alleged damages have not been specified, that uncertainty exists as to the likelihood of a class or classes being certified or the ultimate size of any class or classes if certified, and that there are significant factual and legal issues to be resolved, w</w:t>
      </w:r>
      <w:r>
        <w:rPr>
          <w:rFonts w:ascii="Arial" w:eastAsia="宋体" w:hAnsi="Arial" w:cs="Arial"/>
          <w:color w:val="333333"/>
          <w:sz w:val="18"/>
          <w:szCs w:val="18"/>
        </w:rPr>
        <w:t>e are unable to make a reasonable estimate of the potential loss or range of losses, if any, that might arise from those matters.</w:t>
      </w:r>
    </w:p>
    <w:p w14:paraId="20AE24D8" w14:textId="77777777" w:rsidR="00B626E7" w:rsidRDefault="00B626E7">
      <w:pPr>
        <w:spacing w:after="180"/>
      </w:pPr>
    </w:p>
    <w:p w14:paraId="20AE24D9" w14:textId="77777777" w:rsidR="00B626E7" w:rsidRDefault="00B626E7">
      <w:pPr>
        <w:spacing w:after="180"/>
      </w:pPr>
    </w:p>
    <w:p w14:paraId="20AE24DA" w14:textId="77777777" w:rsidR="00B626E7" w:rsidRDefault="00B626E7">
      <w:pPr>
        <w:spacing w:after="180"/>
      </w:pPr>
    </w:p>
    <w:p w14:paraId="20AE24DB" w14:textId="77777777" w:rsidR="00B626E7" w:rsidRDefault="00B626E7">
      <w:pPr>
        <w:spacing w:after="180"/>
      </w:pPr>
    </w:p>
    <w:p w14:paraId="20AE24DC" w14:textId="77777777" w:rsidR="00B626E7" w:rsidRDefault="00B626E7">
      <w:pPr>
        <w:spacing w:after="180"/>
      </w:pPr>
    </w:p>
    <w:p w14:paraId="20AE24DD" w14:textId="77777777" w:rsidR="00B626E7" w:rsidRDefault="00B626E7">
      <w:pPr>
        <w:spacing w:after="180"/>
      </w:pPr>
    </w:p>
    <w:p w14:paraId="20AE24DE" w14:textId="77777777" w:rsidR="00B626E7" w:rsidRDefault="00B626E7">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4"/>
        <w:gridCol w:w="2423"/>
        <w:gridCol w:w="84"/>
        <w:gridCol w:w="83"/>
        <w:gridCol w:w="3471"/>
        <w:gridCol w:w="83"/>
        <w:gridCol w:w="83"/>
        <w:gridCol w:w="1942"/>
        <w:gridCol w:w="83"/>
      </w:tblGrid>
      <w:tr w:rsidR="00B626E7" w14:paraId="20AE24E8" w14:textId="77777777">
        <w:tc>
          <w:tcPr>
            <w:tcW w:w="50" w:type="pct"/>
            <w:shd w:val="clear" w:color="auto" w:fill="auto"/>
            <w:vAlign w:val="bottom"/>
          </w:tcPr>
          <w:p w14:paraId="20AE24DF" w14:textId="77777777" w:rsidR="00B626E7" w:rsidRDefault="00B626E7">
            <w:pPr>
              <w:rPr>
                <w:rFonts w:ascii="宋体"/>
              </w:rPr>
            </w:pPr>
          </w:p>
        </w:tc>
        <w:tc>
          <w:tcPr>
            <w:tcW w:w="1452" w:type="pct"/>
            <w:shd w:val="clear" w:color="auto" w:fill="auto"/>
            <w:vAlign w:val="bottom"/>
          </w:tcPr>
          <w:p w14:paraId="20AE24E0" w14:textId="77777777" w:rsidR="00B626E7" w:rsidRDefault="00B626E7">
            <w:pPr>
              <w:rPr>
                <w:rFonts w:ascii="宋体"/>
              </w:rPr>
            </w:pPr>
          </w:p>
        </w:tc>
        <w:tc>
          <w:tcPr>
            <w:tcW w:w="50" w:type="pct"/>
            <w:shd w:val="clear" w:color="auto" w:fill="auto"/>
            <w:vAlign w:val="bottom"/>
          </w:tcPr>
          <w:p w14:paraId="20AE24E1" w14:textId="77777777" w:rsidR="00B626E7" w:rsidRDefault="00B626E7">
            <w:pPr>
              <w:rPr>
                <w:rFonts w:ascii="宋体"/>
              </w:rPr>
            </w:pPr>
          </w:p>
        </w:tc>
        <w:tc>
          <w:tcPr>
            <w:tcW w:w="50" w:type="pct"/>
            <w:shd w:val="clear" w:color="auto" w:fill="auto"/>
            <w:vAlign w:val="bottom"/>
          </w:tcPr>
          <w:p w14:paraId="20AE24E2" w14:textId="77777777" w:rsidR="00B626E7" w:rsidRDefault="00B626E7">
            <w:pPr>
              <w:rPr>
                <w:rFonts w:ascii="宋体"/>
              </w:rPr>
            </w:pPr>
          </w:p>
        </w:tc>
        <w:tc>
          <w:tcPr>
            <w:tcW w:w="2081" w:type="pct"/>
            <w:shd w:val="clear" w:color="auto" w:fill="auto"/>
            <w:vAlign w:val="bottom"/>
          </w:tcPr>
          <w:p w14:paraId="20AE24E3" w14:textId="77777777" w:rsidR="00B626E7" w:rsidRDefault="00B626E7">
            <w:pPr>
              <w:rPr>
                <w:rFonts w:ascii="宋体"/>
              </w:rPr>
            </w:pPr>
          </w:p>
        </w:tc>
        <w:tc>
          <w:tcPr>
            <w:tcW w:w="50" w:type="pct"/>
            <w:shd w:val="clear" w:color="auto" w:fill="auto"/>
            <w:vAlign w:val="bottom"/>
          </w:tcPr>
          <w:p w14:paraId="20AE24E4" w14:textId="77777777" w:rsidR="00B626E7" w:rsidRDefault="00B626E7">
            <w:pPr>
              <w:rPr>
                <w:rFonts w:ascii="宋体"/>
              </w:rPr>
            </w:pPr>
          </w:p>
        </w:tc>
        <w:tc>
          <w:tcPr>
            <w:tcW w:w="50" w:type="pct"/>
            <w:shd w:val="clear" w:color="auto" w:fill="auto"/>
            <w:vAlign w:val="bottom"/>
          </w:tcPr>
          <w:p w14:paraId="20AE24E5" w14:textId="77777777" w:rsidR="00B626E7" w:rsidRDefault="00B626E7">
            <w:pPr>
              <w:rPr>
                <w:rFonts w:ascii="宋体"/>
              </w:rPr>
            </w:pPr>
          </w:p>
        </w:tc>
        <w:tc>
          <w:tcPr>
            <w:tcW w:w="1165" w:type="pct"/>
            <w:shd w:val="clear" w:color="auto" w:fill="auto"/>
            <w:vAlign w:val="bottom"/>
          </w:tcPr>
          <w:p w14:paraId="20AE24E6" w14:textId="77777777" w:rsidR="00B626E7" w:rsidRDefault="00B626E7">
            <w:pPr>
              <w:rPr>
                <w:rFonts w:ascii="宋体"/>
              </w:rPr>
            </w:pPr>
          </w:p>
        </w:tc>
        <w:tc>
          <w:tcPr>
            <w:tcW w:w="50" w:type="pct"/>
            <w:shd w:val="clear" w:color="auto" w:fill="auto"/>
            <w:vAlign w:val="bottom"/>
          </w:tcPr>
          <w:p w14:paraId="20AE24E7" w14:textId="77777777" w:rsidR="00B626E7" w:rsidRDefault="00B626E7">
            <w:pPr>
              <w:rPr>
                <w:rFonts w:ascii="宋体"/>
              </w:rPr>
            </w:pPr>
          </w:p>
        </w:tc>
      </w:tr>
      <w:tr w:rsidR="00B626E7" w14:paraId="20AE24EC" w14:textId="77777777">
        <w:tc>
          <w:tcPr>
            <w:tcW w:w="0" w:type="auto"/>
            <w:gridSpan w:val="3"/>
            <w:tcBorders>
              <w:top w:val="single" w:sz="8" w:space="0" w:color="0071C5"/>
            </w:tcBorders>
            <w:shd w:val="clear" w:color="auto" w:fill="auto"/>
            <w:tcMar>
              <w:top w:w="40" w:type="dxa"/>
              <w:left w:w="20" w:type="dxa"/>
              <w:bottom w:w="40" w:type="dxa"/>
              <w:right w:w="20" w:type="dxa"/>
            </w:tcMar>
            <w:vAlign w:val="center"/>
          </w:tcPr>
          <w:p w14:paraId="20AE24E9" w14:textId="77777777" w:rsidR="00B626E7" w:rsidRDefault="00175C1D">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Viewer10_files/intc-20200627_g15.jpg"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5F" wp14:editId="20AE3C60">
                  <wp:extent cx="304800" cy="304800"/>
                  <wp:effectExtent l="0" t="0" r="0" b="0"/>
                  <wp:docPr id="46" name="图片 87"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87" descr="IMG_28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Arial" w:eastAsia="宋体" w:hAnsi="Arial" w:cs="Arial"/>
                <w:color w:val="333333"/>
                <w:sz w:val="16"/>
                <w:szCs w:val="16"/>
              </w:rPr>
              <w:t>FINANCIAL STATEMENTS</w:t>
            </w:r>
          </w:p>
        </w:tc>
        <w:tc>
          <w:tcPr>
            <w:tcW w:w="0" w:type="auto"/>
            <w:gridSpan w:val="3"/>
            <w:tcBorders>
              <w:top w:val="single" w:sz="8" w:space="0" w:color="0071C5"/>
              <w:left w:val="single" w:sz="24" w:space="0" w:color="0071C5"/>
            </w:tcBorders>
            <w:shd w:val="clear" w:color="auto" w:fill="auto"/>
            <w:tcMar>
              <w:top w:w="40" w:type="dxa"/>
              <w:left w:w="20" w:type="dxa"/>
              <w:bottom w:w="40" w:type="dxa"/>
              <w:right w:w="20" w:type="dxa"/>
            </w:tcMar>
            <w:vAlign w:val="bottom"/>
          </w:tcPr>
          <w:p w14:paraId="20AE24EA" w14:textId="77777777" w:rsidR="00B626E7" w:rsidRDefault="00175C1D">
            <w:pPr>
              <w:textAlignment w:val="bottom"/>
            </w:pPr>
            <w:r>
              <w:rPr>
                <w:rFonts w:ascii="Arial" w:eastAsia="宋体" w:hAnsi="Arial" w:cs="Arial"/>
                <w:color w:val="333333"/>
                <w:sz w:val="16"/>
                <w:szCs w:val="16"/>
              </w:rPr>
              <w:t>  Notes to Financial Statements</w:t>
            </w: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24EB" w14:textId="77777777" w:rsidR="00B626E7" w:rsidRDefault="00175C1D">
            <w:pPr>
              <w:jc w:val="right"/>
              <w:textAlignment w:val="bottom"/>
            </w:pPr>
            <w:r>
              <w:rPr>
                <w:rFonts w:ascii="Arial" w:eastAsia="宋体" w:hAnsi="Arial" w:cs="Arial"/>
                <w:color w:val="333333"/>
                <w:sz w:val="16"/>
                <w:szCs w:val="16"/>
              </w:rPr>
              <w:t>24</w:t>
            </w:r>
          </w:p>
        </w:tc>
      </w:tr>
    </w:tbl>
    <w:p w14:paraId="20AE24ED" w14:textId="77777777" w:rsidR="00B626E7" w:rsidRDefault="00175C1D">
      <w:r>
        <w:pict w14:anchorId="20AE3C61">
          <v:rect id="_x0000_i1050" style="width:415.3pt;height:1.5pt" o:hralign="center" o:hrstd="t" o:hr="t" fillcolor="#a0a0a0" stroked="f"/>
        </w:pict>
      </w:r>
    </w:p>
    <w:p w14:paraId="20AE24EE" w14:textId="77777777" w:rsidR="00B626E7" w:rsidRDefault="00175C1D">
      <w:pPr>
        <w:spacing w:after="180"/>
        <w:jc w:val="right"/>
      </w:pPr>
      <w:hyperlink r:id="rId51" w:anchor="ib035cc8759904e51927d703ec8414366_7" w:history="1">
        <w:r>
          <w:rPr>
            <w:rStyle w:val="a5"/>
            <w:rFonts w:ascii="Arial" w:eastAsia="宋体" w:hAnsi="Arial" w:cs="Arial"/>
            <w:b/>
            <w:bCs/>
            <w:sz w:val="16"/>
            <w:szCs w:val="16"/>
          </w:rPr>
          <w:t>Table of Contents</w:t>
        </w:r>
      </w:hyperlink>
    </w:p>
    <w:p w14:paraId="20AE24EF" w14:textId="77777777" w:rsidR="00B626E7" w:rsidRDefault="00B626E7">
      <w:pPr>
        <w:spacing w:after="180"/>
        <w:jc w:val="right"/>
      </w:pPr>
    </w:p>
    <w:p w14:paraId="20AE24F0" w14:textId="77777777" w:rsidR="00B626E7" w:rsidRDefault="00175C1D">
      <w:pPr>
        <w:spacing w:after="180"/>
      </w:pPr>
      <w:r>
        <w:rPr>
          <w:rFonts w:ascii="Arial" w:eastAsia="宋体" w:hAnsi="Arial" w:cs="Arial"/>
          <w:color w:val="333333"/>
          <w:sz w:val="18"/>
          <w:szCs w:val="18"/>
        </w:rPr>
        <w:t>In addition to these lawsuits, Intel stockholders filed multiple shareholder derivative lawsuits since January 2018 against certain cu</w:t>
      </w:r>
      <w:r>
        <w:rPr>
          <w:rFonts w:ascii="Arial" w:eastAsia="宋体" w:hAnsi="Arial" w:cs="Arial"/>
          <w:color w:val="333333"/>
          <w:sz w:val="18"/>
          <w:szCs w:val="18"/>
        </w:rPr>
        <w:t>rrent and former members of our Board of Directors and certain current and former officers, alleging that the defendants breached their duties to Intel in connection with the disclosure of the security vulnerabilities and the failure to take action in rela</w:t>
      </w:r>
      <w:r>
        <w:rPr>
          <w:rFonts w:ascii="Arial" w:eastAsia="宋体" w:hAnsi="Arial" w:cs="Arial"/>
          <w:color w:val="333333"/>
          <w:sz w:val="18"/>
          <w:szCs w:val="18"/>
        </w:rPr>
        <w:t>tion to alleged insider trading. The complaints sought to recover damages from the defendants on behalf of Intel. Some of the derivative actions were filed in the U.S. District Court for the Northern District of California and were consolidated, and the ot</w:t>
      </w:r>
      <w:r>
        <w:rPr>
          <w:rFonts w:ascii="Arial" w:eastAsia="宋体" w:hAnsi="Arial" w:cs="Arial"/>
          <w:color w:val="333333"/>
          <w:sz w:val="18"/>
          <w:szCs w:val="18"/>
        </w:rPr>
        <w:t>hers were filed in the Superior Court of the State of California in San Mateo County and were consolidated. The federal court granted defendants' motion to dismiss the consolidated complaint in the federal action in August 2018 on the ground that plaintiff</w:t>
      </w:r>
      <w:r>
        <w:rPr>
          <w:rFonts w:ascii="Arial" w:eastAsia="宋体" w:hAnsi="Arial" w:cs="Arial"/>
          <w:color w:val="333333"/>
          <w:sz w:val="18"/>
          <w:szCs w:val="18"/>
        </w:rPr>
        <w:t>s failed to plead facts sufficient to show they were excused from making a pre-lawsuit demand on the Board. The federal court granted plaintiffs leave to amend their complaint, but subsequently dismissed the cases without prejudice in January 2019 at plain</w:t>
      </w:r>
      <w:r>
        <w:rPr>
          <w:rFonts w:ascii="Arial" w:eastAsia="宋体" w:hAnsi="Arial" w:cs="Arial"/>
          <w:color w:val="333333"/>
          <w:sz w:val="18"/>
          <w:szCs w:val="18"/>
        </w:rPr>
        <w:t xml:space="preserve">tiffs' request. In August 2018, the California Superior Court granted defendants' motion to dismiss the consolidated complaint in the state court action on the ground that plaintiffs failed to plead facts sufficient to show they were excused from making a </w:t>
      </w:r>
      <w:r>
        <w:rPr>
          <w:rFonts w:ascii="Arial" w:eastAsia="宋体" w:hAnsi="Arial" w:cs="Arial"/>
          <w:color w:val="333333"/>
          <w:sz w:val="18"/>
          <w:szCs w:val="18"/>
        </w:rPr>
        <w:t>pre-lawsuit demand on the Board, but granted plaintiffs leave to amend. The court subsequently granted defendants' motion to dismiss plaintiffs' first, second, and third amended complaints, on the same ground, and in March 2020 granted defendants' motion t</w:t>
      </w:r>
      <w:r>
        <w:rPr>
          <w:rFonts w:ascii="Arial" w:eastAsia="宋体" w:hAnsi="Arial" w:cs="Arial"/>
          <w:color w:val="333333"/>
          <w:sz w:val="18"/>
          <w:szCs w:val="18"/>
        </w:rPr>
        <w:t>o dismiss plaintiffs' third amended complaint without granting plaintiffs leave to amend. Plaintiffs filed a motion for reconsideration of the court's final order of dismissal, which is scheduled for hearing on July 31, 2020.</w:t>
      </w:r>
    </w:p>
    <w:p w14:paraId="20AE24F1" w14:textId="77777777" w:rsidR="00B626E7" w:rsidRDefault="00175C1D">
      <w:pPr>
        <w:spacing w:after="120"/>
      </w:pPr>
      <w:r>
        <w:rPr>
          <w:rFonts w:ascii="Arial" w:eastAsia="宋体" w:hAnsi="Arial" w:cs="Arial"/>
          <w:b/>
          <w:bCs/>
          <w:color w:val="333333"/>
          <w:sz w:val="20"/>
          <w:szCs w:val="20"/>
        </w:rPr>
        <w:t>Institute of Microelectronics,</w:t>
      </w:r>
      <w:r>
        <w:rPr>
          <w:rFonts w:ascii="Arial" w:eastAsia="宋体" w:hAnsi="Arial" w:cs="Arial"/>
          <w:b/>
          <w:bCs/>
          <w:color w:val="333333"/>
          <w:sz w:val="20"/>
          <w:szCs w:val="20"/>
        </w:rPr>
        <w:t xml:space="preserve"> Chinese Academy of Sciences v. Intel China, Ltd., et al.</w:t>
      </w:r>
    </w:p>
    <w:p w14:paraId="20AE24F2" w14:textId="77777777" w:rsidR="00B626E7" w:rsidRDefault="00175C1D">
      <w:pPr>
        <w:spacing w:after="180"/>
      </w:pPr>
      <w:r>
        <w:rPr>
          <w:rFonts w:ascii="Arial" w:eastAsia="宋体" w:hAnsi="Arial" w:cs="Arial"/>
          <w:color w:val="333333"/>
          <w:sz w:val="18"/>
          <w:szCs w:val="18"/>
        </w:rPr>
        <w:t>In February 2018, the Institute of Microelectronics of the Chinese Academy of Sciences (IMECAS) sued Intel China, Ltd., Dell China, Ltd. (Dell) and Beijing JingDong Century Information Technology, Ltd. (JD) for patent infringement in the Beijing High Court</w:t>
      </w:r>
      <w:r>
        <w:rPr>
          <w:rFonts w:ascii="Arial" w:eastAsia="宋体" w:hAnsi="Arial" w:cs="Arial"/>
          <w:color w:val="333333"/>
          <w:sz w:val="18"/>
          <w:szCs w:val="18"/>
        </w:rPr>
        <w:t>. IMECAS alleges that Intel’s Core series processors infringe Chinese patent CN 102956457 (’457 Patent). The complaint demands an injunction and damages of at least RMB 200,000,000 plus the cost of litigation. A trial date is not yet set. In March 2018, De</w:t>
      </w:r>
      <w:r>
        <w:rPr>
          <w:rFonts w:ascii="Arial" w:eastAsia="宋体" w:hAnsi="Arial" w:cs="Arial"/>
          <w:color w:val="333333"/>
          <w:sz w:val="18"/>
          <w:szCs w:val="18"/>
        </w:rPr>
        <w:t>ll tendered indemnity to Intel, which Intel granted in April 2018. JD also tendered indemnity to Intel, which Intel granted in October 2018. In March 2018, Intel filed an invalidation request on the ‘457 patent with the Chinese Patent Reexamination Board (</w:t>
      </w:r>
      <w:r>
        <w:rPr>
          <w:rFonts w:ascii="Arial" w:eastAsia="宋体" w:hAnsi="Arial" w:cs="Arial"/>
          <w:color w:val="333333"/>
          <w:sz w:val="18"/>
          <w:szCs w:val="18"/>
        </w:rPr>
        <w:t>PRB). The PRB held an oral hearing in September 2018 and in February 2019 upheld the validity of the challenged claims. In January 2020, Intel filed a second invalidation request on the ‘457 patent with the PRB. In September 2018 and March 2019, Intel file</w:t>
      </w:r>
      <w:r>
        <w:rPr>
          <w:rFonts w:ascii="Arial" w:eastAsia="宋体" w:hAnsi="Arial" w:cs="Arial"/>
          <w:color w:val="333333"/>
          <w:sz w:val="18"/>
          <w:szCs w:val="18"/>
        </w:rPr>
        <w:t xml:space="preserve">d petitions with the United States Patent &amp; Trademark Office (USPTO) requesting institution of </w:t>
      </w:r>
      <w:r>
        <w:rPr>
          <w:rFonts w:ascii="Arial" w:eastAsia="宋体" w:hAnsi="Arial" w:cs="Arial"/>
          <w:i/>
          <w:iCs/>
          <w:color w:val="333333"/>
          <w:sz w:val="18"/>
          <w:szCs w:val="18"/>
        </w:rPr>
        <w:t>inter partes</w:t>
      </w:r>
      <w:r>
        <w:rPr>
          <w:rFonts w:ascii="Arial" w:eastAsia="宋体" w:hAnsi="Arial" w:cs="Arial"/>
          <w:color w:val="333333"/>
          <w:sz w:val="18"/>
          <w:szCs w:val="18"/>
        </w:rPr>
        <w:t xml:space="preserve"> review (IPR) of U.S. Patent No. 9,070,719, the U.S. counterpart to the ‘457 patent. The USPTO denied institution of Intel’s petitions in March and O</w:t>
      </w:r>
      <w:r>
        <w:rPr>
          <w:rFonts w:ascii="Arial" w:eastAsia="宋体" w:hAnsi="Arial" w:cs="Arial"/>
          <w:color w:val="333333"/>
          <w:sz w:val="18"/>
          <w:szCs w:val="18"/>
        </w:rPr>
        <w:t>ctober 2019, respectively. In April 2019, Intel filed a request for rehearing and a petition for Precedential Opinion Panel (POP) in the USPTO to challenge the denial of its first IPR petition, and in November 2019 Intel filed a request for rehearing on th</w:t>
      </w:r>
      <w:r>
        <w:rPr>
          <w:rFonts w:ascii="Arial" w:eastAsia="宋体" w:hAnsi="Arial" w:cs="Arial"/>
          <w:color w:val="333333"/>
          <w:sz w:val="18"/>
          <w:szCs w:val="18"/>
        </w:rPr>
        <w:t>e second IPR petition. In January 2020, the USPTO denied the POP petition on the first IPR petition. In June 2020, the Patent Trial and Appeal Board denied Intel's rehearing requests on both petitions.</w:t>
      </w:r>
    </w:p>
    <w:p w14:paraId="20AE24F3" w14:textId="77777777" w:rsidR="00B626E7" w:rsidRDefault="00175C1D">
      <w:pPr>
        <w:spacing w:after="180"/>
      </w:pPr>
      <w:r>
        <w:rPr>
          <w:rFonts w:ascii="Arial" w:eastAsia="宋体" w:hAnsi="Arial" w:cs="Arial"/>
          <w:color w:val="333333"/>
          <w:sz w:val="18"/>
          <w:szCs w:val="18"/>
        </w:rPr>
        <w:t>In October 2019, IMECAS filed second and third lawsuit</w:t>
      </w:r>
      <w:r>
        <w:rPr>
          <w:rFonts w:ascii="Arial" w:eastAsia="宋体" w:hAnsi="Arial" w:cs="Arial"/>
          <w:color w:val="333333"/>
          <w:sz w:val="18"/>
          <w:szCs w:val="18"/>
        </w:rPr>
        <w:t>s, in the Beijing IP Court, alleging infringement of Chinese Patent No. CN 102386226 (‘226 Patent) based on the manufacturing and sale of Intel’s Core i3 microprocessors. Defendants in the second case are Lenovo (Beijing) Co., Ltd. (Lenovo) and Beijing Jia</w:t>
      </w:r>
      <w:r>
        <w:rPr>
          <w:rFonts w:ascii="Arial" w:eastAsia="宋体" w:hAnsi="Arial" w:cs="Arial"/>
          <w:color w:val="333333"/>
          <w:sz w:val="18"/>
          <w:szCs w:val="18"/>
        </w:rPr>
        <w:t>yun Huitong Technology Development Co. Ltd. (BJHT). Defendants in the third case are Intel Corp., Intel China Co., Ltd., the Intel China Beijing Branch, Beijing Digital China Co., Ltd. (Digital China), and JD. Both complaints demand injunctions plus litiga</w:t>
      </w:r>
      <w:r>
        <w:rPr>
          <w:rFonts w:ascii="Arial" w:eastAsia="宋体" w:hAnsi="Arial" w:cs="Arial"/>
          <w:color w:val="333333"/>
          <w:sz w:val="18"/>
          <w:szCs w:val="18"/>
        </w:rPr>
        <w:t>tion costs and reserve the right to claim damages in unspecified amounts. No proceedings have occurred or are yet scheduled in these lawsuits. In December 2019, Lenovo tendered indemnity to Intel, which Intel granted in March 2020. In July 2020, Intel file</w:t>
      </w:r>
      <w:r>
        <w:rPr>
          <w:rFonts w:ascii="Arial" w:eastAsia="宋体" w:hAnsi="Arial" w:cs="Arial"/>
          <w:color w:val="333333"/>
          <w:sz w:val="18"/>
          <w:szCs w:val="18"/>
        </w:rPr>
        <w:t>d two invalidation requests on the '226 patent with the Chinese PRB. Given the procedural posture and the nature of these cases, the unspecified nature and extent of damages claimed by IMECAS, and uncertainty regarding the availability of injunctive relief</w:t>
      </w:r>
      <w:r>
        <w:rPr>
          <w:rFonts w:ascii="Arial" w:eastAsia="宋体" w:hAnsi="Arial" w:cs="Arial"/>
          <w:color w:val="333333"/>
          <w:sz w:val="18"/>
          <w:szCs w:val="18"/>
        </w:rPr>
        <w:t xml:space="preserve"> under applicable law, we are unable to make a reasonable estimate of the potential loss or range of losses, if any, arising from these matters. We dispute IMECAS’s claims and intend to vigorously defend against them.</w:t>
      </w:r>
    </w:p>
    <w:p w14:paraId="20AE24F4" w14:textId="77777777" w:rsidR="00B626E7" w:rsidRDefault="00175C1D">
      <w:pPr>
        <w:spacing w:after="120"/>
      </w:pPr>
      <w:r>
        <w:rPr>
          <w:rFonts w:ascii="Arial" w:eastAsia="宋体" w:hAnsi="Arial" w:cs="Arial"/>
          <w:b/>
          <w:bCs/>
          <w:color w:val="333333"/>
          <w:sz w:val="20"/>
          <w:szCs w:val="20"/>
        </w:rPr>
        <w:t>VLSI Technology LLC v. Intel</w:t>
      </w:r>
      <w:r>
        <w:rPr>
          <w:rFonts w:ascii="Arial" w:eastAsia="宋体" w:hAnsi="Arial" w:cs="Arial"/>
          <w:b/>
          <w:bCs/>
          <w:i/>
          <w:iCs/>
          <w:color w:val="333333"/>
          <w:sz w:val="18"/>
          <w:szCs w:val="18"/>
        </w:rPr>
        <w:t xml:space="preserve"> </w:t>
      </w:r>
    </w:p>
    <w:p w14:paraId="20AE24F5" w14:textId="77777777" w:rsidR="00B626E7" w:rsidRDefault="00175C1D">
      <w:pPr>
        <w:spacing w:after="180"/>
      </w:pPr>
      <w:r>
        <w:rPr>
          <w:rFonts w:ascii="Arial" w:eastAsia="宋体" w:hAnsi="Arial" w:cs="Arial"/>
          <w:color w:val="333333"/>
          <w:sz w:val="18"/>
          <w:szCs w:val="18"/>
        </w:rPr>
        <w:t xml:space="preserve">In </w:t>
      </w:r>
      <w:r>
        <w:rPr>
          <w:rFonts w:ascii="Arial" w:eastAsia="宋体" w:hAnsi="Arial" w:cs="Arial"/>
          <w:color w:val="333333"/>
          <w:sz w:val="18"/>
          <w:szCs w:val="18"/>
        </w:rPr>
        <w:t>October 2017, VLSI Technology LLC (VLSI) filed a complaint against Intel in the U.S. District Court for the Northern District of California alleging infringement of eight patents acquired from NXP Semiconductors, N.V. (NXP). The patents, which originated a</w:t>
      </w:r>
      <w:r>
        <w:rPr>
          <w:rFonts w:ascii="Arial" w:eastAsia="宋体" w:hAnsi="Arial" w:cs="Arial"/>
          <w:color w:val="333333"/>
          <w:sz w:val="18"/>
          <w:szCs w:val="18"/>
        </w:rPr>
        <w:t>t Freescale Semiconductor, Inc. and NXP B.V., are U.S. Patent Nos. 7,268,588; 7,675,806; 7,706,207; 7,709,303; 8,004,922; 8,020,014; 8,268,672; and 8,566,836. VLSI accuses various FPGA and processor products of infringement. VLSI estimated its damages to b</w:t>
      </w:r>
      <w:r>
        <w:rPr>
          <w:rFonts w:ascii="Arial" w:eastAsia="宋体" w:hAnsi="Arial" w:cs="Arial"/>
          <w:color w:val="333333"/>
          <w:sz w:val="18"/>
          <w:szCs w:val="18"/>
        </w:rPr>
        <w:t>e as high as $7.1 billion, and its complaint further sought enhanced damages, future royalties, attorneys’ fees, and costs and interest. In May, June, September, and October 2018, Intel filed requests with the Patent Trial and Appeals Board (PTAB) to insti</w:t>
      </w:r>
      <w:r>
        <w:rPr>
          <w:rFonts w:ascii="Arial" w:eastAsia="宋体" w:hAnsi="Arial" w:cs="Arial"/>
          <w:color w:val="333333"/>
          <w:sz w:val="18"/>
          <w:szCs w:val="18"/>
        </w:rPr>
        <w:t>tute inter partes review of the patentability of claims in all eight of the patents in-suit. The PTAB instituted review of six patents and denied institution on two patents. As a result of the institution decisions, the parties stipulated to stay the Distr</w:t>
      </w:r>
      <w:r>
        <w:rPr>
          <w:rFonts w:ascii="Arial" w:eastAsia="宋体" w:hAnsi="Arial" w:cs="Arial"/>
          <w:color w:val="333333"/>
          <w:sz w:val="18"/>
          <w:szCs w:val="18"/>
        </w:rPr>
        <w:t>ict Court action in March 2019. In December 2019 and February 2020, the PTAB found all claims of the '588 and '303 patents, and some claims of the '922 patent, to be unpatentable. The PTAB found the challenged claims of the '014, '672 and '207 patents to b</w:t>
      </w:r>
      <w:r>
        <w:rPr>
          <w:rFonts w:ascii="Arial" w:eastAsia="宋体" w:hAnsi="Arial" w:cs="Arial"/>
          <w:color w:val="333333"/>
          <w:sz w:val="18"/>
          <w:szCs w:val="18"/>
        </w:rPr>
        <w:t>e patentable. Intel moved for a continuation of the stay in March 2020 as it appealed certain rulings by the PTAB. In June 2020, the District Court issued an order continuing the stay through August 2021 and setting trial for December 2022.</w:t>
      </w:r>
    </w:p>
    <w:p w14:paraId="20AE24F6" w14:textId="77777777" w:rsidR="00B626E7" w:rsidRDefault="00175C1D">
      <w:pPr>
        <w:spacing w:after="180"/>
      </w:pPr>
      <w:r>
        <w:rPr>
          <w:rFonts w:ascii="Arial" w:eastAsia="宋体" w:hAnsi="Arial" w:cs="Arial"/>
          <w:color w:val="333333"/>
          <w:sz w:val="18"/>
          <w:szCs w:val="18"/>
        </w:rPr>
        <w:t>In June 2018, V</w:t>
      </w:r>
      <w:r>
        <w:rPr>
          <w:rFonts w:ascii="Arial" w:eastAsia="宋体" w:hAnsi="Arial" w:cs="Arial"/>
          <w:color w:val="333333"/>
          <w:sz w:val="18"/>
          <w:szCs w:val="18"/>
        </w:rPr>
        <w:t>LSI filed a second suit against Intel, in U.S. District Court for the District of Delaware, alleging infringement by various Intel processors of five additional patents acquired from NXP: U.S. Patent Nos. 6,212,663; 7,246,027; 7,247,552; 7,523,331; and 8,0</w:t>
      </w:r>
      <w:r>
        <w:rPr>
          <w:rFonts w:ascii="Arial" w:eastAsia="宋体" w:hAnsi="Arial" w:cs="Arial"/>
          <w:color w:val="333333"/>
          <w:sz w:val="18"/>
          <w:szCs w:val="18"/>
        </w:rPr>
        <w:t>81,026. VLSI accused Intel of willful infringement and seeks an injunction or, in the alternative, ongoing royalties, enhanced damages, attorneys’ fees and costs, and interest. In March 2019, the District Court dismissed VLSI’s claims for willful infringem</w:t>
      </w:r>
      <w:r>
        <w:rPr>
          <w:rFonts w:ascii="Arial" w:eastAsia="宋体" w:hAnsi="Arial" w:cs="Arial"/>
          <w:color w:val="333333"/>
          <w:sz w:val="18"/>
          <w:szCs w:val="18"/>
        </w:rPr>
        <w:t xml:space="preserve">ent as to all the patents-in-suit except the ‘027 patent, and also dismissed VLSI’s allegations of indirect infringement as to the ‘633, ‘331, and ‘026 patents. In June 2019, Intel filed requests for </w:t>
      </w:r>
      <w:r>
        <w:rPr>
          <w:rFonts w:ascii="Arial" w:eastAsia="宋体" w:hAnsi="Arial" w:cs="Arial"/>
          <w:i/>
          <w:iCs/>
          <w:color w:val="333333"/>
          <w:sz w:val="18"/>
          <w:szCs w:val="18"/>
        </w:rPr>
        <w:t>inter partes</w:t>
      </w:r>
      <w:r>
        <w:rPr>
          <w:rFonts w:ascii="Arial" w:eastAsia="宋体" w:hAnsi="Arial" w:cs="Arial"/>
          <w:color w:val="333333"/>
          <w:sz w:val="18"/>
          <w:szCs w:val="18"/>
        </w:rPr>
        <w:t xml:space="preserve"> review of the patentability of claims in al</w:t>
      </w:r>
      <w:r>
        <w:rPr>
          <w:rFonts w:ascii="Arial" w:eastAsia="宋体" w:hAnsi="Arial" w:cs="Arial"/>
          <w:color w:val="333333"/>
          <w:sz w:val="18"/>
          <w:szCs w:val="18"/>
        </w:rPr>
        <w:t>l five patents-in-suit. In January 2020, the District Court vacated the November 2020 trial date based on agreement of the parties; no trial date is currently set. In January and February 2020, the PTAB instituted review of the '552, '633, '331 and '026 pa</w:t>
      </w:r>
      <w:r>
        <w:rPr>
          <w:rFonts w:ascii="Arial" w:eastAsia="宋体" w:hAnsi="Arial" w:cs="Arial"/>
          <w:color w:val="333333"/>
          <w:sz w:val="18"/>
          <w:szCs w:val="18"/>
        </w:rPr>
        <w:t>tents and as a result Intel moved for stay of the District Court proceedings. In May 2020, the District Court stayed the case as to the '026 and '552 patents but allowed the case to proceed on the '027 and '331 patents. VLSI is no longer asserting claims f</w:t>
      </w:r>
      <w:r>
        <w:rPr>
          <w:rFonts w:ascii="Arial" w:eastAsia="宋体" w:hAnsi="Arial" w:cs="Arial"/>
          <w:color w:val="333333"/>
          <w:sz w:val="18"/>
          <w:szCs w:val="18"/>
        </w:rPr>
        <w:t xml:space="preserve">rom the '633 patent. </w:t>
      </w:r>
    </w:p>
    <w:p w14:paraId="20AE24F7" w14:textId="77777777" w:rsidR="00B626E7" w:rsidRDefault="00B626E7">
      <w:pPr>
        <w:spacing w:after="180"/>
      </w:pPr>
    </w:p>
    <w:p w14:paraId="20AE24F8" w14:textId="77777777" w:rsidR="00B626E7" w:rsidRDefault="00B626E7">
      <w:pPr>
        <w:spacing w:after="180"/>
      </w:pPr>
    </w:p>
    <w:p w14:paraId="20AE24F9" w14:textId="77777777" w:rsidR="00B626E7" w:rsidRDefault="00B626E7">
      <w:pPr>
        <w:spacing w:after="180"/>
      </w:pPr>
    </w:p>
    <w:p w14:paraId="20AE24FA" w14:textId="77777777" w:rsidR="00B626E7" w:rsidRDefault="00B626E7">
      <w:pPr>
        <w:spacing w:after="180"/>
      </w:pPr>
    </w:p>
    <w:p w14:paraId="20AE24FB" w14:textId="77777777" w:rsidR="00B626E7" w:rsidRDefault="00B626E7">
      <w:pPr>
        <w:spacing w:after="180"/>
      </w:pPr>
    </w:p>
    <w:p w14:paraId="20AE24FC" w14:textId="77777777" w:rsidR="00B626E7" w:rsidRDefault="00B626E7">
      <w:pPr>
        <w:spacing w:after="180"/>
      </w:pPr>
    </w:p>
    <w:p w14:paraId="20AE24FD" w14:textId="77777777" w:rsidR="00B626E7" w:rsidRDefault="00B626E7">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4"/>
        <w:gridCol w:w="2423"/>
        <w:gridCol w:w="84"/>
        <w:gridCol w:w="83"/>
        <w:gridCol w:w="3471"/>
        <w:gridCol w:w="83"/>
        <w:gridCol w:w="83"/>
        <w:gridCol w:w="1942"/>
        <w:gridCol w:w="83"/>
      </w:tblGrid>
      <w:tr w:rsidR="00B626E7" w14:paraId="20AE2507" w14:textId="77777777">
        <w:tc>
          <w:tcPr>
            <w:tcW w:w="50" w:type="pct"/>
            <w:shd w:val="clear" w:color="auto" w:fill="auto"/>
            <w:vAlign w:val="bottom"/>
          </w:tcPr>
          <w:p w14:paraId="20AE24FE" w14:textId="77777777" w:rsidR="00B626E7" w:rsidRDefault="00B626E7">
            <w:pPr>
              <w:rPr>
                <w:rFonts w:ascii="宋体"/>
              </w:rPr>
            </w:pPr>
          </w:p>
        </w:tc>
        <w:tc>
          <w:tcPr>
            <w:tcW w:w="1452" w:type="pct"/>
            <w:shd w:val="clear" w:color="auto" w:fill="auto"/>
            <w:vAlign w:val="bottom"/>
          </w:tcPr>
          <w:p w14:paraId="20AE24FF" w14:textId="77777777" w:rsidR="00B626E7" w:rsidRDefault="00B626E7">
            <w:pPr>
              <w:rPr>
                <w:rFonts w:ascii="宋体"/>
              </w:rPr>
            </w:pPr>
          </w:p>
        </w:tc>
        <w:tc>
          <w:tcPr>
            <w:tcW w:w="50" w:type="pct"/>
            <w:shd w:val="clear" w:color="auto" w:fill="auto"/>
            <w:vAlign w:val="bottom"/>
          </w:tcPr>
          <w:p w14:paraId="20AE2500" w14:textId="77777777" w:rsidR="00B626E7" w:rsidRDefault="00B626E7">
            <w:pPr>
              <w:rPr>
                <w:rFonts w:ascii="宋体"/>
              </w:rPr>
            </w:pPr>
          </w:p>
        </w:tc>
        <w:tc>
          <w:tcPr>
            <w:tcW w:w="50" w:type="pct"/>
            <w:shd w:val="clear" w:color="auto" w:fill="auto"/>
            <w:vAlign w:val="bottom"/>
          </w:tcPr>
          <w:p w14:paraId="20AE2501" w14:textId="77777777" w:rsidR="00B626E7" w:rsidRDefault="00B626E7">
            <w:pPr>
              <w:rPr>
                <w:rFonts w:ascii="宋体"/>
              </w:rPr>
            </w:pPr>
          </w:p>
        </w:tc>
        <w:tc>
          <w:tcPr>
            <w:tcW w:w="2081" w:type="pct"/>
            <w:shd w:val="clear" w:color="auto" w:fill="auto"/>
            <w:vAlign w:val="bottom"/>
          </w:tcPr>
          <w:p w14:paraId="20AE2502" w14:textId="77777777" w:rsidR="00B626E7" w:rsidRDefault="00B626E7">
            <w:pPr>
              <w:rPr>
                <w:rFonts w:ascii="宋体"/>
              </w:rPr>
            </w:pPr>
          </w:p>
        </w:tc>
        <w:tc>
          <w:tcPr>
            <w:tcW w:w="50" w:type="pct"/>
            <w:shd w:val="clear" w:color="auto" w:fill="auto"/>
            <w:vAlign w:val="bottom"/>
          </w:tcPr>
          <w:p w14:paraId="20AE2503" w14:textId="77777777" w:rsidR="00B626E7" w:rsidRDefault="00B626E7">
            <w:pPr>
              <w:rPr>
                <w:rFonts w:ascii="宋体"/>
              </w:rPr>
            </w:pPr>
          </w:p>
        </w:tc>
        <w:tc>
          <w:tcPr>
            <w:tcW w:w="50" w:type="pct"/>
            <w:shd w:val="clear" w:color="auto" w:fill="auto"/>
            <w:vAlign w:val="bottom"/>
          </w:tcPr>
          <w:p w14:paraId="20AE2504" w14:textId="77777777" w:rsidR="00B626E7" w:rsidRDefault="00B626E7">
            <w:pPr>
              <w:rPr>
                <w:rFonts w:ascii="宋体"/>
              </w:rPr>
            </w:pPr>
          </w:p>
        </w:tc>
        <w:tc>
          <w:tcPr>
            <w:tcW w:w="1165" w:type="pct"/>
            <w:shd w:val="clear" w:color="auto" w:fill="auto"/>
            <w:vAlign w:val="bottom"/>
          </w:tcPr>
          <w:p w14:paraId="20AE2505" w14:textId="77777777" w:rsidR="00B626E7" w:rsidRDefault="00B626E7">
            <w:pPr>
              <w:rPr>
                <w:rFonts w:ascii="宋体"/>
              </w:rPr>
            </w:pPr>
          </w:p>
        </w:tc>
        <w:tc>
          <w:tcPr>
            <w:tcW w:w="50" w:type="pct"/>
            <w:shd w:val="clear" w:color="auto" w:fill="auto"/>
            <w:vAlign w:val="bottom"/>
          </w:tcPr>
          <w:p w14:paraId="20AE2506" w14:textId="77777777" w:rsidR="00B626E7" w:rsidRDefault="00B626E7">
            <w:pPr>
              <w:rPr>
                <w:rFonts w:ascii="宋体"/>
              </w:rPr>
            </w:pPr>
          </w:p>
        </w:tc>
      </w:tr>
      <w:tr w:rsidR="00B626E7" w14:paraId="20AE250B" w14:textId="77777777">
        <w:tc>
          <w:tcPr>
            <w:tcW w:w="0" w:type="auto"/>
            <w:gridSpan w:val="3"/>
            <w:tcBorders>
              <w:top w:val="single" w:sz="8" w:space="0" w:color="0071C5"/>
            </w:tcBorders>
            <w:shd w:val="clear" w:color="auto" w:fill="auto"/>
            <w:tcMar>
              <w:top w:w="40" w:type="dxa"/>
              <w:left w:w="20" w:type="dxa"/>
              <w:bottom w:w="40" w:type="dxa"/>
              <w:right w:w="20" w:type="dxa"/>
            </w:tcMar>
            <w:vAlign w:val="center"/>
          </w:tcPr>
          <w:p w14:paraId="20AE2508" w14:textId="77777777" w:rsidR="00B626E7" w:rsidRDefault="00175C1D">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Viewer10_files/intc-20200627_g15.jpg"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62" wp14:editId="20AE3C63">
                  <wp:extent cx="304800" cy="304800"/>
                  <wp:effectExtent l="0" t="0" r="0" b="0"/>
                  <wp:docPr id="47" name="图片 89"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9" descr="IMG_28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Arial" w:eastAsia="宋体" w:hAnsi="Arial" w:cs="Arial"/>
                <w:color w:val="333333"/>
                <w:sz w:val="16"/>
                <w:szCs w:val="16"/>
              </w:rPr>
              <w:t>FINANCIAL STATEMENTS</w:t>
            </w:r>
          </w:p>
        </w:tc>
        <w:tc>
          <w:tcPr>
            <w:tcW w:w="0" w:type="auto"/>
            <w:gridSpan w:val="3"/>
            <w:tcBorders>
              <w:top w:val="single" w:sz="8" w:space="0" w:color="0071C5"/>
              <w:left w:val="single" w:sz="24" w:space="0" w:color="0071C5"/>
            </w:tcBorders>
            <w:shd w:val="clear" w:color="auto" w:fill="auto"/>
            <w:tcMar>
              <w:top w:w="40" w:type="dxa"/>
              <w:left w:w="20" w:type="dxa"/>
              <w:bottom w:w="40" w:type="dxa"/>
              <w:right w:w="20" w:type="dxa"/>
            </w:tcMar>
            <w:vAlign w:val="bottom"/>
          </w:tcPr>
          <w:p w14:paraId="20AE2509" w14:textId="77777777" w:rsidR="00B626E7" w:rsidRDefault="00175C1D">
            <w:pPr>
              <w:textAlignment w:val="bottom"/>
            </w:pPr>
            <w:r>
              <w:rPr>
                <w:rFonts w:ascii="Arial" w:eastAsia="宋体" w:hAnsi="Arial" w:cs="Arial"/>
                <w:color w:val="333333"/>
                <w:sz w:val="16"/>
                <w:szCs w:val="16"/>
              </w:rPr>
              <w:t>  Notes to Financial Statements</w:t>
            </w: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250A" w14:textId="77777777" w:rsidR="00B626E7" w:rsidRDefault="00175C1D">
            <w:pPr>
              <w:jc w:val="right"/>
              <w:textAlignment w:val="bottom"/>
            </w:pPr>
            <w:r>
              <w:rPr>
                <w:rFonts w:ascii="Arial" w:eastAsia="宋体" w:hAnsi="Arial" w:cs="Arial"/>
                <w:color w:val="333333"/>
                <w:sz w:val="16"/>
                <w:szCs w:val="16"/>
              </w:rPr>
              <w:t>25</w:t>
            </w:r>
          </w:p>
        </w:tc>
      </w:tr>
    </w:tbl>
    <w:p w14:paraId="20AE250C" w14:textId="77777777" w:rsidR="00B626E7" w:rsidRDefault="00175C1D">
      <w:r>
        <w:pict w14:anchorId="20AE3C64">
          <v:rect id="_x0000_i1051" style="width:415.3pt;height:1.5pt" o:hralign="center" o:hrstd="t" o:hr="t" fillcolor="#a0a0a0" stroked="f"/>
        </w:pict>
      </w:r>
    </w:p>
    <w:p w14:paraId="20AE250D" w14:textId="77777777" w:rsidR="00B626E7" w:rsidRDefault="00175C1D">
      <w:pPr>
        <w:spacing w:after="180"/>
        <w:jc w:val="right"/>
      </w:pPr>
      <w:hyperlink r:id="rId52" w:anchor="ib035cc8759904e51927d703ec8414366_7" w:history="1">
        <w:r>
          <w:rPr>
            <w:rStyle w:val="a5"/>
            <w:rFonts w:ascii="Arial" w:eastAsia="宋体" w:hAnsi="Arial" w:cs="Arial"/>
            <w:b/>
            <w:bCs/>
            <w:sz w:val="16"/>
            <w:szCs w:val="16"/>
          </w:rPr>
          <w:t>Table of Contents</w:t>
        </w:r>
      </w:hyperlink>
    </w:p>
    <w:p w14:paraId="20AE250E" w14:textId="77777777" w:rsidR="00B626E7" w:rsidRDefault="00B626E7">
      <w:pPr>
        <w:spacing w:after="180"/>
        <w:jc w:val="right"/>
      </w:pPr>
    </w:p>
    <w:p w14:paraId="20AE250F" w14:textId="77777777" w:rsidR="00B626E7" w:rsidRDefault="00175C1D">
      <w:pPr>
        <w:spacing w:after="120"/>
      </w:pPr>
      <w:r>
        <w:rPr>
          <w:rFonts w:ascii="Arial" w:eastAsia="宋体" w:hAnsi="Arial" w:cs="Arial"/>
          <w:color w:val="333333"/>
          <w:sz w:val="18"/>
          <w:szCs w:val="18"/>
        </w:rPr>
        <w:t>In March 2019, VLSI filed a third suit against Intel, also in U.S. District Court for the District of Delaware, alleging infringement of six more patents acquired from NXP: U.S. Patent Nos. 6,366,522; 6,663,187; 7,292,485; 7,606,983; 7,725,759; and 7,793,0</w:t>
      </w:r>
      <w:r>
        <w:rPr>
          <w:rFonts w:ascii="Arial" w:eastAsia="宋体" w:hAnsi="Arial" w:cs="Arial"/>
          <w:color w:val="333333"/>
          <w:sz w:val="18"/>
          <w:szCs w:val="18"/>
        </w:rPr>
        <w:t>25. In April 2019, VLSI voluntarily dismissed this Delaware case without prejudice, in favor of asserting these patents in new cases in the U.S. District Court for the Western District of Texas (WDTX). Specifically, in April 2019, VLSI filed three new infr</w:t>
      </w:r>
      <w:r>
        <w:rPr>
          <w:rFonts w:ascii="Arial" w:eastAsia="宋体" w:hAnsi="Arial" w:cs="Arial"/>
          <w:color w:val="333333"/>
          <w:sz w:val="18"/>
          <w:szCs w:val="18"/>
        </w:rPr>
        <w:t>ingement suits against Intel in WDTX accusing various Intel processors of infringement. The three suits collectively assert the same six patents from the voluntarily dismissed Delaware case plus two additional patents acquired from NXP, U.S. Patent Nos. 7,</w:t>
      </w:r>
      <w:r>
        <w:rPr>
          <w:rFonts w:ascii="Arial" w:eastAsia="宋体" w:hAnsi="Arial" w:cs="Arial"/>
          <w:color w:val="333333"/>
          <w:sz w:val="18"/>
          <w:szCs w:val="18"/>
        </w:rPr>
        <w:t>523,373 and 8,156,357. VLSI accuses Intel of willful infringement and seeks an injunction or, in the alternative, ongoing royalties, enhanced damages, attorneys’ fees and costs, and interest. The District Court has set trial for November 2020. In October a</w:t>
      </w:r>
      <w:r>
        <w:rPr>
          <w:rFonts w:ascii="Arial" w:eastAsia="宋体" w:hAnsi="Arial" w:cs="Arial"/>
          <w:color w:val="333333"/>
          <w:sz w:val="18"/>
          <w:szCs w:val="18"/>
        </w:rPr>
        <w:t xml:space="preserve">nd November 2019, and in February 2020, Intel filed </w:t>
      </w:r>
      <w:r>
        <w:rPr>
          <w:rFonts w:ascii="Arial" w:eastAsia="宋体" w:hAnsi="Arial" w:cs="Arial"/>
          <w:i/>
          <w:iCs/>
          <w:color w:val="333333"/>
          <w:sz w:val="18"/>
          <w:szCs w:val="18"/>
        </w:rPr>
        <w:t>inter partes</w:t>
      </w:r>
      <w:r>
        <w:rPr>
          <w:rFonts w:ascii="Arial" w:eastAsia="宋体" w:hAnsi="Arial" w:cs="Arial"/>
          <w:color w:val="333333"/>
          <w:sz w:val="18"/>
          <w:szCs w:val="18"/>
        </w:rPr>
        <w:t xml:space="preserve"> review requests on certain asserted claims across six of the patents-in-suit in WDTX. In May and June 2020, the PTAB denied Intel's requests on four of those patents, and Intel has asked for </w:t>
      </w:r>
      <w:r>
        <w:rPr>
          <w:rFonts w:ascii="Arial" w:eastAsia="宋体" w:hAnsi="Arial" w:cs="Arial"/>
          <w:color w:val="333333"/>
          <w:sz w:val="18"/>
          <w:szCs w:val="18"/>
        </w:rPr>
        <w:t>a rehearing on those matters.</w:t>
      </w:r>
    </w:p>
    <w:p w14:paraId="20AE2510" w14:textId="77777777" w:rsidR="00B626E7" w:rsidRDefault="00175C1D">
      <w:pPr>
        <w:spacing w:after="120"/>
      </w:pPr>
      <w:r>
        <w:rPr>
          <w:rFonts w:ascii="Arial" w:eastAsia="宋体" w:hAnsi="Arial" w:cs="Arial"/>
          <w:color w:val="333333"/>
          <w:sz w:val="18"/>
          <w:szCs w:val="18"/>
        </w:rPr>
        <w:t>In May 2019, VLSI filed a case in Shenzhen Intermediate People’s Court against Intel, Intel (China) Co., Ltd., Intel Trading (Shanghai) Co., Ltd., and Intel Products (Chengdu) Co., Ltd. VLSI asserts Chinese Patent 201410094015</w:t>
      </w:r>
      <w:r>
        <w:rPr>
          <w:rFonts w:ascii="Arial" w:eastAsia="宋体" w:hAnsi="Arial" w:cs="Arial"/>
          <w:color w:val="333333"/>
          <w:sz w:val="18"/>
          <w:szCs w:val="18"/>
        </w:rPr>
        <w:t>.9 accusing Intel Core processors of infringement. VLSI requests an injunction as well as RMB 1.3 million in damages. Defendants filed an invalidation petition in October 2019. In May 2020, defendants filed a motion to stay the trial court proceedings pend</w:t>
      </w:r>
      <w:r>
        <w:rPr>
          <w:rFonts w:ascii="Arial" w:eastAsia="宋体" w:hAnsi="Arial" w:cs="Arial"/>
          <w:color w:val="333333"/>
          <w:sz w:val="18"/>
          <w:szCs w:val="18"/>
        </w:rPr>
        <w:t>ing a determination on invalidity. The court has not yet ruled on the motion to stay.</w:t>
      </w:r>
    </w:p>
    <w:p w14:paraId="20AE2511" w14:textId="77777777" w:rsidR="00B626E7" w:rsidRDefault="00175C1D">
      <w:pPr>
        <w:spacing w:after="120"/>
      </w:pPr>
      <w:r>
        <w:rPr>
          <w:rFonts w:ascii="Arial" w:eastAsia="宋体" w:hAnsi="Arial" w:cs="Arial"/>
          <w:color w:val="333333"/>
          <w:sz w:val="18"/>
          <w:szCs w:val="18"/>
        </w:rPr>
        <w:t>In May 2019, VLSI filed a second case in Shanghai Intellectual Property Court against Intel (China) Co., Ltd., Intel Trading (Shanghai) Co., Ltd., and Intel Products (Che</w:t>
      </w:r>
      <w:r>
        <w:rPr>
          <w:rFonts w:ascii="Arial" w:eastAsia="宋体" w:hAnsi="Arial" w:cs="Arial"/>
          <w:color w:val="333333"/>
          <w:sz w:val="18"/>
          <w:szCs w:val="18"/>
        </w:rPr>
        <w:t>ngdu) Co., Ltd. VLSI asserts Chinese Patent 201080024173.7. The accused Intel products and the claims of VLSI in Shanghai case are the same as in the Shenzhen case. Defendants filed an invalidation petition in October 2019. In June 2020, defendants filed a</w:t>
      </w:r>
      <w:r>
        <w:rPr>
          <w:rFonts w:ascii="Arial" w:eastAsia="宋体" w:hAnsi="Arial" w:cs="Arial"/>
          <w:color w:val="333333"/>
          <w:sz w:val="18"/>
          <w:szCs w:val="18"/>
        </w:rPr>
        <w:t xml:space="preserve"> motion to stay the trial court proceedings pending a determination on invalidity. The court has not yet ruled on the motion to stay.</w:t>
      </w:r>
    </w:p>
    <w:p w14:paraId="20AE2512" w14:textId="77777777" w:rsidR="00B626E7" w:rsidRDefault="00175C1D">
      <w:pPr>
        <w:spacing w:after="120"/>
      </w:pPr>
      <w:r>
        <w:rPr>
          <w:rFonts w:ascii="Arial" w:eastAsia="宋体" w:hAnsi="Arial" w:cs="Arial"/>
          <w:color w:val="333333"/>
          <w:sz w:val="18"/>
          <w:szCs w:val="18"/>
        </w:rPr>
        <w:t>In October 2019, Intel filed a complaint against Fortress Investment Group LLC, Fortress Credit Co. LLC, VLSI, and DSS Tec</w:t>
      </w:r>
      <w:r>
        <w:rPr>
          <w:rFonts w:ascii="Arial" w:eastAsia="宋体" w:hAnsi="Arial" w:cs="Arial"/>
          <w:color w:val="333333"/>
          <w:sz w:val="18"/>
          <w:szCs w:val="18"/>
        </w:rPr>
        <w:t xml:space="preserve">hnology Management, Inc. for violations of the Sherman Act, the Clayton Act, and California Business and Professions Code section 17200. In November 2019, Intel voluntarily dismissed that complaint and, along with Apple Inc., filed a new complaint against </w:t>
      </w:r>
      <w:r>
        <w:rPr>
          <w:rFonts w:ascii="Arial" w:eastAsia="宋体" w:hAnsi="Arial" w:cs="Arial"/>
          <w:color w:val="333333"/>
          <w:sz w:val="18"/>
          <w:szCs w:val="18"/>
        </w:rPr>
        <w:t>Fortress Investment Group LLC, Fortress Credit Co. LLC, Uniloc 2017 LLC, Uniloc USA, Inc., Uniloc Luxembourg S.A.R.L., VLSI, INVT SPE LLC, Inventergy Global, Inc., DSS Technology Management, Inc., IXI IP, LLC, and Seven Networks, LLC. Plaintiffs allege vio</w:t>
      </w:r>
      <w:r>
        <w:rPr>
          <w:rFonts w:ascii="Arial" w:eastAsia="宋体" w:hAnsi="Arial" w:cs="Arial"/>
          <w:color w:val="333333"/>
          <w:sz w:val="18"/>
          <w:szCs w:val="18"/>
        </w:rPr>
        <w:t>lations of Section 1 of the Sherman Act by certain defendants, Section 7 of the Clayton Act by certain defendants, and California Business and Professions Code section 17200 by all defendants based on defendants' unlawful aggregation of patents. Apple alon</w:t>
      </w:r>
      <w:r>
        <w:rPr>
          <w:rFonts w:ascii="Arial" w:eastAsia="宋体" w:hAnsi="Arial" w:cs="Arial"/>
          <w:color w:val="333333"/>
          <w:sz w:val="18"/>
          <w:szCs w:val="18"/>
        </w:rPr>
        <w:t>e also alleges certain violations of California Business and Professions Code section 17200 by some defendants. In February 2020, defendants moved to dismiss plaintiffs' complaint. In July 2020, the court granted defendants’ motion to dismiss, giving plain</w:t>
      </w:r>
      <w:r>
        <w:rPr>
          <w:rFonts w:ascii="Arial" w:eastAsia="宋体" w:hAnsi="Arial" w:cs="Arial"/>
          <w:color w:val="333333"/>
          <w:sz w:val="18"/>
          <w:szCs w:val="18"/>
        </w:rPr>
        <w:t>tiffs leave to amend by August 2020. The court dismissed antitrust claims related to two DSS patents with prejudice.</w:t>
      </w:r>
    </w:p>
    <w:p w14:paraId="20AE2513" w14:textId="77777777" w:rsidR="00B626E7" w:rsidRDefault="00175C1D">
      <w:r>
        <w:rPr>
          <w:rFonts w:ascii="Arial" w:eastAsia="宋体" w:hAnsi="Arial" w:cs="Arial"/>
          <w:color w:val="333333"/>
          <w:sz w:val="18"/>
          <w:szCs w:val="18"/>
        </w:rPr>
        <w:t>Given the procedural posture and the nature of these cases and that there are significant factual and legal issues to be resolved, we are u</w:t>
      </w:r>
      <w:r>
        <w:rPr>
          <w:rFonts w:ascii="Arial" w:eastAsia="宋体" w:hAnsi="Arial" w:cs="Arial"/>
          <w:color w:val="333333"/>
          <w:sz w:val="18"/>
          <w:szCs w:val="18"/>
        </w:rPr>
        <w:t>nable to make a reasonable estimate of the potential loss or range of losses, if any, arising from these matters. We dispute VLSI’s claims and intend to vigorously defend against them.</w:t>
      </w:r>
    </w:p>
    <w:p w14:paraId="20AE2514" w14:textId="77777777" w:rsidR="00B626E7" w:rsidRDefault="00B626E7">
      <w:pPr>
        <w:spacing w:after="180"/>
      </w:pPr>
    </w:p>
    <w:p w14:paraId="20AE2515" w14:textId="77777777" w:rsidR="00B626E7" w:rsidRDefault="00B626E7">
      <w:pPr>
        <w:spacing w:after="180"/>
      </w:pPr>
    </w:p>
    <w:p w14:paraId="20AE2516" w14:textId="77777777" w:rsidR="00B626E7" w:rsidRDefault="00B626E7">
      <w:pPr>
        <w:spacing w:after="180"/>
      </w:pPr>
    </w:p>
    <w:p w14:paraId="20AE2517" w14:textId="77777777" w:rsidR="00B626E7" w:rsidRDefault="00B626E7">
      <w:pPr>
        <w:spacing w:after="180"/>
      </w:pPr>
    </w:p>
    <w:p w14:paraId="20AE2518" w14:textId="77777777" w:rsidR="00B626E7" w:rsidRDefault="00B626E7">
      <w:pPr>
        <w:spacing w:after="180"/>
      </w:pPr>
    </w:p>
    <w:p w14:paraId="20AE2519" w14:textId="77777777" w:rsidR="00B626E7" w:rsidRDefault="00B626E7">
      <w:pPr>
        <w:spacing w:after="180"/>
      </w:pPr>
    </w:p>
    <w:p w14:paraId="20AE251A" w14:textId="77777777" w:rsidR="00B626E7" w:rsidRDefault="00B626E7">
      <w:pPr>
        <w:spacing w:after="180"/>
      </w:pPr>
    </w:p>
    <w:p w14:paraId="20AE251B" w14:textId="77777777" w:rsidR="00B626E7" w:rsidRDefault="00B626E7">
      <w:pPr>
        <w:spacing w:after="180"/>
      </w:pPr>
    </w:p>
    <w:p w14:paraId="20AE251C" w14:textId="77777777" w:rsidR="00B626E7" w:rsidRDefault="00B626E7">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4"/>
        <w:gridCol w:w="2423"/>
        <w:gridCol w:w="84"/>
        <w:gridCol w:w="83"/>
        <w:gridCol w:w="3471"/>
        <w:gridCol w:w="83"/>
        <w:gridCol w:w="83"/>
        <w:gridCol w:w="1942"/>
        <w:gridCol w:w="83"/>
      </w:tblGrid>
      <w:tr w:rsidR="00B626E7" w14:paraId="20AE2526" w14:textId="77777777">
        <w:tc>
          <w:tcPr>
            <w:tcW w:w="50" w:type="pct"/>
            <w:shd w:val="clear" w:color="auto" w:fill="auto"/>
            <w:vAlign w:val="bottom"/>
          </w:tcPr>
          <w:p w14:paraId="20AE251D" w14:textId="77777777" w:rsidR="00B626E7" w:rsidRDefault="00B626E7">
            <w:pPr>
              <w:rPr>
                <w:rFonts w:ascii="宋体"/>
              </w:rPr>
            </w:pPr>
          </w:p>
        </w:tc>
        <w:tc>
          <w:tcPr>
            <w:tcW w:w="1452" w:type="pct"/>
            <w:shd w:val="clear" w:color="auto" w:fill="auto"/>
            <w:vAlign w:val="bottom"/>
          </w:tcPr>
          <w:p w14:paraId="20AE251E" w14:textId="77777777" w:rsidR="00B626E7" w:rsidRDefault="00B626E7">
            <w:pPr>
              <w:rPr>
                <w:rFonts w:ascii="宋体"/>
              </w:rPr>
            </w:pPr>
          </w:p>
        </w:tc>
        <w:tc>
          <w:tcPr>
            <w:tcW w:w="50" w:type="pct"/>
            <w:shd w:val="clear" w:color="auto" w:fill="auto"/>
            <w:vAlign w:val="bottom"/>
          </w:tcPr>
          <w:p w14:paraId="20AE251F" w14:textId="77777777" w:rsidR="00B626E7" w:rsidRDefault="00B626E7">
            <w:pPr>
              <w:rPr>
                <w:rFonts w:ascii="宋体"/>
              </w:rPr>
            </w:pPr>
          </w:p>
        </w:tc>
        <w:tc>
          <w:tcPr>
            <w:tcW w:w="50" w:type="pct"/>
            <w:shd w:val="clear" w:color="auto" w:fill="auto"/>
            <w:vAlign w:val="bottom"/>
          </w:tcPr>
          <w:p w14:paraId="20AE2520" w14:textId="77777777" w:rsidR="00B626E7" w:rsidRDefault="00B626E7">
            <w:pPr>
              <w:rPr>
                <w:rFonts w:ascii="宋体"/>
              </w:rPr>
            </w:pPr>
          </w:p>
        </w:tc>
        <w:tc>
          <w:tcPr>
            <w:tcW w:w="2081" w:type="pct"/>
            <w:shd w:val="clear" w:color="auto" w:fill="auto"/>
            <w:vAlign w:val="bottom"/>
          </w:tcPr>
          <w:p w14:paraId="20AE2521" w14:textId="77777777" w:rsidR="00B626E7" w:rsidRDefault="00B626E7">
            <w:pPr>
              <w:rPr>
                <w:rFonts w:ascii="宋体"/>
              </w:rPr>
            </w:pPr>
          </w:p>
        </w:tc>
        <w:tc>
          <w:tcPr>
            <w:tcW w:w="50" w:type="pct"/>
            <w:shd w:val="clear" w:color="auto" w:fill="auto"/>
            <w:vAlign w:val="bottom"/>
          </w:tcPr>
          <w:p w14:paraId="20AE2522" w14:textId="77777777" w:rsidR="00B626E7" w:rsidRDefault="00B626E7">
            <w:pPr>
              <w:rPr>
                <w:rFonts w:ascii="宋体"/>
              </w:rPr>
            </w:pPr>
          </w:p>
        </w:tc>
        <w:tc>
          <w:tcPr>
            <w:tcW w:w="50" w:type="pct"/>
            <w:shd w:val="clear" w:color="auto" w:fill="auto"/>
            <w:vAlign w:val="bottom"/>
          </w:tcPr>
          <w:p w14:paraId="20AE2523" w14:textId="77777777" w:rsidR="00B626E7" w:rsidRDefault="00B626E7">
            <w:pPr>
              <w:rPr>
                <w:rFonts w:ascii="宋体"/>
              </w:rPr>
            </w:pPr>
          </w:p>
        </w:tc>
        <w:tc>
          <w:tcPr>
            <w:tcW w:w="1165" w:type="pct"/>
            <w:shd w:val="clear" w:color="auto" w:fill="auto"/>
            <w:vAlign w:val="bottom"/>
          </w:tcPr>
          <w:p w14:paraId="20AE2524" w14:textId="77777777" w:rsidR="00B626E7" w:rsidRDefault="00B626E7">
            <w:pPr>
              <w:rPr>
                <w:rFonts w:ascii="宋体"/>
              </w:rPr>
            </w:pPr>
          </w:p>
        </w:tc>
        <w:tc>
          <w:tcPr>
            <w:tcW w:w="50" w:type="pct"/>
            <w:shd w:val="clear" w:color="auto" w:fill="auto"/>
            <w:vAlign w:val="bottom"/>
          </w:tcPr>
          <w:p w14:paraId="20AE2525" w14:textId="77777777" w:rsidR="00B626E7" w:rsidRDefault="00B626E7">
            <w:pPr>
              <w:rPr>
                <w:rFonts w:ascii="宋体"/>
              </w:rPr>
            </w:pPr>
          </w:p>
        </w:tc>
      </w:tr>
      <w:tr w:rsidR="00B626E7" w14:paraId="20AE252A" w14:textId="77777777">
        <w:tc>
          <w:tcPr>
            <w:tcW w:w="0" w:type="auto"/>
            <w:gridSpan w:val="3"/>
            <w:tcBorders>
              <w:top w:val="single" w:sz="8" w:space="0" w:color="0071C5"/>
            </w:tcBorders>
            <w:shd w:val="clear" w:color="auto" w:fill="auto"/>
            <w:tcMar>
              <w:top w:w="40" w:type="dxa"/>
              <w:left w:w="20" w:type="dxa"/>
              <w:bottom w:w="40" w:type="dxa"/>
              <w:right w:w="20" w:type="dxa"/>
            </w:tcMar>
            <w:vAlign w:val="center"/>
          </w:tcPr>
          <w:p w14:paraId="20AE2527" w14:textId="77777777" w:rsidR="00B626E7" w:rsidRDefault="00175C1D">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Viewer10_files/intc-20200627_g15.jpg"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65" wp14:editId="20AE3C66">
                  <wp:extent cx="304800" cy="304800"/>
                  <wp:effectExtent l="0" t="0" r="0" b="0"/>
                  <wp:docPr id="43" name="图片 91"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91" descr="IMG_28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Arial" w:eastAsia="宋体" w:hAnsi="Arial" w:cs="Arial"/>
                <w:color w:val="333333"/>
                <w:sz w:val="16"/>
                <w:szCs w:val="16"/>
              </w:rPr>
              <w:t>FINANCIAL STATEMENTS</w:t>
            </w:r>
          </w:p>
        </w:tc>
        <w:tc>
          <w:tcPr>
            <w:tcW w:w="0" w:type="auto"/>
            <w:gridSpan w:val="3"/>
            <w:tcBorders>
              <w:top w:val="single" w:sz="8" w:space="0" w:color="0071C5"/>
              <w:left w:val="single" w:sz="24" w:space="0" w:color="0071C5"/>
            </w:tcBorders>
            <w:shd w:val="clear" w:color="auto" w:fill="auto"/>
            <w:tcMar>
              <w:top w:w="40" w:type="dxa"/>
              <w:left w:w="20" w:type="dxa"/>
              <w:bottom w:w="40" w:type="dxa"/>
              <w:right w:w="20" w:type="dxa"/>
            </w:tcMar>
            <w:vAlign w:val="bottom"/>
          </w:tcPr>
          <w:p w14:paraId="20AE2528" w14:textId="77777777" w:rsidR="00B626E7" w:rsidRDefault="00175C1D">
            <w:pPr>
              <w:textAlignment w:val="bottom"/>
            </w:pPr>
            <w:r>
              <w:rPr>
                <w:rFonts w:ascii="Arial" w:eastAsia="宋体" w:hAnsi="Arial" w:cs="Arial"/>
                <w:color w:val="333333"/>
                <w:sz w:val="16"/>
                <w:szCs w:val="16"/>
              </w:rPr>
              <w:t>  Notes to Financial Statements</w:t>
            </w: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2529" w14:textId="77777777" w:rsidR="00B626E7" w:rsidRDefault="00175C1D">
            <w:pPr>
              <w:jc w:val="right"/>
              <w:textAlignment w:val="bottom"/>
            </w:pPr>
            <w:r>
              <w:rPr>
                <w:rFonts w:ascii="Arial" w:eastAsia="宋体" w:hAnsi="Arial" w:cs="Arial"/>
                <w:color w:val="333333"/>
                <w:sz w:val="16"/>
                <w:szCs w:val="16"/>
              </w:rPr>
              <w:t>26</w:t>
            </w:r>
          </w:p>
        </w:tc>
      </w:tr>
    </w:tbl>
    <w:p w14:paraId="20AE252B" w14:textId="77777777" w:rsidR="00B626E7" w:rsidRDefault="00175C1D">
      <w:r>
        <w:pict w14:anchorId="20AE3C67">
          <v:rect id="_x0000_i1052" style="width:415.3pt;height:1.5pt" o:hralign="center" o:hrstd="t" o:hr="t" fillcolor="#a0a0a0" stroked="f"/>
        </w:pict>
      </w:r>
    </w:p>
    <w:p w14:paraId="20AE252C" w14:textId="77777777" w:rsidR="00B626E7" w:rsidRDefault="00175C1D">
      <w:pPr>
        <w:spacing w:after="180"/>
        <w:jc w:val="right"/>
      </w:pPr>
      <w:hyperlink r:id="rId53" w:anchor="ib035cc8759904e51927d703ec8414366_7" w:history="1">
        <w:r>
          <w:rPr>
            <w:rStyle w:val="a5"/>
            <w:rFonts w:ascii="Arial" w:eastAsia="宋体" w:hAnsi="Arial" w:cs="Arial"/>
            <w:b/>
            <w:bCs/>
            <w:sz w:val="16"/>
            <w:szCs w:val="16"/>
          </w:rPr>
          <w:t>Table of Contents</w:t>
        </w:r>
      </w:hyperlink>
    </w:p>
    <w:p w14:paraId="20AE252D" w14:textId="77777777" w:rsidR="00B626E7" w:rsidRDefault="00B626E7">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84"/>
        <w:gridCol w:w="8169"/>
        <w:gridCol w:w="83"/>
      </w:tblGrid>
      <w:tr w:rsidR="00B626E7" w14:paraId="20AE2531" w14:textId="77777777">
        <w:tc>
          <w:tcPr>
            <w:tcW w:w="50" w:type="pct"/>
            <w:shd w:val="clear" w:color="auto" w:fill="auto"/>
          </w:tcPr>
          <w:p w14:paraId="20AE252E" w14:textId="77777777" w:rsidR="00B626E7" w:rsidRDefault="00B626E7">
            <w:pPr>
              <w:rPr>
                <w:rFonts w:ascii="宋体"/>
              </w:rPr>
            </w:pPr>
          </w:p>
        </w:tc>
        <w:tc>
          <w:tcPr>
            <w:tcW w:w="4900" w:type="pct"/>
            <w:shd w:val="clear" w:color="auto" w:fill="auto"/>
          </w:tcPr>
          <w:p w14:paraId="20AE252F" w14:textId="77777777" w:rsidR="00B626E7" w:rsidRDefault="00B626E7">
            <w:pPr>
              <w:rPr>
                <w:rFonts w:ascii="宋体"/>
              </w:rPr>
            </w:pPr>
          </w:p>
        </w:tc>
        <w:tc>
          <w:tcPr>
            <w:tcW w:w="50" w:type="pct"/>
            <w:shd w:val="clear" w:color="auto" w:fill="auto"/>
          </w:tcPr>
          <w:p w14:paraId="20AE2530" w14:textId="77777777" w:rsidR="00B626E7" w:rsidRDefault="00B626E7">
            <w:pPr>
              <w:rPr>
                <w:rFonts w:ascii="宋体"/>
              </w:rPr>
            </w:pPr>
          </w:p>
        </w:tc>
      </w:tr>
      <w:tr w:rsidR="00B626E7" w14:paraId="20AE2533" w14:textId="77777777">
        <w:tc>
          <w:tcPr>
            <w:tcW w:w="0" w:type="auto"/>
            <w:gridSpan w:val="3"/>
            <w:shd w:val="clear" w:color="auto" w:fill="0071C5"/>
            <w:tcMar>
              <w:top w:w="40" w:type="dxa"/>
              <w:left w:w="20" w:type="dxa"/>
              <w:bottom w:w="40" w:type="dxa"/>
              <w:right w:w="20" w:type="dxa"/>
            </w:tcMar>
            <w:vAlign w:val="bottom"/>
          </w:tcPr>
          <w:p w14:paraId="20AE2532" w14:textId="77777777" w:rsidR="00B626E7" w:rsidRDefault="00175C1D">
            <w:pPr>
              <w:spacing w:after="60"/>
              <w:textAlignment w:val="bottom"/>
            </w:pPr>
            <w:r>
              <w:rPr>
                <w:rFonts w:ascii="Arial" w:eastAsia="宋体" w:hAnsi="Arial" w:cs="Arial"/>
                <w:b/>
                <w:bCs/>
                <w:color w:val="FFFFFF"/>
                <w:sz w:val="28"/>
                <w:szCs w:val="28"/>
              </w:rPr>
              <w:t>KEY TERMS</w:t>
            </w:r>
          </w:p>
        </w:tc>
      </w:tr>
    </w:tbl>
    <w:p w14:paraId="20AE2534" w14:textId="77777777" w:rsidR="00B626E7" w:rsidRDefault="00175C1D">
      <w:pPr>
        <w:spacing w:before="180" w:after="120"/>
      </w:pPr>
      <w:r>
        <w:rPr>
          <w:rFonts w:ascii="Arial" w:eastAsia="宋体" w:hAnsi="Arial" w:cs="Arial"/>
          <w:color w:val="333333"/>
          <w:sz w:val="18"/>
          <w:szCs w:val="18"/>
        </w:rPr>
        <w:t xml:space="preserve">We use terms throughout our document that are specific to Intel or that are abbreviations that may not be commonly known or used. Below is a list of these terms used in our document. </w:t>
      </w:r>
    </w:p>
    <w:tbl>
      <w:tblPr>
        <w:tblW w:w="5000" w:type="pct"/>
        <w:tblCellMar>
          <w:top w:w="15" w:type="dxa"/>
          <w:left w:w="15" w:type="dxa"/>
          <w:bottom w:w="15" w:type="dxa"/>
          <w:right w:w="15" w:type="dxa"/>
        </w:tblCellMar>
        <w:tblLook w:val="04A0" w:firstRow="1" w:lastRow="0" w:firstColumn="1" w:lastColumn="0" w:noHBand="0" w:noVBand="1"/>
      </w:tblPr>
      <w:tblGrid>
        <w:gridCol w:w="84"/>
        <w:gridCol w:w="1505"/>
        <w:gridCol w:w="83"/>
        <w:gridCol w:w="83"/>
        <w:gridCol w:w="140"/>
        <w:gridCol w:w="83"/>
        <w:gridCol w:w="83"/>
        <w:gridCol w:w="6192"/>
        <w:gridCol w:w="83"/>
      </w:tblGrid>
      <w:tr w:rsidR="00B626E7" w14:paraId="20AE253E" w14:textId="77777777">
        <w:tc>
          <w:tcPr>
            <w:tcW w:w="50" w:type="pct"/>
            <w:shd w:val="clear" w:color="auto" w:fill="auto"/>
          </w:tcPr>
          <w:p w14:paraId="20AE2535" w14:textId="77777777" w:rsidR="00B626E7" w:rsidRDefault="00B626E7">
            <w:pPr>
              <w:rPr>
                <w:rFonts w:ascii="宋体"/>
              </w:rPr>
            </w:pPr>
          </w:p>
        </w:tc>
        <w:tc>
          <w:tcPr>
            <w:tcW w:w="902" w:type="pct"/>
            <w:shd w:val="clear" w:color="auto" w:fill="auto"/>
          </w:tcPr>
          <w:p w14:paraId="20AE2536" w14:textId="77777777" w:rsidR="00B626E7" w:rsidRDefault="00B626E7">
            <w:pPr>
              <w:rPr>
                <w:rFonts w:ascii="宋体"/>
              </w:rPr>
            </w:pPr>
          </w:p>
        </w:tc>
        <w:tc>
          <w:tcPr>
            <w:tcW w:w="50" w:type="pct"/>
            <w:shd w:val="clear" w:color="auto" w:fill="auto"/>
          </w:tcPr>
          <w:p w14:paraId="20AE2537" w14:textId="77777777" w:rsidR="00B626E7" w:rsidRDefault="00B626E7">
            <w:pPr>
              <w:rPr>
                <w:rFonts w:ascii="宋体"/>
              </w:rPr>
            </w:pPr>
          </w:p>
        </w:tc>
        <w:tc>
          <w:tcPr>
            <w:tcW w:w="50" w:type="pct"/>
            <w:shd w:val="clear" w:color="auto" w:fill="auto"/>
          </w:tcPr>
          <w:p w14:paraId="20AE2538" w14:textId="77777777" w:rsidR="00B626E7" w:rsidRDefault="00B626E7">
            <w:pPr>
              <w:rPr>
                <w:rFonts w:ascii="宋体"/>
              </w:rPr>
            </w:pPr>
          </w:p>
        </w:tc>
        <w:tc>
          <w:tcPr>
            <w:tcW w:w="84" w:type="pct"/>
            <w:shd w:val="clear" w:color="auto" w:fill="auto"/>
          </w:tcPr>
          <w:p w14:paraId="20AE2539" w14:textId="77777777" w:rsidR="00B626E7" w:rsidRDefault="00B626E7">
            <w:pPr>
              <w:rPr>
                <w:rFonts w:ascii="宋体"/>
              </w:rPr>
            </w:pPr>
          </w:p>
        </w:tc>
        <w:tc>
          <w:tcPr>
            <w:tcW w:w="50" w:type="pct"/>
            <w:shd w:val="clear" w:color="auto" w:fill="auto"/>
          </w:tcPr>
          <w:p w14:paraId="20AE253A" w14:textId="77777777" w:rsidR="00B626E7" w:rsidRDefault="00B626E7">
            <w:pPr>
              <w:rPr>
                <w:rFonts w:ascii="宋体"/>
              </w:rPr>
            </w:pPr>
          </w:p>
        </w:tc>
        <w:tc>
          <w:tcPr>
            <w:tcW w:w="50" w:type="pct"/>
            <w:shd w:val="clear" w:color="auto" w:fill="auto"/>
          </w:tcPr>
          <w:p w14:paraId="20AE253B" w14:textId="77777777" w:rsidR="00B626E7" w:rsidRDefault="00B626E7">
            <w:pPr>
              <w:rPr>
                <w:rFonts w:ascii="宋体"/>
              </w:rPr>
            </w:pPr>
          </w:p>
        </w:tc>
        <w:tc>
          <w:tcPr>
            <w:tcW w:w="3713" w:type="pct"/>
            <w:shd w:val="clear" w:color="auto" w:fill="auto"/>
          </w:tcPr>
          <w:p w14:paraId="20AE253C" w14:textId="77777777" w:rsidR="00B626E7" w:rsidRDefault="00B626E7">
            <w:pPr>
              <w:rPr>
                <w:rFonts w:ascii="宋体"/>
              </w:rPr>
            </w:pPr>
          </w:p>
        </w:tc>
        <w:tc>
          <w:tcPr>
            <w:tcW w:w="50" w:type="pct"/>
            <w:shd w:val="clear" w:color="auto" w:fill="auto"/>
          </w:tcPr>
          <w:p w14:paraId="20AE253D" w14:textId="77777777" w:rsidR="00B626E7" w:rsidRDefault="00B626E7">
            <w:pPr>
              <w:rPr>
                <w:rFonts w:ascii="宋体"/>
              </w:rPr>
            </w:pPr>
          </w:p>
        </w:tc>
      </w:tr>
      <w:tr w:rsidR="00B626E7" w14:paraId="20AE2542" w14:textId="77777777">
        <w:tc>
          <w:tcPr>
            <w:tcW w:w="0" w:type="auto"/>
            <w:gridSpan w:val="3"/>
            <w:shd w:val="clear" w:color="auto" w:fill="auto"/>
            <w:tcMar>
              <w:top w:w="40" w:type="dxa"/>
              <w:left w:w="20" w:type="dxa"/>
              <w:bottom w:w="40" w:type="dxa"/>
              <w:right w:w="20" w:type="dxa"/>
            </w:tcMar>
          </w:tcPr>
          <w:p w14:paraId="20AE253F" w14:textId="77777777" w:rsidR="00B626E7" w:rsidRDefault="00175C1D">
            <w:pPr>
              <w:jc w:val="center"/>
              <w:textAlignment w:val="top"/>
            </w:pPr>
            <w:r>
              <w:rPr>
                <w:rFonts w:ascii="Arial" w:eastAsia="宋体" w:hAnsi="Arial" w:cs="Arial"/>
                <w:b/>
                <w:bCs/>
                <w:color w:val="0071C5"/>
                <w:sz w:val="18"/>
                <w:szCs w:val="18"/>
              </w:rPr>
              <w:t>TERM</w:t>
            </w:r>
          </w:p>
        </w:tc>
        <w:tc>
          <w:tcPr>
            <w:tcW w:w="0" w:type="auto"/>
            <w:gridSpan w:val="3"/>
            <w:shd w:val="clear" w:color="auto" w:fill="auto"/>
            <w:tcMar>
              <w:left w:w="20" w:type="dxa"/>
              <w:right w:w="20" w:type="dxa"/>
            </w:tcMar>
            <w:vAlign w:val="bottom"/>
          </w:tcPr>
          <w:p w14:paraId="20AE2540"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2541" w14:textId="77777777" w:rsidR="00B626E7" w:rsidRDefault="00175C1D">
            <w:pPr>
              <w:jc w:val="center"/>
              <w:textAlignment w:val="top"/>
            </w:pPr>
            <w:r>
              <w:rPr>
                <w:rFonts w:ascii="Arial" w:eastAsia="宋体" w:hAnsi="Arial" w:cs="Arial"/>
                <w:b/>
                <w:bCs/>
                <w:color w:val="0071C5"/>
                <w:sz w:val="18"/>
                <w:szCs w:val="18"/>
              </w:rPr>
              <w:t>DEFINITION</w:t>
            </w:r>
          </w:p>
        </w:tc>
      </w:tr>
      <w:tr w:rsidR="00B626E7" w14:paraId="20AE2546" w14:textId="77777777">
        <w:trPr>
          <w:trHeight w:val="60"/>
        </w:trPr>
        <w:tc>
          <w:tcPr>
            <w:tcW w:w="0" w:type="auto"/>
            <w:gridSpan w:val="3"/>
            <w:tcBorders>
              <w:top w:val="single" w:sz="8" w:space="0" w:color="333333"/>
            </w:tcBorders>
            <w:shd w:val="clear" w:color="auto" w:fill="auto"/>
            <w:tcMar>
              <w:left w:w="20" w:type="dxa"/>
              <w:right w:w="20" w:type="dxa"/>
            </w:tcMar>
            <w:vAlign w:val="bottom"/>
          </w:tcPr>
          <w:p w14:paraId="20AE2543" w14:textId="77777777" w:rsidR="00B626E7" w:rsidRDefault="00B626E7">
            <w:pPr>
              <w:rPr>
                <w:rFonts w:ascii="宋体"/>
              </w:rPr>
            </w:pPr>
          </w:p>
        </w:tc>
        <w:tc>
          <w:tcPr>
            <w:tcW w:w="0" w:type="auto"/>
            <w:gridSpan w:val="3"/>
            <w:tcBorders>
              <w:top w:val="single" w:sz="8" w:space="0" w:color="333333"/>
            </w:tcBorders>
            <w:shd w:val="clear" w:color="auto" w:fill="auto"/>
            <w:tcMar>
              <w:left w:w="20" w:type="dxa"/>
              <w:right w:w="20" w:type="dxa"/>
            </w:tcMar>
            <w:vAlign w:val="bottom"/>
          </w:tcPr>
          <w:p w14:paraId="20AE2544" w14:textId="77777777" w:rsidR="00B626E7" w:rsidRDefault="00B626E7">
            <w:pPr>
              <w:rPr>
                <w:rFonts w:ascii="宋体"/>
              </w:rPr>
            </w:pPr>
          </w:p>
        </w:tc>
        <w:tc>
          <w:tcPr>
            <w:tcW w:w="0" w:type="auto"/>
            <w:gridSpan w:val="3"/>
            <w:tcBorders>
              <w:top w:val="single" w:sz="8" w:space="0" w:color="333333"/>
            </w:tcBorders>
            <w:shd w:val="clear" w:color="auto" w:fill="auto"/>
            <w:tcMar>
              <w:left w:w="20" w:type="dxa"/>
              <w:right w:w="20" w:type="dxa"/>
            </w:tcMar>
            <w:vAlign w:val="bottom"/>
          </w:tcPr>
          <w:p w14:paraId="20AE2545" w14:textId="77777777" w:rsidR="00B626E7" w:rsidRDefault="00B626E7">
            <w:pPr>
              <w:rPr>
                <w:rFonts w:ascii="宋体"/>
              </w:rPr>
            </w:pPr>
          </w:p>
        </w:tc>
      </w:tr>
      <w:tr w:rsidR="00B626E7" w14:paraId="20AE254A" w14:textId="77777777">
        <w:trPr>
          <w:hidden/>
        </w:trPr>
        <w:tc>
          <w:tcPr>
            <w:tcW w:w="0" w:type="auto"/>
            <w:gridSpan w:val="3"/>
            <w:shd w:val="clear" w:color="auto" w:fill="auto"/>
          </w:tcPr>
          <w:p w14:paraId="20AE2547" w14:textId="77777777" w:rsidR="00B626E7" w:rsidRDefault="00B626E7">
            <w:pPr>
              <w:rPr>
                <w:rFonts w:ascii="宋体"/>
                <w:vanish/>
              </w:rPr>
            </w:pPr>
          </w:p>
        </w:tc>
        <w:tc>
          <w:tcPr>
            <w:tcW w:w="0" w:type="auto"/>
            <w:gridSpan w:val="3"/>
            <w:shd w:val="clear" w:color="auto" w:fill="auto"/>
          </w:tcPr>
          <w:p w14:paraId="20AE2548" w14:textId="77777777" w:rsidR="00B626E7" w:rsidRDefault="00B626E7">
            <w:pPr>
              <w:rPr>
                <w:rFonts w:ascii="宋体"/>
                <w:vanish/>
              </w:rPr>
            </w:pPr>
          </w:p>
        </w:tc>
        <w:tc>
          <w:tcPr>
            <w:tcW w:w="0" w:type="auto"/>
            <w:gridSpan w:val="3"/>
            <w:shd w:val="clear" w:color="auto" w:fill="auto"/>
          </w:tcPr>
          <w:p w14:paraId="20AE2549" w14:textId="77777777" w:rsidR="00B626E7" w:rsidRDefault="00B626E7">
            <w:pPr>
              <w:rPr>
                <w:rFonts w:ascii="宋体"/>
                <w:vanish/>
              </w:rPr>
            </w:pPr>
          </w:p>
        </w:tc>
      </w:tr>
      <w:tr w:rsidR="00B626E7" w14:paraId="20AE254E" w14:textId="77777777">
        <w:trPr>
          <w:hidden/>
        </w:trPr>
        <w:tc>
          <w:tcPr>
            <w:tcW w:w="0" w:type="auto"/>
            <w:gridSpan w:val="3"/>
            <w:shd w:val="clear" w:color="auto" w:fill="auto"/>
          </w:tcPr>
          <w:p w14:paraId="20AE254B" w14:textId="77777777" w:rsidR="00B626E7" w:rsidRDefault="00B626E7">
            <w:pPr>
              <w:rPr>
                <w:rFonts w:ascii="宋体"/>
                <w:vanish/>
              </w:rPr>
            </w:pPr>
          </w:p>
        </w:tc>
        <w:tc>
          <w:tcPr>
            <w:tcW w:w="0" w:type="auto"/>
            <w:gridSpan w:val="3"/>
            <w:shd w:val="clear" w:color="auto" w:fill="auto"/>
          </w:tcPr>
          <w:p w14:paraId="20AE254C" w14:textId="77777777" w:rsidR="00B626E7" w:rsidRDefault="00B626E7">
            <w:pPr>
              <w:rPr>
                <w:rFonts w:ascii="宋体"/>
                <w:vanish/>
              </w:rPr>
            </w:pPr>
          </w:p>
        </w:tc>
        <w:tc>
          <w:tcPr>
            <w:tcW w:w="0" w:type="auto"/>
            <w:gridSpan w:val="3"/>
            <w:shd w:val="clear" w:color="auto" w:fill="auto"/>
          </w:tcPr>
          <w:p w14:paraId="20AE254D" w14:textId="77777777" w:rsidR="00B626E7" w:rsidRDefault="00B626E7">
            <w:pPr>
              <w:rPr>
                <w:rFonts w:ascii="宋体"/>
                <w:vanish/>
              </w:rPr>
            </w:pPr>
          </w:p>
        </w:tc>
      </w:tr>
      <w:tr w:rsidR="00B626E7" w14:paraId="20AE2552" w14:textId="77777777">
        <w:tc>
          <w:tcPr>
            <w:tcW w:w="0" w:type="auto"/>
            <w:gridSpan w:val="3"/>
            <w:shd w:val="clear" w:color="auto" w:fill="auto"/>
            <w:tcMar>
              <w:top w:w="40" w:type="dxa"/>
              <w:left w:w="20" w:type="dxa"/>
              <w:bottom w:w="40" w:type="dxa"/>
              <w:right w:w="20" w:type="dxa"/>
            </w:tcMar>
          </w:tcPr>
          <w:p w14:paraId="20AE254F" w14:textId="77777777" w:rsidR="00B626E7" w:rsidRDefault="00175C1D">
            <w:pPr>
              <w:textAlignment w:val="top"/>
            </w:pPr>
            <w:r>
              <w:rPr>
                <w:rFonts w:ascii="Arial" w:eastAsia="宋体" w:hAnsi="Arial" w:cs="Arial"/>
                <w:b/>
                <w:bCs/>
                <w:color w:val="0071C5"/>
                <w:sz w:val="18"/>
                <w:szCs w:val="18"/>
              </w:rPr>
              <w:t>2009 Debentures</w:t>
            </w:r>
          </w:p>
        </w:tc>
        <w:tc>
          <w:tcPr>
            <w:tcW w:w="0" w:type="auto"/>
            <w:gridSpan w:val="3"/>
            <w:shd w:val="clear" w:color="auto" w:fill="auto"/>
            <w:tcMar>
              <w:left w:w="20" w:type="dxa"/>
              <w:right w:w="20" w:type="dxa"/>
            </w:tcMar>
            <w:vAlign w:val="bottom"/>
          </w:tcPr>
          <w:p w14:paraId="20AE2550"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2551" w14:textId="77777777" w:rsidR="00B626E7" w:rsidRDefault="00175C1D">
            <w:pPr>
              <w:textAlignment w:val="top"/>
            </w:pPr>
            <w:r>
              <w:rPr>
                <w:rFonts w:ascii="Arial" w:eastAsia="宋体" w:hAnsi="Arial" w:cs="Arial"/>
                <w:color w:val="333333"/>
                <w:sz w:val="18"/>
                <w:szCs w:val="18"/>
              </w:rPr>
              <w:t xml:space="preserve">3.25% </w:t>
            </w:r>
            <w:r>
              <w:rPr>
                <w:rFonts w:ascii="Arial" w:eastAsia="宋体" w:hAnsi="Arial" w:cs="Arial"/>
                <w:color w:val="333333"/>
                <w:sz w:val="18"/>
                <w:szCs w:val="18"/>
              </w:rPr>
              <w:t>junior subordinated convertible debentures due 2039</w:t>
            </w:r>
          </w:p>
        </w:tc>
      </w:tr>
      <w:tr w:rsidR="00B626E7" w14:paraId="20AE2556" w14:textId="77777777">
        <w:trPr>
          <w:hidden/>
        </w:trPr>
        <w:tc>
          <w:tcPr>
            <w:tcW w:w="0" w:type="auto"/>
            <w:gridSpan w:val="3"/>
            <w:shd w:val="clear" w:color="auto" w:fill="auto"/>
          </w:tcPr>
          <w:p w14:paraId="20AE2553" w14:textId="77777777" w:rsidR="00B626E7" w:rsidRDefault="00B626E7">
            <w:pPr>
              <w:rPr>
                <w:rFonts w:ascii="宋体"/>
                <w:vanish/>
              </w:rPr>
            </w:pPr>
          </w:p>
        </w:tc>
        <w:tc>
          <w:tcPr>
            <w:tcW w:w="0" w:type="auto"/>
            <w:gridSpan w:val="3"/>
            <w:shd w:val="clear" w:color="auto" w:fill="auto"/>
          </w:tcPr>
          <w:p w14:paraId="20AE2554" w14:textId="77777777" w:rsidR="00B626E7" w:rsidRDefault="00B626E7">
            <w:pPr>
              <w:rPr>
                <w:rFonts w:ascii="宋体"/>
                <w:vanish/>
              </w:rPr>
            </w:pPr>
          </w:p>
        </w:tc>
        <w:tc>
          <w:tcPr>
            <w:tcW w:w="0" w:type="auto"/>
            <w:gridSpan w:val="3"/>
            <w:shd w:val="clear" w:color="auto" w:fill="auto"/>
          </w:tcPr>
          <w:p w14:paraId="20AE2555" w14:textId="77777777" w:rsidR="00B626E7" w:rsidRDefault="00B626E7">
            <w:pPr>
              <w:rPr>
                <w:rFonts w:ascii="宋体"/>
                <w:vanish/>
              </w:rPr>
            </w:pPr>
          </w:p>
        </w:tc>
      </w:tr>
      <w:tr w:rsidR="00B626E7" w14:paraId="20AE255A" w14:textId="77777777">
        <w:trPr>
          <w:hidden/>
        </w:trPr>
        <w:tc>
          <w:tcPr>
            <w:tcW w:w="0" w:type="auto"/>
            <w:gridSpan w:val="3"/>
            <w:shd w:val="clear" w:color="auto" w:fill="auto"/>
          </w:tcPr>
          <w:p w14:paraId="20AE2557" w14:textId="77777777" w:rsidR="00B626E7" w:rsidRDefault="00B626E7">
            <w:pPr>
              <w:rPr>
                <w:rFonts w:ascii="宋体"/>
                <w:vanish/>
              </w:rPr>
            </w:pPr>
          </w:p>
        </w:tc>
        <w:tc>
          <w:tcPr>
            <w:tcW w:w="0" w:type="auto"/>
            <w:gridSpan w:val="3"/>
            <w:shd w:val="clear" w:color="auto" w:fill="auto"/>
          </w:tcPr>
          <w:p w14:paraId="20AE2558" w14:textId="77777777" w:rsidR="00B626E7" w:rsidRDefault="00B626E7">
            <w:pPr>
              <w:rPr>
                <w:rFonts w:ascii="宋体"/>
                <w:vanish/>
              </w:rPr>
            </w:pPr>
          </w:p>
        </w:tc>
        <w:tc>
          <w:tcPr>
            <w:tcW w:w="0" w:type="auto"/>
            <w:gridSpan w:val="3"/>
            <w:shd w:val="clear" w:color="auto" w:fill="auto"/>
          </w:tcPr>
          <w:p w14:paraId="20AE2559" w14:textId="77777777" w:rsidR="00B626E7" w:rsidRDefault="00B626E7">
            <w:pPr>
              <w:rPr>
                <w:rFonts w:ascii="宋体"/>
                <w:vanish/>
              </w:rPr>
            </w:pPr>
          </w:p>
        </w:tc>
      </w:tr>
      <w:tr w:rsidR="00B626E7" w14:paraId="20AE255E" w14:textId="77777777">
        <w:trPr>
          <w:hidden/>
        </w:trPr>
        <w:tc>
          <w:tcPr>
            <w:tcW w:w="0" w:type="auto"/>
            <w:gridSpan w:val="3"/>
            <w:shd w:val="clear" w:color="auto" w:fill="auto"/>
          </w:tcPr>
          <w:p w14:paraId="20AE255B" w14:textId="77777777" w:rsidR="00B626E7" w:rsidRDefault="00B626E7">
            <w:pPr>
              <w:rPr>
                <w:rFonts w:ascii="宋体"/>
                <w:vanish/>
              </w:rPr>
            </w:pPr>
          </w:p>
        </w:tc>
        <w:tc>
          <w:tcPr>
            <w:tcW w:w="0" w:type="auto"/>
            <w:gridSpan w:val="3"/>
            <w:shd w:val="clear" w:color="auto" w:fill="auto"/>
          </w:tcPr>
          <w:p w14:paraId="20AE255C" w14:textId="77777777" w:rsidR="00B626E7" w:rsidRDefault="00B626E7">
            <w:pPr>
              <w:rPr>
                <w:rFonts w:ascii="宋体"/>
                <w:vanish/>
              </w:rPr>
            </w:pPr>
          </w:p>
        </w:tc>
        <w:tc>
          <w:tcPr>
            <w:tcW w:w="0" w:type="auto"/>
            <w:gridSpan w:val="3"/>
            <w:shd w:val="clear" w:color="auto" w:fill="auto"/>
          </w:tcPr>
          <w:p w14:paraId="20AE255D" w14:textId="77777777" w:rsidR="00B626E7" w:rsidRDefault="00B626E7">
            <w:pPr>
              <w:rPr>
                <w:rFonts w:ascii="宋体"/>
                <w:vanish/>
              </w:rPr>
            </w:pPr>
          </w:p>
        </w:tc>
      </w:tr>
      <w:tr w:rsidR="00B626E7" w14:paraId="20AE2562" w14:textId="77777777">
        <w:trPr>
          <w:hidden/>
        </w:trPr>
        <w:tc>
          <w:tcPr>
            <w:tcW w:w="0" w:type="auto"/>
            <w:gridSpan w:val="3"/>
            <w:shd w:val="clear" w:color="auto" w:fill="auto"/>
          </w:tcPr>
          <w:p w14:paraId="20AE255F" w14:textId="77777777" w:rsidR="00B626E7" w:rsidRDefault="00B626E7">
            <w:pPr>
              <w:rPr>
                <w:rFonts w:ascii="宋体"/>
                <w:vanish/>
              </w:rPr>
            </w:pPr>
          </w:p>
        </w:tc>
        <w:tc>
          <w:tcPr>
            <w:tcW w:w="0" w:type="auto"/>
            <w:gridSpan w:val="3"/>
            <w:shd w:val="clear" w:color="auto" w:fill="auto"/>
          </w:tcPr>
          <w:p w14:paraId="20AE2560" w14:textId="77777777" w:rsidR="00B626E7" w:rsidRDefault="00B626E7">
            <w:pPr>
              <w:rPr>
                <w:rFonts w:ascii="宋体"/>
                <w:vanish/>
              </w:rPr>
            </w:pPr>
          </w:p>
        </w:tc>
        <w:tc>
          <w:tcPr>
            <w:tcW w:w="0" w:type="auto"/>
            <w:gridSpan w:val="3"/>
            <w:shd w:val="clear" w:color="auto" w:fill="auto"/>
          </w:tcPr>
          <w:p w14:paraId="20AE2561" w14:textId="77777777" w:rsidR="00B626E7" w:rsidRDefault="00B626E7">
            <w:pPr>
              <w:rPr>
                <w:rFonts w:ascii="宋体"/>
                <w:vanish/>
              </w:rPr>
            </w:pPr>
          </w:p>
        </w:tc>
      </w:tr>
      <w:tr w:rsidR="00B626E7" w14:paraId="20AE2566" w14:textId="77777777">
        <w:trPr>
          <w:hidden/>
        </w:trPr>
        <w:tc>
          <w:tcPr>
            <w:tcW w:w="0" w:type="auto"/>
            <w:gridSpan w:val="3"/>
            <w:shd w:val="clear" w:color="auto" w:fill="auto"/>
          </w:tcPr>
          <w:p w14:paraId="20AE2563" w14:textId="77777777" w:rsidR="00B626E7" w:rsidRDefault="00B626E7">
            <w:pPr>
              <w:rPr>
                <w:rFonts w:ascii="宋体"/>
                <w:vanish/>
              </w:rPr>
            </w:pPr>
          </w:p>
        </w:tc>
        <w:tc>
          <w:tcPr>
            <w:tcW w:w="0" w:type="auto"/>
            <w:gridSpan w:val="3"/>
            <w:shd w:val="clear" w:color="auto" w:fill="auto"/>
          </w:tcPr>
          <w:p w14:paraId="20AE2564" w14:textId="77777777" w:rsidR="00B626E7" w:rsidRDefault="00B626E7">
            <w:pPr>
              <w:rPr>
                <w:rFonts w:ascii="宋体"/>
                <w:vanish/>
              </w:rPr>
            </w:pPr>
          </w:p>
        </w:tc>
        <w:tc>
          <w:tcPr>
            <w:tcW w:w="0" w:type="auto"/>
            <w:gridSpan w:val="3"/>
            <w:shd w:val="clear" w:color="auto" w:fill="auto"/>
          </w:tcPr>
          <w:p w14:paraId="20AE2565" w14:textId="77777777" w:rsidR="00B626E7" w:rsidRDefault="00B626E7">
            <w:pPr>
              <w:rPr>
                <w:rFonts w:ascii="宋体"/>
                <w:vanish/>
              </w:rPr>
            </w:pPr>
          </w:p>
        </w:tc>
      </w:tr>
      <w:tr w:rsidR="00B626E7" w14:paraId="20AE256A" w14:textId="77777777">
        <w:tc>
          <w:tcPr>
            <w:tcW w:w="0" w:type="auto"/>
            <w:gridSpan w:val="3"/>
            <w:shd w:val="clear" w:color="auto" w:fill="auto"/>
            <w:tcMar>
              <w:top w:w="40" w:type="dxa"/>
              <w:left w:w="20" w:type="dxa"/>
              <w:bottom w:w="40" w:type="dxa"/>
              <w:right w:w="20" w:type="dxa"/>
            </w:tcMar>
          </w:tcPr>
          <w:p w14:paraId="20AE2567" w14:textId="77777777" w:rsidR="00B626E7" w:rsidRDefault="00175C1D">
            <w:pPr>
              <w:textAlignment w:val="top"/>
            </w:pPr>
            <w:r>
              <w:rPr>
                <w:rFonts w:ascii="Arial" w:eastAsia="宋体" w:hAnsi="Arial" w:cs="Arial"/>
                <w:b/>
                <w:bCs/>
                <w:color w:val="0071C5"/>
                <w:sz w:val="18"/>
                <w:szCs w:val="18"/>
              </w:rPr>
              <w:t>2019 Form 10-K</w:t>
            </w:r>
          </w:p>
        </w:tc>
        <w:tc>
          <w:tcPr>
            <w:tcW w:w="0" w:type="auto"/>
            <w:gridSpan w:val="3"/>
            <w:shd w:val="clear" w:color="auto" w:fill="auto"/>
            <w:tcMar>
              <w:left w:w="20" w:type="dxa"/>
              <w:right w:w="20" w:type="dxa"/>
            </w:tcMar>
            <w:vAlign w:val="bottom"/>
          </w:tcPr>
          <w:p w14:paraId="20AE2568"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2569" w14:textId="77777777" w:rsidR="00B626E7" w:rsidRDefault="00175C1D">
            <w:pPr>
              <w:textAlignment w:val="top"/>
            </w:pPr>
            <w:r>
              <w:rPr>
                <w:rFonts w:ascii="Arial" w:eastAsia="宋体" w:hAnsi="Arial" w:cs="Arial"/>
                <w:color w:val="333333"/>
                <w:sz w:val="18"/>
                <w:szCs w:val="18"/>
              </w:rPr>
              <w:t>Our Annual Report on Form 10-K for the fiscal year ended December 28, 2019</w:t>
            </w:r>
          </w:p>
        </w:tc>
      </w:tr>
      <w:tr w:rsidR="00B626E7" w14:paraId="20AE256E" w14:textId="77777777">
        <w:tc>
          <w:tcPr>
            <w:tcW w:w="0" w:type="auto"/>
            <w:gridSpan w:val="3"/>
            <w:shd w:val="clear" w:color="auto" w:fill="auto"/>
            <w:tcMar>
              <w:top w:w="40" w:type="dxa"/>
              <w:left w:w="20" w:type="dxa"/>
              <w:bottom w:w="40" w:type="dxa"/>
              <w:right w:w="20" w:type="dxa"/>
            </w:tcMar>
          </w:tcPr>
          <w:p w14:paraId="20AE256B" w14:textId="77777777" w:rsidR="00B626E7" w:rsidRDefault="00175C1D">
            <w:pPr>
              <w:textAlignment w:val="top"/>
            </w:pPr>
            <w:r>
              <w:rPr>
                <w:rFonts w:ascii="Arial" w:eastAsia="宋体" w:hAnsi="Arial" w:cs="Arial"/>
                <w:b/>
                <w:bCs/>
                <w:color w:val="0071C5"/>
                <w:sz w:val="18"/>
                <w:szCs w:val="18"/>
              </w:rPr>
              <w:t>5G</w:t>
            </w:r>
          </w:p>
        </w:tc>
        <w:tc>
          <w:tcPr>
            <w:tcW w:w="0" w:type="auto"/>
            <w:gridSpan w:val="3"/>
            <w:shd w:val="clear" w:color="auto" w:fill="auto"/>
            <w:tcMar>
              <w:left w:w="20" w:type="dxa"/>
              <w:right w:w="20" w:type="dxa"/>
            </w:tcMar>
            <w:vAlign w:val="bottom"/>
          </w:tcPr>
          <w:p w14:paraId="20AE256C"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256D" w14:textId="77777777" w:rsidR="00B626E7" w:rsidRDefault="00175C1D">
            <w:pPr>
              <w:textAlignment w:val="top"/>
            </w:pPr>
            <w:r>
              <w:rPr>
                <w:rFonts w:ascii="Arial" w:eastAsia="宋体" w:hAnsi="Arial" w:cs="Arial"/>
                <w:color w:val="333333"/>
                <w:sz w:val="18"/>
                <w:szCs w:val="18"/>
              </w:rPr>
              <w:t xml:space="preserve">The next-generation mobile network, which is expected to bring dramatic </w:t>
            </w:r>
            <w:r>
              <w:rPr>
                <w:rFonts w:ascii="Arial" w:eastAsia="宋体" w:hAnsi="Arial" w:cs="Arial"/>
                <w:color w:val="333333"/>
                <w:sz w:val="18"/>
                <w:szCs w:val="18"/>
              </w:rPr>
              <w:t>improvements in network speeds and latency, and which we view as a transformative technology and opportunity for many industries</w:t>
            </w:r>
          </w:p>
        </w:tc>
      </w:tr>
      <w:tr w:rsidR="00B626E7" w14:paraId="20AE2572" w14:textId="77777777">
        <w:trPr>
          <w:hidden/>
        </w:trPr>
        <w:tc>
          <w:tcPr>
            <w:tcW w:w="0" w:type="auto"/>
            <w:gridSpan w:val="3"/>
            <w:shd w:val="clear" w:color="auto" w:fill="auto"/>
          </w:tcPr>
          <w:p w14:paraId="20AE256F" w14:textId="77777777" w:rsidR="00B626E7" w:rsidRDefault="00B626E7">
            <w:pPr>
              <w:rPr>
                <w:rFonts w:ascii="宋体"/>
                <w:vanish/>
              </w:rPr>
            </w:pPr>
          </w:p>
        </w:tc>
        <w:tc>
          <w:tcPr>
            <w:tcW w:w="0" w:type="auto"/>
            <w:gridSpan w:val="3"/>
            <w:shd w:val="clear" w:color="auto" w:fill="auto"/>
          </w:tcPr>
          <w:p w14:paraId="20AE2570" w14:textId="77777777" w:rsidR="00B626E7" w:rsidRDefault="00B626E7">
            <w:pPr>
              <w:rPr>
                <w:rFonts w:ascii="宋体"/>
                <w:vanish/>
              </w:rPr>
            </w:pPr>
          </w:p>
        </w:tc>
        <w:tc>
          <w:tcPr>
            <w:tcW w:w="0" w:type="auto"/>
            <w:gridSpan w:val="3"/>
            <w:shd w:val="clear" w:color="auto" w:fill="auto"/>
          </w:tcPr>
          <w:p w14:paraId="20AE2571" w14:textId="77777777" w:rsidR="00B626E7" w:rsidRDefault="00B626E7">
            <w:pPr>
              <w:rPr>
                <w:rFonts w:ascii="宋体"/>
                <w:vanish/>
              </w:rPr>
            </w:pPr>
          </w:p>
        </w:tc>
      </w:tr>
      <w:tr w:rsidR="00B626E7" w14:paraId="20AE2576" w14:textId="77777777">
        <w:tc>
          <w:tcPr>
            <w:tcW w:w="0" w:type="auto"/>
            <w:gridSpan w:val="3"/>
            <w:shd w:val="clear" w:color="auto" w:fill="auto"/>
            <w:tcMar>
              <w:top w:w="40" w:type="dxa"/>
              <w:left w:w="20" w:type="dxa"/>
              <w:bottom w:w="40" w:type="dxa"/>
              <w:right w:w="20" w:type="dxa"/>
            </w:tcMar>
          </w:tcPr>
          <w:p w14:paraId="20AE2573" w14:textId="77777777" w:rsidR="00B626E7" w:rsidRDefault="00175C1D">
            <w:pPr>
              <w:textAlignment w:val="top"/>
            </w:pPr>
            <w:r>
              <w:rPr>
                <w:rFonts w:ascii="Arial" w:eastAsia="宋体" w:hAnsi="Arial" w:cs="Arial"/>
                <w:b/>
                <w:bCs/>
                <w:color w:val="0071C5"/>
                <w:sz w:val="18"/>
                <w:szCs w:val="18"/>
              </w:rPr>
              <w:t>ADAS</w:t>
            </w:r>
          </w:p>
        </w:tc>
        <w:tc>
          <w:tcPr>
            <w:tcW w:w="0" w:type="auto"/>
            <w:gridSpan w:val="3"/>
            <w:shd w:val="clear" w:color="auto" w:fill="auto"/>
            <w:tcMar>
              <w:left w:w="20" w:type="dxa"/>
              <w:right w:w="20" w:type="dxa"/>
            </w:tcMar>
            <w:vAlign w:val="bottom"/>
          </w:tcPr>
          <w:p w14:paraId="20AE2574"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2575" w14:textId="77777777" w:rsidR="00B626E7" w:rsidRDefault="00175C1D">
            <w:pPr>
              <w:textAlignment w:val="top"/>
            </w:pPr>
            <w:r>
              <w:rPr>
                <w:rFonts w:ascii="Arial" w:eastAsia="宋体" w:hAnsi="Arial" w:cs="Arial"/>
                <w:color w:val="333333"/>
                <w:sz w:val="18"/>
                <w:szCs w:val="18"/>
              </w:rPr>
              <w:t>Advanced driver-assistance systems</w:t>
            </w:r>
          </w:p>
        </w:tc>
      </w:tr>
      <w:tr w:rsidR="00B626E7" w14:paraId="20AE257A" w14:textId="77777777">
        <w:tc>
          <w:tcPr>
            <w:tcW w:w="0" w:type="auto"/>
            <w:gridSpan w:val="3"/>
            <w:shd w:val="clear" w:color="auto" w:fill="auto"/>
            <w:tcMar>
              <w:top w:w="40" w:type="dxa"/>
              <w:left w:w="20" w:type="dxa"/>
              <w:bottom w:w="40" w:type="dxa"/>
              <w:right w:w="20" w:type="dxa"/>
            </w:tcMar>
          </w:tcPr>
          <w:p w14:paraId="20AE2577" w14:textId="77777777" w:rsidR="00B626E7" w:rsidRDefault="00175C1D">
            <w:pPr>
              <w:textAlignment w:val="top"/>
            </w:pPr>
            <w:r>
              <w:rPr>
                <w:rFonts w:ascii="Arial" w:eastAsia="宋体" w:hAnsi="Arial" w:cs="Arial"/>
                <w:b/>
                <w:bCs/>
                <w:color w:val="0071C5"/>
                <w:sz w:val="18"/>
                <w:szCs w:val="18"/>
              </w:rPr>
              <w:t>Adjacent products</w:t>
            </w:r>
          </w:p>
        </w:tc>
        <w:tc>
          <w:tcPr>
            <w:tcW w:w="0" w:type="auto"/>
            <w:gridSpan w:val="3"/>
            <w:shd w:val="clear" w:color="auto" w:fill="auto"/>
            <w:tcMar>
              <w:left w:w="20" w:type="dxa"/>
              <w:right w:w="20" w:type="dxa"/>
            </w:tcMar>
            <w:vAlign w:val="bottom"/>
          </w:tcPr>
          <w:p w14:paraId="20AE2578"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2579" w14:textId="77777777" w:rsidR="00B626E7" w:rsidRDefault="00175C1D">
            <w:pPr>
              <w:textAlignment w:val="top"/>
            </w:pPr>
            <w:r>
              <w:rPr>
                <w:rFonts w:ascii="Arial" w:eastAsia="宋体" w:hAnsi="Arial" w:cs="Arial"/>
                <w:color w:val="333333"/>
                <w:sz w:val="18"/>
                <w:szCs w:val="18"/>
              </w:rPr>
              <w:t xml:space="preserve">All of our non-platform products for CCG, DCG, and IOTG, </w:t>
            </w:r>
            <w:r>
              <w:rPr>
                <w:rFonts w:ascii="Arial" w:eastAsia="宋体" w:hAnsi="Arial" w:cs="Arial"/>
                <w:color w:val="333333"/>
                <w:sz w:val="18"/>
                <w:szCs w:val="18"/>
              </w:rPr>
              <w:t xml:space="preserve">such as modem, Ethernet and silicon photonics, as well as Mobileye, Non-Volatile Memory Solutions Group (NSG), and Programmable Solutions Group (PSG) products. Combined with our platform products, adjacent products form comprehensive platform solutions to </w:t>
            </w:r>
            <w:r>
              <w:rPr>
                <w:rFonts w:ascii="Arial" w:eastAsia="宋体" w:hAnsi="Arial" w:cs="Arial"/>
                <w:color w:val="333333"/>
                <w:sz w:val="18"/>
                <w:szCs w:val="18"/>
              </w:rPr>
              <w:t>meet customer needs</w:t>
            </w:r>
          </w:p>
        </w:tc>
      </w:tr>
      <w:tr w:rsidR="00B626E7" w14:paraId="20AE257E" w14:textId="77777777">
        <w:trPr>
          <w:hidden/>
        </w:trPr>
        <w:tc>
          <w:tcPr>
            <w:tcW w:w="0" w:type="auto"/>
            <w:gridSpan w:val="3"/>
            <w:shd w:val="clear" w:color="auto" w:fill="auto"/>
          </w:tcPr>
          <w:p w14:paraId="20AE257B" w14:textId="77777777" w:rsidR="00B626E7" w:rsidRDefault="00B626E7">
            <w:pPr>
              <w:rPr>
                <w:rFonts w:ascii="宋体"/>
                <w:vanish/>
              </w:rPr>
            </w:pPr>
          </w:p>
        </w:tc>
        <w:tc>
          <w:tcPr>
            <w:tcW w:w="0" w:type="auto"/>
            <w:gridSpan w:val="3"/>
            <w:shd w:val="clear" w:color="auto" w:fill="auto"/>
          </w:tcPr>
          <w:p w14:paraId="20AE257C" w14:textId="77777777" w:rsidR="00B626E7" w:rsidRDefault="00B626E7">
            <w:pPr>
              <w:rPr>
                <w:rFonts w:ascii="宋体"/>
                <w:vanish/>
              </w:rPr>
            </w:pPr>
          </w:p>
        </w:tc>
        <w:tc>
          <w:tcPr>
            <w:tcW w:w="0" w:type="auto"/>
            <w:gridSpan w:val="3"/>
            <w:shd w:val="clear" w:color="auto" w:fill="auto"/>
          </w:tcPr>
          <w:p w14:paraId="20AE257D" w14:textId="77777777" w:rsidR="00B626E7" w:rsidRDefault="00B626E7">
            <w:pPr>
              <w:rPr>
                <w:rFonts w:ascii="宋体"/>
                <w:vanish/>
              </w:rPr>
            </w:pPr>
          </w:p>
        </w:tc>
      </w:tr>
      <w:tr w:rsidR="00B626E7" w14:paraId="20AE2582" w14:textId="77777777">
        <w:trPr>
          <w:hidden/>
        </w:trPr>
        <w:tc>
          <w:tcPr>
            <w:tcW w:w="0" w:type="auto"/>
            <w:gridSpan w:val="3"/>
            <w:shd w:val="clear" w:color="auto" w:fill="auto"/>
          </w:tcPr>
          <w:p w14:paraId="20AE257F" w14:textId="77777777" w:rsidR="00B626E7" w:rsidRDefault="00B626E7">
            <w:pPr>
              <w:rPr>
                <w:rFonts w:ascii="宋体"/>
                <w:vanish/>
              </w:rPr>
            </w:pPr>
          </w:p>
        </w:tc>
        <w:tc>
          <w:tcPr>
            <w:tcW w:w="0" w:type="auto"/>
            <w:gridSpan w:val="3"/>
            <w:shd w:val="clear" w:color="auto" w:fill="auto"/>
          </w:tcPr>
          <w:p w14:paraId="20AE2580" w14:textId="77777777" w:rsidR="00B626E7" w:rsidRDefault="00B626E7">
            <w:pPr>
              <w:rPr>
                <w:rFonts w:ascii="宋体"/>
                <w:vanish/>
              </w:rPr>
            </w:pPr>
          </w:p>
        </w:tc>
        <w:tc>
          <w:tcPr>
            <w:tcW w:w="0" w:type="auto"/>
            <w:gridSpan w:val="3"/>
            <w:shd w:val="clear" w:color="auto" w:fill="auto"/>
          </w:tcPr>
          <w:p w14:paraId="20AE2581" w14:textId="77777777" w:rsidR="00B626E7" w:rsidRDefault="00B626E7">
            <w:pPr>
              <w:rPr>
                <w:rFonts w:ascii="宋体"/>
                <w:vanish/>
              </w:rPr>
            </w:pPr>
          </w:p>
        </w:tc>
      </w:tr>
      <w:tr w:rsidR="00B626E7" w14:paraId="20AE2586" w14:textId="77777777">
        <w:tc>
          <w:tcPr>
            <w:tcW w:w="0" w:type="auto"/>
            <w:gridSpan w:val="3"/>
            <w:shd w:val="clear" w:color="auto" w:fill="auto"/>
            <w:tcMar>
              <w:top w:w="40" w:type="dxa"/>
              <w:left w:w="20" w:type="dxa"/>
              <w:bottom w:w="40" w:type="dxa"/>
              <w:right w:w="20" w:type="dxa"/>
            </w:tcMar>
          </w:tcPr>
          <w:p w14:paraId="20AE2583" w14:textId="77777777" w:rsidR="00B626E7" w:rsidRDefault="00175C1D">
            <w:pPr>
              <w:textAlignment w:val="top"/>
            </w:pPr>
            <w:r>
              <w:rPr>
                <w:rFonts w:ascii="Arial" w:eastAsia="宋体" w:hAnsi="Arial" w:cs="Arial"/>
                <w:b/>
                <w:bCs/>
                <w:color w:val="0071C5"/>
                <w:sz w:val="18"/>
                <w:szCs w:val="18"/>
              </w:rPr>
              <w:t>ASIC</w:t>
            </w:r>
          </w:p>
        </w:tc>
        <w:tc>
          <w:tcPr>
            <w:tcW w:w="0" w:type="auto"/>
            <w:gridSpan w:val="3"/>
            <w:shd w:val="clear" w:color="auto" w:fill="auto"/>
            <w:tcMar>
              <w:left w:w="20" w:type="dxa"/>
              <w:right w:w="20" w:type="dxa"/>
            </w:tcMar>
            <w:vAlign w:val="bottom"/>
          </w:tcPr>
          <w:p w14:paraId="20AE2584"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2585" w14:textId="77777777" w:rsidR="00B626E7" w:rsidRDefault="00175C1D">
            <w:pPr>
              <w:textAlignment w:val="top"/>
            </w:pPr>
            <w:r>
              <w:rPr>
                <w:rFonts w:ascii="Arial" w:eastAsia="宋体" w:hAnsi="Arial" w:cs="Arial"/>
                <w:color w:val="333333"/>
                <w:sz w:val="18"/>
                <w:szCs w:val="18"/>
              </w:rPr>
              <w:t>Application-specific integrated circuit</w:t>
            </w:r>
          </w:p>
        </w:tc>
      </w:tr>
      <w:tr w:rsidR="00B626E7" w14:paraId="20AE258A" w14:textId="77777777">
        <w:tc>
          <w:tcPr>
            <w:tcW w:w="0" w:type="auto"/>
            <w:gridSpan w:val="3"/>
            <w:shd w:val="clear" w:color="auto" w:fill="auto"/>
            <w:tcMar>
              <w:top w:w="40" w:type="dxa"/>
              <w:left w:w="20" w:type="dxa"/>
              <w:bottom w:w="40" w:type="dxa"/>
              <w:right w:w="20" w:type="dxa"/>
            </w:tcMar>
          </w:tcPr>
          <w:p w14:paraId="20AE2587" w14:textId="77777777" w:rsidR="00B626E7" w:rsidRDefault="00175C1D">
            <w:pPr>
              <w:textAlignment w:val="top"/>
            </w:pPr>
            <w:r>
              <w:rPr>
                <w:rFonts w:ascii="Arial" w:eastAsia="宋体" w:hAnsi="Arial" w:cs="Arial"/>
                <w:b/>
                <w:bCs/>
                <w:color w:val="0071C5"/>
                <w:sz w:val="18"/>
                <w:szCs w:val="18"/>
              </w:rPr>
              <w:t>ASP</w:t>
            </w:r>
          </w:p>
        </w:tc>
        <w:tc>
          <w:tcPr>
            <w:tcW w:w="0" w:type="auto"/>
            <w:gridSpan w:val="3"/>
            <w:shd w:val="clear" w:color="auto" w:fill="auto"/>
            <w:tcMar>
              <w:left w:w="20" w:type="dxa"/>
              <w:right w:w="20" w:type="dxa"/>
            </w:tcMar>
            <w:vAlign w:val="bottom"/>
          </w:tcPr>
          <w:p w14:paraId="20AE2588"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bottom"/>
          </w:tcPr>
          <w:p w14:paraId="20AE2589" w14:textId="77777777" w:rsidR="00B626E7" w:rsidRDefault="00175C1D">
            <w:pPr>
              <w:textAlignment w:val="bottom"/>
            </w:pPr>
            <w:r>
              <w:rPr>
                <w:rFonts w:ascii="Arial" w:eastAsia="宋体" w:hAnsi="Arial" w:cs="Arial"/>
                <w:color w:val="333333"/>
                <w:sz w:val="18"/>
                <w:szCs w:val="18"/>
              </w:rPr>
              <w:t>Average Selling Price</w:t>
            </w:r>
          </w:p>
        </w:tc>
      </w:tr>
      <w:tr w:rsidR="00B626E7" w14:paraId="20AE258E" w14:textId="77777777">
        <w:trPr>
          <w:hidden/>
        </w:trPr>
        <w:tc>
          <w:tcPr>
            <w:tcW w:w="0" w:type="auto"/>
            <w:gridSpan w:val="3"/>
            <w:shd w:val="clear" w:color="auto" w:fill="auto"/>
          </w:tcPr>
          <w:p w14:paraId="20AE258B" w14:textId="77777777" w:rsidR="00B626E7" w:rsidRDefault="00B626E7">
            <w:pPr>
              <w:rPr>
                <w:rFonts w:ascii="宋体"/>
                <w:vanish/>
              </w:rPr>
            </w:pPr>
          </w:p>
        </w:tc>
        <w:tc>
          <w:tcPr>
            <w:tcW w:w="0" w:type="auto"/>
            <w:gridSpan w:val="3"/>
            <w:shd w:val="clear" w:color="auto" w:fill="auto"/>
          </w:tcPr>
          <w:p w14:paraId="20AE258C" w14:textId="77777777" w:rsidR="00B626E7" w:rsidRDefault="00B626E7">
            <w:pPr>
              <w:rPr>
                <w:rFonts w:ascii="宋体"/>
                <w:vanish/>
              </w:rPr>
            </w:pPr>
          </w:p>
        </w:tc>
        <w:tc>
          <w:tcPr>
            <w:tcW w:w="0" w:type="auto"/>
            <w:gridSpan w:val="3"/>
            <w:shd w:val="clear" w:color="auto" w:fill="auto"/>
          </w:tcPr>
          <w:p w14:paraId="20AE258D" w14:textId="77777777" w:rsidR="00B626E7" w:rsidRDefault="00B626E7">
            <w:pPr>
              <w:rPr>
                <w:rFonts w:ascii="宋体"/>
                <w:vanish/>
              </w:rPr>
            </w:pPr>
          </w:p>
        </w:tc>
      </w:tr>
      <w:tr w:rsidR="00B626E7" w14:paraId="20AE2592" w14:textId="77777777">
        <w:trPr>
          <w:hidden/>
        </w:trPr>
        <w:tc>
          <w:tcPr>
            <w:tcW w:w="0" w:type="auto"/>
            <w:gridSpan w:val="3"/>
            <w:shd w:val="clear" w:color="auto" w:fill="auto"/>
          </w:tcPr>
          <w:p w14:paraId="20AE258F" w14:textId="77777777" w:rsidR="00B626E7" w:rsidRDefault="00B626E7">
            <w:pPr>
              <w:rPr>
                <w:rFonts w:ascii="宋体"/>
                <w:vanish/>
              </w:rPr>
            </w:pPr>
          </w:p>
        </w:tc>
        <w:tc>
          <w:tcPr>
            <w:tcW w:w="0" w:type="auto"/>
            <w:gridSpan w:val="3"/>
            <w:shd w:val="clear" w:color="auto" w:fill="auto"/>
          </w:tcPr>
          <w:p w14:paraId="20AE2590" w14:textId="77777777" w:rsidR="00B626E7" w:rsidRDefault="00B626E7">
            <w:pPr>
              <w:rPr>
                <w:rFonts w:ascii="宋体"/>
                <w:vanish/>
              </w:rPr>
            </w:pPr>
          </w:p>
        </w:tc>
        <w:tc>
          <w:tcPr>
            <w:tcW w:w="0" w:type="auto"/>
            <w:gridSpan w:val="3"/>
            <w:shd w:val="clear" w:color="auto" w:fill="auto"/>
          </w:tcPr>
          <w:p w14:paraId="20AE2591" w14:textId="77777777" w:rsidR="00B626E7" w:rsidRDefault="00B626E7">
            <w:pPr>
              <w:rPr>
                <w:rFonts w:ascii="宋体"/>
                <w:vanish/>
              </w:rPr>
            </w:pPr>
          </w:p>
        </w:tc>
      </w:tr>
      <w:tr w:rsidR="00B626E7" w14:paraId="20AE2596" w14:textId="77777777">
        <w:trPr>
          <w:hidden/>
        </w:trPr>
        <w:tc>
          <w:tcPr>
            <w:tcW w:w="0" w:type="auto"/>
            <w:gridSpan w:val="3"/>
            <w:shd w:val="clear" w:color="auto" w:fill="auto"/>
          </w:tcPr>
          <w:p w14:paraId="20AE2593" w14:textId="77777777" w:rsidR="00B626E7" w:rsidRDefault="00B626E7">
            <w:pPr>
              <w:rPr>
                <w:rFonts w:ascii="宋体"/>
                <w:vanish/>
              </w:rPr>
            </w:pPr>
          </w:p>
        </w:tc>
        <w:tc>
          <w:tcPr>
            <w:tcW w:w="0" w:type="auto"/>
            <w:gridSpan w:val="3"/>
            <w:shd w:val="clear" w:color="auto" w:fill="auto"/>
          </w:tcPr>
          <w:p w14:paraId="20AE2594" w14:textId="77777777" w:rsidR="00B626E7" w:rsidRDefault="00B626E7">
            <w:pPr>
              <w:rPr>
                <w:rFonts w:ascii="宋体"/>
                <w:vanish/>
              </w:rPr>
            </w:pPr>
          </w:p>
        </w:tc>
        <w:tc>
          <w:tcPr>
            <w:tcW w:w="0" w:type="auto"/>
            <w:gridSpan w:val="3"/>
            <w:shd w:val="clear" w:color="auto" w:fill="auto"/>
          </w:tcPr>
          <w:p w14:paraId="20AE2595" w14:textId="77777777" w:rsidR="00B626E7" w:rsidRDefault="00B626E7">
            <w:pPr>
              <w:rPr>
                <w:rFonts w:ascii="宋体"/>
                <w:vanish/>
              </w:rPr>
            </w:pPr>
          </w:p>
        </w:tc>
      </w:tr>
      <w:tr w:rsidR="00B626E7" w14:paraId="20AE259A" w14:textId="77777777">
        <w:trPr>
          <w:hidden/>
        </w:trPr>
        <w:tc>
          <w:tcPr>
            <w:tcW w:w="0" w:type="auto"/>
            <w:gridSpan w:val="3"/>
            <w:shd w:val="clear" w:color="auto" w:fill="auto"/>
          </w:tcPr>
          <w:p w14:paraId="20AE2597" w14:textId="77777777" w:rsidR="00B626E7" w:rsidRDefault="00B626E7">
            <w:pPr>
              <w:rPr>
                <w:rFonts w:ascii="宋体"/>
                <w:vanish/>
              </w:rPr>
            </w:pPr>
          </w:p>
        </w:tc>
        <w:tc>
          <w:tcPr>
            <w:tcW w:w="0" w:type="auto"/>
            <w:gridSpan w:val="3"/>
            <w:shd w:val="clear" w:color="auto" w:fill="auto"/>
          </w:tcPr>
          <w:p w14:paraId="20AE2598" w14:textId="77777777" w:rsidR="00B626E7" w:rsidRDefault="00B626E7">
            <w:pPr>
              <w:rPr>
                <w:rFonts w:ascii="宋体"/>
                <w:vanish/>
              </w:rPr>
            </w:pPr>
          </w:p>
        </w:tc>
        <w:tc>
          <w:tcPr>
            <w:tcW w:w="0" w:type="auto"/>
            <w:gridSpan w:val="3"/>
            <w:shd w:val="clear" w:color="auto" w:fill="auto"/>
          </w:tcPr>
          <w:p w14:paraId="20AE2599" w14:textId="77777777" w:rsidR="00B626E7" w:rsidRDefault="00B626E7">
            <w:pPr>
              <w:rPr>
                <w:rFonts w:ascii="宋体"/>
                <w:vanish/>
              </w:rPr>
            </w:pPr>
          </w:p>
        </w:tc>
      </w:tr>
      <w:tr w:rsidR="00B626E7" w14:paraId="20AE259E" w14:textId="77777777">
        <w:trPr>
          <w:hidden/>
        </w:trPr>
        <w:tc>
          <w:tcPr>
            <w:tcW w:w="0" w:type="auto"/>
            <w:gridSpan w:val="3"/>
            <w:shd w:val="clear" w:color="auto" w:fill="auto"/>
          </w:tcPr>
          <w:p w14:paraId="20AE259B" w14:textId="77777777" w:rsidR="00B626E7" w:rsidRDefault="00B626E7">
            <w:pPr>
              <w:rPr>
                <w:rFonts w:ascii="宋体"/>
                <w:vanish/>
              </w:rPr>
            </w:pPr>
          </w:p>
        </w:tc>
        <w:tc>
          <w:tcPr>
            <w:tcW w:w="0" w:type="auto"/>
            <w:gridSpan w:val="3"/>
            <w:shd w:val="clear" w:color="auto" w:fill="auto"/>
          </w:tcPr>
          <w:p w14:paraId="20AE259C" w14:textId="77777777" w:rsidR="00B626E7" w:rsidRDefault="00B626E7">
            <w:pPr>
              <w:rPr>
                <w:rFonts w:ascii="宋体"/>
                <w:vanish/>
              </w:rPr>
            </w:pPr>
          </w:p>
        </w:tc>
        <w:tc>
          <w:tcPr>
            <w:tcW w:w="0" w:type="auto"/>
            <w:gridSpan w:val="3"/>
            <w:shd w:val="clear" w:color="auto" w:fill="auto"/>
          </w:tcPr>
          <w:p w14:paraId="20AE259D" w14:textId="77777777" w:rsidR="00B626E7" w:rsidRDefault="00B626E7">
            <w:pPr>
              <w:rPr>
                <w:rFonts w:ascii="宋体"/>
                <w:vanish/>
              </w:rPr>
            </w:pPr>
          </w:p>
        </w:tc>
      </w:tr>
      <w:tr w:rsidR="00B626E7" w14:paraId="20AE25A2" w14:textId="77777777">
        <w:trPr>
          <w:hidden/>
        </w:trPr>
        <w:tc>
          <w:tcPr>
            <w:tcW w:w="0" w:type="auto"/>
            <w:gridSpan w:val="3"/>
            <w:shd w:val="clear" w:color="auto" w:fill="auto"/>
          </w:tcPr>
          <w:p w14:paraId="20AE259F" w14:textId="77777777" w:rsidR="00B626E7" w:rsidRDefault="00B626E7">
            <w:pPr>
              <w:rPr>
                <w:rFonts w:ascii="宋体"/>
                <w:vanish/>
              </w:rPr>
            </w:pPr>
          </w:p>
        </w:tc>
        <w:tc>
          <w:tcPr>
            <w:tcW w:w="0" w:type="auto"/>
            <w:gridSpan w:val="3"/>
            <w:shd w:val="clear" w:color="auto" w:fill="auto"/>
          </w:tcPr>
          <w:p w14:paraId="20AE25A0" w14:textId="77777777" w:rsidR="00B626E7" w:rsidRDefault="00B626E7">
            <w:pPr>
              <w:rPr>
                <w:rFonts w:ascii="宋体"/>
                <w:vanish/>
              </w:rPr>
            </w:pPr>
          </w:p>
        </w:tc>
        <w:tc>
          <w:tcPr>
            <w:tcW w:w="0" w:type="auto"/>
            <w:gridSpan w:val="3"/>
            <w:shd w:val="clear" w:color="auto" w:fill="auto"/>
          </w:tcPr>
          <w:p w14:paraId="20AE25A1" w14:textId="77777777" w:rsidR="00B626E7" w:rsidRDefault="00B626E7">
            <w:pPr>
              <w:rPr>
                <w:rFonts w:ascii="宋体"/>
                <w:vanish/>
              </w:rPr>
            </w:pPr>
          </w:p>
        </w:tc>
      </w:tr>
      <w:tr w:rsidR="00B626E7" w14:paraId="20AE25A6" w14:textId="77777777">
        <w:trPr>
          <w:hidden/>
        </w:trPr>
        <w:tc>
          <w:tcPr>
            <w:tcW w:w="0" w:type="auto"/>
            <w:gridSpan w:val="3"/>
            <w:shd w:val="clear" w:color="auto" w:fill="auto"/>
          </w:tcPr>
          <w:p w14:paraId="20AE25A3" w14:textId="77777777" w:rsidR="00B626E7" w:rsidRDefault="00B626E7">
            <w:pPr>
              <w:rPr>
                <w:rFonts w:ascii="宋体"/>
                <w:vanish/>
              </w:rPr>
            </w:pPr>
          </w:p>
        </w:tc>
        <w:tc>
          <w:tcPr>
            <w:tcW w:w="0" w:type="auto"/>
            <w:gridSpan w:val="3"/>
            <w:shd w:val="clear" w:color="auto" w:fill="auto"/>
          </w:tcPr>
          <w:p w14:paraId="20AE25A4" w14:textId="77777777" w:rsidR="00B626E7" w:rsidRDefault="00B626E7">
            <w:pPr>
              <w:rPr>
                <w:rFonts w:ascii="宋体"/>
                <w:vanish/>
              </w:rPr>
            </w:pPr>
          </w:p>
        </w:tc>
        <w:tc>
          <w:tcPr>
            <w:tcW w:w="0" w:type="auto"/>
            <w:gridSpan w:val="3"/>
            <w:shd w:val="clear" w:color="auto" w:fill="auto"/>
          </w:tcPr>
          <w:p w14:paraId="20AE25A5" w14:textId="77777777" w:rsidR="00B626E7" w:rsidRDefault="00B626E7">
            <w:pPr>
              <w:rPr>
                <w:rFonts w:ascii="宋体"/>
                <w:vanish/>
              </w:rPr>
            </w:pPr>
          </w:p>
        </w:tc>
      </w:tr>
      <w:tr w:rsidR="00B626E7" w14:paraId="20AE25AA" w14:textId="77777777">
        <w:tc>
          <w:tcPr>
            <w:tcW w:w="0" w:type="auto"/>
            <w:gridSpan w:val="3"/>
            <w:shd w:val="clear" w:color="auto" w:fill="auto"/>
            <w:tcMar>
              <w:top w:w="40" w:type="dxa"/>
              <w:left w:w="20" w:type="dxa"/>
              <w:bottom w:w="40" w:type="dxa"/>
              <w:right w:w="20" w:type="dxa"/>
            </w:tcMar>
          </w:tcPr>
          <w:p w14:paraId="20AE25A7" w14:textId="77777777" w:rsidR="00B626E7" w:rsidRDefault="00175C1D">
            <w:pPr>
              <w:textAlignment w:val="top"/>
            </w:pPr>
            <w:r>
              <w:rPr>
                <w:rFonts w:ascii="Arial" w:eastAsia="宋体" w:hAnsi="Arial" w:cs="Arial"/>
                <w:b/>
                <w:bCs/>
                <w:color w:val="0071C5"/>
                <w:sz w:val="18"/>
                <w:szCs w:val="18"/>
              </w:rPr>
              <w:t>CODM</w:t>
            </w:r>
          </w:p>
        </w:tc>
        <w:tc>
          <w:tcPr>
            <w:tcW w:w="0" w:type="auto"/>
            <w:gridSpan w:val="3"/>
            <w:shd w:val="clear" w:color="auto" w:fill="auto"/>
            <w:tcMar>
              <w:left w:w="20" w:type="dxa"/>
              <w:right w:w="20" w:type="dxa"/>
            </w:tcMar>
            <w:vAlign w:val="bottom"/>
          </w:tcPr>
          <w:p w14:paraId="20AE25A8"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25A9" w14:textId="77777777" w:rsidR="00B626E7" w:rsidRDefault="00175C1D">
            <w:pPr>
              <w:textAlignment w:val="top"/>
            </w:pPr>
            <w:r>
              <w:rPr>
                <w:rFonts w:ascii="Arial" w:eastAsia="宋体" w:hAnsi="Arial" w:cs="Arial"/>
                <w:color w:val="333333"/>
                <w:sz w:val="18"/>
                <w:szCs w:val="18"/>
              </w:rPr>
              <w:t>Chief operating decision maker</w:t>
            </w:r>
          </w:p>
        </w:tc>
      </w:tr>
      <w:tr w:rsidR="00B626E7" w14:paraId="20AE25AE" w14:textId="77777777">
        <w:trPr>
          <w:hidden/>
        </w:trPr>
        <w:tc>
          <w:tcPr>
            <w:tcW w:w="0" w:type="auto"/>
            <w:gridSpan w:val="3"/>
            <w:shd w:val="clear" w:color="auto" w:fill="auto"/>
          </w:tcPr>
          <w:p w14:paraId="20AE25AB" w14:textId="77777777" w:rsidR="00B626E7" w:rsidRDefault="00B626E7">
            <w:pPr>
              <w:rPr>
                <w:rFonts w:ascii="宋体"/>
                <w:vanish/>
              </w:rPr>
            </w:pPr>
          </w:p>
        </w:tc>
        <w:tc>
          <w:tcPr>
            <w:tcW w:w="0" w:type="auto"/>
            <w:gridSpan w:val="3"/>
            <w:shd w:val="clear" w:color="auto" w:fill="auto"/>
          </w:tcPr>
          <w:p w14:paraId="20AE25AC" w14:textId="77777777" w:rsidR="00B626E7" w:rsidRDefault="00B626E7">
            <w:pPr>
              <w:rPr>
                <w:rFonts w:ascii="宋体"/>
                <w:vanish/>
              </w:rPr>
            </w:pPr>
          </w:p>
        </w:tc>
        <w:tc>
          <w:tcPr>
            <w:tcW w:w="0" w:type="auto"/>
            <w:gridSpan w:val="3"/>
            <w:shd w:val="clear" w:color="auto" w:fill="auto"/>
          </w:tcPr>
          <w:p w14:paraId="20AE25AD" w14:textId="77777777" w:rsidR="00B626E7" w:rsidRDefault="00B626E7">
            <w:pPr>
              <w:rPr>
                <w:rFonts w:ascii="宋体"/>
                <w:vanish/>
              </w:rPr>
            </w:pPr>
          </w:p>
        </w:tc>
      </w:tr>
      <w:tr w:rsidR="00B626E7" w14:paraId="20AE25B2" w14:textId="77777777">
        <w:tc>
          <w:tcPr>
            <w:tcW w:w="0" w:type="auto"/>
            <w:gridSpan w:val="3"/>
            <w:shd w:val="clear" w:color="auto" w:fill="auto"/>
            <w:tcMar>
              <w:top w:w="40" w:type="dxa"/>
              <w:left w:w="20" w:type="dxa"/>
              <w:bottom w:w="40" w:type="dxa"/>
              <w:right w:w="20" w:type="dxa"/>
            </w:tcMar>
          </w:tcPr>
          <w:p w14:paraId="20AE25AF" w14:textId="77777777" w:rsidR="00B626E7" w:rsidRDefault="00175C1D">
            <w:pPr>
              <w:textAlignment w:val="top"/>
            </w:pPr>
            <w:r>
              <w:rPr>
                <w:rFonts w:ascii="Arial" w:eastAsia="宋体" w:hAnsi="Arial" w:cs="Arial"/>
                <w:b/>
                <w:bCs/>
                <w:color w:val="0071C5"/>
                <w:sz w:val="18"/>
                <w:szCs w:val="18"/>
              </w:rPr>
              <w:t>COVID-19</w:t>
            </w:r>
          </w:p>
        </w:tc>
        <w:tc>
          <w:tcPr>
            <w:tcW w:w="0" w:type="auto"/>
            <w:gridSpan w:val="3"/>
            <w:shd w:val="clear" w:color="auto" w:fill="auto"/>
            <w:tcMar>
              <w:left w:w="20" w:type="dxa"/>
              <w:right w:w="20" w:type="dxa"/>
            </w:tcMar>
            <w:vAlign w:val="bottom"/>
          </w:tcPr>
          <w:p w14:paraId="20AE25B0"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25B1" w14:textId="77777777" w:rsidR="00B626E7" w:rsidRDefault="00175C1D">
            <w:pPr>
              <w:textAlignment w:val="top"/>
            </w:pPr>
            <w:r>
              <w:rPr>
                <w:rFonts w:ascii="Arial" w:eastAsia="宋体" w:hAnsi="Arial" w:cs="Arial"/>
                <w:color w:val="333333"/>
                <w:sz w:val="18"/>
                <w:szCs w:val="18"/>
              </w:rPr>
              <w:t xml:space="preserve">The infectious disease caused by the most recently discovered </w:t>
            </w:r>
            <w:r>
              <w:rPr>
                <w:rFonts w:ascii="Arial" w:eastAsia="宋体" w:hAnsi="Arial" w:cs="Arial"/>
                <w:color w:val="333333"/>
                <w:sz w:val="18"/>
                <w:szCs w:val="18"/>
              </w:rPr>
              <w:t>coronavirus (aka SARS-CoV-2), which was declared a global pandemic by the World Health Organization</w:t>
            </w:r>
          </w:p>
        </w:tc>
      </w:tr>
      <w:tr w:rsidR="00B626E7" w14:paraId="20AE25B6" w14:textId="77777777">
        <w:tc>
          <w:tcPr>
            <w:tcW w:w="0" w:type="auto"/>
            <w:gridSpan w:val="3"/>
            <w:shd w:val="clear" w:color="auto" w:fill="auto"/>
            <w:tcMar>
              <w:top w:w="40" w:type="dxa"/>
              <w:left w:w="20" w:type="dxa"/>
              <w:bottom w:w="40" w:type="dxa"/>
              <w:right w:w="20" w:type="dxa"/>
            </w:tcMar>
          </w:tcPr>
          <w:p w14:paraId="20AE25B3" w14:textId="77777777" w:rsidR="00B626E7" w:rsidRDefault="00175C1D">
            <w:pPr>
              <w:textAlignment w:val="top"/>
            </w:pPr>
            <w:r>
              <w:rPr>
                <w:rFonts w:ascii="Arial" w:eastAsia="宋体" w:hAnsi="Arial" w:cs="Arial"/>
                <w:b/>
                <w:bCs/>
                <w:color w:val="0071C5"/>
                <w:sz w:val="18"/>
                <w:szCs w:val="18"/>
              </w:rPr>
              <w:t>CPU</w:t>
            </w:r>
          </w:p>
        </w:tc>
        <w:tc>
          <w:tcPr>
            <w:tcW w:w="0" w:type="auto"/>
            <w:gridSpan w:val="3"/>
            <w:shd w:val="clear" w:color="auto" w:fill="auto"/>
            <w:tcMar>
              <w:left w:w="20" w:type="dxa"/>
              <w:right w:w="20" w:type="dxa"/>
            </w:tcMar>
            <w:vAlign w:val="bottom"/>
          </w:tcPr>
          <w:p w14:paraId="20AE25B4"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25B5" w14:textId="77777777" w:rsidR="00B626E7" w:rsidRDefault="00175C1D">
            <w:pPr>
              <w:textAlignment w:val="top"/>
            </w:pPr>
            <w:r>
              <w:rPr>
                <w:rFonts w:ascii="Arial" w:eastAsia="宋体" w:hAnsi="Arial" w:cs="Arial"/>
                <w:color w:val="333333"/>
                <w:sz w:val="18"/>
                <w:szCs w:val="18"/>
              </w:rPr>
              <w:t>Processor or central processing unit</w:t>
            </w:r>
          </w:p>
        </w:tc>
      </w:tr>
      <w:tr w:rsidR="00B626E7" w14:paraId="20AE25BA" w14:textId="77777777">
        <w:trPr>
          <w:hidden/>
        </w:trPr>
        <w:tc>
          <w:tcPr>
            <w:tcW w:w="0" w:type="auto"/>
            <w:gridSpan w:val="3"/>
            <w:shd w:val="clear" w:color="auto" w:fill="auto"/>
          </w:tcPr>
          <w:p w14:paraId="20AE25B7" w14:textId="77777777" w:rsidR="00B626E7" w:rsidRDefault="00B626E7">
            <w:pPr>
              <w:rPr>
                <w:rFonts w:ascii="宋体"/>
                <w:vanish/>
              </w:rPr>
            </w:pPr>
          </w:p>
        </w:tc>
        <w:tc>
          <w:tcPr>
            <w:tcW w:w="0" w:type="auto"/>
            <w:gridSpan w:val="3"/>
            <w:shd w:val="clear" w:color="auto" w:fill="auto"/>
          </w:tcPr>
          <w:p w14:paraId="20AE25B8" w14:textId="77777777" w:rsidR="00B626E7" w:rsidRDefault="00B626E7">
            <w:pPr>
              <w:rPr>
                <w:rFonts w:ascii="宋体"/>
                <w:vanish/>
              </w:rPr>
            </w:pPr>
          </w:p>
        </w:tc>
        <w:tc>
          <w:tcPr>
            <w:tcW w:w="0" w:type="auto"/>
            <w:gridSpan w:val="3"/>
            <w:shd w:val="clear" w:color="auto" w:fill="auto"/>
          </w:tcPr>
          <w:p w14:paraId="20AE25B9" w14:textId="77777777" w:rsidR="00B626E7" w:rsidRDefault="00B626E7">
            <w:pPr>
              <w:rPr>
                <w:rFonts w:ascii="宋体"/>
                <w:vanish/>
              </w:rPr>
            </w:pPr>
          </w:p>
        </w:tc>
      </w:tr>
      <w:tr w:rsidR="00B626E7" w14:paraId="20AE25BE" w14:textId="77777777">
        <w:tc>
          <w:tcPr>
            <w:tcW w:w="0" w:type="auto"/>
            <w:gridSpan w:val="3"/>
            <w:shd w:val="clear" w:color="auto" w:fill="auto"/>
            <w:tcMar>
              <w:top w:w="40" w:type="dxa"/>
              <w:left w:w="20" w:type="dxa"/>
              <w:bottom w:w="40" w:type="dxa"/>
              <w:right w:w="20" w:type="dxa"/>
            </w:tcMar>
          </w:tcPr>
          <w:p w14:paraId="20AE25BB" w14:textId="77777777" w:rsidR="00B626E7" w:rsidRDefault="00175C1D">
            <w:pPr>
              <w:textAlignment w:val="top"/>
            </w:pPr>
            <w:r>
              <w:rPr>
                <w:rFonts w:ascii="Arial" w:eastAsia="宋体" w:hAnsi="Arial" w:cs="Arial"/>
                <w:b/>
                <w:bCs/>
                <w:color w:val="0071C5"/>
                <w:sz w:val="18"/>
                <w:szCs w:val="18"/>
              </w:rPr>
              <w:t>Data-centric businesses</w:t>
            </w:r>
          </w:p>
        </w:tc>
        <w:tc>
          <w:tcPr>
            <w:tcW w:w="0" w:type="auto"/>
            <w:gridSpan w:val="3"/>
            <w:shd w:val="clear" w:color="auto" w:fill="auto"/>
            <w:tcMar>
              <w:left w:w="20" w:type="dxa"/>
              <w:right w:w="20" w:type="dxa"/>
            </w:tcMar>
            <w:vAlign w:val="bottom"/>
          </w:tcPr>
          <w:p w14:paraId="20AE25BC"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25BD" w14:textId="77777777" w:rsidR="00B626E7" w:rsidRDefault="00175C1D">
            <w:pPr>
              <w:textAlignment w:val="top"/>
            </w:pPr>
            <w:r>
              <w:rPr>
                <w:rFonts w:ascii="Arial" w:eastAsia="宋体" w:hAnsi="Arial" w:cs="Arial"/>
                <w:color w:val="333333"/>
                <w:sz w:val="18"/>
                <w:szCs w:val="18"/>
              </w:rPr>
              <w:t xml:space="preserve">Includes our Data Center Group (DCG), Internet of Things Group (IOTG), </w:t>
            </w:r>
            <w:r>
              <w:rPr>
                <w:rFonts w:ascii="Arial" w:eastAsia="宋体" w:hAnsi="Arial" w:cs="Arial"/>
                <w:color w:val="333333"/>
                <w:sz w:val="18"/>
                <w:szCs w:val="18"/>
              </w:rPr>
              <w:t>Mobileye, Non-Volatile Memory Solutions Group (NSG), Programmable Solutions Group (PSG), and all other businesses</w:t>
            </w:r>
          </w:p>
        </w:tc>
      </w:tr>
      <w:tr w:rsidR="00B626E7" w14:paraId="20AE25C2" w14:textId="77777777">
        <w:trPr>
          <w:hidden/>
        </w:trPr>
        <w:tc>
          <w:tcPr>
            <w:tcW w:w="0" w:type="auto"/>
            <w:gridSpan w:val="3"/>
            <w:shd w:val="clear" w:color="auto" w:fill="auto"/>
          </w:tcPr>
          <w:p w14:paraId="20AE25BF" w14:textId="77777777" w:rsidR="00B626E7" w:rsidRDefault="00B626E7">
            <w:pPr>
              <w:rPr>
                <w:rFonts w:ascii="宋体"/>
                <w:vanish/>
              </w:rPr>
            </w:pPr>
          </w:p>
        </w:tc>
        <w:tc>
          <w:tcPr>
            <w:tcW w:w="0" w:type="auto"/>
            <w:gridSpan w:val="3"/>
            <w:shd w:val="clear" w:color="auto" w:fill="auto"/>
          </w:tcPr>
          <w:p w14:paraId="20AE25C0" w14:textId="77777777" w:rsidR="00B626E7" w:rsidRDefault="00B626E7">
            <w:pPr>
              <w:rPr>
                <w:rFonts w:ascii="宋体"/>
                <w:vanish/>
              </w:rPr>
            </w:pPr>
          </w:p>
        </w:tc>
        <w:tc>
          <w:tcPr>
            <w:tcW w:w="0" w:type="auto"/>
            <w:gridSpan w:val="3"/>
            <w:shd w:val="clear" w:color="auto" w:fill="auto"/>
          </w:tcPr>
          <w:p w14:paraId="20AE25C1" w14:textId="77777777" w:rsidR="00B626E7" w:rsidRDefault="00B626E7">
            <w:pPr>
              <w:rPr>
                <w:rFonts w:ascii="宋体"/>
                <w:vanish/>
              </w:rPr>
            </w:pPr>
          </w:p>
        </w:tc>
      </w:tr>
      <w:tr w:rsidR="00B626E7" w14:paraId="20AE25C6" w14:textId="77777777">
        <w:trPr>
          <w:hidden/>
        </w:trPr>
        <w:tc>
          <w:tcPr>
            <w:tcW w:w="0" w:type="auto"/>
            <w:gridSpan w:val="3"/>
            <w:shd w:val="clear" w:color="auto" w:fill="auto"/>
          </w:tcPr>
          <w:p w14:paraId="20AE25C3" w14:textId="77777777" w:rsidR="00B626E7" w:rsidRDefault="00B626E7">
            <w:pPr>
              <w:rPr>
                <w:rFonts w:ascii="宋体"/>
                <w:vanish/>
              </w:rPr>
            </w:pPr>
          </w:p>
        </w:tc>
        <w:tc>
          <w:tcPr>
            <w:tcW w:w="0" w:type="auto"/>
            <w:gridSpan w:val="3"/>
            <w:shd w:val="clear" w:color="auto" w:fill="auto"/>
          </w:tcPr>
          <w:p w14:paraId="20AE25C4" w14:textId="77777777" w:rsidR="00B626E7" w:rsidRDefault="00B626E7">
            <w:pPr>
              <w:rPr>
                <w:rFonts w:ascii="宋体"/>
                <w:vanish/>
              </w:rPr>
            </w:pPr>
          </w:p>
        </w:tc>
        <w:tc>
          <w:tcPr>
            <w:tcW w:w="0" w:type="auto"/>
            <w:gridSpan w:val="3"/>
            <w:shd w:val="clear" w:color="auto" w:fill="auto"/>
          </w:tcPr>
          <w:p w14:paraId="20AE25C5" w14:textId="77777777" w:rsidR="00B626E7" w:rsidRDefault="00B626E7">
            <w:pPr>
              <w:rPr>
                <w:rFonts w:ascii="宋体"/>
                <w:vanish/>
              </w:rPr>
            </w:pPr>
          </w:p>
        </w:tc>
      </w:tr>
      <w:tr w:rsidR="00B626E7" w14:paraId="20AE25CA" w14:textId="77777777">
        <w:tc>
          <w:tcPr>
            <w:tcW w:w="0" w:type="auto"/>
            <w:gridSpan w:val="3"/>
            <w:shd w:val="clear" w:color="auto" w:fill="auto"/>
            <w:tcMar>
              <w:top w:w="40" w:type="dxa"/>
              <w:left w:w="20" w:type="dxa"/>
              <w:bottom w:w="40" w:type="dxa"/>
              <w:right w:w="20" w:type="dxa"/>
            </w:tcMar>
          </w:tcPr>
          <w:p w14:paraId="20AE25C7" w14:textId="77777777" w:rsidR="00B626E7" w:rsidRDefault="00175C1D">
            <w:pPr>
              <w:textAlignment w:val="top"/>
            </w:pPr>
            <w:r>
              <w:rPr>
                <w:rFonts w:ascii="Arial" w:eastAsia="宋体" w:hAnsi="Arial" w:cs="Arial"/>
                <w:b/>
                <w:bCs/>
                <w:color w:val="0071C5"/>
                <w:sz w:val="18"/>
                <w:szCs w:val="18"/>
              </w:rPr>
              <w:t>EC</w:t>
            </w:r>
          </w:p>
        </w:tc>
        <w:tc>
          <w:tcPr>
            <w:tcW w:w="0" w:type="auto"/>
            <w:gridSpan w:val="3"/>
            <w:shd w:val="clear" w:color="auto" w:fill="auto"/>
            <w:tcMar>
              <w:left w:w="20" w:type="dxa"/>
              <w:right w:w="20" w:type="dxa"/>
            </w:tcMar>
            <w:vAlign w:val="bottom"/>
          </w:tcPr>
          <w:p w14:paraId="20AE25C8"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25C9" w14:textId="77777777" w:rsidR="00B626E7" w:rsidRDefault="00175C1D">
            <w:pPr>
              <w:textAlignment w:val="top"/>
            </w:pPr>
            <w:r>
              <w:rPr>
                <w:rFonts w:ascii="Arial" w:eastAsia="宋体" w:hAnsi="Arial" w:cs="Arial"/>
                <w:color w:val="333333"/>
                <w:sz w:val="18"/>
                <w:szCs w:val="18"/>
              </w:rPr>
              <w:t>European Commission</w:t>
            </w:r>
          </w:p>
        </w:tc>
      </w:tr>
      <w:tr w:rsidR="00B626E7" w14:paraId="20AE25CE" w14:textId="77777777">
        <w:tc>
          <w:tcPr>
            <w:tcW w:w="0" w:type="auto"/>
            <w:gridSpan w:val="3"/>
            <w:shd w:val="clear" w:color="auto" w:fill="auto"/>
            <w:tcMar>
              <w:top w:w="40" w:type="dxa"/>
              <w:left w:w="20" w:type="dxa"/>
              <w:bottom w:w="40" w:type="dxa"/>
              <w:right w:w="20" w:type="dxa"/>
            </w:tcMar>
          </w:tcPr>
          <w:p w14:paraId="20AE25CB" w14:textId="77777777" w:rsidR="00B626E7" w:rsidRDefault="00175C1D">
            <w:pPr>
              <w:textAlignment w:val="top"/>
            </w:pPr>
            <w:r>
              <w:rPr>
                <w:rFonts w:ascii="Arial" w:eastAsia="宋体" w:hAnsi="Arial" w:cs="Arial"/>
                <w:b/>
                <w:bCs/>
                <w:color w:val="0071C5"/>
                <w:sz w:val="18"/>
                <w:szCs w:val="18"/>
              </w:rPr>
              <w:t>Edge</w:t>
            </w:r>
          </w:p>
        </w:tc>
        <w:tc>
          <w:tcPr>
            <w:tcW w:w="0" w:type="auto"/>
            <w:gridSpan w:val="3"/>
            <w:shd w:val="clear" w:color="auto" w:fill="auto"/>
            <w:tcMar>
              <w:left w:w="20" w:type="dxa"/>
              <w:right w:w="20" w:type="dxa"/>
            </w:tcMar>
            <w:vAlign w:val="bottom"/>
          </w:tcPr>
          <w:p w14:paraId="20AE25CC"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bottom"/>
          </w:tcPr>
          <w:p w14:paraId="20AE25CD" w14:textId="77777777" w:rsidR="00B626E7" w:rsidRDefault="00175C1D">
            <w:pPr>
              <w:textAlignment w:val="bottom"/>
            </w:pPr>
            <w:r>
              <w:rPr>
                <w:rFonts w:ascii="Arial" w:eastAsia="宋体" w:hAnsi="Arial" w:cs="Arial"/>
                <w:color w:val="333333"/>
                <w:sz w:val="18"/>
                <w:szCs w:val="18"/>
              </w:rPr>
              <w:t xml:space="preserve">Allocated resources that move, store, and process data closer to the source or point of service </w:t>
            </w:r>
            <w:r>
              <w:rPr>
                <w:rFonts w:ascii="Arial" w:eastAsia="宋体" w:hAnsi="Arial" w:cs="Arial"/>
                <w:color w:val="333333"/>
                <w:sz w:val="18"/>
                <w:szCs w:val="18"/>
              </w:rPr>
              <w:t>delivery</w:t>
            </w:r>
          </w:p>
        </w:tc>
      </w:tr>
      <w:tr w:rsidR="00B626E7" w14:paraId="20AE25D2" w14:textId="77777777">
        <w:trPr>
          <w:hidden/>
        </w:trPr>
        <w:tc>
          <w:tcPr>
            <w:tcW w:w="0" w:type="auto"/>
            <w:gridSpan w:val="3"/>
            <w:shd w:val="clear" w:color="auto" w:fill="auto"/>
          </w:tcPr>
          <w:p w14:paraId="20AE25CF" w14:textId="77777777" w:rsidR="00B626E7" w:rsidRDefault="00B626E7">
            <w:pPr>
              <w:rPr>
                <w:rFonts w:ascii="宋体"/>
                <w:vanish/>
              </w:rPr>
            </w:pPr>
          </w:p>
        </w:tc>
        <w:tc>
          <w:tcPr>
            <w:tcW w:w="0" w:type="auto"/>
            <w:gridSpan w:val="3"/>
            <w:shd w:val="clear" w:color="auto" w:fill="auto"/>
          </w:tcPr>
          <w:p w14:paraId="20AE25D0" w14:textId="77777777" w:rsidR="00B626E7" w:rsidRDefault="00B626E7">
            <w:pPr>
              <w:rPr>
                <w:rFonts w:ascii="宋体"/>
                <w:vanish/>
              </w:rPr>
            </w:pPr>
          </w:p>
        </w:tc>
        <w:tc>
          <w:tcPr>
            <w:tcW w:w="0" w:type="auto"/>
            <w:gridSpan w:val="3"/>
            <w:shd w:val="clear" w:color="auto" w:fill="auto"/>
          </w:tcPr>
          <w:p w14:paraId="20AE25D1" w14:textId="77777777" w:rsidR="00B626E7" w:rsidRDefault="00B626E7">
            <w:pPr>
              <w:rPr>
                <w:rFonts w:ascii="宋体"/>
                <w:vanish/>
              </w:rPr>
            </w:pPr>
          </w:p>
        </w:tc>
      </w:tr>
      <w:tr w:rsidR="00B626E7" w14:paraId="20AE25D6" w14:textId="77777777">
        <w:trPr>
          <w:hidden/>
        </w:trPr>
        <w:tc>
          <w:tcPr>
            <w:tcW w:w="0" w:type="auto"/>
            <w:gridSpan w:val="3"/>
            <w:shd w:val="clear" w:color="auto" w:fill="auto"/>
          </w:tcPr>
          <w:p w14:paraId="20AE25D3" w14:textId="77777777" w:rsidR="00B626E7" w:rsidRDefault="00B626E7">
            <w:pPr>
              <w:rPr>
                <w:rFonts w:ascii="宋体"/>
                <w:vanish/>
              </w:rPr>
            </w:pPr>
          </w:p>
        </w:tc>
        <w:tc>
          <w:tcPr>
            <w:tcW w:w="0" w:type="auto"/>
            <w:gridSpan w:val="3"/>
            <w:shd w:val="clear" w:color="auto" w:fill="auto"/>
          </w:tcPr>
          <w:p w14:paraId="20AE25D4" w14:textId="77777777" w:rsidR="00B626E7" w:rsidRDefault="00B626E7">
            <w:pPr>
              <w:rPr>
                <w:rFonts w:ascii="宋体"/>
                <w:vanish/>
              </w:rPr>
            </w:pPr>
          </w:p>
        </w:tc>
        <w:tc>
          <w:tcPr>
            <w:tcW w:w="0" w:type="auto"/>
            <w:gridSpan w:val="3"/>
            <w:shd w:val="clear" w:color="auto" w:fill="auto"/>
          </w:tcPr>
          <w:p w14:paraId="20AE25D5" w14:textId="77777777" w:rsidR="00B626E7" w:rsidRDefault="00B626E7">
            <w:pPr>
              <w:rPr>
                <w:rFonts w:ascii="宋体"/>
                <w:vanish/>
              </w:rPr>
            </w:pPr>
          </w:p>
        </w:tc>
      </w:tr>
      <w:tr w:rsidR="00B626E7" w14:paraId="20AE25DA" w14:textId="77777777">
        <w:trPr>
          <w:hidden/>
        </w:trPr>
        <w:tc>
          <w:tcPr>
            <w:tcW w:w="0" w:type="auto"/>
            <w:gridSpan w:val="3"/>
            <w:shd w:val="clear" w:color="auto" w:fill="auto"/>
          </w:tcPr>
          <w:p w14:paraId="20AE25D7" w14:textId="77777777" w:rsidR="00B626E7" w:rsidRDefault="00B626E7">
            <w:pPr>
              <w:rPr>
                <w:rFonts w:ascii="宋体"/>
                <w:vanish/>
              </w:rPr>
            </w:pPr>
          </w:p>
        </w:tc>
        <w:tc>
          <w:tcPr>
            <w:tcW w:w="0" w:type="auto"/>
            <w:gridSpan w:val="3"/>
            <w:shd w:val="clear" w:color="auto" w:fill="auto"/>
          </w:tcPr>
          <w:p w14:paraId="20AE25D8" w14:textId="77777777" w:rsidR="00B626E7" w:rsidRDefault="00B626E7">
            <w:pPr>
              <w:rPr>
                <w:rFonts w:ascii="宋体"/>
                <w:vanish/>
              </w:rPr>
            </w:pPr>
          </w:p>
        </w:tc>
        <w:tc>
          <w:tcPr>
            <w:tcW w:w="0" w:type="auto"/>
            <w:gridSpan w:val="3"/>
            <w:shd w:val="clear" w:color="auto" w:fill="auto"/>
          </w:tcPr>
          <w:p w14:paraId="20AE25D9" w14:textId="77777777" w:rsidR="00B626E7" w:rsidRDefault="00B626E7">
            <w:pPr>
              <w:rPr>
                <w:rFonts w:ascii="宋体"/>
                <w:vanish/>
              </w:rPr>
            </w:pPr>
          </w:p>
        </w:tc>
      </w:tr>
      <w:tr w:rsidR="00B626E7" w14:paraId="20AE25DE" w14:textId="77777777">
        <w:trPr>
          <w:hidden/>
        </w:trPr>
        <w:tc>
          <w:tcPr>
            <w:tcW w:w="0" w:type="auto"/>
            <w:gridSpan w:val="3"/>
            <w:shd w:val="clear" w:color="auto" w:fill="auto"/>
          </w:tcPr>
          <w:p w14:paraId="20AE25DB" w14:textId="77777777" w:rsidR="00B626E7" w:rsidRDefault="00B626E7">
            <w:pPr>
              <w:rPr>
                <w:rFonts w:ascii="宋体"/>
                <w:vanish/>
              </w:rPr>
            </w:pPr>
          </w:p>
        </w:tc>
        <w:tc>
          <w:tcPr>
            <w:tcW w:w="0" w:type="auto"/>
            <w:gridSpan w:val="3"/>
            <w:shd w:val="clear" w:color="auto" w:fill="auto"/>
          </w:tcPr>
          <w:p w14:paraId="20AE25DC" w14:textId="77777777" w:rsidR="00B626E7" w:rsidRDefault="00B626E7">
            <w:pPr>
              <w:rPr>
                <w:rFonts w:ascii="宋体"/>
                <w:vanish/>
              </w:rPr>
            </w:pPr>
          </w:p>
        </w:tc>
        <w:tc>
          <w:tcPr>
            <w:tcW w:w="0" w:type="auto"/>
            <w:gridSpan w:val="3"/>
            <w:shd w:val="clear" w:color="auto" w:fill="auto"/>
          </w:tcPr>
          <w:p w14:paraId="20AE25DD" w14:textId="77777777" w:rsidR="00B626E7" w:rsidRDefault="00B626E7">
            <w:pPr>
              <w:rPr>
                <w:rFonts w:ascii="宋体"/>
                <w:vanish/>
              </w:rPr>
            </w:pPr>
          </w:p>
        </w:tc>
      </w:tr>
      <w:tr w:rsidR="00B626E7" w14:paraId="20AE25E2" w14:textId="77777777">
        <w:trPr>
          <w:hidden/>
        </w:trPr>
        <w:tc>
          <w:tcPr>
            <w:tcW w:w="0" w:type="auto"/>
            <w:gridSpan w:val="3"/>
            <w:shd w:val="clear" w:color="auto" w:fill="auto"/>
          </w:tcPr>
          <w:p w14:paraId="20AE25DF" w14:textId="77777777" w:rsidR="00B626E7" w:rsidRDefault="00B626E7">
            <w:pPr>
              <w:rPr>
                <w:rFonts w:ascii="宋体"/>
                <w:vanish/>
              </w:rPr>
            </w:pPr>
          </w:p>
        </w:tc>
        <w:tc>
          <w:tcPr>
            <w:tcW w:w="0" w:type="auto"/>
            <w:gridSpan w:val="3"/>
            <w:shd w:val="clear" w:color="auto" w:fill="auto"/>
          </w:tcPr>
          <w:p w14:paraId="20AE25E0" w14:textId="77777777" w:rsidR="00B626E7" w:rsidRDefault="00B626E7">
            <w:pPr>
              <w:rPr>
                <w:rFonts w:ascii="宋体"/>
                <w:vanish/>
              </w:rPr>
            </w:pPr>
          </w:p>
        </w:tc>
        <w:tc>
          <w:tcPr>
            <w:tcW w:w="0" w:type="auto"/>
            <w:gridSpan w:val="3"/>
            <w:shd w:val="clear" w:color="auto" w:fill="auto"/>
          </w:tcPr>
          <w:p w14:paraId="20AE25E1" w14:textId="77777777" w:rsidR="00B626E7" w:rsidRDefault="00B626E7">
            <w:pPr>
              <w:rPr>
                <w:rFonts w:ascii="宋体"/>
                <w:vanish/>
              </w:rPr>
            </w:pPr>
          </w:p>
        </w:tc>
      </w:tr>
      <w:tr w:rsidR="00B626E7" w14:paraId="20AE25E6" w14:textId="77777777">
        <w:tc>
          <w:tcPr>
            <w:tcW w:w="0" w:type="auto"/>
            <w:gridSpan w:val="3"/>
            <w:shd w:val="clear" w:color="auto" w:fill="auto"/>
            <w:tcMar>
              <w:top w:w="40" w:type="dxa"/>
              <w:left w:w="20" w:type="dxa"/>
              <w:bottom w:w="40" w:type="dxa"/>
              <w:right w:w="20" w:type="dxa"/>
            </w:tcMar>
          </w:tcPr>
          <w:p w14:paraId="20AE25E3" w14:textId="77777777" w:rsidR="00B626E7" w:rsidRDefault="00175C1D">
            <w:pPr>
              <w:textAlignment w:val="top"/>
            </w:pPr>
            <w:r>
              <w:rPr>
                <w:rFonts w:ascii="Arial" w:eastAsia="宋体" w:hAnsi="Arial" w:cs="Arial"/>
                <w:b/>
                <w:bCs/>
                <w:color w:val="0071C5"/>
                <w:sz w:val="18"/>
                <w:szCs w:val="18"/>
              </w:rPr>
              <w:t>Form 10-Q</w:t>
            </w:r>
          </w:p>
        </w:tc>
        <w:tc>
          <w:tcPr>
            <w:tcW w:w="0" w:type="auto"/>
            <w:gridSpan w:val="3"/>
            <w:shd w:val="clear" w:color="auto" w:fill="auto"/>
            <w:tcMar>
              <w:left w:w="20" w:type="dxa"/>
              <w:right w:w="20" w:type="dxa"/>
            </w:tcMar>
            <w:vAlign w:val="bottom"/>
          </w:tcPr>
          <w:p w14:paraId="20AE25E4"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25E5" w14:textId="77777777" w:rsidR="00B626E7" w:rsidRDefault="00175C1D">
            <w:pPr>
              <w:textAlignment w:val="top"/>
            </w:pPr>
            <w:r>
              <w:rPr>
                <w:rFonts w:ascii="Arial" w:eastAsia="宋体" w:hAnsi="Arial" w:cs="Arial"/>
                <w:color w:val="333333"/>
                <w:sz w:val="18"/>
                <w:szCs w:val="18"/>
              </w:rPr>
              <w:t>Quarterly Report on Form 10-Q</w:t>
            </w:r>
          </w:p>
        </w:tc>
      </w:tr>
      <w:tr w:rsidR="00B626E7" w14:paraId="20AE25EA" w14:textId="77777777">
        <w:tc>
          <w:tcPr>
            <w:tcW w:w="0" w:type="auto"/>
            <w:gridSpan w:val="3"/>
            <w:shd w:val="clear" w:color="auto" w:fill="auto"/>
            <w:tcMar>
              <w:top w:w="40" w:type="dxa"/>
              <w:left w:w="20" w:type="dxa"/>
              <w:bottom w:w="40" w:type="dxa"/>
              <w:right w:w="20" w:type="dxa"/>
            </w:tcMar>
          </w:tcPr>
          <w:p w14:paraId="20AE25E7" w14:textId="77777777" w:rsidR="00B626E7" w:rsidRDefault="00175C1D">
            <w:pPr>
              <w:textAlignment w:val="top"/>
            </w:pPr>
            <w:r>
              <w:rPr>
                <w:rFonts w:ascii="Arial" w:eastAsia="宋体" w:hAnsi="Arial" w:cs="Arial"/>
                <w:b/>
                <w:bCs/>
                <w:color w:val="0071C5"/>
                <w:sz w:val="18"/>
                <w:szCs w:val="18"/>
              </w:rPr>
              <w:t>FPGA</w:t>
            </w:r>
          </w:p>
        </w:tc>
        <w:tc>
          <w:tcPr>
            <w:tcW w:w="0" w:type="auto"/>
            <w:gridSpan w:val="3"/>
            <w:shd w:val="clear" w:color="auto" w:fill="auto"/>
            <w:tcMar>
              <w:left w:w="20" w:type="dxa"/>
              <w:right w:w="20" w:type="dxa"/>
            </w:tcMar>
            <w:vAlign w:val="bottom"/>
          </w:tcPr>
          <w:p w14:paraId="20AE25E8"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25E9" w14:textId="77777777" w:rsidR="00B626E7" w:rsidRDefault="00175C1D">
            <w:pPr>
              <w:textAlignment w:val="top"/>
            </w:pPr>
            <w:r>
              <w:rPr>
                <w:rFonts w:ascii="Arial" w:eastAsia="宋体" w:hAnsi="Arial" w:cs="Arial"/>
                <w:color w:val="333333"/>
                <w:sz w:val="18"/>
                <w:szCs w:val="18"/>
              </w:rPr>
              <w:t>Field-programmable gate array</w:t>
            </w:r>
          </w:p>
        </w:tc>
      </w:tr>
      <w:tr w:rsidR="00B626E7" w14:paraId="20AE25EE" w14:textId="77777777">
        <w:trPr>
          <w:hidden/>
        </w:trPr>
        <w:tc>
          <w:tcPr>
            <w:tcW w:w="0" w:type="auto"/>
            <w:gridSpan w:val="3"/>
            <w:shd w:val="clear" w:color="auto" w:fill="auto"/>
          </w:tcPr>
          <w:p w14:paraId="20AE25EB" w14:textId="77777777" w:rsidR="00B626E7" w:rsidRDefault="00B626E7">
            <w:pPr>
              <w:rPr>
                <w:rFonts w:ascii="宋体"/>
                <w:vanish/>
              </w:rPr>
            </w:pPr>
          </w:p>
        </w:tc>
        <w:tc>
          <w:tcPr>
            <w:tcW w:w="0" w:type="auto"/>
            <w:gridSpan w:val="3"/>
            <w:shd w:val="clear" w:color="auto" w:fill="auto"/>
          </w:tcPr>
          <w:p w14:paraId="20AE25EC" w14:textId="77777777" w:rsidR="00B626E7" w:rsidRDefault="00B626E7">
            <w:pPr>
              <w:rPr>
                <w:rFonts w:ascii="宋体"/>
                <w:vanish/>
              </w:rPr>
            </w:pPr>
          </w:p>
        </w:tc>
        <w:tc>
          <w:tcPr>
            <w:tcW w:w="0" w:type="auto"/>
            <w:gridSpan w:val="3"/>
            <w:shd w:val="clear" w:color="auto" w:fill="auto"/>
          </w:tcPr>
          <w:p w14:paraId="20AE25ED" w14:textId="77777777" w:rsidR="00B626E7" w:rsidRDefault="00B626E7">
            <w:pPr>
              <w:rPr>
                <w:rFonts w:ascii="宋体"/>
                <w:vanish/>
              </w:rPr>
            </w:pPr>
          </w:p>
        </w:tc>
      </w:tr>
      <w:tr w:rsidR="00B626E7" w14:paraId="20AE25F2" w14:textId="77777777">
        <w:trPr>
          <w:hidden/>
        </w:trPr>
        <w:tc>
          <w:tcPr>
            <w:tcW w:w="0" w:type="auto"/>
            <w:gridSpan w:val="3"/>
            <w:shd w:val="clear" w:color="auto" w:fill="auto"/>
          </w:tcPr>
          <w:p w14:paraId="20AE25EF" w14:textId="77777777" w:rsidR="00B626E7" w:rsidRDefault="00B626E7">
            <w:pPr>
              <w:rPr>
                <w:rFonts w:ascii="宋体"/>
                <w:vanish/>
              </w:rPr>
            </w:pPr>
          </w:p>
        </w:tc>
        <w:tc>
          <w:tcPr>
            <w:tcW w:w="0" w:type="auto"/>
            <w:gridSpan w:val="3"/>
            <w:shd w:val="clear" w:color="auto" w:fill="auto"/>
          </w:tcPr>
          <w:p w14:paraId="20AE25F0" w14:textId="77777777" w:rsidR="00B626E7" w:rsidRDefault="00B626E7">
            <w:pPr>
              <w:rPr>
                <w:rFonts w:ascii="宋体"/>
                <w:vanish/>
              </w:rPr>
            </w:pPr>
          </w:p>
        </w:tc>
        <w:tc>
          <w:tcPr>
            <w:tcW w:w="0" w:type="auto"/>
            <w:gridSpan w:val="3"/>
            <w:shd w:val="clear" w:color="auto" w:fill="auto"/>
          </w:tcPr>
          <w:p w14:paraId="20AE25F1" w14:textId="77777777" w:rsidR="00B626E7" w:rsidRDefault="00B626E7">
            <w:pPr>
              <w:rPr>
                <w:rFonts w:ascii="宋体"/>
                <w:vanish/>
              </w:rPr>
            </w:pPr>
          </w:p>
        </w:tc>
      </w:tr>
      <w:tr w:rsidR="00B626E7" w14:paraId="20AE25F6" w14:textId="77777777">
        <w:trPr>
          <w:hidden/>
        </w:trPr>
        <w:tc>
          <w:tcPr>
            <w:tcW w:w="0" w:type="auto"/>
            <w:gridSpan w:val="3"/>
            <w:shd w:val="clear" w:color="auto" w:fill="auto"/>
          </w:tcPr>
          <w:p w14:paraId="20AE25F3" w14:textId="77777777" w:rsidR="00B626E7" w:rsidRDefault="00B626E7">
            <w:pPr>
              <w:rPr>
                <w:rFonts w:ascii="宋体"/>
                <w:vanish/>
              </w:rPr>
            </w:pPr>
          </w:p>
        </w:tc>
        <w:tc>
          <w:tcPr>
            <w:tcW w:w="0" w:type="auto"/>
            <w:gridSpan w:val="3"/>
            <w:shd w:val="clear" w:color="auto" w:fill="auto"/>
          </w:tcPr>
          <w:p w14:paraId="20AE25F4" w14:textId="77777777" w:rsidR="00B626E7" w:rsidRDefault="00B626E7">
            <w:pPr>
              <w:rPr>
                <w:rFonts w:ascii="宋体"/>
                <w:vanish/>
              </w:rPr>
            </w:pPr>
          </w:p>
        </w:tc>
        <w:tc>
          <w:tcPr>
            <w:tcW w:w="0" w:type="auto"/>
            <w:gridSpan w:val="3"/>
            <w:shd w:val="clear" w:color="auto" w:fill="auto"/>
          </w:tcPr>
          <w:p w14:paraId="20AE25F5" w14:textId="77777777" w:rsidR="00B626E7" w:rsidRDefault="00B626E7">
            <w:pPr>
              <w:rPr>
                <w:rFonts w:ascii="宋体"/>
                <w:vanish/>
              </w:rPr>
            </w:pPr>
          </w:p>
        </w:tc>
      </w:tr>
      <w:tr w:rsidR="00B626E7" w14:paraId="20AE25FA" w14:textId="77777777">
        <w:tc>
          <w:tcPr>
            <w:tcW w:w="0" w:type="auto"/>
            <w:gridSpan w:val="3"/>
            <w:shd w:val="clear" w:color="auto" w:fill="auto"/>
            <w:tcMar>
              <w:top w:w="40" w:type="dxa"/>
              <w:left w:w="20" w:type="dxa"/>
              <w:bottom w:w="40" w:type="dxa"/>
              <w:right w:w="20" w:type="dxa"/>
            </w:tcMar>
          </w:tcPr>
          <w:p w14:paraId="20AE25F7" w14:textId="77777777" w:rsidR="00B626E7" w:rsidRDefault="00175C1D">
            <w:pPr>
              <w:textAlignment w:val="top"/>
            </w:pPr>
            <w:r>
              <w:rPr>
                <w:rFonts w:ascii="Arial" w:eastAsia="宋体" w:hAnsi="Arial" w:cs="Arial"/>
                <w:b/>
                <w:bCs/>
                <w:color w:val="0071C5"/>
                <w:sz w:val="18"/>
                <w:szCs w:val="18"/>
              </w:rPr>
              <w:t>IMFT</w:t>
            </w:r>
          </w:p>
        </w:tc>
        <w:tc>
          <w:tcPr>
            <w:tcW w:w="0" w:type="auto"/>
            <w:gridSpan w:val="3"/>
            <w:shd w:val="clear" w:color="auto" w:fill="auto"/>
            <w:tcMar>
              <w:left w:w="20" w:type="dxa"/>
              <w:right w:w="20" w:type="dxa"/>
            </w:tcMar>
            <w:vAlign w:val="bottom"/>
          </w:tcPr>
          <w:p w14:paraId="20AE25F8"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25F9" w14:textId="77777777" w:rsidR="00B626E7" w:rsidRDefault="00175C1D">
            <w:pPr>
              <w:textAlignment w:val="top"/>
            </w:pPr>
            <w:r>
              <w:rPr>
                <w:rFonts w:ascii="Arial" w:eastAsia="宋体" w:hAnsi="Arial" w:cs="Arial"/>
                <w:color w:val="333333"/>
                <w:sz w:val="18"/>
                <w:szCs w:val="18"/>
              </w:rPr>
              <w:t>IM Flash Technologies, LLC</w:t>
            </w:r>
          </w:p>
        </w:tc>
      </w:tr>
      <w:tr w:rsidR="00B626E7" w14:paraId="20AE25FE" w14:textId="77777777">
        <w:trPr>
          <w:hidden/>
        </w:trPr>
        <w:tc>
          <w:tcPr>
            <w:tcW w:w="0" w:type="auto"/>
            <w:gridSpan w:val="3"/>
            <w:shd w:val="clear" w:color="auto" w:fill="auto"/>
          </w:tcPr>
          <w:p w14:paraId="20AE25FB" w14:textId="77777777" w:rsidR="00B626E7" w:rsidRDefault="00B626E7">
            <w:pPr>
              <w:rPr>
                <w:rFonts w:ascii="宋体"/>
                <w:vanish/>
              </w:rPr>
            </w:pPr>
          </w:p>
        </w:tc>
        <w:tc>
          <w:tcPr>
            <w:tcW w:w="0" w:type="auto"/>
            <w:gridSpan w:val="3"/>
            <w:shd w:val="clear" w:color="auto" w:fill="auto"/>
          </w:tcPr>
          <w:p w14:paraId="20AE25FC" w14:textId="77777777" w:rsidR="00B626E7" w:rsidRDefault="00B626E7">
            <w:pPr>
              <w:rPr>
                <w:rFonts w:ascii="宋体"/>
                <w:vanish/>
              </w:rPr>
            </w:pPr>
          </w:p>
        </w:tc>
        <w:tc>
          <w:tcPr>
            <w:tcW w:w="0" w:type="auto"/>
            <w:gridSpan w:val="3"/>
            <w:shd w:val="clear" w:color="auto" w:fill="auto"/>
          </w:tcPr>
          <w:p w14:paraId="20AE25FD" w14:textId="77777777" w:rsidR="00B626E7" w:rsidRDefault="00B626E7">
            <w:pPr>
              <w:rPr>
                <w:rFonts w:ascii="宋体"/>
                <w:vanish/>
              </w:rPr>
            </w:pPr>
          </w:p>
        </w:tc>
      </w:tr>
      <w:tr w:rsidR="00B626E7" w14:paraId="20AE2602" w14:textId="77777777">
        <w:trPr>
          <w:hidden/>
        </w:trPr>
        <w:tc>
          <w:tcPr>
            <w:tcW w:w="0" w:type="auto"/>
            <w:gridSpan w:val="3"/>
            <w:shd w:val="clear" w:color="auto" w:fill="auto"/>
          </w:tcPr>
          <w:p w14:paraId="20AE25FF" w14:textId="77777777" w:rsidR="00B626E7" w:rsidRDefault="00B626E7">
            <w:pPr>
              <w:rPr>
                <w:rFonts w:ascii="宋体"/>
                <w:vanish/>
              </w:rPr>
            </w:pPr>
          </w:p>
        </w:tc>
        <w:tc>
          <w:tcPr>
            <w:tcW w:w="0" w:type="auto"/>
            <w:gridSpan w:val="3"/>
            <w:shd w:val="clear" w:color="auto" w:fill="auto"/>
          </w:tcPr>
          <w:p w14:paraId="20AE2600" w14:textId="77777777" w:rsidR="00B626E7" w:rsidRDefault="00B626E7">
            <w:pPr>
              <w:rPr>
                <w:rFonts w:ascii="宋体"/>
                <w:vanish/>
              </w:rPr>
            </w:pPr>
          </w:p>
        </w:tc>
        <w:tc>
          <w:tcPr>
            <w:tcW w:w="0" w:type="auto"/>
            <w:gridSpan w:val="3"/>
            <w:shd w:val="clear" w:color="auto" w:fill="auto"/>
          </w:tcPr>
          <w:p w14:paraId="20AE2601" w14:textId="77777777" w:rsidR="00B626E7" w:rsidRDefault="00B626E7">
            <w:pPr>
              <w:rPr>
                <w:rFonts w:ascii="宋体"/>
                <w:vanish/>
              </w:rPr>
            </w:pPr>
          </w:p>
        </w:tc>
      </w:tr>
      <w:tr w:rsidR="00B626E7" w14:paraId="20AE2606" w14:textId="77777777">
        <w:tc>
          <w:tcPr>
            <w:tcW w:w="0" w:type="auto"/>
            <w:gridSpan w:val="3"/>
            <w:shd w:val="clear" w:color="auto" w:fill="auto"/>
            <w:tcMar>
              <w:top w:w="40" w:type="dxa"/>
              <w:left w:w="20" w:type="dxa"/>
              <w:bottom w:w="40" w:type="dxa"/>
              <w:right w:w="20" w:type="dxa"/>
            </w:tcMar>
          </w:tcPr>
          <w:p w14:paraId="20AE2603" w14:textId="77777777" w:rsidR="00B626E7" w:rsidRDefault="00175C1D">
            <w:pPr>
              <w:textAlignment w:val="top"/>
            </w:pPr>
            <w:r>
              <w:rPr>
                <w:rFonts w:ascii="Arial" w:eastAsia="宋体" w:hAnsi="Arial" w:cs="Arial"/>
                <w:b/>
                <w:bCs/>
                <w:color w:val="0071C5"/>
                <w:sz w:val="18"/>
                <w:szCs w:val="18"/>
              </w:rPr>
              <w:t>Internet of Things</w:t>
            </w:r>
          </w:p>
        </w:tc>
        <w:tc>
          <w:tcPr>
            <w:tcW w:w="0" w:type="auto"/>
            <w:gridSpan w:val="3"/>
            <w:shd w:val="clear" w:color="auto" w:fill="auto"/>
            <w:tcMar>
              <w:left w:w="20" w:type="dxa"/>
              <w:right w:w="20" w:type="dxa"/>
            </w:tcMar>
            <w:vAlign w:val="bottom"/>
          </w:tcPr>
          <w:p w14:paraId="20AE2604"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2605" w14:textId="77777777" w:rsidR="00B626E7" w:rsidRDefault="00175C1D">
            <w:pPr>
              <w:textAlignment w:val="top"/>
            </w:pPr>
            <w:r>
              <w:rPr>
                <w:rFonts w:ascii="Arial" w:eastAsia="宋体" w:hAnsi="Arial" w:cs="Arial"/>
                <w:color w:val="333333"/>
                <w:sz w:val="18"/>
                <w:szCs w:val="18"/>
              </w:rPr>
              <w:t xml:space="preserve">Refers to the Internet of Things market in which we sell our IOTG and </w:t>
            </w:r>
            <w:r>
              <w:rPr>
                <w:rFonts w:ascii="Arial" w:eastAsia="宋体" w:hAnsi="Arial" w:cs="Arial"/>
                <w:color w:val="333333"/>
                <w:sz w:val="18"/>
                <w:szCs w:val="18"/>
              </w:rPr>
              <w:t>Mobileye products</w:t>
            </w:r>
          </w:p>
        </w:tc>
      </w:tr>
      <w:tr w:rsidR="00B626E7" w14:paraId="20AE260A" w14:textId="77777777">
        <w:tc>
          <w:tcPr>
            <w:tcW w:w="0" w:type="auto"/>
            <w:gridSpan w:val="3"/>
            <w:shd w:val="clear" w:color="auto" w:fill="auto"/>
            <w:tcMar>
              <w:top w:w="40" w:type="dxa"/>
              <w:left w:w="20" w:type="dxa"/>
              <w:bottom w:w="40" w:type="dxa"/>
              <w:right w:w="20" w:type="dxa"/>
            </w:tcMar>
          </w:tcPr>
          <w:p w14:paraId="20AE2607" w14:textId="77777777" w:rsidR="00B626E7" w:rsidRDefault="00175C1D">
            <w:pPr>
              <w:textAlignment w:val="top"/>
            </w:pPr>
            <w:r>
              <w:rPr>
                <w:rFonts w:ascii="Arial" w:eastAsia="宋体" w:hAnsi="Arial" w:cs="Arial"/>
                <w:b/>
                <w:bCs/>
                <w:color w:val="0071C5"/>
                <w:sz w:val="18"/>
                <w:szCs w:val="18"/>
              </w:rPr>
              <w:t>IOT</w:t>
            </w:r>
          </w:p>
        </w:tc>
        <w:tc>
          <w:tcPr>
            <w:tcW w:w="0" w:type="auto"/>
            <w:gridSpan w:val="3"/>
            <w:shd w:val="clear" w:color="auto" w:fill="auto"/>
            <w:tcMar>
              <w:left w:w="20" w:type="dxa"/>
              <w:right w:w="20" w:type="dxa"/>
            </w:tcMar>
            <w:vAlign w:val="bottom"/>
          </w:tcPr>
          <w:p w14:paraId="20AE2608"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2609" w14:textId="77777777" w:rsidR="00B626E7" w:rsidRDefault="00175C1D">
            <w:pPr>
              <w:textAlignment w:val="top"/>
            </w:pPr>
            <w:r>
              <w:rPr>
                <w:rFonts w:ascii="Arial" w:eastAsia="宋体" w:hAnsi="Arial" w:cs="Arial"/>
                <w:color w:val="333333"/>
                <w:sz w:val="18"/>
                <w:szCs w:val="18"/>
              </w:rPr>
              <w:t>Internet of Things portfolio</w:t>
            </w:r>
          </w:p>
        </w:tc>
      </w:tr>
      <w:tr w:rsidR="00B626E7" w14:paraId="20AE260E" w14:textId="77777777">
        <w:tc>
          <w:tcPr>
            <w:tcW w:w="0" w:type="auto"/>
            <w:gridSpan w:val="3"/>
            <w:shd w:val="clear" w:color="auto" w:fill="auto"/>
            <w:tcMar>
              <w:top w:w="40" w:type="dxa"/>
              <w:left w:w="20" w:type="dxa"/>
              <w:bottom w:w="40" w:type="dxa"/>
              <w:right w:w="20" w:type="dxa"/>
            </w:tcMar>
          </w:tcPr>
          <w:p w14:paraId="20AE260B" w14:textId="77777777" w:rsidR="00B626E7" w:rsidRDefault="00175C1D">
            <w:pPr>
              <w:textAlignment w:val="top"/>
            </w:pPr>
            <w:r>
              <w:rPr>
                <w:rFonts w:ascii="Arial" w:eastAsia="宋体" w:hAnsi="Arial" w:cs="Arial"/>
                <w:b/>
                <w:bCs/>
                <w:color w:val="0071C5"/>
                <w:sz w:val="18"/>
                <w:szCs w:val="18"/>
              </w:rPr>
              <w:t>IOTG</w:t>
            </w:r>
          </w:p>
        </w:tc>
        <w:tc>
          <w:tcPr>
            <w:tcW w:w="0" w:type="auto"/>
            <w:gridSpan w:val="3"/>
            <w:shd w:val="clear" w:color="auto" w:fill="auto"/>
            <w:tcMar>
              <w:left w:w="20" w:type="dxa"/>
              <w:right w:w="20" w:type="dxa"/>
            </w:tcMar>
            <w:vAlign w:val="bottom"/>
          </w:tcPr>
          <w:p w14:paraId="20AE260C"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260D" w14:textId="77777777" w:rsidR="00B626E7" w:rsidRDefault="00175C1D">
            <w:pPr>
              <w:textAlignment w:val="top"/>
            </w:pPr>
            <w:r>
              <w:rPr>
                <w:rFonts w:ascii="Arial" w:eastAsia="宋体" w:hAnsi="Arial" w:cs="Arial"/>
                <w:color w:val="333333"/>
                <w:sz w:val="18"/>
                <w:szCs w:val="18"/>
              </w:rPr>
              <w:t>Internet of Things Group operating segment</w:t>
            </w:r>
          </w:p>
        </w:tc>
      </w:tr>
      <w:tr w:rsidR="00B626E7" w14:paraId="20AE2612" w14:textId="77777777">
        <w:trPr>
          <w:hidden/>
        </w:trPr>
        <w:tc>
          <w:tcPr>
            <w:tcW w:w="0" w:type="auto"/>
            <w:gridSpan w:val="3"/>
            <w:shd w:val="clear" w:color="auto" w:fill="auto"/>
          </w:tcPr>
          <w:p w14:paraId="20AE260F" w14:textId="77777777" w:rsidR="00B626E7" w:rsidRDefault="00B626E7">
            <w:pPr>
              <w:rPr>
                <w:rFonts w:ascii="宋体"/>
                <w:vanish/>
              </w:rPr>
            </w:pPr>
          </w:p>
        </w:tc>
        <w:tc>
          <w:tcPr>
            <w:tcW w:w="0" w:type="auto"/>
            <w:gridSpan w:val="3"/>
            <w:shd w:val="clear" w:color="auto" w:fill="auto"/>
          </w:tcPr>
          <w:p w14:paraId="20AE2610" w14:textId="77777777" w:rsidR="00B626E7" w:rsidRDefault="00B626E7">
            <w:pPr>
              <w:rPr>
                <w:rFonts w:ascii="宋体"/>
                <w:vanish/>
              </w:rPr>
            </w:pPr>
          </w:p>
        </w:tc>
        <w:tc>
          <w:tcPr>
            <w:tcW w:w="0" w:type="auto"/>
            <w:gridSpan w:val="3"/>
            <w:shd w:val="clear" w:color="auto" w:fill="auto"/>
          </w:tcPr>
          <w:p w14:paraId="20AE2611" w14:textId="77777777" w:rsidR="00B626E7" w:rsidRDefault="00B626E7">
            <w:pPr>
              <w:rPr>
                <w:rFonts w:ascii="宋体"/>
                <w:vanish/>
              </w:rPr>
            </w:pPr>
          </w:p>
        </w:tc>
      </w:tr>
      <w:tr w:rsidR="00B626E7" w14:paraId="20AE2616" w14:textId="77777777">
        <w:tc>
          <w:tcPr>
            <w:tcW w:w="0" w:type="auto"/>
            <w:gridSpan w:val="3"/>
            <w:shd w:val="clear" w:color="auto" w:fill="auto"/>
            <w:tcMar>
              <w:top w:w="40" w:type="dxa"/>
              <w:left w:w="20" w:type="dxa"/>
              <w:bottom w:w="40" w:type="dxa"/>
              <w:right w:w="20" w:type="dxa"/>
            </w:tcMar>
          </w:tcPr>
          <w:p w14:paraId="20AE2613" w14:textId="77777777" w:rsidR="00B626E7" w:rsidRDefault="00175C1D">
            <w:pPr>
              <w:textAlignment w:val="top"/>
            </w:pPr>
            <w:r>
              <w:rPr>
                <w:rFonts w:ascii="Arial" w:eastAsia="宋体" w:hAnsi="Arial" w:cs="Arial"/>
                <w:b/>
                <w:bCs/>
                <w:color w:val="0071C5"/>
                <w:sz w:val="18"/>
                <w:szCs w:val="18"/>
              </w:rPr>
              <w:t>IP</w:t>
            </w:r>
          </w:p>
        </w:tc>
        <w:tc>
          <w:tcPr>
            <w:tcW w:w="0" w:type="auto"/>
            <w:gridSpan w:val="3"/>
            <w:shd w:val="clear" w:color="auto" w:fill="auto"/>
            <w:tcMar>
              <w:left w:w="20" w:type="dxa"/>
              <w:right w:w="20" w:type="dxa"/>
            </w:tcMar>
            <w:vAlign w:val="bottom"/>
          </w:tcPr>
          <w:p w14:paraId="20AE2614"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2615" w14:textId="77777777" w:rsidR="00B626E7" w:rsidRDefault="00175C1D">
            <w:pPr>
              <w:textAlignment w:val="top"/>
            </w:pPr>
            <w:r>
              <w:rPr>
                <w:rFonts w:ascii="Arial" w:eastAsia="宋体" w:hAnsi="Arial" w:cs="Arial"/>
                <w:color w:val="333333"/>
                <w:sz w:val="18"/>
                <w:szCs w:val="18"/>
              </w:rPr>
              <w:t>Intellectual property</w:t>
            </w:r>
          </w:p>
        </w:tc>
      </w:tr>
      <w:tr w:rsidR="00B626E7" w14:paraId="20AE261A" w14:textId="77777777">
        <w:trPr>
          <w:hidden/>
        </w:trPr>
        <w:tc>
          <w:tcPr>
            <w:tcW w:w="0" w:type="auto"/>
            <w:gridSpan w:val="3"/>
            <w:shd w:val="clear" w:color="auto" w:fill="auto"/>
          </w:tcPr>
          <w:p w14:paraId="20AE2617" w14:textId="77777777" w:rsidR="00B626E7" w:rsidRDefault="00B626E7">
            <w:pPr>
              <w:rPr>
                <w:rFonts w:ascii="宋体"/>
                <w:vanish/>
              </w:rPr>
            </w:pPr>
          </w:p>
        </w:tc>
        <w:tc>
          <w:tcPr>
            <w:tcW w:w="0" w:type="auto"/>
            <w:gridSpan w:val="3"/>
            <w:shd w:val="clear" w:color="auto" w:fill="auto"/>
          </w:tcPr>
          <w:p w14:paraId="20AE2618" w14:textId="77777777" w:rsidR="00B626E7" w:rsidRDefault="00B626E7">
            <w:pPr>
              <w:rPr>
                <w:rFonts w:ascii="宋体"/>
                <w:vanish/>
              </w:rPr>
            </w:pPr>
          </w:p>
        </w:tc>
        <w:tc>
          <w:tcPr>
            <w:tcW w:w="0" w:type="auto"/>
            <w:gridSpan w:val="3"/>
            <w:shd w:val="clear" w:color="auto" w:fill="auto"/>
          </w:tcPr>
          <w:p w14:paraId="20AE2619" w14:textId="77777777" w:rsidR="00B626E7" w:rsidRDefault="00B626E7">
            <w:pPr>
              <w:rPr>
                <w:rFonts w:ascii="宋体"/>
                <w:vanish/>
              </w:rPr>
            </w:pPr>
          </w:p>
        </w:tc>
      </w:tr>
      <w:tr w:rsidR="00B626E7" w14:paraId="20AE261E" w14:textId="77777777">
        <w:trPr>
          <w:hidden/>
        </w:trPr>
        <w:tc>
          <w:tcPr>
            <w:tcW w:w="0" w:type="auto"/>
            <w:gridSpan w:val="3"/>
            <w:shd w:val="clear" w:color="auto" w:fill="auto"/>
          </w:tcPr>
          <w:p w14:paraId="20AE261B" w14:textId="77777777" w:rsidR="00B626E7" w:rsidRDefault="00B626E7">
            <w:pPr>
              <w:rPr>
                <w:rFonts w:ascii="宋体"/>
                <w:vanish/>
              </w:rPr>
            </w:pPr>
          </w:p>
        </w:tc>
        <w:tc>
          <w:tcPr>
            <w:tcW w:w="0" w:type="auto"/>
            <w:gridSpan w:val="3"/>
            <w:shd w:val="clear" w:color="auto" w:fill="auto"/>
          </w:tcPr>
          <w:p w14:paraId="20AE261C" w14:textId="77777777" w:rsidR="00B626E7" w:rsidRDefault="00B626E7">
            <w:pPr>
              <w:rPr>
                <w:rFonts w:ascii="宋体"/>
                <w:vanish/>
              </w:rPr>
            </w:pPr>
          </w:p>
        </w:tc>
        <w:tc>
          <w:tcPr>
            <w:tcW w:w="0" w:type="auto"/>
            <w:gridSpan w:val="3"/>
            <w:shd w:val="clear" w:color="auto" w:fill="auto"/>
          </w:tcPr>
          <w:p w14:paraId="20AE261D" w14:textId="77777777" w:rsidR="00B626E7" w:rsidRDefault="00B626E7">
            <w:pPr>
              <w:rPr>
                <w:rFonts w:ascii="宋体"/>
                <w:vanish/>
              </w:rPr>
            </w:pPr>
          </w:p>
        </w:tc>
      </w:tr>
      <w:tr w:rsidR="00B626E7" w14:paraId="20AE2622" w14:textId="77777777">
        <w:trPr>
          <w:hidden/>
        </w:trPr>
        <w:tc>
          <w:tcPr>
            <w:tcW w:w="0" w:type="auto"/>
            <w:gridSpan w:val="3"/>
            <w:shd w:val="clear" w:color="auto" w:fill="auto"/>
          </w:tcPr>
          <w:p w14:paraId="20AE261F" w14:textId="77777777" w:rsidR="00B626E7" w:rsidRDefault="00B626E7">
            <w:pPr>
              <w:rPr>
                <w:rFonts w:ascii="宋体"/>
                <w:vanish/>
              </w:rPr>
            </w:pPr>
          </w:p>
        </w:tc>
        <w:tc>
          <w:tcPr>
            <w:tcW w:w="0" w:type="auto"/>
            <w:gridSpan w:val="3"/>
            <w:shd w:val="clear" w:color="auto" w:fill="auto"/>
          </w:tcPr>
          <w:p w14:paraId="20AE2620" w14:textId="77777777" w:rsidR="00B626E7" w:rsidRDefault="00B626E7">
            <w:pPr>
              <w:rPr>
                <w:rFonts w:ascii="宋体"/>
                <w:vanish/>
              </w:rPr>
            </w:pPr>
          </w:p>
        </w:tc>
        <w:tc>
          <w:tcPr>
            <w:tcW w:w="0" w:type="auto"/>
            <w:gridSpan w:val="3"/>
            <w:shd w:val="clear" w:color="auto" w:fill="auto"/>
          </w:tcPr>
          <w:p w14:paraId="20AE2621" w14:textId="77777777" w:rsidR="00B626E7" w:rsidRDefault="00B626E7">
            <w:pPr>
              <w:rPr>
                <w:rFonts w:ascii="宋体"/>
                <w:vanish/>
              </w:rPr>
            </w:pPr>
          </w:p>
        </w:tc>
      </w:tr>
      <w:tr w:rsidR="00B626E7" w14:paraId="20AE2626" w14:textId="77777777">
        <w:trPr>
          <w:hidden/>
        </w:trPr>
        <w:tc>
          <w:tcPr>
            <w:tcW w:w="0" w:type="auto"/>
            <w:gridSpan w:val="3"/>
            <w:shd w:val="clear" w:color="auto" w:fill="auto"/>
          </w:tcPr>
          <w:p w14:paraId="20AE2623" w14:textId="77777777" w:rsidR="00B626E7" w:rsidRDefault="00B626E7">
            <w:pPr>
              <w:rPr>
                <w:rFonts w:ascii="宋体"/>
                <w:vanish/>
              </w:rPr>
            </w:pPr>
          </w:p>
        </w:tc>
        <w:tc>
          <w:tcPr>
            <w:tcW w:w="0" w:type="auto"/>
            <w:gridSpan w:val="3"/>
            <w:shd w:val="clear" w:color="auto" w:fill="auto"/>
          </w:tcPr>
          <w:p w14:paraId="20AE2624" w14:textId="77777777" w:rsidR="00B626E7" w:rsidRDefault="00B626E7">
            <w:pPr>
              <w:rPr>
                <w:rFonts w:ascii="宋体"/>
                <w:vanish/>
              </w:rPr>
            </w:pPr>
          </w:p>
        </w:tc>
        <w:tc>
          <w:tcPr>
            <w:tcW w:w="0" w:type="auto"/>
            <w:gridSpan w:val="3"/>
            <w:shd w:val="clear" w:color="auto" w:fill="auto"/>
          </w:tcPr>
          <w:p w14:paraId="20AE2625" w14:textId="77777777" w:rsidR="00B626E7" w:rsidRDefault="00B626E7">
            <w:pPr>
              <w:rPr>
                <w:rFonts w:ascii="宋体"/>
                <w:vanish/>
              </w:rPr>
            </w:pPr>
          </w:p>
        </w:tc>
      </w:tr>
      <w:tr w:rsidR="00B626E7" w14:paraId="20AE262A" w14:textId="77777777">
        <w:trPr>
          <w:hidden/>
        </w:trPr>
        <w:tc>
          <w:tcPr>
            <w:tcW w:w="0" w:type="auto"/>
            <w:gridSpan w:val="3"/>
            <w:shd w:val="clear" w:color="auto" w:fill="auto"/>
          </w:tcPr>
          <w:p w14:paraId="20AE2627" w14:textId="77777777" w:rsidR="00B626E7" w:rsidRDefault="00B626E7">
            <w:pPr>
              <w:rPr>
                <w:rFonts w:ascii="宋体"/>
                <w:vanish/>
              </w:rPr>
            </w:pPr>
          </w:p>
        </w:tc>
        <w:tc>
          <w:tcPr>
            <w:tcW w:w="0" w:type="auto"/>
            <w:gridSpan w:val="3"/>
            <w:shd w:val="clear" w:color="auto" w:fill="auto"/>
          </w:tcPr>
          <w:p w14:paraId="20AE2628" w14:textId="77777777" w:rsidR="00B626E7" w:rsidRDefault="00B626E7">
            <w:pPr>
              <w:rPr>
                <w:rFonts w:ascii="宋体"/>
                <w:vanish/>
              </w:rPr>
            </w:pPr>
          </w:p>
        </w:tc>
        <w:tc>
          <w:tcPr>
            <w:tcW w:w="0" w:type="auto"/>
            <w:gridSpan w:val="3"/>
            <w:shd w:val="clear" w:color="auto" w:fill="auto"/>
          </w:tcPr>
          <w:p w14:paraId="20AE2629" w14:textId="77777777" w:rsidR="00B626E7" w:rsidRDefault="00B626E7">
            <w:pPr>
              <w:rPr>
                <w:rFonts w:ascii="宋体"/>
                <w:vanish/>
              </w:rPr>
            </w:pPr>
          </w:p>
        </w:tc>
      </w:tr>
      <w:tr w:rsidR="00B626E7" w14:paraId="20AE262E" w14:textId="77777777">
        <w:trPr>
          <w:hidden/>
        </w:trPr>
        <w:tc>
          <w:tcPr>
            <w:tcW w:w="0" w:type="auto"/>
            <w:gridSpan w:val="3"/>
            <w:shd w:val="clear" w:color="auto" w:fill="auto"/>
          </w:tcPr>
          <w:p w14:paraId="20AE262B" w14:textId="77777777" w:rsidR="00B626E7" w:rsidRDefault="00B626E7">
            <w:pPr>
              <w:rPr>
                <w:rFonts w:ascii="宋体"/>
                <w:vanish/>
              </w:rPr>
            </w:pPr>
          </w:p>
        </w:tc>
        <w:tc>
          <w:tcPr>
            <w:tcW w:w="0" w:type="auto"/>
            <w:gridSpan w:val="3"/>
            <w:shd w:val="clear" w:color="auto" w:fill="auto"/>
          </w:tcPr>
          <w:p w14:paraId="20AE262C" w14:textId="77777777" w:rsidR="00B626E7" w:rsidRDefault="00B626E7">
            <w:pPr>
              <w:rPr>
                <w:rFonts w:ascii="宋体"/>
                <w:vanish/>
              </w:rPr>
            </w:pPr>
          </w:p>
        </w:tc>
        <w:tc>
          <w:tcPr>
            <w:tcW w:w="0" w:type="auto"/>
            <w:gridSpan w:val="3"/>
            <w:shd w:val="clear" w:color="auto" w:fill="auto"/>
          </w:tcPr>
          <w:p w14:paraId="20AE262D" w14:textId="77777777" w:rsidR="00B626E7" w:rsidRDefault="00B626E7">
            <w:pPr>
              <w:rPr>
                <w:rFonts w:ascii="宋体"/>
                <w:vanish/>
              </w:rPr>
            </w:pPr>
          </w:p>
        </w:tc>
      </w:tr>
      <w:tr w:rsidR="00B626E7" w14:paraId="20AE2632" w14:textId="77777777">
        <w:trPr>
          <w:hidden/>
        </w:trPr>
        <w:tc>
          <w:tcPr>
            <w:tcW w:w="0" w:type="auto"/>
            <w:gridSpan w:val="3"/>
            <w:shd w:val="clear" w:color="auto" w:fill="auto"/>
          </w:tcPr>
          <w:p w14:paraId="20AE262F" w14:textId="77777777" w:rsidR="00B626E7" w:rsidRDefault="00B626E7">
            <w:pPr>
              <w:rPr>
                <w:rFonts w:ascii="宋体"/>
                <w:vanish/>
              </w:rPr>
            </w:pPr>
          </w:p>
        </w:tc>
        <w:tc>
          <w:tcPr>
            <w:tcW w:w="0" w:type="auto"/>
            <w:gridSpan w:val="3"/>
            <w:shd w:val="clear" w:color="auto" w:fill="auto"/>
          </w:tcPr>
          <w:p w14:paraId="20AE2630" w14:textId="77777777" w:rsidR="00B626E7" w:rsidRDefault="00B626E7">
            <w:pPr>
              <w:rPr>
                <w:rFonts w:ascii="宋体"/>
                <w:vanish/>
              </w:rPr>
            </w:pPr>
          </w:p>
        </w:tc>
        <w:tc>
          <w:tcPr>
            <w:tcW w:w="0" w:type="auto"/>
            <w:gridSpan w:val="3"/>
            <w:shd w:val="clear" w:color="auto" w:fill="auto"/>
          </w:tcPr>
          <w:p w14:paraId="20AE2631" w14:textId="77777777" w:rsidR="00B626E7" w:rsidRDefault="00B626E7">
            <w:pPr>
              <w:rPr>
                <w:rFonts w:ascii="宋体"/>
                <w:vanish/>
              </w:rPr>
            </w:pPr>
          </w:p>
        </w:tc>
      </w:tr>
      <w:tr w:rsidR="00B626E7" w14:paraId="20AE2636" w14:textId="77777777">
        <w:trPr>
          <w:hidden/>
        </w:trPr>
        <w:tc>
          <w:tcPr>
            <w:tcW w:w="0" w:type="auto"/>
            <w:gridSpan w:val="3"/>
            <w:shd w:val="clear" w:color="auto" w:fill="auto"/>
          </w:tcPr>
          <w:p w14:paraId="20AE2633" w14:textId="77777777" w:rsidR="00B626E7" w:rsidRDefault="00B626E7">
            <w:pPr>
              <w:rPr>
                <w:rFonts w:ascii="宋体"/>
                <w:vanish/>
              </w:rPr>
            </w:pPr>
          </w:p>
        </w:tc>
        <w:tc>
          <w:tcPr>
            <w:tcW w:w="0" w:type="auto"/>
            <w:gridSpan w:val="3"/>
            <w:shd w:val="clear" w:color="auto" w:fill="auto"/>
          </w:tcPr>
          <w:p w14:paraId="20AE2634" w14:textId="77777777" w:rsidR="00B626E7" w:rsidRDefault="00B626E7">
            <w:pPr>
              <w:rPr>
                <w:rFonts w:ascii="宋体"/>
                <w:vanish/>
              </w:rPr>
            </w:pPr>
          </w:p>
        </w:tc>
        <w:tc>
          <w:tcPr>
            <w:tcW w:w="0" w:type="auto"/>
            <w:gridSpan w:val="3"/>
            <w:shd w:val="clear" w:color="auto" w:fill="auto"/>
          </w:tcPr>
          <w:p w14:paraId="20AE2635" w14:textId="77777777" w:rsidR="00B626E7" w:rsidRDefault="00B626E7">
            <w:pPr>
              <w:rPr>
                <w:rFonts w:ascii="宋体"/>
                <w:vanish/>
              </w:rPr>
            </w:pPr>
          </w:p>
        </w:tc>
      </w:tr>
      <w:tr w:rsidR="00B626E7" w14:paraId="20AE263A" w14:textId="77777777">
        <w:trPr>
          <w:hidden/>
        </w:trPr>
        <w:tc>
          <w:tcPr>
            <w:tcW w:w="0" w:type="auto"/>
            <w:gridSpan w:val="3"/>
            <w:shd w:val="clear" w:color="auto" w:fill="auto"/>
          </w:tcPr>
          <w:p w14:paraId="20AE2637" w14:textId="77777777" w:rsidR="00B626E7" w:rsidRDefault="00B626E7">
            <w:pPr>
              <w:rPr>
                <w:rFonts w:ascii="宋体"/>
                <w:vanish/>
              </w:rPr>
            </w:pPr>
          </w:p>
        </w:tc>
        <w:tc>
          <w:tcPr>
            <w:tcW w:w="0" w:type="auto"/>
            <w:gridSpan w:val="3"/>
            <w:shd w:val="clear" w:color="auto" w:fill="auto"/>
          </w:tcPr>
          <w:p w14:paraId="20AE2638" w14:textId="77777777" w:rsidR="00B626E7" w:rsidRDefault="00B626E7">
            <w:pPr>
              <w:rPr>
                <w:rFonts w:ascii="宋体"/>
                <w:vanish/>
              </w:rPr>
            </w:pPr>
          </w:p>
        </w:tc>
        <w:tc>
          <w:tcPr>
            <w:tcW w:w="0" w:type="auto"/>
            <w:gridSpan w:val="3"/>
            <w:shd w:val="clear" w:color="auto" w:fill="auto"/>
          </w:tcPr>
          <w:p w14:paraId="20AE2639" w14:textId="77777777" w:rsidR="00B626E7" w:rsidRDefault="00B626E7">
            <w:pPr>
              <w:rPr>
                <w:rFonts w:ascii="宋体"/>
                <w:vanish/>
              </w:rPr>
            </w:pPr>
          </w:p>
        </w:tc>
      </w:tr>
      <w:tr w:rsidR="00B626E7" w14:paraId="20AE263E" w14:textId="77777777">
        <w:tc>
          <w:tcPr>
            <w:tcW w:w="0" w:type="auto"/>
            <w:gridSpan w:val="3"/>
            <w:shd w:val="clear" w:color="auto" w:fill="auto"/>
            <w:tcMar>
              <w:top w:w="40" w:type="dxa"/>
              <w:left w:w="20" w:type="dxa"/>
              <w:bottom w:w="40" w:type="dxa"/>
              <w:right w:w="20" w:type="dxa"/>
            </w:tcMar>
          </w:tcPr>
          <w:p w14:paraId="20AE263B" w14:textId="77777777" w:rsidR="00B626E7" w:rsidRDefault="00175C1D">
            <w:pPr>
              <w:textAlignment w:val="top"/>
            </w:pPr>
            <w:r>
              <w:rPr>
                <w:rFonts w:ascii="Arial" w:eastAsia="宋体" w:hAnsi="Arial" w:cs="Arial"/>
                <w:b/>
                <w:bCs/>
                <w:color w:val="0071C5"/>
                <w:sz w:val="18"/>
                <w:szCs w:val="18"/>
              </w:rPr>
              <w:t>MaaS</w:t>
            </w:r>
          </w:p>
        </w:tc>
        <w:tc>
          <w:tcPr>
            <w:tcW w:w="0" w:type="auto"/>
            <w:gridSpan w:val="3"/>
            <w:shd w:val="clear" w:color="auto" w:fill="auto"/>
            <w:tcMar>
              <w:left w:w="20" w:type="dxa"/>
              <w:right w:w="20" w:type="dxa"/>
            </w:tcMar>
            <w:vAlign w:val="bottom"/>
          </w:tcPr>
          <w:p w14:paraId="20AE263C"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263D" w14:textId="77777777" w:rsidR="00B626E7" w:rsidRDefault="00175C1D">
            <w:pPr>
              <w:textAlignment w:val="top"/>
            </w:pPr>
            <w:r>
              <w:rPr>
                <w:rFonts w:ascii="Arial" w:eastAsia="宋体" w:hAnsi="Arial" w:cs="Arial"/>
                <w:color w:val="333333"/>
                <w:sz w:val="18"/>
                <w:szCs w:val="18"/>
              </w:rPr>
              <w:t>Mobility-as-a-Service</w:t>
            </w:r>
          </w:p>
        </w:tc>
      </w:tr>
      <w:tr w:rsidR="00B626E7" w14:paraId="20AE2642" w14:textId="77777777">
        <w:tc>
          <w:tcPr>
            <w:tcW w:w="0" w:type="auto"/>
            <w:gridSpan w:val="3"/>
            <w:shd w:val="clear" w:color="auto" w:fill="auto"/>
            <w:tcMar>
              <w:top w:w="40" w:type="dxa"/>
              <w:left w:w="20" w:type="dxa"/>
              <w:bottom w:w="40" w:type="dxa"/>
              <w:right w:w="20" w:type="dxa"/>
            </w:tcMar>
          </w:tcPr>
          <w:p w14:paraId="20AE263F" w14:textId="77777777" w:rsidR="00B626E7" w:rsidRDefault="00175C1D">
            <w:pPr>
              <w:textAlignment w:val="top"/>
            </w:pPr>
            <w:r>
              <w:rPr>
                <w:rFonts w:ascii="Arial" w:eastAsia="宋体" w:hAnsi="Arial" w:cs="Arial"/>
                <w:b/>
                <w:bCs/>
                <w:color w:val="0071C5"/>
                <w:sz w:val="18"/>
                <w:szCs w:val="18"/>
              </w:rPr>
              <w:t>McAfee</w:t>
            </w:r>
          </w:p>
        </w:tc>
        <w:tc>
          <w:tcPr>
            <w:tcW w:w="0" w:type="auto"/>
            <w:gridSpan w:val="3"/>
            <w:shd w:val="clear" w:color="auto" w:fill="auto"/>
            <w:tcMar>
              <w:left w:w="20" w:type="dxa"/>
              <w:right w:w="20" w:type="dxa"/>
            </w:tcMar>
            <w:vAlign w:val="bottom"/>
          </w:tcPr>
          <w:p w14:paraId="20AE2640"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2641" w14:textId="77777777" w:rsidR="00B626E7" w:rsidRDefault="00175C1D">
            <w:pPr>
              <w:textAlignment w:val="top"/>
            </w:pPr>
            <w:r>
              <w:rPr>
                <w:rFonts w:ascii="Arial" w:eastAsia="宋体" w:hAnsi="Arial" w:cs="Arial"/>
                <w:color w:val="333333"/>
                <w:sz w:val="18"/>
                <w:szCs w:val="18"/>
              </w:rPr>
              <w:t xml:space="preserve">Business, post divestiture of Intel </w:t>
            </w:r>
            <w:r>
              <w:rPr>
                <w:rFonts w:ascii="Arial" w:eastAsia="宋体" w:hAnsi="Arial" w:cs="Arial"/>
                <w:color w:val="333333"/>
                <w:sz w:val="18"/>
                <w:szCs w:val="18"/>
              </w:rPr>
              <w:t>Security Group in Q2 2017, which we retained an interest in as part of our investment strategy</w:t>
            </w:r>
          </w:p>
        </w:tc>
      </w:tr>
      <w:tr w:rsidR="00B626E7" w14:paraId="20AE2646" w14:textId="77777777">
        <w:tc>
          <w:tcPr>
            <w:tcW w:w="0" w:type="auto"/>
            <w:gridSpan w:val="3"/>
            <w:shd w:val="clear" w:color="auto" w:fill="auto"/>
            <w:tcMar>
              <w:top w:w="40" w:type="dxa"/>
              <w:left w:w="20" w:type="dxa"/>
              <w:bottom w:w="40" w:type="dxa"/>
              <w:right w:w="20" w:type="dxa"/>
            </w:tcMar>
          </w:tcPr>
          <w:p w14:paraId="20AE2643" w14:textId="77777777" w:rsidR="00B626E7" w:rsidRDefault="00175C1D">
            <w:pPr>
              <w:textAlignment w:val="top"/>
            </w:pPr>
            <w:r>
              <w:rPr>
                <w:rFonts w:ascii="Arial" w:eastAsia="宋体" w:hAnsi="Arial" w:cs="Arial"/>
                <w:b/>
                <w:bCs/>
                <w:color w:val="0071C5"/>
                <w:sz w:val="18"/>
                <w:szCs w:val="18"/>
              </w:rPr>
              <w:t>MD&amp;A</w:t>
            </w:r>
          </w:p>
        </w:tc>
        <w:tc>
          <w:tcPr>
            <w:tcW w:w="0" w:type="auto"/>
            <w:gridSpan w:val="3"/>
            <w:shd w:val="clear" w:color="auto" w:fill="auto"/>
            <w:tcMar>
              <w:left w:w="20" w:type="dxa"/>
              <w:right w:w="20" w:type="dxa"/>
            </w:tcMar>
            <w:vAlign w:val="bottom"/>
          </w:tcPr>
          <w:p w14:paraId="20AE2644"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2645" w14:textId="77777777" w:rsidR="00B626E7" w:rsidRDefault="00175C1D">
            <w:pPr>
              <w:textAlignment w:val="top"/>
            </w:pPr>
            <w:r>
              <w:rPr>
                <w:rFonts w:ascii="Arial" w:eastAsia="宋体" w:hAnsi="Arial" w:cs="Arial"/>
                <w:color w:val="333333"/>
                <w:sz w:val="18"/>
                <w:szCs w:val="18"/>
              </w:rPr>
              <w:t>Management's Discussion &amp; Analysis</w:t>
            </w:r>
          </w:p>
        </w:tc>
      </w:tr>
      <w:tr w:rsidR="00B626E7" w14:paraId="20AE264A" w14:textId="77777777">
        <w:trPr>
          <w:hidden/>
        </w:trPr>
        <w:tc>
          <w:tcPr>
            <w:tcW w:w="0" w:type="auto"/>
            <w:gridSpan w:val="3"/>
            <w:shd w:val="clear" w:color="auto" w:fill="auto"/>
          </w:tcPr>
          <w:p w14:paraId="20AE2647" w14:textId="77777777" w:rsidR="00B626E7" w:rsidRDefault="00B626E7">
            <w:pPr>
              <w:rPr>
                <w:rFonts w:ascii="宋体"/>
                <w:vanish/>
              </w:rPr>
            </w:pPr>
          </w:p>
        </w:tc>
        <w:tc>
          <w:tcPr>
            <w:tcW w:w="0" w:type="auto"/>
            <w:gridSpan w:val="3"/>
            <w:shd w:val="clear" w:color="auto" w:fill="auto"/>
          </w:tcPr>
          <w:p w14:paraId="20AE2648" w14:textId="77777777" w:rsidR="00B626E7" w:rsidRDefault="00B626E7">
            <w:pPr>
              <w:rPr>
                <w:rFonts w:ascii="宋体"/>
                <w:vanish/>
              </w:rPr>
            </w:pPr>
          </w:p>
        </w:tc>
        <w:tc>
          <w:tcPr>
            <w:tcW w:w="0" w:type="auto"/>
            <w:gridSpan w:val="3"/>
            <w:shd w:val="clear" w:color="auto" w:fill="auto"/>
          </w:tcPr>
          <w:p w14:paraId="20AE2649" w14:textId="77777777" w:rsidR="00B626E7" w:rsidRDefault="00B626E7">
            <w:pPr>
              <w:rPr>
                <w:rFonts w:ascii="宋体"/>
                <w:vanish/>
              </w:rPr>
            </w:pPr>
          </w:p>
        </w:tc>
      </w:tr>
      <w:tr w:rsidR="00B626E7" w14:paraId="20AE264E" w14:textId="77777777">
        <w:tc>
          <w:tcPr>
            <w:tcW w:w="0" w:type="auto"/>
            <w:gridSpan w:val="3"/>
            <w:shd w:val="clear" w:color="auto" w:fill="auto"/>
            <w:tcMar>
              <w:top w:w="40" w:type="dxa"/>
              <w:left w:w="20" w:type="dxa"/>
              <w:bottom w:w="40" w:type="dxa"/>
              <w:right w:w="20" w:type="dxa"/>
            </w:tcMar>
          </w:tcPr>
          <w:p w14:paraId="20AE264B" w14:textId="77777777" w:rsidR="00B626E7" w:rsidRDefault="00175C1D">
            <w:pPr>
              <w:textAlignment w:val="top"/>
            </w:pPr>
            <w:r>
              <w:rPr>
                <w:rFonts w:ascii="Arial" w:eastAsia="宋体" w:hAnsi="Arial" w:cs="Arial"/>
                <w:b/>
                <w:bCs/>
                <w:color w:val="0071C5"/>
                <w:sz w:val="18"/>
                <w:szCs w:val="18"/>
              </w:rPr>
              <w:t>MG&amp;A</w:t>
            </w:r>
          </w:p>
        </w:tc>
        <w:tc>
          <w:tcPr>
            <w:tcW w:w="0" w:type="auto"/>
            <w:gridSpan w:val="3"/>
            <w:shd w:val="clear" w:color="auto" w:fill="auto"/>
            <w:tcMar>
              <w:left w:w="20" w:type="dxa"/>
              <w:right w:w="20" w:type="dxa"/>
            </w:tcMar>
            <w:vAlign w:val="bottom"/>
          </w:tcPr>
          <w:p w14:paraId="20AE264C"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264D" w14:textId="77777777" w:rsidR="00B626E7" w:rsidRDefault="00175C1D">
            <w:pPr>
              <w:textAlignment w:val="top"/>
            </w:pPr>
            <w:r>
              <w:rPr>
                <w:rFonts w:ascii="Arial" w:eastAsia="宋体" w:hAnsi="Arial" w:cs="Arial"/>
                <w:color w:val="333333"/>
                <w:sz w:val="18"/>
                <w:szCs w:val="18"/>
              </w:rPr>
              <w:t>Marketing, general and administrative</w:t>
            </w:r>
          </w:p>
        </w:tc>
      </w:tr>
      <w:tr w:rsidR="00B626E7" w14:paraId="20AE2652" w14:textId="77777777">
        <w:trPr>
          <w:hidden/>
        </w:trPr>
        <w:tc>
          <w:tcPr>
            <w:tcW w:w="0" w:type="auto"/>
            <w:gridSpan w:val="3"/>
            <w:shd w:val="clear" w:color="auto" w:fill="auto"/>
          </w:tcPr>
          <w:p w14:paraId="20AE264F" w14:textId="77777777" w:rsidR="00B626E7" w:rsidRDefault="00B626E7">
            <w:pPr>
              <w:rPr>
                <w:rFonts w:ascii="宋体"/>
                <w:vanish/>
              </w:rPr>
            </w:pPr>
          </w:p>
        </w:tc>
        <w:tc>
          <w:tcPr>
            <w:tcW w:w="0" w:type="auto"/>
            <w:gridSpan w:val="3"/>
            <w:shd w:val="clear" w:color="auto" w:fill="auto"/>
          </w:tcPr>
          <w:p w14:paraId="20AE2650" w14:textId="77777777" w:rsidR="00B626E7" w:rsidRDefault="00B626E7">
            <w:pPr>
              <w:rPr>
                <w:rFonts w:ascii="宋体"/>
                <w:vanish/>
              </w:rPr>
            </w:pPr>
          </w:p>
        </w:tc>
        <w:tc>
          <w:tcPr>
            <w:tcW w:w="0" w:type="auto"/>
            <w:gridSpan w:val="3"/>
            <w:shd w:val="clear" w:color="auto" w:fill="auto"/>
          </w:tcPr>
          <w:p w14:paraId="20AE2651" w14:textId="77777777" w:rsidR="00B626E7" w:rsidRDefault="00B626E7">
            <w:pPr>
              <w:rPr>
                <w:rFonts w:ascii="宋体"/>
                <w:vanish/>
              </w:rPr>
            </w:pPr>
          </w:p>
        </w:tc>
      </w:tr>
      <w:tr w:rsidR="00B626E7" w14:paraId="20AE2656" w14:textId="77777777">
        <w:tc>
          <w:tcPr>
            <w:tcW w:w="0" w:type="auto"/>
            <w:gridSpan w:val="3"/>
            <w:shd w:val="clear" w:color="auto" w:fill="auto"/>
            <w:tcMar>
              <w:top w:w="40" w:type="dxa"/>
              <w:left w:w="20" w:type="dxa"/>
              <w:bottom w:w="40" w:type="dxa"/>
              <w:right w:w="20" w:type="dxa"/>
            </w:tcMar>
          </w:tcPr>
          <w:p w14:paraId="20AE2653" w14:textId="77777777" w:rsidR="00B626E7" w:rsidRDefault="00175C1D">
            <w:pPr>
              <w:textAlignment w:val="top"/>
            </w:pPr>
            <w:r>
              <w:rPr>
                <w:rFonts w:ascii="Arial" w:eastAsia="宋体" w:hAnsi="Arial" w:cs="Arial"/>
                <w:b/>
                <w:bCs/>
                <w:color w:val="0071C5"/>
                <w:sz w:val="18"/>
                <w:szCs w:val="18"/>
              </w:rPr>
              <w:t>Moovit</w:t>
            </w:r>
          </w:p>
        </w:tc>
        <w:tc>
          <w:tcPr>
            <w:tcW w:w="0" w:type="auto"/>
            <w:gridSpan w:val="3"/>
            <w:shd w:val="clear" w:color="auto" w:fill="auto"/>
            <w:tcMar>
              <w:left w:w="20" w:type="dxa"/>
              <w:right w:w="20" w:type="dxa"/>
            </w:tcMar>
            <w:vAlign w:val="bottom"/>
          </w:tcPr>
          <w:p w14:paraId="20AE2654"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2655" w14:textId="77777777" w:rsidR="00B626E7" w:rsidRDefault="00175C1D">
            <w:pPr>
              <w:textAlignment w:val="top"/>
            </w:pPr>
            <w:r>
              <w:rPr>
                <w:rFonts w:ascii="Arial" w:eastAsia="宋体" w:hAnsi="Arial" w:cs="Arial"/>
                <w:color w:val="333333"/>
                <w:sz w:val="18"/>
                <w:szCs w:val="18"/>
              </w:rPr>
              <w:t xml:space="preserve">Moovit App Global Ltd, a MaaS solutions company </w:t>
            </w:r>
            <w:r>
              <w:rPr>
                <w:rFonts w:ascii="Arial" w:eastAsia="宋体" w:hAnsi="Arial" w:cs="Arial"/>
                <w:color w:val="333333"/>
                <w:sz w:val="18"/>
                <w:szCs w:val="18"/>
              </w:rPr>
              <w:t>acquired in Q2 2020</w:t>
            </w:r>
          </w:p>
        </w:tc>
      </w:tr>
      <w:tr w:rsidR="00B626E7" w14:paraId="20AE265A" w14:textId="77777777">
        <w:tc>
          <w:tcPr>
            <w:tcW w:w="0" w:type="auto"/>
            <w:gridSpan w:val="3"/>
            <w:shd w:val="clear" w:color="auto" w:fill="auto"/>
            <w:tcMar>
              <w:top w:w="40" w:type="dxa"/>
              <w:left w:w="20" w:type="dxa"/>
              <w:bottom w:w="40" w:type="dxa"/>
              <w:right w:w="20" w:type="dxa"/>
            </w:tcMar>
          </w:tcPr>
          <w:p w14:paraId="20AE2657" w14:textId="77777777" w:rsidR="00B626E7" w:rsidRDefault="00175C1D">
            <w:pPr>
              <w:textAlignment w:val="top"/>
            </w:pPr>
            <w:r>
              <w:rPr>
                <w:rFonts w:ascii="Arial" w:eastAsia="宋体" w:hAnsi="Arial" w:cs="Arial"/>
                <w:b/>
                <w:bCs/>
                <w:color w:val="0071C5"/>
                <w:sz w:val="18"/>
                <w:szCs w:val="18"/>
              </w:rPr>
              <w:t>NAND</w:t>
            </w:r>
          </w:p>
        </w:tc>
        <w:tc>
          <w:tcPr>
            <w:tcW w:w="0" w:type="auto"/>
            <w:gridSpan w:val="3"/>
            <w:shd w:val="clear" w:color="auto" w:fill="auto"/>
            <w:tcMar>
              <w:left w:w="20" w:type="dxa"/>
              <w:right w:w="20" w:type="dxa"/>
            </w:tcMar>
            <w:vAlign w:val="bottom"/>
          </w:tcPr>
          <w:p w14:paraId="20AE2658"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2659" w14:textId="77777777" w:rsidR="00B626E7" w:rsidRDefault="00175C1D">
            <w:pPr>
              <w:textAlignment w:val="top"/>
            </w:pPr>
            <w:r>
              <w:rPr>
                <w:rFonts w:ascii="Arial" w:eastAsia="宋体" w:hAnsi="Arial" w:cs="Arial"/>
                <w:color w:val="333333"/>
                <w:sz w:val="18"/>
                <w:szCs w:val="18"/>
              </w:rPr>
              <w:t>NAND flash memory</w:t>
            </w:r>
          </w:p>
        </w:tc>
      </w:tr>
      <w:tr w:rsidR="00B626E7" w14:paraId="20AE265E" w14:textId="77777777">
        <w:tc>
          <w:tcPr>
            <w:tcW w:w="0" w:type="auto"/>
            <w:gridSpan w:val="3"/>
            <w:shd w:val="clear" w:color="auto" w:fill="auto"/>
            <w:tcMar>
              <w:top w:w="40" w:type="dxa"/>
              <w:left w:w="20" w:type="dxa"/>
              <w:bottom w:w="40" w:type="dxa"/>
              <w:right w:w="20" w:type="dxa"/>
            </w:tcMar>
          </w:tcPr>
          <w:p w14:paraId="20AE265B" w14:textId="77777777" w:rsidR="00B626E7" w:rsidRDefault="00175C1D">
            <w:pPr>
              <w:textAlignment w:val="top"/>
            </w:pPr>
            <w:r>
              <w:rPr>
                <w:rFonts w:ascii="Arial" w:eastAsia="宋体" w:hAnsi="Arial" w:cs="Arial"/>
                <w:b/>
                <w:bCs/>
                <w:color w:val="0071C5"/>
                <w:sz w:val="18"/>
                <w:szCs w:val="18"/>
              </w:rPr>
              <w:t>nm</w:t>
            </w:r>
          </w:p>
        </w:tc>
        <w:tc>
          <w:tcPr>
            <w:tcW w:w="0" w:type="auto"/>
            <w:gridSpan w:val="3"/>
            <w:shd w:val="clear" w:color="auto" w:fill="auto"/>
            <w:tcMar>
              <w:left w:w="20" w:type="dxa"/>
              <w:right w:w="20" w:type="dxa"/>
            </w:tcMar>
            <w:vAlign w:val="bottom"/>
          </w:tcPr>
          <w:p w14:paraId="20AE265C"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265D" w14:textId="77777777" w:rsidR="00B626E7" w:rsidRDefault="00175C1D">
            <w:pPr>
              <w:textAlignment w:val="top"/>
            </w:pPr>
            <w:r>
              <w:rPr>
                <w:rFonts w:ascii="Arial" w:eastAsia="宋体" w:hAnsi="Arial" w:cs="Arial"/>
                <w:color w:val="333333"/>
                <w:sz w:val="18"/>
                <w:szCs w:val="18"/>
              </w:rPr>
              <w:t>Nanometer</w:t>
            </w:r>
          </w:p>
        </w:tc>
      </w:tr>
      <w:tr w:rsidR="00B626E7" w14:paraId="20AE2662" w14:textId="77777777">
        <w:trPr>
          <w:hidden/>
        </w:trPr>
        <w:tc>
          <w:tcPr>
            <w:tcW w:w="0" w:type="auto"/>
            <w:gridSpan w:val="3"/>
            <w:shd w:val="clear" w:color="auto" w:fill="auto"/>
          </w:tcPr>
          <w:p w14:paraId="20AE265F" w14:textId="77777777" w:rsidR="00B626E7" w:rsidRDefault="00B626E7">
            <w:pPr>
              <w:rPr>
                <w:rFonts w:ascii="宋体"/>
                <w:vanish/>
              </w:rPr>
            </w:pPr>
          </w:p>
        </w:tc>
        <w:tc>
          <w:tcPr>
            <w:tcW w:w="0" w:type="auto"/>
            <w:gridSpan w:val="3"/>
            <w:shd w:val="clear" w:color="auto" w:fill="auto"/>
          </w:tcPr>
          <w:p w14:paraId="20AE2660" w14:textId="77777777" w:rsidR="00B626E7" w:rsidRDefault="00B626E7">
            <w:pPr>
              <w:rPr>
                <w:rFonts w:ascii="宋体"/>
                <w:vanish/>
              </w:rPr>
            </w:pPr>
          </w:p>
        </w:tc>
        <w:tc>
          <w:tcPr>
            <w:tcW w:w="0" w:type="auto"/>
            <w:gridSpan w:val="3"/>
            <w:shd w:val="clear" w:color="auto" w:fill="auto"/>
          </w:tcPr>
          <w:p w14:paraId="20AE2661" w14:textId="77777777" w:rsidR="00B626E7" w:rsidRDefault="00B626E7">
            <w:pPr>
              <w:rPr>
                <w:rFonts w:ascii="宋体"/>
                <w:vanish/>
              </w:rPr>
            </w:pPr>
          </w:p>
        </w:tc>
      </w:tr>
      <w:tr w:rsidR="00B626E7" w14:paraId="20AE2666" w14:textId="77777777">
        <w:trPr>
          <w:hidden/>
        </w:trPr>
        <w:tc>
          <w:tcPr>
            <w:tcW w:w="0" w:type="auto"/>
            <w:gridSpan w:val="3"/>
            <w:shd w:val="clear" w:color="auto" w:fill="auto"/>
          </w:tcPr>
          <w:p w14:paraId="20AE2663" w14:textId="77777777" w:rsidR="00B626E7" w:rsidRDefault="00B626E7">
            <w:pPr>
              <w:rPr>
                <w:rFonts w:ascii="宋体"/>
                <w:vanish/>
              </w:rPr>
            </w:pPr>
          </w:p>
        </w:tc>
        <w:tc>
          <w:tcPr>
            <w:tcW w:w="0" w:type="auto"/>
            <w:gridSpan w:val="3"/>
            <w:shd w:val="clear" w:color="auto" w:fill="auto"/>
          </w:tcPr>
          <w:p w14:paraId="20AE2664" w14:textId="77777777" w:rsidR="00B626E7" w:rsidRDefault="00B626E7">
            <w:pPr>
              <w:rPr>
                <w:rFonts w:ascii="宋体"/>
                <w:vanish/>
              </w:rPr>
            </w:pPr>
          </w:p>
        </w:tc>
        <w:tc>
          <w:tcPr>
            <w:tcW w:w="0" w:type="auto"/>
            <w:gridSpan w:val="3"/>
            <w:shd w:val="clear" w:color="auto" w:fill="auto"/>
          </w:tcPr>
          <w:p w14:paraId="20AE2665" w14:textId="77777777" w:rsidR="00B626E7" w:rsidRDefault="00B626E7">
            <w:pPr>
              <w:rPr>
                <w:rFonts w:ascii="宋体"/>
                <w:vanish/>
              </w:rPr>
            </w:pPr>
          </w:p>
        </w:tc>
      </w:tr>
      <w:tr w:rsidR="00B626E7" w14:paraId="20AE266A" w14:textId="77777777">
        <w:trPr>
          <w:hidden/>
        </w:trPr>
        <w:tc>
          <w:tcPr>
            <w:tcW w:w="0" w:type="auto"/>
            <w:gridSpan w:val="3"/>
            <w:shd w:val="clear" w:color="auto" w:fill="auto"/>
          </w:tcPr>
          <w:p w14:paraId="20AE2667" w14:textId="77777777" w:rsidR="00B626E7" w:rsidRDefault="00B626E7">
            <w:pPr>
              <w:rPr>
                <w:rFonts w:ascii="宋体"/>
                <w:vanish/>
              </w:rPr>
            </w:pPr>
          </w:p>
        </w:tc>
        <w:tc>
          <w:tcPr>
            <w:tcW w:w="0" w:type="auto"/>
            <w:gridSpan w:val="3"/>
            <w:shd w:val="clear" w:color="auto" w:fill="auto"/>
          </w:tcPr>
          <w:p w14:paraId="20AE2668" w14:textId="77777777" w:rsidR="00B626E7" w:rsidRDefault="00B626E7">
            <w:pPr>
              <w:rPr>
                <w:rFonts w:ascii="宋体"/>
                <w:vanish/>
              </w:rPr>
            </w:pPr>
          </w:p>
        </w:tc>
        <w:tc>
          <w:tcPr>
            <w:tcW w:w="0" w:type="auto"/>
            <w:gridSpan w:val="3"/>
            <w:shd w:val="clear" w:color="auto" w:fill="auto"/>
          </w:tcPr>
          <w:p w14:paraId="20AE2669" w14:textId="77777777" w:rsidR="00B626E7" w:rsidRDefault="00B626E7">
            <w:pPr>
              <w:rPr>
                <w:rFonts w:ascii="宋体"/>
                <w:vanish/>
              </w:rPr>
            </w:pPr>
          </w:p>
        </w:tc>
      </w:tr>
      <w:tr w:rsidR="00B626E7" w14:paraId="20AE266E" w14:textId="77777777">
        <w:tc>
          <w:tcPr>
            <w:tcW w:w="0" w:type="auto"/>
            <w:gridSpan w:val="3"/>
            <w:shd w:val="clear" w:color="auto" w:fill="auto"/>
            <w:tcMar>
              <w:top w:w="40" w:type="dxa"/>
              <w:left w:w="20" w:type="dxa"/>
              <w:bottom w:w="40" w:type="dxa"/>
              <w:right w:w="20" w:type="dxa"/>
            </w:tcMar>
          </w:tcPr>
          <w:p w14:paraId="20AE266B" w14:textId="77777777" w:rsidR="00B626E7" w:rsidRDefault="00175C1D">
            <w:pPr>
              <w:textAlignment w:val="top"/>
            </w:pPr>
            <w:r>
              <w:rPr>
                <w:rFonts w:ascii="Arial" w:eastAsia="宋体" w:hAnsi="Arial" w:cs="Arial"/>
                <w:b/>
                <w:bCs/>
                <w:color w:val="0071C5"/>
                <w:sz w:val="18"/>
                <w:szCs w:val="18"/>
              </w:rPr>
              <w:t>OEM</w:t>
            </w:r>
          </w:p>
        </w:tc>
        <w:tc>
          <w:tcPr>
            <w:tcW w:w="0" w:type="auto"/>
            <w:gridSpan w:val="3"/>
            <w:shd w:val="clear" w:color="auto" w:fill="auto"/>
            <w:tcMar>
              <w:left w:w="20" w:type="dxa"/>
              <w:right w:w="20" w:type="dxa"/>
            </w:tcMar>
            <w:vAlign w:val="bottom"/>
          </w:tcPr>
          <w:p w14:paraId="20AE266C"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266D" w14:textId="77777777" w:rsidR="00B626E7" w:rsidRDefault="00175C1D">
            <w:pPr>
              <w:textAlignment w:val="top"/>
            </w:pPr>
            <w:r>
              <w:rPr>
                <w:rFonts w:ascii="Arial" w:eastAsia="宋体" w:hAnsi="Arial" w:cs="Arial"/>
                <w:color w:val="333333"/>
                <w:sz w:val="18"/>
                <w:szCs w:val="18"/>
              </w:rPr>
              <w:t>Original equipment manufacturer</w:t>
            </w:r>
          </w:p>
        </w:tc>
      </w:tr>
      <w:tr w:rsidR="00B626E7" w14:paraId="20AE2672" w14:textId="77777777">
        <w:trPr>
          <w:hidden/>
        </w:trPr>
        <w:tc>
          <w:tcPr>
            <w:tcW w:w="0" w:type="auto"/>
            <w:gridSpan w:val="3"/>
            <w:shd w:val="clear" w:color="auto" w:fill="auto"/>
          </w:tcPr>
          <w:p w14:paraId="20AE266F" w14:textId="77777777" w:rsidR="00B626E7" w:rsidRDefault="00B626E7">
            <w:pPr>
              <w:rPr>
                <w:rFonts w:ascii="宋体"/>
                <w:vanish/>
              </w:rPr>
            </w:pPr>
          </w:p>
        </w:tc>
        <w:tc>
          <w:tcPr>
            <w:tcW w:w="0" w:type="auto"/>
            <w:gridSpan w:val="3"/>
            <w:shd w:val="clear" w:color="auto" w:fill="auto"/>
          </w:tcPr>
          <w:p w14:paraId="20AE2670" w14:textId="77777777" w:rsidR="00B626E7" w:rsidRDefault="00B626E7">
            <w:pPr>
              <w:rPr>
                <w:rFonts w:ascii="宋体"/>
                <w:vanish/>
              </w:rPr>
            </w:pPr>
          </w:p>
        </w:tc>
        <w:tc>
          <w:tcPr>
            <w:tcW w:w="0" w:type="auto"/>
            <w:gridSpan w:val="3"/>
            <w:shd w:val="clear" w:color="auto" w:fill="auto"/>
          </w:tcPr>
          <w:p w14:paraId="20AE2671" w14:textId="77777777" w:rsidR="00B626E7" w:rsidRDefault="00B626E7">
            <w:pPr>
              <w:rPr>
                <w:rFonts w:ascii="宋体"/>
                <w:vanish/>
              </w:rPr>
            </w:pPr>
          </w:p>
        </w:tc>
      </w:tr>
      <w:tr w:rsidR="00B626E7" w14:paraId="20AE2676" w14:textId="77777777">
        <w:trPr>
          <w:hidden/>
        </w:trPr>
        <w:tc>
          <w:tcPr>
            <w:tcW w:w="0" w:type="auto"/>
            <w:gridSpan w:val="3"/>
            <w:shd w:val="clear" w:color="auto" w:fill="auto"/>
          </w:tcPr>
          <w:p w14:paraId="20AE2673" w14:textId="77777777" w:rsidR="00B626E7" w:rsidRDefault="00B626E7">
            <w:pPr>
              <w:rPr>
                <w:rFonts w:ascii="宋体"/>
                <w:vanish/>
              </w:rPr>
            </w:pPr>
          </w:p>
        </w:tc>
        <w:tc>
          <w:tcPr>
            <w:tcW w:w="0" w:type="auto"/>
            <w:gridSpan w:val="3"/>
            <w:shd w:val="clear" w:color="auto" w:fill="auto"/>
          </w:tcPr>
          <w:p w14:paraId="20AE2674" w14:textId="77777777" w:rsidR="00B626E7" w:rsidRDefault="00B626E7">
            <w:pPr>
              <w:rPr>
                <w:rFonts w:ascii="宋体"/>
                <w:vanish/>
              </w:rPr>
            </w:pPr>
          </w:p>
        </w:tc>
        <w:tc>
          <w:tcPr>
            <w:tcW w:w="0" w:type="auto"/>
            <w:gridSpan w:val="3"/>
            <w:shd w:val="clear" w:color="auto" w:fill="auto"/>
          </w:tcPr>
          <w:p w14:paraId="20AE2675" w14:textId="77777777" w:rsidR="00B626E7" w:rsidRDefault="00B626E7">
            <w:pPr>
              <w:rPr>
                <w:rFonts w:ascii="宋体"/>
                <w:vanish/>
              </w:rPr>
            </w:pPr>
          </w:p>
        </w:tc>
      </w:tr>
      <w:tr w:rsidR="00B626E7" w14:paraId="20AE267A" w14:textId="77777777">
        <w:trPr>
          <w:hidden/>
        </w:trPr>
        <w:tc>
          <w:tcPr>
            <w:tcW w:w="0" w:type="auto"/>
            <w:gridSpan w:val="3"/>
            <w:shd w:val="clear" w:color="auto" w:fill="auto"/>
          </w:tcPr>
          <w:p w14:paraId="20AE2677" w14:textId="77777777" w:rsidR="00B626E7" w:rsidRDefault="00B626E7">
            <w:pPr>
              <w:rPr>
                <w:rFonts w:ascii="宋体"/>
                <w:vanish/>
              </w:rPr>
            </w:pPr>
          </w:p>
        </w:tc>
        <w:tc>
          <w:tcPr>
            <w:tcW w:w="0" w:type="auto"/>
            <w:gridSpan w:val="3"/>
            <w:shd w:val="clear" w:color="auto" w:fill="auto"/>
          </w:tcPr>
          <w:p w14:paraId="20AE2678" w14:textId="77777777" w:rsidR="00B626E7" w:rsidRDefault="00B626E7">
            <w:pPr>
              <w:rPr>
                <w:rFonts w:ascii="宋体"/>
                <w:vanish/>
              </w:rPr>
            </w:pPr>
          </w:p>
        </w:tc>
        <w:tc>
          <w:tcPr>
            <w:tcW w:w="0" w:type="auto"/>
            <w:gridSpan w:val="3"/>
            <w:shd w:val="clear" w:color="auto" w:fill="auto"/>
          </w:tcPr>
          <w:p w14:paraId="20AE2679" w14:textId="77777777" w:rsidR="00B626E7" w:rsidRDefault="00B626E7">
            <w:pPr>
              <w:rPr>
                <w:rFonts w:ascii="宋体"/>
                <w:vanish/>
              </w:rPr>
            </w:pPr>
          </w:p>
        </w:tc>
      </w:tr>
      <w:tr w:rsidR="00B626E7" w14:paraId="20AE267E" w14:textId="77777777">
        <w:trPr>
          <w:hidden/>
        </w:trPr>
        <w:tc>
          <w:tcPr>
            <w:tcW w:w="0" w:type="auto"/>
            <w:gridSpan w:val="3"/>
            <w:shd w:val="clear" w:color="auto" w:fill="auto"/>
          </w:tcPr>
          <w:p w14:paraId="20AE267B" w14:textId="77777777" w:rsidR="00B626E7" w:rsidRDefault="00B626E7">
            <w:pPr>
              <w:rPr>
                <w:rFonts w:ascii="宋体"/>
                <w:vanish/>
              </w:rPr>
            </w:pPr>
          </w:p>
        </w:tc>
        <w:tc>
          <w:tcPr>
            <w:tcW w:w="0" w:type="auto"/>
            <w:gridSpan w:val="3"/>
            <w:shd w:val="clear" w:color="auto" w:fill="auto"/>
          </w:tcPr>
          <w:p w14:paraId="20AE267C" w14:textId="77777777" w:rsidR="00B626E7" w:rsidRDefault="00B626E7">
            <w:pPr>
              <w:rPr>
                <w:rFonts w:ascii="宋体"/>
                <w:vanish/>
              </w:rPr>
            </w:pPr>
          </w:p>
        </w:tc>
        <w:tc>
          <w:tcPr>
            <w:tcW w:w="0" w:type="auto"/>
            <w:gridSpan w:val="3"/>
            <w:shd w:val="clear" w:color="auto" w:fill="auto"/>
          </w:tcPr>
          <w:p w14:paraId="20AE267D" w14:textId="77777777" w:rsidR="00B626E7" w:rsidRDefault="00B626E7">
            <w:pPr>
              <w:rPr>
                <w:rFonts w:ascii="宋体"/>
                <w:vanish/>
              </w:rPr>
            </w:pPr>
          </w:p>
        </w:tc>
      </w:tr>
      <w:tr w:rsidR="00B626E7" w14:paraId="20AE2682" w14:textId="77777777">
        <w:tc>
          <w:tcPr>
            <w:tcW w:w="0" w:type="auto"/>
            <w:gridSpan w:val="3"/>
            <w:shd w:val="clear" w:color="auto" w:fill="auto"/>
            <w:tcMar>
              <w:top w:w="40" w:type="dxa"/>
              <w:left w:w="20" w:type="dxa"/>
              <w:bottom w:w="40" w:type="dxa"/>
              <w:right w:w="20" w:type="dxa"/>
            </w:tcMar>
          </w:tcPr>
          <w:p w14:paraId="20AE267F" w14:textId="77777777" w:rsidR="00B626E7" w:rsidRDefault="00175C1D">
            <w:pPr>
              <w:textAlignment w:val="top"/>
            </w:pPr>
            <w:r>
              <w:rPr>
                <w:rFonts w:ascii="Arial" w:eastAsia="宋体" w:hAnsi="Arial" w:cs="Arial"/>
                <w:b/>
                <w:bCs/>
                <w:color w:val="0071C5"/>
                <w:sz w:val="18"/>
                <w:szCs w:val="18"/>
              </w:rPr>
              <w:t>PC-centric business</w:t>
            </w:r>
          </w:p>
        </w:tc>
        <w:tc>
          <w:tcPr>
            <w:tcW w:w="0" w:type="auto"/>
            <w:gridSpan w:val="3"/>
            <w:shd w:val="clear" w:color="auto" w:fill="auto"/>
            <w:tcMar>
              <w:left w:w="20" w:type="dxa"/>
              <w:right w:w="20" w:type="dxa"/>
            </w:tcMar>
            <w:vAlign w:val="bottom"/>
          </w:tcPr>
          <w:p w14:paraId="20AE2680"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2681" w14:textId="77777777" w:rsidR="00B626E7" w:rsidRDefault="00175C1D">
            <w:pPr>
              <w:textAlignment w:val="top"/>
            </w:pPr>
            <w:r>
              <w:rPr>
                <w:rFonts w:ascii="Arial" w:eastAsia="宋体" w:hAnsi="Arial" w:cs="Arial"/>
                <w:color w:val="333333"/>
                <w:sz w:val="18"/>
                <w:szCs w:val="18"/>
              </w:rPr>
              <w:t>Our Client Computing Group (CCG) business, including both platform and adjacent products</w:t>
            </w:r>
          </w:p>
        </w:tc>
      </w:tr>
      <w:tr w:rsidR="00B626E7" w14:paraId="20AE2686" w14:textId="77777777">
        <w:tc>
          <w:tcPr>
            <w:tcW w:w="0" w:type="auto"/>
            <w:gridSpan w:val="3"/>
            <w:shd w:val="clear" w:color="auto" w:fill="auto"/>
            <w:tcMar>
              <w:top w:w="40" w:type="dxa"/>
              <w:left w:w="20" w:type="dxa"/>
              <w:bottom w:w="40" w:type="dxa"/>
              <w:right w:w="20" w:type="dxa"/>
            </w:tcMar>
          </w:tcPr>
          <w:p w14:paraId="20AE2683" w14:textId="77777777" w:rsidR="00B626E7" w:rsidRDefault="00175C1D">
            <w:pPr>
              <w:textAlignment w:val="top"/>
            </w:pPr>
            <w:r>
              <w:rPr>
                <w:rFonts w:ascii="Arial" w:eastAsia="宋体" w:hAnsi="Arial" w:cs="Arial"/>
                <w:b/>
                <w:bCs/>
                <w:color w:val="0071C5"/>
                <w:sz w:val="18"/>
                <w:szCs w:val="18"/>
              </w:rPr>
              <w:t xml:space="preserve">Platform </w:t>
            </w:r>
            <w:r>
              <w:rPr>
                <w:rFonts w:ascii="Arial" w:eastAsia="宋体" w:hAnsi="Arial" w:cs="Arial"/>
                <w:b/>
                <w:bCs/>
                <w:color w:val="0071C5"/>
                <w:sz w:val="18"/>
                <w:szCs w:val="18"/>
              </w:rPr>
              <w:t>products</w:t>
            </w:r>
          </w:p>
        </w:tc>
        <w:tc>
          <w:tcPr>
            <w:tcW w:w="0" w:type="auto"/>
            <w:gridSpan w:val="3"/>
            <w:shd w:val="clear" w:color="auto" w:fill="auto"/>
            <w:tcMar>
              <w:left w:w="20" w:type="dxa"/>
              <w:right w:w="20" w:type="dxa"/>
            </w:tcMar>
            <w:vAlign w:val="bottom"/>
          </w:tcPr>
          <w:p w14:paraId="20AE2684"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2685" w14:textId="77777777" w:rsidR="00B626E7" w:rsidRDefault="00175C1D">
            <w:pPr>
              <w:textAlignment w:val="top"/>
            </w:pPr>
            <w:r>
              <w:rPr>
                <w:rFonts w:ascii="Arial" w:eastAsia="宋体" w:hAnsi="Arial" w:cs="Arial"/>
                <w:color w:val="333333"/>
                <w:sz w:val="18"/>
                <w:szCs w:val="18"/>
              </w:rPr>
              <w:t>A microprocessor (CPU) and chipset, a stand-alone SoC, or a multichip package, based on Intel</w:t>
            </w:r>
            <w:r>
              <w:rPr>
                <w:rFonts w:ascii="Arial" w:eastAsia="宋体" w:hAnsi="Arial" w:cs="Arial"/>
                <w:color w:val="333333"/>
                <w:sz w:val="11"/>
                <w:szCs w:val="11"/>
              </w:rPr>
              <w:t>®</w:t>
            </w:r>
            <w:r>
              <w:rPr>
                <w:rFonts w:ascii="Arial" w:eastAsia="宋体" w:hAnsi="Arial" w:cs="Arial"/>
                <w:color w:val="333333"/>
                <w:sz w:val="18"/>
                <w:szCs w:val="18"/>
              </w:rPr>
              <w:t> architecture. Platform products are primarily used in solutions sold through the CCG, DCG, and IOTG segments</w:t>
            </w:r>
          </w:p>
        </w:tc>
      </w:tr>
      <w:tr w:rsidR="00B626E7" w14:paraId="20AE268A" w14:textId="77777777">
        <w:trPr>
          <w:hidden/>
        </w:trPr>
        <w:tc>
          <w:tcPr>
            <w:tcW w:w="0" w:type="auto"/>
            <w:gridSpan w:val="3"/>
            <w:shd w:val="clear" w:color="auto" w:fill="auto"/>
          </w:tcPr>
          <w:p w14:paraId="20AE2687" w14:textId="77777777" w:rsidR="00B626E7" w:rsidRDefault="00B626E7">
            <w:pPr>
              <w:rPr>
                <w:rFonts w:ascii="宋体"/>
                <w:vanish/>
              </w:rPr>
            </w:pPr>
          </w:p>
        </w:tc>
        <w:tc>
          <w:tcPr>
            <w:tcW w:w="0" w:type="auto"/>
            <w:gridSpan w:val="3"/>
            <w:shd w:val="clear" w:color="auto" w:fill="auto"/>
          </w:tcPr>
          <w:p w14:paraId="20AE2688" w14:textId="77777777" w:rsidR="00B626E7" w:rsidRDefault="00B626E7">
            <w:pPr>
              <w:rPr>
                <w:rFonts w:ascii="宋体"/>
                <w:vanish/>
              </w:rPr>
            </w:pPr>
          </w:p>
        </w:tc>
        <w:tc>
          <w:tcPr>
            <w:tcW w:w="0" w:type="auto"/>
            <w:gridSpan w:val="3"/>
            <w:shd w:val="clear" w:color="auto" w:fill="auto"/>
          </w:tcPr>
          <w:p w14:paraId="20AE2689" w14:textId="77777777" w:rsidR="00B626E7" w:rsidRDefault="00B626E7">
            <w:pPr>
              <w:rPr>
                <w:rFonts w:ascii="宋体"/>
                <w:vanish/>
              </w:rPr>
            </w:pPr>
          </w:p>
        </w:tc>
      </w:tr>
      <w:tr w:rsidR="00B626E7" w14:paraId="20AE268E" w14:textId="77777777">
        <w:trPr>
          <w:hidden/>
        </w:trPr>
        <w:tc>
          <w:tcPr>
            <w:tcW w:w="0" w:type="auto"/>
            <w:gridSpan w:val="3"/>
            <w:shd w:val="clear" w:color="auto" w:fill="auto"/>
          </w:tcPr>
          <w:p w14:paraId="20AE268B" w14:textId="77777777" w:rsidR="00B626E7" w:rsidRDefault="00B626E7">
            <w:pPr>
              <w:rPr>
                <w:rFonts w:ascii="宋体"/>
                <w:vanish/>
              </w:rPr>
            </w:pPr>
          </w:p>
        </w:tc>
        <w:tc>
          <w:tcPr>
            <w:tcW w:w="0" w:type="auto"/>
            <w:gridSpan w:val="3"/>
            <w:shd w:val="clear" w:color="auto" w:fill="auto"/>
          </w:tcPr>
          <w:p w14:paraId="20AE268C" w14:textId="77777777" w:rsidR="00B626E7" w:rsidRDefault="00B626E7">
            <w:pPr>
              <w:rPr>
                <w:rFonts w:ascii="宋体"/>
                <w:vanish/>
              </w:rPr>
            </w:pPr>
          </w:p>
        </w:tc>
        <w:tc>
          <w:tcPr>
            <w:tcW w:w="0" w:type="auto"/>
            <w:gridSpan w:val="3"/>
            <w:shd w:val="clear" w:color="auto" w:fill="auto"/>
          </w:tcPr>
          <w:p w14:paraId="20AE268D" w14:textId="77777777" w:rsidR="00B626E7" w:rsidRDefault="00B626E7">
            <w:pPr>
              <w:rPr>
                <w:rFonts w:ascii="宋体"/>
                <w:vanish/>
              </w:rPr>
            </w:pPr>
          </w:p>
        </w:tc>
      </w:tr>
      <w:tr w:rsidR="00B626E7" w14:paraId="20AE2692" w14:textId="77777777">
        <w:trPr>
          <w:hidden/>
        </w:trPr>
        <w:tc>
          <w:tcPr>
            <w:tcW w:w="0" w:type="auto"/>
            <w:gridSpan w:val="3"/>
            <w:shd w:val="clear" w:color="auto" w:fill="auto"/>
          </w:tcPr>
          <w:p w14:paraId="20AE268F" w14:textId="77777777" w:rsidR="00B626E7" w:rsidRDefault="00B626E7">
            <w:pPr>
              <w:rPr>
                <w:rFonts w:ascii="宋体"/>
                <w:vanish/>
              </w:rPr>
            </w:pPr>
          </w:p>
        </w:tc>
        <w:tc>
          <w:tcPr>
            <w:tcW w:w="0" w:type="auto"/>
            <w:gridSpan w:val="3"/>
            <w:shd w:val="clear" w:color="auto" w:fill="auto"/>
          </w:tcPr>
          <w:p w14:paraId="20AE2690" w14:textId="77777777" w:rsidR="00B626E7" w:rsidRDefault="00B626E7">
            <w:pPr>
              <w:rPr>
                <w:rFonts w:ascii="宋体"/>
                <w:vanish/>
              </w:rPr>
            </w:pPr>
          </w:p>
        </w:tc>
        <w:tc>
          <w:tcPr>
            <w:tcW w:w="0" w:type="auto"/>
            <w:gridSpan w:val="3"/>
            <w:shd w:val="clear" w:color="auto" w:fill="auto"/>
          </w:tcPr>
          <w:p w14:paraId="20AE2691" w14:textId="77777777" w:rsidR="00B626E7" w:rsidRDefault="00B626E7">
            <w:pPr>
              <w:rPr>
                <w:rFonts w:ascii="宋体"/>
                <w:vanish/>
              </w:rPr>
            </w:pPr>
          </w:p>
        </w:tc>
      </w:tr>
      <w:tr w:rsidR="00B626E7" w14:paraId="20AE2696" w14:textId="77777777">
        <w:trPr>
          <w:hidden/>
        </w:trPr>
        <w:tc>
          <w:tcPr>
            <w:tcW w:w="0" w:type="auto"/>
            <w:gridSpan w:val="3"/>
            <w:shd w:val="clear" w:color="auto" w:fill="auto"/>
          </w:tcPr>
          <w:p w14:paraId="20AE2693" w14:textId="77777777" w:rsidR="00B626E7" w:rsidRDefault="00B626E7">
            <w:pPr>
              <w:rPr>
                <w:rFonts w:ascii="宋体"/>
                <w:vanish/>
              </w:rPr>
            </w:pPr>
          </w:p>
        </w:tc>
        <w:tc>
          <w:tcPr>
            <w:tcW w:w="0" w:type="auto"/>
            <w:gridSpan w:val="3"/>
            <w:shd w:val="clear" w:color="auto" w:fill="auto"/>
          </w:tcPr>
          <w:p w14:paraId="20AE2694" w14:textId="77777777" w:rsidR="00B626E7" w:rsidRDefault="00B626E7">
            <w:pPr>
              <w:rPr>
                <w:rFonts w:ascii="宋体"/>
                <w:vanish/>
              </w:rPr>
            </w:pPr>
          </w:p>
        </w:tc>
        <w:tc>
          <w:tcPr>
            <w:tcW w:w="0" w:type="auto"/>
            <w:gridSpan w:val="3"/>
            <w:shd w:val="clear" w:color="auto" w:fill="auto"/>
          </w:tcPr>
          <w:p w14:paraId="20AE2695" w14:textId="77777777" w:rsidR="00B626E7" w:rsidRDefault="00B626E7">
            <w:pPr>
              <w:rPr>
                <w:rFonts w:ascii="宋体"/>
                <w:vanish/>
              </w:rPr>
            </w:pPr>
          </w:p>
        </w:tc>
      </w:tr>
      <w:tr w:rsidR="00B626E7" w14:paraId="20AE269A" w14:textId="77777777">
        <w:trPr>
          <w:hidden/>
        </w:trPr>
        <w:tc>
          <w:tcPr>
            <w:tcW w:w="0" w:type="auto"/>
            <w:gridSpan w:val="3"/>
            <w:shd w:val="clear" w:color="auto" w:fill="auto"/>
          </w:tcPr>
          <w:p w14:paraId="20AE2697" w14:textId="77777777" w:rsidR="00B626E7" w:rsidRDefault="00B626E7">
            <w:pPr>
              <w:rPr>
                <w:rFonts w:ascii="宋体"/>
                <w:vanish/>
              </w:rPr>
            </w:pPr>
          </w:p>
        </w:tc>
        <w:tc>
          <w:tcPr>
            <w:tcW w:w="0" w:type="auto"/>
            <w:gridSpan w:val="3"/>
            <w:shd w:val="clear" w:color="auto" w:fill="auto"/>
          </w:tcPr>
          <w:p w14:paraId="20AE2698" w14:textId="77777777" w:rsidR="00B626E7" w:rsidRDefault="00B626E7">
            <w:pPr>
              <w:rPr>
                <w:rFonts w:ascii="宋体"/>
                <w:vanish/>
              </w:rPr>
            </w:pPr>
          </w:p>
        </w:tc>
        <w:tc>
          <w:tcPr>
            <w:tcW w:w="0" w:type="auto"/>
            <w:gridSpan w:val="3"/>
            <w:shd w:val="clear" w:color="auto" w:fill="auto"/>
          </w:tcPr>
          <w:p w14:paraId="20AE2699" w14:textId="77777777" w:rsidR="00B626E7" w:rsidRDefault="00B626E7">
            <w:pPr>
              <w:rPr>
                <w:rFonts w:ascii="宋体"/>
                <w:vanish/>
              </w:rPr>
            </w:pPr>
          </w:p>
        </w:tc>
      </w:tr>
      <w:tr w:rsidR="00B626E7" w14:paraId="20AE269E" w14:textId="77777777">
        <w:tc>
          <w:tcPr>
            <w:tcW w:w="0" w:type="auto"/>
            <w:gridSpan w:val="3"/>
            <w:shd w:val="clear" w:color="auto" w:fill="auto"/>
            <w:tcMar>
              <w:top w:w="40" w:type="dxa"/>
              <w:left w:w="20" w:type="dxa"/>
              <w:bottom w:w="40" w:type="dxa"/>
              <w:right w:w="20" w:type="dxa"/>
            </w:tcMar>
          </w:tcPr>
          <w:p w14:paraId="20AE269B" w14:textId="77777777" w:rsidR="00B626E7" w:rsidRDefault="00175C1D">
            <w:pPr>
              <w:textAlignment w:val="top"/>
            </w:pPr>
            <w:r>
              <w:rPr>
                <w:rFonts w:ascii="Arial" w:eastAsia="宋体" w:hAnsi="Arial" w:cs="Arial"/>
                <w:b/>
                <w:bCs/>
                <w:color w:val="0071C5"/>
                <w:sz w:val="18"/>
                <w:szCs w:val="18"/>
              </w:rPr>
              <w:t>QLC</w:t>
            </w:r>
          </w:p>
        </w:tc>
        <w:tc>
          <w:tcPr>
            <w:tcW w:w="0" w:type="auto"/>
            <w:gridSpan w:val="3"/>
            <w:shd w:val="clear" w:color="auto" w:fill="auto"/>
            <w:tcMar>
              <w:left w:w="20" w:type="dxa"/>
              <w:right w:w="20" w:type="dxa"/>
            </w:tcMar>
            <w:vAlign w:val="bottom"/>
          </w:tcPr>
          <w:p w14:paraId="20AE269C"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269D" w14:textId="77777777" w:rsidR="00B626E7" w:rsidRDefault="00175C1D">
            <w:pPr>
              <w:textAlignment w:val="top"/>
            </w:pPr>
            <w:r>
              <w:rPr>
                <w:rFonts w:ascii="Arial" w:eastAsia="宋体" w:hAnsi="Arial" w:cs="Arial"/>
                <w:color w:val="333333"/>
                <w:sz w:val="18"/>
                <w:szCs w:val="18"/>
              </w:rPr>
              <w:t xml:space="preserve">Quad-level cell </w:t>
            </w:r>
          </w:p>
        </w:tc>
      </w:tr>
      <w:tr w:rsidR="00B626E7" w14:paraId="20AE26A2" w14:textId="77777777">
        <w:tc>
          <w:tcPr>
            <w:tcW w:w="0" w:type="auto"/>
            <w:gridSpan w:val="3"/>
            <w:shd w:val="clear" w:color="auto" w:fill="auto"/>
            <w:tcMar>
              <w:top w:w="40" w:type="dxa"/>
              <w:left w:w="20" w:type="dxa"/>
              <w:bottom w:w="40" w:type="dxa"/>
              <w:right w:w="20" w:type="dxa"/>
            </w:tcMar>
          </w:tcPr>
          <w:p w14:paraId="20AE269F" w14:textId="77777777" w:rsidR="00B626E7" w:rsidRDefault="00175C1D">
            <w:pPr>
              <w:textAlignment w:val="top"/>
            </w:pPr>
            <w:r>
              <w:rPr>
                <w:rFonts w:ascii="Arial" w:eastAsia="宋体" w:hAnsi="Arial" w:cs="Arial"/>
                <w:b/>
                <w:bCs/>
                <w:color w:val="0071C5"/>
                <w:sz w:val="18"/>
                <w:szCs w:val="18"/>
              </w:rPr>
              <w:t>R&amp;D</w:t>
            </w:r>
          </w:p>
        </w:tc>
        <w:tc>
          <w:tcPr>
            <w:tcW w:w="0" w:type="auto"/>
            <w:gridSpan w:val="3"/>
            <w:shd w:val="clear" w:color="auto" w:fill="auto"/>
            <w:tcMar>
              <w:left w:w="20" w:type="dxa"/>
              <w:right w:w="20" w:type="dxa"/>
            </w:tcMar>
            <w:vAlign w:val="bottom"/>
          </w:tcPr>
          <w:p w14:paraId="20AE26A0"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26A1" w14:textId="77777777" w:rsidR="00B626E7" w:rsidRDefault="00175C1D">
            <w:pPr>
              <w:textAlignment w:val="top"/>
            </w:pPr>
            <w:r>
              <w:rPr>
                <w:rFonts w:ascii="Arial" w:eastAsia="宋体" w:hAnsi="Arial" w:cs="Arial"/>
                <w:color w:val="333333"/>
                <w:sz w:val="18"/>
                <w:szCs w:val="18"/>
              </w:rPr>
              <w:t>Research and development</w:t>
            </w:r>
          </w:p>
        </w:tc>
      </w:tr>
      <w:tr w:rsidR="00B626E7" w14:paraId="20AE26A6" w14:textId="77777777">
        <w:trPr>
          <w:hidden/>
        </w:trPr>
        <w:tc>
          <w:tcPr>
            <w:tcW w:w="0" w:type="auto"/>
            <w:gridSpan w:val="3"/>
            <w:shd w:val="clear" w:color="auto" w:fill="auto"/>
          </w:tcPr>
          <w:p w14:paraId="20AE26A3" w14:textId="77777777" w:rsidR="00B626E7" w:rsidRDefault="00B626E7">
            <w:pPr>
              <w:rPr>
                <w:rFonts w:ascii="宋体"/>
                <w:vanish/>
              </w:rPr>
            </w:pPr>
          </w:p>
        </w:tc>
        <w:tc>
          <w:tcPr>
            <w:tcW w:w="0" w:type="auto"/>
            <w:gridSpan w:val="3"/>
            <w:shd w:val="clear" w:color="auto" w:fill="auto"/>
          </w:tcPr>
          <w:p w14:paraId="20AE26A4" w14:textId="77777777" w:rsidR="00B626E7" w:rsidRDefault="00B626E7">
            <w:pPr>
              <w:rPr>
                <w:rFonts w:ascii="宋体"/>
                <w:vanish/>
              </w:rPr>
            </w:pPr>
          </w:p>
        </w:tc>
        <w:tc>
          <w:tcPr>
            <w:tcW w:w="0" w:type="auto"/>
            <w:gridSpan w:val="3"/>
            <w:shd w:val="clear" w:color="auto" w:fill="auto"/>
          </w:tcPr>
          <w:p w14:paraId="20AE26A5" w14:textId="77777777" w:rsidR="00B626E7" w:rsidRDefault="00B626E7">
            <w:pPr>
              <w:rPr>
                <w:rFonts w:ascii="宋体"/>
                <w:vanish/>
              </w:rPr>
            </w:pPr>
          </w:p>
        </w:tc>
      </w:tr>
      <w:tr w:rsidR="00B626E7" w14:paraId="20AE26AA" w14:textId="77777777">
        <w:trPr>
          <w:hidden/>
        </w:trPr>
        <w:tc>
          <w:tcPr>
            <w:tcW w:w="0" w:type="auto"/>
            <w:gridSpan w:val="3"/>
            <w:shd w:val="clear" w:color="auto" w:fill="auto"/>
          </w:tcPr>
          <w:p w14:paraId="20AE26A7" w14:textId="77777777" w:rsidR="00B626E7" w:rsidRDefault="00B626E7">
            <w:pPr>
              <w:rPr>
                <w:rFonts w:ascii="宋体"/>
                <w:vanish/>
              </w:rPr>
            </w:pPr>
          </w:p>
        </w:tc>
        <w:tc>
          <w:tcPr>
            <w:tcW w:w="0" w:type="auto"/>
            <w:gridSpan w:val="3"/>
            <w:shd w:val="clear" w:color="auto" w:fill="auto"/>
          </w:tcPr>
          <w:p w14:paraId="20AE26A8" w14:textId="77777777" w:rsidR="00B626E7" w:rsidRDefault="00B626E7">
            <w:pPr>
              <w:rPr>
                <w:rFonts w:ascii="宋体"/>
                <w:vanish/>
              </w:rPr>
            </w:pPr>
          </w:p>
        </w:tc>
        <w:tc>
          <w:tcPr>
            <w:tcW w:w="0" w:type="auto"/>
            <w:gridSpan w:val="3"/>
            <w:shd w:val="clear" w:color="auto" w:fill="auto"/>
          </w:tcPr>
          <w:p w14:paraId="20AE26A9" w14:textId="77777777" w:rsidR="00B626E7" w:rsidRDefault="00B626E7">
            <w:pPr>
              <w:rPr>
                <w:rFonts w:ascii="宋体"/>
                <w:vanish/>
              </w:rPr>
            </w:pPr>
          </w:p>
        </w:tc>
      </w:tr>
      <w:tr w:rsidR="00B626E7" w14:paraId="20AE26AE" w14:textId="77777777">
        <w:trPr>
          <w:hidden/>
        </w:trPr>
        <w:tc>
          <w:tcPr>
            <w:tcW w:w="0" w:type="auto"/>
            <w:gridSpan w:val="3"/>
            <w:shd w:val="clear" w:color="auto" w:fill="auto"/>
          </w:tcPr>
          <w:p w14:paraId="20AE26AB" w14:textId="77777777" w:rsidR="00B626E7" w:rsidRDefault="00B626E7">
            <w:pPr>
              <w:rPr>
                <w:rFonts w:ascii="宋体"/>
                <w:vanish/>
              </w:rPr>
            </w:pPr>
          </w:p>
        </w:tc>
        <w:tc>
          <w:tcPr>
            <w:tcW w:w="0" w:type="auto"/>
            <w:gridSpan w:val="3"/>
            <w:shd w:val="clear" w:color="auto" w:fill="auto"/>
          </w:tcPr>
          <w:p w14:paraId="20AE26AC" w14:textId="77777777" w:rsidR="00B626E7" w:rsidRDefault="00B626E7">
            <w:pPr>
              <w:rPr>
                <w:rFonts w:ascii="宋体"/>
                <w:vanish/>
              </w:rPr>
            </w:pPr>
          </w:p>
        </w:tc>
        <w:tc>
          <w:tcPr>
            <w:tcW w:w="0" w:type="auto"/>
            <w:gridSpan w:val="3"/>
            <w:shd w:val="clear" w:color="auto" w:fill="auto"/>
          </w:tcPr>
          <w:p w14:paraId="20AE26AD" w14:textId="77777777" w:rsidR="00B626E7" w:rsidRDefault="00B626E7">
            <w:pPr>
              <w:rPr>
                <w:rFonts w:ascii="宋体"/>
                <w:vanish/>
              </w:rPr>
            </w:pPr>
          </w:p>
        </w:tc>
      </w:tr>
      <w:tr w:rsidR="00B626E7" w14:paraId="20AE26B2" w14:textId="77777777">
        <w:tc>
          <w:tcPr>
            <w:tcW w:w="0" w:type="auto"/>
            <w:gridSpan w:val="3"/>
            <w:shd w:val="clear" w:color="auto" w:fill="auto"/>
            <w:tcMar>
              <w:top w:w="40" w:type="dxa"/>
              <w:left w:w="20" w:type="dxa"/>
              <w:bottom w:w="40" w:type="dxa"/>
              <w:right w:w="20" w:type="dxa"/>
            </w:tcMar>
          </w:tcPr>
          <w:p w14:paraId="20AE26AF" w14:textId="77777777" w:rsidR="00B626E7" w:rsidRDefault="00175C1D">
            <w:pPr>
              <w:textAlignment w:val="top"/>
            </w:pPr>
            <w:r>
              <w:rPr>
                <w:rFonts w:ascii="Arial" w:eastAsia="宋体" w:hAnsi="Arial" w:cs="Arial"/>
                <w:b/>
                <w:bCs/>
                <w:color w:val="0071C5"/>
                <w:sz w:val="18"/>
                <w:szCs w:val="18"/>
              </w:rPr>
              <w:t xml:space="preserve">RSU </w:t>
            </w:r>
          </w:p>
        </w:tc>
        <w:tc>
          <w:tcPr>
            <w:tcW w:w="0" w:type="auto"/>
            <w:gridSpan w:val="3"/>
            <w:shd w:val="clear" w:color="auto" w:fill="auto"/>
            <w:tcMar>
              <w:left w:w="20" w:type="dxa"/>
              <w:right w:w="20" w:type="dxa"/>
            </w:tcMar>
            <w:vAlign w:val="bottom"/>
          </w:tcPr>
          <w:p w14:paraId="20AE26B0"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26B1" w14:textId="77777777" w:rsidR="00B626E7" w:rsidRDefault="00175C1D">
            <w:pPr>
              <w:textAlignment w:val="top"/>
            </w:pPr>
            <w:r>
              <w:rPr>
                <w:rFonts w:ascii="Arial" w:eastAsia="宋体" w:hAnsi="Arial" w:cs="Arial"/>
                <w:color w:val="333333"/>
                <w:sz w:val="18"/>
                <w:szCs w:val="18"/>
              </w:rPr>
              <w:t>Restricted stock unit</w:t>
            </w:r>
          </w:p>
        </w:tc>
      </w:tr>
      <w:tr w:rsidR="00B626E7" w14:paraId="20AE26B6" w14:textId="77777777">
        <w:trPr>
          <w:hidden/>
        </w:trPr>
        <w:tc>
          <w:tcPr>
            <w:tcW w:w="0" w:type="auto"/>
            <w:gridSpan w:val="3"/>
            <w:shd w:val="clear" w:color="auto" w:fill="auto"/>
          </w:tcPr>
          <w:p w14:paraId="20AE26B3" w14:textId="77777777" w:rsidR="00B626E7" w:rsidRDefault="00B626E7">
            <w:pPr>
              <w:rPr>
                <w:rFonts w:ascii="宋体"/>
                <w:vanish/>
              </w:rPr>
            </w:pPr>
          </w:p>
        </w:tc>
        <w:tc>
          <w:tcPr>
            <w:tcW w:w="0" w:type="auto"/>
            <w:gridSpan w:val="3"/>
            <w:shd w:val="clear" w:color="auto" w:fill="auto"/>
          </w:tcPr>
          <w:p w14:paraId="20AE26B4" w14:textId="77777777" w:rsidR="00B626E7" w:rsidRDefault="00B626E7">
            <w:pPr>
              <w:rPr>
                <w:rFonts w:ascii="宋体"/>
                <w:vanish/>
              </w:rPr>
            </w:pPr>
          </w:p>
        </w:tc>
        <w:tc>
          <w:tcPr>
            <w:tcW w:w="0" w:type="auto"/>
            <w:gridSpan w:val="3"/>
            <w:shd w:val="clear" w:color="auto" w:fill="auto"/>
          </w:tcPr>
          <w:p w14:paraId="20AE26B5" w14:textId="77777777" w:rsidR="00B626E7" w:rsidRDefault="00B626E7">
            <w:pPr>
              <w:rPr>
                <w:rFonts w:ascii="宋体"/>
                <w:vanish/>
              </w:rPr>
            </w:pPr>
          </w:p>
        </w:tc>
      </w:tr>
      <w:tr w:rsidR="00B626E7" w14:paraId="20AE26BA" w14:textId="77777777">
        <w:trPr>
          <w:hidden/>
        </w:trPr>
        <w:tc>
          <w:tcPr>
            <w:tcW w:w="0" w:type="auto"/>
            <w:gridSpan w:val="3"/>
            <w:shd w:val="clear" w:color="auto" w:fill="auto"/>
          </w:tcPr>
          <w:p w14:paraId="20AE26B7" w14:textId="77777777" w:rsidR="00B626E7" w:rsidRDefault="00B626E7">
            <w:pPr>
              <w:rPr>
                <w:rFonts w:ascii="宋体"/>
                <w:vanish/>
              </w:rPr>
            </w:pPr>
          </w:p>
        </w:tc>
        <w:tc>
          <w:tcPr>
            <w:tcW w:w="0" w:type="auto"/>
            <w:gridSpan w:val="3"/>
            <w:shd w:val="clear" w:color="auto" w:fill="auto"/>
          </w:tcPr>
          <w:p w14:paraId="20AE26B8" w14:textId="77777777" w:rsidR="00B626E7" w:rsidRDefault="00B626E7">
            <w:pPr>
              <w:rPr>
                <w:rFonts w:ascii="宋体"/>
                <w:vanish/>
              </w:rPr>
            </w:pPr>
          </w:p>
        </w:tc>
        <w:tc>
          <w:tcPr>
            <w:tcW w:w="0" w:type="auto"/>
            <w:gridSpan w:val="3"/>
            <w:shd w:val="clear" w:color="auto" w:fill="auto"/>
          </w:tcPr>
          <w:p w14:paraId="20AE26B9" w14:textId="77777777" w:rsidR="00B626E7" w:rsidRDefault="00B626E7">
            <w:pPr>
              <w:rPr>
                <w:rFonts w:ascii="宋体"/>
                <w:vanish/>
              </w:rPr>
            </w:pPr>
          </w:p>
        </w:tc>
      </w:tr>
      <w:tr w:rsidR="00B626E7" w14:paraId="20AE26BE" w14:textId="77777777">
        <w:trPr>
          <w:hidden/>
        </w:trPr>
        <w:tc>
          <w:tcPr>
            <w:tcW w:w="0" w:type="auto"/>
            <w:gridSpan w:val="3"/>
            <w:shd w:val="clear" w:color="auto" w:fill="auto"/>
          </w:tcPr>
          <w:p w14:paraId="20AE26BB" w14:textId="77777777" w:rsidR="00B626E7" w:rsidRDefault="00B626E7">
            <w:pPr>
              <w:rPr>
                <w:rFonts w:ascii="宋体"/>
                <w:vanish/>
              </w:rPr>
            </w:pPr>
          </w:p>
        </w:tc>
        <w:tc>
          <w:tcPr>
            <w:tcW w:w="0" w:type="auto"/>
            <w:gridSpan w:val="3"/>
            <w:shd w:val="clear" w:color="auto" w:fill="auto"/>
          </w:tcPr>
          <w:p w14:paraId="20AE26BC" w14:textId="77777777" w:rsidR="00B626E7" w:rsidRDefault="00B626E7">
            <w:pPr>
              <w:rPr>
                <w:rFonts w:ascii="宋体"/>
                <w:vanish/>
              </w:rPr>
            </w:pPr>
          </w:p>
        </w:tc>
        <w:tc>
          <w:tcPr>
            <w:tcW w:w="0" w:type="auto"/>
            <w:gridSpan w:val="3"/>
            <w:shd w:val="clear" w:color="auto" w:fill="auto"/>
          </w:tcPr>
          <w:p w14:paraId="20AE26BD" w14:textId="77777777" w:rsidR="00B626E7" w:rsidRDefault="00B626E7">
            <w:pPr>
              <w:rPr>
                <w:rFonts w:ascii="宋体"/>
                <w:vanish/>
              </w:rPr>
            </w:pPr>
          </w:p>
        </w:tc>
      </w:tr>
      <w:tr w:rsidR="00B626E7" w14:paraId="20AE26C2" w14:textId="77777777">
        <w:trPr>
          <w:hidden/>
        </w:trPr>
        <w:tc>
          <w:tcPr>
            <w:tcW w:w="0" w:type="auto"/>
            <w:gridSpan w:val="3"/>
            <w:shd w:val="clear" w:color="auto" w:fill="auto"/>
          </w:tcPr>
          <w:p w14:paraId="20AE26BF" w14:textId="77777777" w:rsidR="00B626E7" w:rsidRDefault="00B626E7">
            <w:pPr>
              <w:rPr>
                <w:rFonts w:ascii="宋体"/>
                <w:vanish/>
              </w:rPr>
            </w:pPr>
          </w:p>
        </w:tc>
        <w:tc>
          <w:tcPr>
            <w:tcW w:w="0" w:type="auto"/>
            <w:gridSpan w:val="3"/>
            <w:shd w:val="clear" w:color="auto" w:fill="auto"/>
          </w:tcPr>
          <w:p w14:paraId="20AE26C0" w14:textId="77777777" w:rsidR="00B626E7" w:rsidRDefault="00B626E7">
            <w:pPr>
              <w:rPr>
                <w:rFonts w:ascii="宋体"/>
                <w:vanish/>
              </w:rPr>
            </w:pPr>
          </w:p>
        </w:tc>
        <w:tc>
          <w:tcPr>
            <w:tcW w:w="0" w:type="auto"/>
            <w:gridSpan w:val="3"/>
            <w:shd w:val="clear" w:color="auto" w:fill="auto"/>
          </w:tcPr>
          <w:p w14:paraId="20AE26C1" w14:textId="77777777" w:rsidR="00B626E7" w:rsidRDefault="00B626E7">
            <w:pPr>
              <w:rPr>
                <w:rFonts w:ascii="宋体"/>
                <w:vanish/>
              </w:rPr>
            </w:pPr>
          </w:p>
        </w:tc>
      </w:tr>
      <w:tr w:rsidR="00B626E7" w14:paraId="20AE26C6" w14:textId="77777777">
        <w:tc>
          <w:tcPr>
            <w:tcW w:w="0" w:type="auto"/>
            <w:gridSpan w:val="3"/>
            <w:shd w:val="clear" w:color="auto" w:fill="auto"/>
            <w:tcMar>
              <w:top w:w="40" w:type="dxa"/>
              <w:left w:w="20" w:type="dxa"/>
              <w:bottom w:w="40" w:type="dxa"/>
              <w:right w:w="20" w:type="dxa"/>
            </w:tcMar>
          </w:tcPr>
          <w:p w14:paraId="20AE26C3" w14:textId="77777777" w:rsidR="00B626E7" w:rsidRDefault="00175C1D">
            <w:pPr>
              <w:textAlignment w:val="top"/>
            </w:pPr>
            <w:r>
              <w:rPr>
                <w:rFonts w:ascii="Arial" w:eastAsia="宋体" w:hAnsi="Arial" w:cs="Arial"/>
                <w:b/>
                <w:bCs/>
                <w:color w:val="0071C5"/>
                <w:sz w:val="18"/>
                <w:szCs w:val="18"/>
              </w:rPr>
              <w:t>SEC</w:t>
            </w:r>
          </w:p>
        </w:tc>
        <w:tc>
          <w:tcPr>
            <w:tcW w:w="0" w:type="auto"/>
            <w:gridSpan w:val="3"/>
            <w:shd w:val="clear" w:color="auto" w:fill="auto"/>
            <w:tcMar>
              <w:left w:w="20" w:type="dxa"/>
              <w:right w:w="20" w:type="dxa"/>
            </w:tcMar>
            <w:vAlign w:val="bottom"/>
          </w:tcPr>
          <w:p w14:paraId="20AE26C4"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26C5" w14:textId="77777777" w:rsidR="00B626E7" w:rsidRDefault="00175C1D">
            <w:pPr>
              <w:textAlignment w:val="top"/>
            </w:pPr>
            <w:r>
              <w:rPr>
                <w:rFonts w:ascii="Arial" w:eastAsia="宋体" w:hAnsi="Arial" w:cs="Arial"/>
                <w:color w:val="333333"/>
                <w:sz w:val="18"/>
                <w:szCs w:val="18"/>
              </w:rPr>
              <w:t>U.S. Securities and Exchange Commission</w:t>
            </w:r>
          </w:p>
        </w:tc>
      </w:tr>
      <w:tr w:rsidR="00B626E7" w14:paraId="20AE26CA" w14:textId="77777777">
        <w:trPr>
          <w:hidden/>
        </w:trPr>
        <w:tc>
          <w:tcPr>
            <w:tcW w:w="0" w:type="auto"/>
            <w:gridSpan w:val="3"/>
            <w:shd w:val="clear" w:color="auto" w:fill="auto"/>
          </w:tcPr>
          <w:p w14:paraId="20AE26C7" w14:textId="77777777" w:rsidR="00B626E7" w:rsidRDefault="00B626E7">
            <w:pPr>
              <w:rPr>
                <w:rFonts w:ascii="宋体"/>
                <w:vanish/>
              </w:rPr>
            </w:pPr>
          </w:p>
        </w:tc>
        <w:tc>
          <w:tcPr>
            <w:tcW w:w="0" w:type="auto"/>
            <w:gridSpan w:val="3"/>
            <w:shd w:val="clear" w:color="auto" w:fill="auto"/>
          </w:tcPr>
          <w:p w14:paraId="20AE26C8" w14:textId="77777777" w:rsidR="00B626E7" w:rsidRDefault="00B626E7">
            <w:pPr>
              <w:rPr>
                <w:rFonts w:ascii="宋体"/>
                <w:vanish/>
              </w:rPr>
            </w:pPr>
          </w:p>
        </w:tc>
        <w:tc>
          <w:tcPr>
            <w:tcW w:w="0" w:type="auto"/>
            <w:gridSpan w:val="3"/>
            <w:shd w:val="clear" w:color="auto" w:fill="auto"/>
          </w:tcPr>
          <w:p w14:paraId="20AE26C9" w14:textId="77777777" w:rsidR="00B626E7" w:rsidRDefault="00B626E7">
            <w:pPr>
              <w:rPr>
                <w:rFonts w:ascii="宋体"/>
                <w:vanish/>
              </w:rPr>
            </w:pPr>
          </w:p>
        </w:tc>
      </w:tr>
      <w:tr w:rsidR="00B626E7" w14:paraId="20AE26CE" w14:textId="77777777">
        <w:tc>
          <w:tcPr>
            <w:tcW w:w="0" w:type="auto"/>
            <w:gridSpan w:val="3"/>
            <w:shd w:val="clear" w:color="auto" w:fill="auto"/>
            <w:tcMar>
              <w:top w:w="40" w:type="dxa"/>
              <w:left w:w="20" w:type="dxa"/>
              <w:bottom w:w="40" w:type="dxa"/>
              <w:right w:w="20" w:type="dxa"/>
            </w:tcMar>
          </w:tcPr>
          <w:p w14:paraId="20AE26CB" w14:textId="77777777" w:rsidR="00B626E7" w:rsidRDefault="00175C1D">
            <w:pPr>
              <w:textAlignment w:val="top"/>
            </w:pPr>
            <w:r>
              <w:rPr>
                <w:rFonts w:ascii="Arial" w:eastAsia="宋体" w:hAnsi="Arial" w:cs="Arial"/>
                <w:b/>
                <w:bCs/>
                <w:color w:val="0071C5"/>
                <w:sz w:val="18"/>
                <w:szCs w:val="18"/>
              </w:rPr>
              <w:t>SoC</w:t>
            </w:r>
          </w:p>
        </w:tc>
        <w:tc>
          <w:tcPr>
            <w:tcW w:w="0" w:type="auto"/>
            <w:gridSpan w:val="3"/>
            <w:shd w:val="clear" w:color="auto" w:fill="auto"/>
            <w:tcMar>
              <w:left w:w="20" w:type="dxa"/>
              <w:right w:w="20" w:type="dxa"/>
            </w:tcMar>
            <w:vAlign w:val="bottom"/>
          </w:tcPr>
          <w:p w14:paraId="20AE26CC"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26CD" w14:textId="77777777" w:rsidR="00B626E7" w:rsidRDefault="00175C1D">
            <w:pPr>
              <w:textAlignment w:val="top"/>
            </w:pPr>
            <w:r>
              <w:rPr>
                <w:rFonts w:ascii="Arial" w:eastAsia="宋体" w:hAnsi="Arial" w:cs="Arial"/>
                <w:color w:val="333333"/>
                <w:sz w:val="18"/>
                <w:szCs w:val="18"/>
              </w:rPr>
              <w:t xml:space="preserve">System-on-Chip </w:t>
            </w:r>
          </w:p>
        </w:tc>
      </w:tr>
      <w:tr w:rsidR="00B626E7" w14:paraId="20AE26D2" w14:textId="77777777">
        <w:trPr>
          <w:hidden/>
        </w:trPr>
        <w:tc>
          <w:tcPr>
            <w:tcW w:w="0" w:type="auto"/>
            <w:gridSpan w:val="3"/>
            <w:shd w:val="clear" w:color="auto" w:fill="auto"/>
          </w:tcPr>
          <w:p w14:paraId="20AE26CF" w14:textId="77777777" w:rsidR="00B626E7" w:rsidRDefault="00B626E7">
            <w:pPr>
              <w:rPr>
                <w:rFonts w:ascii="宋体"/>
                <w:vanish/>
              </w:rPr>
            </w:pPr>
          </w:p>
        </w:tc>
        <w:tc>
          <w:tcPr>
            <w:tcW w:w="0" w:type="auto"/>
            <w:gridSpan w:val="3"/>
            <w:shd w:val="clear" w:color="auto" w:fill="auto"/>
          </w:tcPr>
          <w:p w14:paraId="20AE26D0" w14:textId="77777777" w:rsidR="00B626E7" w:rsidRDefault="00B626E7">
            <w:pPr>
              <w:rPr>
                <w:rFonts w:ascii="宋体"/>
                <w:vanish/>
              </w:rPr>
            </w:pPr>
          </w:p>
        </w:tc>
        <w:tc>
          <w:tcPr>
            <w:tcW w:w="0" w:type="auto"/>
            <w:gridSpan w:val="3"/>
            <w:shd w:val="clear" w:color="auto" w:fill="auto"/>
          </w:tcPr>
          <w:p w14:paraId="20AE26D1" w14:textId="77777777" w:rsidR="00B626E7" w:rsidRDefault="00B626E7">
            <w:pPr>
              <w:rPr>
                <w:rFonts w:ascii="宋体"/>
                <w:vanish/>
              </w:rPr>
            </w:pPr>
          </w:p>
        </w:tc>
      </w:tr>
      <w:tr w:rsidR="00B626E7" w14:paraId="20AE26D6" w14:textId="77777777">
        <w:trPr>
          <w:hidden/>
        </w:trPr>
        <w:tc>
          <w:tcPr>
            <w:tcW w:w="0" w:type="auto"/>
            <w:gridSpan w:val="3"/>
            <w:shd w:val="clear" w:color="auto" w:fill="auto"/>
          </w:tcPr>
          <w:p w14:paraId="20AE26D3" w14:textId="77777777" w:rsidR="00B626E7" w:rsidRDefault="00B626E7">
            <w:pPr>
              <w:rPr>
                <w:rFonts w:ascii="宋体"/>
                <w:vanish/>
              </w:rPr>
            </w:pPr>
          </w:p>
        </w:tc>
        <w:tc>
          <w:tcPr>
            <w:tcW w:w="0" w:type="auto"/>
            <w:gridSpan w:val="3"/>
            <w:shd w:val="clear" w:color="auto" w:fill="auto"/>
          </w:tcPr>
          <w:p w14:paraId="20AE26D4" w14:textId="77777777" w:rsidR="00B626E7" w:rsidRDefault="00B626E7">
            <w:pPr>
              <w:rPr>
                <w:rFonts w:ascii="宋体"/>
                <w:vanish/>
              </w:rPr>
            </w:pPr>
          </w:p>
        </w:tc>
        <w:tc>
          <w:tcPr>
            <w:tcW w:w="0" w:type="auto"/>
            <w:gridSpan w:val="3"/>
            <w:shd w:val="clear" w:color="auto" w:fill="auto"/>
          </w:tcPr>
          <w:p w14:paraId="20AE26D5" w14:textId="77777777" w:rsidR="00B626E7" w:rsidRDefault="00B626E7">
            <w:pPr>
              <w:rPr>
                <w:rFonts w:ascii="宋体"/>
                <w:vanish/>
              </w:rPr>
            </w:pPr>
          </w:p>
        </w:tc>
      </w:tr>
      <w:tr w:rsidR="00B626E7" w14:paraId="20AE26DA" w14:textId="77777777">
        <w:tc>
          <w:tcPr>
            <w:tcW w:w="0" w:type="auto"/>
            <w:gridSpan w:val="3"/>
            <w:shd w:val="clear" w:color="auto" w:fill="auto"/>
            <w:tcMar>
              <w:top w:w="40" w:type="dxa"/>
              <w:left w:w="20" w:type="dxa"/>
              <w:bottom w:w="40" w:type="dxa"/>
              <w:right w:w="20" w:type="dxa"/>
            </w:tcMar>
          </w:tcPr>
          <w:p w14:paraId="20AE26D7" w14:textId="77777777" w:rsidR="00B626E7" w:rsidRDefault="00175C1D">
            <w:pPr>
              <w:textAlignment w:val="top"/>
            </w:pPr>
            <w:r>
              <w:rPr>
                <w:rFonts w:ascii="Arial" w:eastAsia="宋体" w:hAnsi="Arial" w:cs="Arial"/>
                <w:b/>
                <w:bCs/>
                <w:color w:val="0071C5"/>
                <w:sz w:val="18"/>
                <w:szCs w:val="18"/>
              </w:rPr>
              <w:t>SSD</w:t>
            </w:r>
          </w:p>
        </w:tc>
        <w:tc>
          <w:tcPr>
            <w:tcW w:w="0" w:type="auto"/>
            <w:gridSpan w:val="3"/>
            <w:shd w:val="clear" w:color="auto" w:fill="auto"/>
            <w:tcMar>
              <w:left w:w="20" w:type="dxa"/>
              <w:right w:w="20" w:type="dxa"/>
            </w:tcMar>
            <w:vAlign w:val="bottom"/>
          </w:tcPr>
          <w:p w14:paraId="20AE26D8"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26D9" w14:textId="77777777" w:rsidR="00B626E7" w:rsidRDefault="00175C1D">
            <w:pPr>
              <w:textAlignment w:val="top"/>
            </w:pPr>
            <w:r>
              <w:rPr>
                <w:rFonts w:ascii="Arial" w:eastAsia="宋体" w:hAnsi="Arial" w:cs="Arial"/>
                <w:color w:val="333333"/>
                <w:sz w:val="18"/>
                <w:szCs w:val="18"/>
              </w:rPr>
              <w:t>Solid-state drive</w:t>
            </w:r>
          </w:p>
        </w:tc>
      </w:tr>
      <w:tr w:rsidR="00B626E7" w14:paraId="20AE26DE" w14:textId="77777777">
        <w:trPr>
          <w:hidden/>
        </w:trPr>
        <w:tc>
          <w:tcPr>
            <w:tcW w:w="0" w:type="auto"/>
            <w:gridSpan w:val="3"/>
            <w:shd w:val="clear" w:color="auto" w:fill="auto"/>
          </w:tcPr>
          <w:p w14:paraId="20AE26DB" w14:textId="77777777" w:rsidR="00B626E7" w:rsidRDefault="00B626E7">
            <w:pPr>
              <w:rPr>
                <w:rFonts w:ascii="宋体"/>
                <w:vanish/>
              </w:rPr>
            </w:pPr>
          </w:p>
        </w:tc>
        <w:tc>
          <w:tcPr>
            <w:tcW w:w="0" w:type="auto"/>
            <w:gridSpan w:val="3"/>
            <w:shd w:val="clear" w:color="auto" w:fill="auto"/>
          </w:tcPr>
          <w:p w14:paraId="20AE26DC" w14:textId="77777777" w:rsidR="00B626E7" w:rsidRDefault="00B626E7">
            <w:pPr>
              <w:rPr>
                <w:rFonts w:ascii="宋体"/>
                <w:vanish/>
              </w:rPr>
            </w:pPr>
          </w:p>
        </w:tc>
        <w:tc>
          <w:tcPr>
            <w:tcW w:w="0" w:type="auto"/>
            <w:gridSpan w:val="3"/>
            <w:shd w:val="clear" w:color="auto" w:fill="auto"/>
          </w:tcPr>
          <w:p w14:paraId="20AE26DD" w14:textId="77777777" w:rsidR="00B626E7" w:rsidRDefault="00B626E7">
            <w:pPr>
              <w:rPr>
                <w:rFonts w:ascii="宋体"/>
                <w:vanish/>
              </w:rPr>
            </w:pPr>
          </w:p>
        </w:tc>
      </w:tr>
      <w:tr w:rsidR="00B626E7" w14:paraId="20AE26E2" w14:textId="77777777">
        <w:trPr>
          <w:hidden/>
        </w:trPr>
        <w:tc>
          <w:tcPr>
            <w:tcW w:w="0" w:type="auto"/>
            <w:gridSpan w:val="3"/>
            <w:shd w:val="clear" w:color="auto" w:fill="auto"/>
          </w:tcPr>
          <w:p w14:paraId="20AE26DF" w14:textId="77777777" w:rsidR="00B626E7" w:rsidRDefault="00B626E7">
            <w:pPr>
              <w:rPr>
                <w:rFonts w:ascii="宋体"/>
                <w:vanish/>
              </w:rPr>
            </w:pPr>
          </w:p>
        </w:tc>
        <w:tc>
          <w:tcPr>
            <w:tcW w:w="0" w:type="auto"/>
            <w:gridSpan w:val="3"/>
            <w:shd w:val="clear" w:color="auto" w:fill="auto"/>
          </w:tcPr>
          <w:p w14:paraId="20AE26E0" w14:textId="77777777" w:rsidR="00B626E7" w:rsidRDefault="00B626E7">
            <w:pPr>
              <w:rPr>
                <w:rFonts w:ascii="宋体"/>
                <w:vanish/>
              </w:rPr>
            </w:pPr>
          </w:p>
        </w:tc>
        <w:tc>
          <w:tcPr>
            <w:tcW w:w="0" w:type="auto"/>
            <w:gridSpan w:val="3"/>
            <w:shd w:val="clear" w:color="auto" w:fill="auto"/>
          </w:tcPr>
          <w:p w14:paraId="20AE26E1" w14:textId="77777777" w:rsidR="00B626E7" w:rsidRDefault="00B626E7">
            <w:pPr>
              <w:rPr>
                <w:rFonts w:ascii="宋体"/>
                <w:vanish/>
              </w:rPr>
            </w:pPr>
          </w:p>
        </w:tc>
      </w:tr>
      <w:tr w:rsidR="00B626E7" w14:paraId="20AE26E6" w14:textId="77777777">
        <w:trPr>
          <w:hidden/>
        </w:trPr>
        <w:tc>
          <w:tcPr>
            <w:tcW w:w="0" w:type="auto"/>
            <w:gridSpan w:val="3"/>
            <w:shd w:val="clear" w:color="auto" w:fill="auto"/>
          </w:tcPr>
          <w:p w14:paraId="20AE26E3" w14:textId="77777777" w:rsidR="00B626E7" w:rsidRDefault="00B626E7">
            <w:pPr>
              <w:rPr>
                <w:rFonts w:ascii="宋体"/>
                <w:vanish/>
              </w:rPr>
            </w:pPr>
          </w:p>
        </w:tc>
        <w:tc>
          <w:tcPr>
            <w:tcW w:w="0" w:type="auto"/>
            <w:gridSpan w:val="3"/>
            <w:shd w:val="clear" w:color="auto" w:fill="auto"/>
          </w:tcPr>
          <w:p w14:paraId="20AE26E4" w14:textId="77777777" w:rsidR="00B626E7" w:rsidRDefault="00B626E7">
            <w:pPr>
              <w:rPr>
                <w:rFonts w:ascii="宋体"/>
                <w:vanish/>
              </w:rPr>
            </w:pPr>
          </w:p>
        </w:tc>
        <w:tc>
          <w:tcPr>
            <w:tcW w:w="0" w:type="auto"/>
            <w:gridSpan w:val="3"/>
            <w:shd w:val="clear" w:color="auto" w:fill="auto"/>
          </w:tcPr>
          <w:p w14:paraId="20AE26E5" w14:textId="77777777" w:rsidR="00B626E7" w:rsidRDefault="00B626E7">
            <w:pPr>
              <w:rPr>
                <w:rFonts w:ascii="宋体"/>
                <w:vanish/>
              </w:rPr>
            </w:pPr>
          </w:p>
        </w:tc>
      </w:tr>
      <w:tr w:rsidR="00B626E7" w14:paraId="20AE26EA" w14:textId="77777777">
        <w:tc>
          <w:tcPr>
            <w:tcW w:w="0" w:type="auto"/>
            <w:gridSpan w:val="3"/>
            <w:shd w:val="clear" w:color="auto" w:fill="auto"/>
            <w:tcMar>
              <w:top w:w="40" w:type="dxa"/>
              <w:left w:w="20" w:type="dxa"/>
              <w:bottom w:w="40" w:type="dxa"/>
              <w:right w:w="20" w:type="dxa"/>
            </w:tcMar>
          </w:tcPr>
          <w:p w14:paraId="20AE26E7" w14:textId="77777777" w:rsidR="00B626E7" w:rsidRDefault="00175C1D">
            <w:pPr>
              <w:textAlignment w:val="top"/>
            </w:pPr>
            <w:r>
              <w:rPr>
                <w:rFonts w:ascii="Arial" w:eastAsia="宋体" w:hAnsi="Arial" w:cs="Arial"/>
                <w:b/>
                <w:bCs/>
                <w:color w:val="0071C5"/>
                <w:sz w:val="18"/>
                <w:szCs w:val="18"/>
              </w:rPr>
              <w:t>TLC</w:t>
            </w:r>
          </w:p>
        </w:tc>
        <w:tc>
          <w:tcPr>
            <w:tcW w:w="0" w:type="auto"/>
            <w:gridSpan w:val="3"/>
            <w:shd w:val="clear" w:color="auto" w:fill="auto"/>
            <w:tcMar>
              <w:left w:w="20" w:type="dxa"/>
              <w:right w:w="20" w:type="dxa"/>
            </w:tcMar>
            <w:vAlign w:val="bottom"/>
          </w:tcPr>
          <w:p w14:paraId="20AE26E8"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26E9" w14:textId="77777777" w:rsidR="00B626E7" w:rsidRDefault="00175C1D">
            <w:pPr>
              <w:textAlignment w:val="top"/>
            </w:pPr>
            <w:r>
              <w:rPr>
                <w:rFonts w:ascii="Arial" w:eastAsia="宋体" w:hAnsi="Arial" w:cs="Arial"/>
                <w:color w:val="333333"/>
                <w:sz w:val="18"/>
                <w:szCs w:val="18"/>
              </w:rPr>
              <w:t>Triple-level cell</w:t>
            </w:r>
          </w:p>
        </w:tc>
      </w:tr>
      <w:tr w:rsidR="00B626E7" w14:paraId="20AE26EE" w14:textId="77777777">
        <w:trPr>
          <w:hidden/>
        </w:trPr>
        <w:tc>
          <w:tcPr>
            <w:tcW w:w="0" w:type="auto"/>
            <w:gridSpan w:val="3"/>
            <w:shd w:val="clear" w:color="auto" w:fill="auto"/>
          </w:tcPr>
          <w:p w14:paraId="20AE26EB" w14:textId="77777777" w:rsidR="00B626E7" w:rsidRDefault="00B626E7">
            <w:pPr>
              <w:rPr>
                <w:rFonts w:ascii="宋体"/>
                <w:vanish/>
              </w:rPr>
            </w:pPr>
          </w:p>
        </w:tc>
        <w:tc>
          <w:tcPr>
            <w:tcW w:w="0" w:type="auto"/>
            <w:gridSpan w:val="3"/>
            <w:shd w:val="clear" w:color="auto" w:fill="auto"/>
          </w:tcPr>
          <w:p w14:paraId="20AE26EC" w14:textId="77777777" w:rsidR="00B626E7" w:rsidRDefault="00B626E7">
            <w:pPr>
              <w:rPr>
                <w:rFonts w:ascii="宋体"/>
                <w:vanish/>
              </w:rPr>
            </w:pPr>
          </w:p>
        </w:tc>
        <w:tc>
          <w:tcPr>
            <w:tcW w:w="0" w:type="auto"/>
            <w:gridSpan w:val="3"/>
            <w:shd w:val="clear" w:color="auto" w:fill="auto"/>
          </w:tcPr>
          <w:p w14:paraId="20AE26ED" w14:textId="77777777" w:rsidR="00B626E7" w:rsidRDefault="00B626E7">
            <w:pPr>
              <w:rPr>
                <w:rFonts w:ascii="宋体"/>
                <w:vanish/>
              </w:rPr>
            </w:pPr>
          </w:p>
        </w:tc>
      </w:tr>
      <w:tr w:rsidR="00B626E7" w14:paraId="20AE26F2" w14:textId="77777777">
        <w:trPr>
          <w:hidden/>
        </w:trPr>
        <w:tc>
          <w:tcPr>
            <w:tcW w:w="0" w:type="auto"/>
            <w:gridSpan w:val="3"/>
            <w:shd w:val="clear" w:color="auto" w:fill="auto"/>
          </w:tcPr>
          <w:p w14:paraId="20AE26EF" w14:textId="77777777" w:rsidR="00B626E7" w:rsidRDefault="00B626E7">
            <w:pPr>
              <w:rPr>
                <w:rFonts w:ascii="宋体"/>
                <w:vanish/>
              </w:rPr>
            </w:pPr>
          </w:p>
        </w:tc>
        <w:tc>
          <w:tcPr>
            <w:tcW w:w="0" w:type="auto"/>
            <w:gridSpan w:val="3"/>
            <w:shd w:val="clear" w:color="auto" w:fill="auto"/>
          </w:tcPr>
          <w:p w14:paraId="20AE26F0" w14:textId="77777777" w:rsidR="00B626E7" w:rsidRDefault="00B626E7">
            <w:pPr>
              <w:rPr>
                <w:rFonts w:ascii="宋体"/>
                <w:vanish/>
              </w:rPr>
            </w:pPr>
          </w:p>
        </w:tc>
        <w:tc>
          <w:tcPr>
            <w:tcW w:w="0" w:type="auto"/>
            <w:gridSpan w:val="3"/>
            <w:shd w:val="clear" w:color="auto" w:fill="auto"/>
          </w:tcPr>
          <w:p w14:paraId="20AE26F1" w14:textId="77777777" w:rsidR="00B626E7" w:rsidRDefault="00B626E7">
            <w:pPr>
              <w:rPr>
                <w:rFonts w:ascii="宋体"/>
                <w:vanish/>
              </w:rPr>
            </w:pPr>
          </w:p>
        </w:tc>
      </w:tr>
      <w:tr w:rsidR="00B626E7" w14:paraId="20AE26F6" w14:textId="77777777">
        <w:trPr>
          <w:hidden/>
        </w:trPr>
        <w:tc>
          <w:tcPr>
            <w:tcW w:w="0" w:type="auto"/>
            <w:gridSpan w:val="3"/>
            <w:shd w:val="clear" w:color="auto" w:fill="auto"/>
          </w:tcPr>
          <w:p w14:paraId="20AE26F3" w14:textId="77777777" w:rsidR="00B626E7" w:rsidRDefault="00B626E7">
            <w:pPr>
              <w:rPr>
                <w:rFonts w:ascii="宋体"/>
                <w:vanish/>
              </w:rPr>
            </w:pPr>
          </w:p>
        </w:tc>
        <w:tc>
          <w:tcPr>
            <w:tcW w:w="0" w:type="auto"/>
            <w:gridSpan w:val="3"/>
            <w:shd w:val="clear" w:color="auto" w:fill="auto"/>
          </w:tcPr>
          <w:p w14:paraId="20AE26F4" w14:textId="77777777" w:rsidR="00B626E7" w:rsidRDefault="00B626E7">
            <w:pPr>
              <w:rPr>
                <w:rFonts w:ascii="宋体"/>
                <w:vanish/>
              </w:rPr>
            </w:pPr>
          </w:p>
        </w:tc>
        <w:tc>
          <w:tcPr>
            <w:tcW w:w="0" w:type="auto"/>
            <w:gridSpan w:val="3"/>
            <w:shd w:val="clear" w:color="auto" w:fill="auto"/>
          </w:tcPr>
          <w:p w14:paraId="20AE26F5" w14:textId="77777777" w:rsidR="00B626E7" w:rsidRDefault="00B626E7">
            <w:pPr>
              <w:rPr>
                <w:rFonts w:ascii="宋体"/>
                <w:vanish/>
              </w:rPr>
            </w:pPr>
          </w:p>
        </w:tc>
      </w:tr>
      <w:tr w:rsidR="00B626E7" w14:paraId="20AE26FA" w14:textId="77777777">
        <w:trPr>
          <w:hidden/>
        </w:trPr>
        <w:tc>
          <w:tcPr>
            <w:tcW w:w="0" w:type="auto"/>
            <w:gridSpan w:val="3"/>
            <w:shd w:val="clear" w:color="auto" w:fill="auto"/>
          </w:tcPr>
          <w:p w14:paraId="20AE26F7" w14:textId="77777777" w:rsidR="00B626E7" w:rsidRDefault="00B626E7">
            <w:pPr>
              <w:rPr>
                <w:rFonts w:ascii="宋体"/>
                <w:vanish/>
              </w:rPr>
            </w:pPr>
          </w:p>
        </w:tc>
        <w:tc>
          <w:tcPr>
            <w:tcW w:w="0" w:type="auto"/>
            <w:gridSpan w:val="3"/>
            <w:shd w:val="clear" w:color="auto" w:fill="auto"/>
          </w:tcPr>
          <w:p w14:paraId="20AE26F8" w14:textId="77777777" w:rsidR="00B626E7" w:rsidRDefault="00B626E7">
            <w:pPr>
              <w:rPr>
                <w:rFonts w:ascii="宋体"/>
                <w:vanish/>
              </w:rPr>
            </w:pPr>
          </w:p>
        </w:tc>
        <w:tc>
          <w:tcPr>
            <w:tcW w:w="0" w:type="auto"/>
            <w:gridSpan w:val="3"/>
            <w:shd w:val="clear" w:color="auto" w:fill="auto"/>
          </w:tcPr>
          <w:p w14:paraId="20AE26F9" w14:textId="77777777" w:rsidR="00B626E7" w:rsidRDefault="00B626E7">
            <w:pPr>
              <w:rPr>
                <w:rFonts w:ascii="宋体"/>
                <w:vanish/>
              </w:rPr>
            </w:pPr>
          </w:p>
        </w:tc>
      </w:tr>
      <w:tr w:rsidR="00B626E7" w14:paraId="20AE26FE" w14:textId="77777777">
        <w:trPr>
          <w:hidden/>
        </w:trPr>
        <w:tc>
          <w:tcPr>
            <w:tcW w:w="0" w:type="auto"/>
            <w:gridSpan w:val="3"/>
            <w:shd w:val="clear" w:color="auto" w:fill="auto"/>
          </w:tcPr>
          <w:p w14:paraId="20AE26FB" w14:textId="77777777" w:rsidR="00B626E7" w:rsidRDefault="00B626E7">
            <w:pPr>
              <w:rPr>
                <w:rFonts w:ascii="宋体"/>
                <w:vanish/>
              </w:rPr>
            </w:pPr>
          </w:p>
        </w:tc>
        <w:tc>
          <w:tcPr>
            <w:tcW w:w="0" w:type="auto"/>
            <w:gridSpan w:val="3"/>
            <w:shd w:val="clear" w:color="auto" w:fill="auto"/>
          </w:tcPr>
          <w:p w14:paraId="20AE26FC" w14:textId="77777777" w:rsidR="00B626E7" w:rsidRDefault="00B626E7">
            <w:pPr>
              <w:rPr>
                <w:rFonts w:ascii="宋体"/>
                <w:vanish/>
              </w:rPr>
            </w:pPr>
          </w:p>
        </w:tc>
        <w:tc>
          <w:tcPr>
            <w:tcW w:w="0" w:type="auto"/>
            <w:gridSpan w:val="3"/>
            <w:shd w:val="clear" w:color="auto" w:fill="auto"/>
          </w:tcPr>
          <w:p w14:paraId="20AE26FD" w14:textId="77777777" w:rsidR="00B626E7" w:rsidRDefault="00B626E7">
            <w:pPr>
              <w:rPr>
                <w:rFonts w:ascii="宋体"/>
                <w:vanish/>
              </w:rPr>
            </w:pPr>
          </w:p>
        </w:tc>
      </w:tr>
      <w:tr w:rsidR="00B626E7" w14:paraId="20AE2702" w14:textId="77777777">
        <w:tc>
          <w:tcPr>
            <w:tcW w:w="0" w:type="auto"/>
            <w:gridSpan w:val="3"/>
            <w:shd w:val="clear" w:color="auto" w:fill="auto"/>
            <w:tcMar>
              <w:top w:w="40" w:type="dxa"/>
              <w:left w:w="20" w:type="dxa"/>
              <w:bottom w:w="40" w:type="dxa"/>
              <w:right w:w="20" w:type="dxa"/>
            </w:tcMar>
          </w:tcPr>
          <w:p w14:paraId="20AE26FF" w14:textId="77777777" w:rsidR="00B626E7" w:rsidRDefault="00175C1D">
            <w:pPr>
              <w:textAlignment w:val="top"/>
            </w:pPr>
            <w:r>
              <w:rPr>
                <w:rFonts w:ascii="Arial" w:eastAsia="宋体" w:hAnsi="Arial" w:cs="Arial"/>
                <w:b/>
                <w:bCs/>
                <w:color w:val="0071C5"/>
                <w:sz w:val="18"/>
                <w:szCs w:val="18"/>
              </w:rPr>
              <w:t>U.S. GAAP</w:t>
            </w:r>
          </w:p>
        </w:tc>
        <w:tc>
          <w:tcPr>
            <w:tcW w:w="0" w:type="auto"/>
            <w:gridSpan w:val="3"/>
            <w:shd w:val="clear" w:color="auto" w:fill="auto"/>
            <w:tcMar>
              <w:left w:w="20" w:type="dxa"/>
              <w:right w:w="20" w:type="dxa"/>
            </w:tcMar>
            <w:vAlign w:val="bottom"/>
          </w:tcPr>
          <w:p w14:paraId="20AE2700"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2701" w14:textId="77777777" w:rsidR="00B626E7" w:rsidRDefault="00175C1D">
            <w:pPr>
              <w:textAlignment w:val="top"/>
            </w:pPr>
            <w:r>
              <w:rPr>
                <w:rFonts w:ascii="Arial" w:eastAsia="宋体" w:hAnsi="Arial" w:cs="Arial"/>
                <w:color w:val="333333"/>
                <w:sz w:val="18"/>
                <w:szCs w:val="18"/>
              </w:rPr>
              <w:t>U.S. Generally Accepted Accounting Principles</w:t>
            </w:r>
          </w:p>
        </w:tc>
      </w:tr>
      <w:tr w:rsidR="00B626E7" w14:paraId="20AE2706" w14:textId="77777777">
        <w:trPr>
          <w:hidden/>
        </w:trPr>
        <w:tc>
          <w:tcPr>
            <w:tcW w:w="0" w:type="auto"/>
            <w:gridSpan w:val="3"/>
            <w:shd w:val="clear" w:color="auto" w:fill="auto"/>
          </w:tcPr>
          <w:p w14:paraId="20AE2703" w14:textId="77777777" w:rsidR="00B626E7" w:rsidRDefault="00B626E7">
            <w:pPr>
              <w:rPr>
                <w:rFonts w:ascii="宋体"/>
                <w:vanish/>
              </w:rPr>
            </w:pPr>
          </w:p>
        </w:tc>
        <w:tc>
          <w:tcPr>
            <w:tcW w:w="0" w:type="auto"/>
            <w:gridSpan w:val="3"/>
            <w:shd w:val="clear" w:color="auto" w:fill="auto"/>
          </w:tcPr>
          <w:p w14:paraId="20AE2704" w14:textId="77777777" w:rsidR="00B626E7" w:rsidRDefault="00B626E7">
            <w:pPr>
              <w:rPr>
                <w:rFonts w:ascii="宋体"/>
                <w:vanish/>
              </w:rPr>
            </w:pPr>
          </w:p>
        </w:tc>
        <w:tc>
          <w:tcPr>
            <w:tcW w:w="0" w:type="auto"/>
            <w:gridSpan w:val="3"/>
            <w:shd w:val="clear" w:color="auto" w:fill="auto"/>
          </w:tcPr>
          <w:p w14:paraId="20AE2705" w14:textId="77777777" w:rsidR="00B626E7" w:rsidRDefault="00B626E7">
            <w:pPr>
              <w:rPr>
                <w:rFonts w:ascii="宋体"/>
                <w:vanish/>
              </w:rPr>
            </w:pPr>
          </w:p>
        </w:tc>
      </w:tr>
      <w:tr w:rsidR="00B626E7" w14:paraId="20AE270A" w14:textId="77777777">
        <w:trPr>
          <w:hidden/>
        </w:trPr>
        <w:tc>
          <w:tcPr>
            <w:tcW w:w="0" w:type="auto"/>
            <w:gridSpan w:val="3"/>
            <w:shd w:val="clear" w:color="auto" w:fill="auto"/>
          </w:tcPr>
          <w:p w14:paraId="20AE2707" w14:textId="77777777" w:rsidR="00B626E7" w:rsidRDefault="00B626E7">
            <w:pPr>
              <w:rPr>
                <w:rFonts w:ascii="宋体"/>
                <w:vanish/>
              </w:rPr>
            </w:pPr>
          </w:p>
        </w:tc>
        <w:tc>
          <w:tcPr>
            <w:tcW w:w="0" w:type="auto"/>
            <w:gridSpan w:val="3"/>
            <w:shd w:val="clear" w:color="auto" w:fill="auto"/>
          </w:tcPr>
          <w:p w14:paraId="20AE2708" w14:textId="77777777" w:rsidR="00B626E7" w:rsidRDefault="00B626E7">
            <w:pPr>
              <w:rPr>
                <w:rFonts w:ascii="宋体"/>
                <w:vanish/>
              </w:rPr>
            </w:pPr>
          </w:p>
        </w:tc>
        <w:tc>
          <w:tcPr>
            <w:tcW w:w="0" w:type="auto"/>
            <w:gridSpan w:val="3"/>
            <w:shd w:val="clear" w:color="auto" w:fill="auto"/>
          </w:tcPr>
          <w:p w14:paraId="20AE2709" w14:textId="77777777" w:rsidR="00B626E7" w:rsidRDefault="00B626E7">
            <w:pPr>
              <w:rPr>
                <w:rFonts w:ascii="宋体"/>
                <w:vanish/>
              </w:rPr>
            </w:pPr>
          </w:p>
        </w:tc>
      </w:tr>
      <w:tr w:rsidR="00B626E7" w14:paraId="20AE270E" w14:textId="77777777">
        <w:trPr>
          <w:hidden/>
        </w:trPr>
        <w:tc>
          <w:tcPr>
            <w:tcW w:w="0" w:type="auto"/>
            <w:gridSpan w:val="3"/>
            <w:shd w:val="clear" w:color="auto" w:fill="auto"/>
          </w:tcPr>
          <w:p w14:paraId="20AE270B" w14:textId="77777777" w:rsidR="00B626E7" w:rsidRDefault="00B626E7">
            <w:pPr>
              <w:rPr>
                <w:rFonts w:ascii="宋体"/>
                <w:vanish/>
              </w:rPr>
            </w:pPr>
          </w:p>
        </w:tc>
        <w:tc>
          <w:tcPr>
            <w:tcW w:w="0" w:type="auto"/>
            <w:gridSpan w:val="3"/>
            <w:shd w:val="clear" w:color="auto" w:fill="auto"/>
          </w:tcPr>
          <w:p w14:paraId="20AE270C" w14:textId="77777777" w:rsidR="00B626E7" w:rsidRDefault="00B626E7">
            <w:pPr>
              <w:rPr>
                <w:rFonts w:ascii="宋体"/>
                <w:vanish/>
              </w:rPr>
            </w:pPr>
          </w:p>
        </w:tc>
        <w:tc>
          <w:tcPr>
            <w:tcW w:w="0" w:type="auto"/>
            <w:gridSpan w:val="3"/>
            <w:shd w:val="clear" w:color="auto" w:fill="auto"/>
          </w:tcPr>
          <w:p w14:paraId="20AE270D" w14:textId="77777777" w:rsidR="00B626E7" w:rsidRDefault="00B626E7">
            <w:pPr>
              <w:rPr>
                <w:rFonts w:ascii="宋体"/>
                <w:vanish/>
              </w:rPr>
            </w:pPr>
          </w:p>
        </w:tc>
      </w:tr>
      <w:tr w:rsidR="00B626E7" w14:paraId="20AE2712" w14:textId="77777777">
        <w:trPr>
          <w:hidden/>
        </w:trPr>
        <w:tc>
          <w:tcPr>
            <w:tcW w:w="0" w:type="auto"/>
            <w:gridSpan w:val="3"/>
            <w:shd w:val="clear" w:color="auto" w:fill="auto"/>
          </w:tcPr>
          <w:p w14:paraId="20AE270F" w14:textId="77777777" w:rsidR="00B626E7" w:rsidRDefault="00B626E7">
            <w:pPr>
              <w:rPr>
                <w:rFonts w:ascii="宋体"/>
                <w:vanish/>
              </w:rPr>
            </w:pPr>
          </w:p>
        </w:tc>
        <w:tc>
          <w:tcPr>
            <w:tcW w:w="0" w:type="auto"/>
            <w:gridSpan w:val="3"/>
            <w:shd w:val="clear" w:color="auto" w:fill="auto"/>
          </w:tcPr>
          <w:p w14:paraId="20AE2710" w14:textId="77777777" w:rsidR="00B626E7" w:rsidRDefault="00B626E7">
            <w:pPr>
              <w:rPr>
                <w:rFonts w:ascii="宋体"/>
                <w:vanish/>
              </w:rPr>
            </w:pPr>
          </w:p>
        </w:tc>
        <w:tc>
          <w:tcPr>
            <w:tcW w:w="0" w:type="auto"/>
            <w:gridSpan w:val="3"/>
            <w:shd w:val="clear" w:color="auto" w:fill="auto"/>
          </w:tcPr>
          <w:p w14:paraId="20AE2711" w14:textId="77777777" w:rsidR="00B626E7" w:rsidRDefault="00B626E7">
            <w:pPr>
              <w:rPr>
                <w:rFonts w:ascii="宋体"/>
                <w:vanish/>
              </w:rPr>
            </w:pPr>
          </w:p>
        </w:tc>
      </w:tr>
      <w:tr w:rsidR="00B626E7" w14:paraId="20AE2716" w14:textId="77777777">
        <w:trPr>
          <w:hidden/>
        </w:trPr>
        <w:tc>
          <w:tcPr>
            <w:tcW w:w="0" w:type="auto"/>
            <w:gridSpan w:val="3"/>
            <w:shd w:val="clear" w:color="auto" w:fill="auto"/>
          </w:tcPr>
          <w:p w14:paraId="20AE2713" w14:textId="77777777" w:rsidR="00B626E7" w:rsidRDefault="00B626E7">
            <w:pPr>
              <w:rPr>
                <w:rFonts w:ascii="宋体"/>
                <w:vanish/>
              </w:rPr>
            </w:pPr>
          </w:p>
        </w:tc>
        <w:tc>
          <w:tcPr>
            <w:tcW w:w="0" w:type="auto"/>
            <w:gridSpan w:val="3"/>
            <w:shd w:val="clear" w:color="auto" w:fill="auto"/>
          </w:tcPr>
          <w:p w14:paraId="20AE2714" w14:textId="77777777" w:rsidR="00B626E7" w:rsidRDefault="00B626E7">
            <w:pPr>
              <w:rPr>
                <w:rFonts w:ascii="宋体"/>
                <w:vanish/>
              </w:rPr>
            </w:pPr>
          </w:p>
        </w:tc>
        <w:tc>
          <w:tcPr>
            <w:tcW w:w="0" w:type="auto"/>
            <w:gridSpan w:val="3"/>
            <w:shd w:val="clear" w:color="auto" w:fill="auto"/>
          </w:tcPr>
          <w:p w14:paraId="20AE2715" w14:textId="77777777" w:rsidR="00B626E7" w:rsidRDefault="00B626E7">
            <w:pPr>
              <w:rPr>
                <w:rFonts w:ascii="宋体"/>
                <w:vanish/>
              </w:rPr>
            </w:pPr>
          </w:p>
        </w:tc>
      </w:tr>
    </w:tbl>
    <w:p w14:paraId="20AE2717" w14:textId="77777777" w:rsidR="00B626E7" w:rsidRDefault="00B626E7">
      <w:pPr>
        <w:spacing w:after="180"/>
      </w:pPr>
    </w:p>
    <w:p w14:paraId="20AE2718" w14:textId="77777777" w:rsidR="00B626E7" w:rsidRDefault="00B626E7">
      <w:pPr>
        <w:spacing w:after="180"/>
      </w:pPr>
    </w:p>
    <w:p w14:paraId="20AE2719" w14:textId="77777777" w:rsidR="00B626E7" w:rsidRDefault="00B626E7">
      <w:pPr>
        <w:spacing w:after="180"/>
      </w:pPr>
    </w:p>
    <w:p w14:paraId="20AE271A" w14:textId="77777777" w:rsidR="00B626E7" w:rsidRDefault="00B626E7">
      <w:pPr>
        <w:spacing w:after="180"/>
      </w:pPr>
    </w:p>
    <w:p w14:paraId="20AE271B" w14:textId="77777777" w:rsidR="00B626E7" w:rsidRDefault="00B626E7">
      <w:pPr>
        <w:spacing w:after="180"/>
      </w:pPr>
    </w:p>
    <w:p w14:paraId="20AE271C" w14:textId="77777777" w:rsidR="00B626E7" w:rsidRDefault="00B626E7">
      <w:pPr>
        <w:spacing w:after="180"/>
      </w:pPr>
    </w:p>
    <w:p w14:paraId="20AE271D" w14:textId="77777777" w:rsidR="00B626E7" w:rsidRDefault="00B626E7">
      <w:pPr>
        <w:spacing w:after="180"/>
      </w:pPr>
    </w:p>
    <w:p w14:paraId="20AE271E" w14:textId="77777777" w:rsidR="00B626E7" w:rsidRDefault="00B626E7">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4"/>
        <w:gridCol w:w="2423"/>
        <w:gridCol w:w="84"/>
        <w:gridCol w:w="83"/>
        <w:gridCol w:w="3471"/>
        <w:gridCol w:w="83"/>
        <w:gridCol w:w="83"/>
        <w:gridCol w:w="1942"/>
        <w:gridCol w:w="83"/>
      </w:tblGrid>
      <w:tr w:rsidR="00B626E7" w14:paraId="20AE2728" w14:textId="77777777">
        <w:tc>
          <w:tcPr>
            <w:tcW w:w="50" w:type="pct"/>
            <w:shd w:val="clear" w:color="auto" w:fill="auto"/>
            <w:vAlign w:val="bottom"/>
          </w:tcPr>
          <w:p w14:paraId="20AE271F" w14:textId="77777777" w:rsidR="00B626E7" w:rsidRDefault="00B626E7">
            <w:pPr>
              <w:rPr>
                <w:rFonts w:ascii="宋体"/>
              </w:rPr>
            </w:pPr>
          </w:p>
        </w:tc>
        <w:tc>
          <w:tcPr>
            <w:tcW w:w="1452" w:type="pct"/>
            <w:shd w:val="clear" w:color="auto" w:fill="auto"/>
            <w:vAlign w:val="bottom"/>
          </w:tcPr>
          <w:p w14:paraId="20AE2720" w14:textId="77777777" w:rsidR="00B626E7" w:rsidRDefault="00B626E7">
            <w:pPr>
              <w:rPr>
                <w:rFonts w:ascii="宋体"/>
              </w:rPr>
            </w:pPr>
          </w:p>
        </w:tc>
        <w:tc>
          <w:tcPr>
            <w:tcW w:w="50" w:type="pct"/>
            <w:shd w:val="clear" w:color="auto" w:fill="auto"/>
            <w:vAlign w:val="bottom"/>
          </w:tcPr>
          <w:p w14:paraId="20AE2721" w14:textId="77777777" w:rsidR="00B626E7" w:rsidRDefault="00B626E7">
            <w:pPr>
              <w:rPr>
                <w:rFonts w:ascii="宋体"/>
              </w:rPr>
            </w:pPr>
          </w:p>
        </w:tc>
        <w:tc>
          <w:tcPr>
            <w:tcW w:w="50" w:type="pct"/>
            <w:shd w:val="clear" w:color="auto" w:fill="auto"/>
            <w:vAlign w:val="bottom"/>
          </w:tcPr>
          <w:p w14:paraId="20AE2722" w14:textId="77777777" w:rsidR="00B626E7" w:rsidRDefault="00B626E7">
            <w:pPr>
              <w:rPr>
                <w:rFonts w:ascii="宋体"/>
              </w:rPr>
            </w:pPr>
          </w:p>
        </w:tc>
        <w:tc>
          <w:tcPr>
            <w:tcW w:w="2081" w:type="pct"/>
            <w:shd w:val="clear" w:color="auto" w:fill="auto"/>
            <w:vAlign w:val="bottom"/>
          </w:tcPr>
          <w:p w14:paraId="20AE2723" w14:textId="77777777" w:rsidR="00B626E7" w:rsidRDefault="00B626E7">
            <w:pPr>
              <w:rPr>
                <w:rFonts w:ascii="宋体"/>
              </w:rPr>
            </w:pPr>
          </w:p>
        </w:tc>
        <w:tc>
          <w:tcPr>
            <w:tcW w:w="50" w:type="pct"/>
            <w:shd w:val="clear" w:color="auto" w:fill="auto"/>
            <w:vAlign w:val="bottom"/>
          </w:tcPr>
          <w:p w14:paraId="20AE2724" w14:textId="77777777" w:rsidR="00B626E7" w:rsidRDefault="00B626E7">
            <w:pPr>
              <w:rPr>
                <w:rFonts w:ascii="宋体"/>
              </w:rPr>
            </w:pPr>
          </w:p>
        </w:tc>
        <w:tc>
          <w:tcPr>
            <w:tcW w:w="50" w:type="pct"/>
            <w:shd w:val="clear" w:color="auto" w:fill="auto"/>
            <w:vAlign w:val="bottom"/>
          </w:tcPr>
          <w:p w14:paraId="20AE2725" w14:textId="77777777" w:rsidR="00B626E7" w:rsidRDefault="00B626E7">
            <w:pPr>
              <w:rPr>
                <w:rFonts w:ascii="宋体"/>
              </w:rPr>
            </w:pPr>
          </w:p>
        </w:tc>
        <w:tc>
          <w:tcPr>
            <w:tcW w:w="1165" w:type="pct"/>
            <w:shd w:val="clear" w:color="auto" w:fill="auto"/>
            <w:vAlign w:val="bottom"/>
          </w:tcPr>
          <w:p w14:paraId="20AE2726" w14:textId="77777777" w:rsidR="00B626E7" w:rsidRDefault="00B626E7">
            <w:pPr>
              <w:rPr>
                <w:rFonts w:ascii="宋体"/>
              </w:rPr>
            </w:pPr>
          </w:p>
        </w:tc>
        <w:tc>
          <w:tcPr>
            <w:tcW w:w="50" w:type="pct"/>
            <w:shd w:val="clear" w:color="auto" w:fill="auto"/>
            <w:vAlign w:val="bottom"/>
          </w:tcPr>
          <w:p w14:paraId="20AE2727" w14:textId="77777777" w:rsidR="00B626E7" w:rsidRDefault="00B626E7">
            <w:pPr>
              <w:rPr>
                <w:rFonts w:ascii="宋体"/>
              </w:rPr>
            </w:pPr>
          </w:p>
        </w:tc>
      </w:tr>
      <w:tr w:rsidR="00B626E7" w14:paraId="20AE272C" w14:textId="77777777">
        <w:tc>
          <w:tcPr>
            <w:tcW w:w="0" w:type="auto"/>
            <w:gridSpan w:val="3"/>
            <w:tcBorders>
              <w:top w:val="single" w:sz="8" w:space="0" w:color="0071C5"/>
            </w:tcBorders>
            <w:shd w:val="clear" w:color="auto" w:fill="auto"/>
            <w:tcMar>
              <w:top w:w="40" w:type="dxa"/>
              <w:left w:w="20" w:type="dxa"/>
              <w:bottom w:w="40" w:type="dxa"/>
              <w:right w:w="20" w:type="dxa"/>
            </w:tcMar>
            <w:vAlign w:val="center"/>
          </w:tcPr>
          <w:p w14:paraId="20AE2729" w14:textId="77777777" w:rsidR="00B626E7" w:rsidRDefault="00175C1D">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Viewer10_files/intc-20200627_g15.jpg"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68" wp14:editId="20AE3C69">
                  <wp:extent cx="304800" cy="304800"/>
                  <wp:effectExtent l="0" t="0" r="0" b="0"/>
                  <wp:docPr id="49" name="图片 93"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93" descr="IMG_28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Arial" w:eastAsia="宋体" w:hAnsi="Arial" w:cs="Arial"/>
                <w:color w:val="333333"/>
                <w:sz w:val="16"/>
                <w:szCs w:val="16"/>
              </w:rPr>
              <w:t>FINANCIAL STATEMENTS</w:t>
            </w:r>
          </w:p>
        </w:tc>
        <w:tc>
          <w:tcPr>
            <w:tcW w:w="0" w:type="auto"/>
            <w:gridSpan w:val="3"/>
            <w:tcBorders>
              <w:top w:val="single" w:sz="8" w:space="0" w:color="0071C5"/>
              <w:left w:val="single" w:sz="24" w:space="0" w:color="0071C5"/>
            </w:tcBorders>
            <w:shd w:val="clear" w:color="auto" w:fill="auto"/>
            <w:tcMar>
              <w:top w:w="40" w:type="dxa"/>
              <w:left w:w="20" w:type="dxa"/>
              <w:bottom w:w="40" w:type="dxa"/>
              <w:right w:w="20" w:type="dxa"/>
            </w:tcMar>
            <w:vAlign w:val="bottom"/>
          </w:tcPr>
          <w:p w14:paraId="20AE272A" w14:textId="77777777" w:rsidR="00B626E7" w:rsidRDefault="00175C1D">
            <w:pPr>
              <w:textAlignment w:val="bottom"/>
            </w:pPr>
            <w:r>
              <w:rPr>
                <w:rFonts w:ascii="Arial" w:eastAsia="宋体" w:hAnsi="Arial" w:cs="Arial"/>
                <w:color w:val="333333"/>
                <w:sz w:val="16"/>
                <w:szCs w:val="16"/>
              </w:rPr>
              <w:t>  Notes to Financial Statements</w:t>
            </w: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272B" w14:textId="77777777" w:rsidR="00B626E7" w:rsidRDefault="00175C1D">
            <w:pPr>
              <w:jc w:val="right"/>
              <w:textAlignment w:val="bottom"/>
            </w:pPr>
            <w:r>
              <w:rPr>
                <w:rFonts w:ascii="Arial" w:eastAsia="宋体" w:hAnsi="Arial" w:cs="Arial"/>
                <w:color w:val="333333"/>
                <w:sz w:val="16"/>
                <w:szCs w:val="16"/>
              </w:rPr>
              <w:t>27</w:t>
            </w:r>
          </w:p>
        </w:tc>
      </w:tr>
    </w:tbl>
    <w:p w14:paraId="20AE272D" w14:textId="77777777" w:rsidR="00B626E7" w:rsidRDefault="00175C1D">
      <w:r>
        <w:pict w14:anchorId="20AE3C6A">
          <v:rect id="_x0000_i1053" style="width:415.3pt;height:1.5pt" o:hralign="center" o:hrstd="t" o:hr="t" fillcolor="#a0a0a0" stroked="f"/>
        </w:pict>
      </w:r>
    </w:p>
    <w:p w14:paraId="20AE272E" w14:textId="77777777" w:rsidR="00B626E7" w:rsidRDefault="00175C1D">
      <w:pPr>
        <w:spacing w:after="180"/>
        <w:jc w:val="right"/>
      </w:pPr>
      <w:hyperlink r:id="rId54" w:anchor="ib035cc8759904e51927d703ec8414366_7" w:history="1">
        <w:r>
          <w:rPr>
            <w:rStyle w:val="a5"/>
            <w:rFonts w:ascii="Arial" w:eastAsia="宋体" w:hAnsi="Arial" w:cs="Arial"/>
            <w:b/>
            <w:bCs/>
            <w:sz w:val="16"/>
            <w:szCs w:val="16"/>
          </w:rPr>
          <w:t>Table of Contents</w:t>
        </w:r>
      </w:hyperlink>
    </w:p>
    <w:p w14:paraId="20AE272F" w14:textId="77777777" w:rsidR="00B626E7" w:rsidRDefault="00B626E7">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84"/>
        <w:gridCol w:w="8169"/>
        <w:gridCol w:w="83"/>
      </w:tblGrid>
      <w:tr w:rsidR="00B626E7" w14:paraId="20AE2733" w14:textId="77777777">
        <w:tc>
          <w:tcPr>
            <w:tcW w:w="50" w:type="pct"/>
            <w:shd w:val="clear" w:color="auto" w:fill="auto"/>
          </w:tcPr>
          <w:p w14:paraId="20AE2730" w14:textId="77777777" w:rsidR="00B626E7" w:rsidRDefault="00B626E7">
            <w:pPr>
              <w:rPr>
                <w:rFonts w:ascii="宋体"/>
              </w:rPr>
            </w:pPr>
          </w:p>
        </w:tc>
        <w:tc>
          <w:tcPr>
            <w:tcW w:w="4900" w:type="pct"/>
            <w:shd w:val="clear" w:color="auto" w:fill="auto"/>
          </w:tcPr>
          <w:p w14:paraId="20AE2731" w14:textId="77777777" w:rsidR="00B626E7" w:rsidRDefault="00B626E7">
            <w:pPr>
              <w:rPr>
                <w:rFonts w:ascii="宋体"/>
              </w:rPr>
            </w:pPr>
          </w:p>
        </w:tc>
        <w:tc>
          <w:tcPr>
            <w:tcW w:w="50" w:type="pct"/>
            <w:shd w:val="clear" w:color="auto" w:fill="auto"/>
          </w:tcPr>
          <w:p w14:paraId="20AE2732" w14:textId="77777777" w:rsidR="00B626E7" w:rsidRDefault="00B626E7">
            <w:pPr>
              <w:rPr>
                <w:rFonts w:ascii="宋体"/>
              </w:rPr>
            </w:pPr>
          </w:p>
        </w:tc>
      </w:tr>
      <w:tr w:rsidR="00B626E7" w14:paraId="20AE2735" w14:textId="77777777">
        <w:tc>
          <w:tcPr>
            <w:tcW w:w="0" w:type="auto"/>
            <w:gridSpan w:val="3"/>
            <w:shd w:val="clear" w:color="auto" w:fill="0071C5"/>
            <w:tcMar>
              <w:top w:w="40" w:type="dxa"/>
              <w:left w:w="20" w:type="dxa"/>
              <w:bottom w:w="40" w:type="dxa"/>
              <w:right w:w="20" w:type="dxa"/>
            </w:tcMar>
            <w:vAlign w:val="bottom"/>
          </w:tcPr>
          <w:p w14:paraId="20AE2734" w14:textId="77777777" w:rsidR="00B626E7" w:rsidRDefault="00175C1D">
            <w:pPr>
              <w:textAlignment w:val="bottom"/>
            </w:pPr>
            <w:r>
              <w:rPr>
                <w:rFonts w:ascii="Arial" w:eastAsia="宋体" w:hAnsi="Arial" w:cs="Arial"/>
                <w:b/>
                <w:bCs/>
                <w:color w:val="FFFFFF"/>
                <w:sz w:val="28"/>
                <w:szCs w:val="28"/>
              </w:rPr>
              <w:t>MANAGEMENT'S DISCUSSION AND ANALYSIS</w:t>
            </w:r>
          </w:p>
        </w:tc>
      </w:tr>
    </w:tbl>
    <w:p w14:paraId="20AE2736" w14:textId="77777777" w:rsidR="00B626E7" w:rsidRDefault="00175C1D">
      <w:pPr>
        <w:spacing w:before="180" w:after="180"/>
      </w:pPr>
      <w:r>
        <w:rPr>
          <w:rFonts w:ascii="Arial" w:eastAsia="宋体" w:hAnsi="Arial" w:cs="Arial"/>
          <w:color w:val="333333"/>
          <w:sz w:val="18"/>
          <w:szCs w:val="18"/>
        </w:rPr>
        <w:t xml:space="preserve">For additional key highlights of our </w:t>
      </w:r>
      <w:r>
        <w:rPr>
          <w:rFonts w:ascii="Arial" w:eastAsia="宋体" w:hAnsi="Arial" w:cs="Arial"/>
          <w:color w:val="333333"/>
          <w:sz w:val="18"/>
          <w:szCs w:val="18"/>
        </w:rPr>
        <w:t>results of operations, see "A Quarter in Review" and "Our Pandemic Response."</w:t>
      </w:r>
    </w:p>
    <w:p w14:paraId="20AE2737" w14:textId="77777777" w:rsidR="00B626E7" w:rsidRDefault="00175C1D">
      <w:pPr>
        <w:spacing w:before="300" w:after="180"/>
      </w:pPr>
      <w:r>
        <w:rPr>
          <w:rFonts w:ascii="Arial" w:eastAsia="宋体" w:hAnsi="Arial" w:cs="Arial"/>
          <w:b/>
          <w:bCs/>
          <w:color w:val="0071C5"/>
          <w:sz w:val="28"/>
          <w:szCs w:val="28"/>
        </w:rPr>
        <w:t xml:space="preserve">DATA CENTER GROUP </w:t>
      </w:r>
    </w:p>
    <w:p w14:paraId="20AE2738" w14:textId="77777777" w:rsidR="00B626E7" w:rsidRDefault="00175C1D">
      <w:pPr>
        <w:spacing w:after="180"/>
      </w:pPr>
      <w:r>
        <w:rPr>
          <w:rFonts w:ascii="Arial" w:eastAsia="宋体" w:hAnsi="Arial" w:cs="Arial"/>
          <w:color w:val="333333"/>
          <w:sz w:val="18"/>
          <w:szCs w:val="18"/>
        </w:rPr>
        <w:t>DCG develops workload-optimized platforms for compute, storage, and network functions. Market segments include cloud service providers, enterprise and governme</w:t>
      </w:r>
      <w:r>
        <w:rPr>
          <w:rFonts w:ascii="Arial" w:eastAsia="宋体" w:hAnsi="Arial" w:cs="Arial"/>
          <w:color w:val="333333"/>
          <w:sz w:val="18"/>
          <w:szCs w:val="18"/>
        </w:rPr>
        <w:t>nt, and communications service providers. We offer customers an unmatched, broad portfolio of platforms and technologies designed to provide workload-optimized performance across compute, storage, and network. These offerings span the full spectrum from th</w:t>
      </w:r>
      <w:r>
        <w:rPr>
          <w:rFonts w:ascii="Arial" w:eastAsia="宋体" w:hAnsi="Arial" w:cs="Arial"/>
          <w:color w:val="333333"/>
          <w:sz w:val="18"/>
          <w:szCs w:val="18"/>
        </w:rPr>
        <w:t xml:space="preserve">e data center core to the network edge. </w:t>
      </w:r>
    </w:p>
    <w:tbl>
      <w:tblPr>
        <w:tblW w:w="10830" w:type="dxa"/>
        <w:tblCellMar>
          <w:top w:w="15" w:type="dxa"/>
          <w:left w:w="15" w:type="dxa"/>
          <w:bottom w:w="15" w:type="dxa"/>
          <w:right w:w="15" w:type="dxa"/>
        </w:tblCellMar>
        <w:tblLook w:val="04A0" w:firstRow="1" w:lastRow="0" w:firstColumn="1" w:lastColumn="0" w:noHBand="0" w:noVBand="1"/>
      </w:tblPr>
      <w:tblGrid>
        <w:gridCol w:w="36"/>
        <w:gridCol w:w="79"/>
        <w:gridCol w:w="36"/>
        <w:gridCol w:w="36"/>
        <w:gridCol w:w="5101"/>
        <w:gridCol w:w="36"/>
        <w:gridCol w:w="36"/>
        <w:gridCol w:w="257"/>
        <w:gridCol w:w="36"/>
        <w:gridCol w:w="36"/>
        <w:gridCol w:w="5105"/>
        <w:gridCol w:w="36"/>
      </w:tblGrid>
      <w:tr w:rsidR="00B626E7" w14:paraId="20AE2745" w14:textId="77777777">
        <w:tc>
          <w:tcPr>
            <w:tcW w:w="20" w:type="dxa"/>
            <w:shd w:val="clear" w:color="auto" w:fill="auto"/>
          </w:tcPr>
          <w:p w14:paraId="20AE2739" w14:textId="77777777" w:rsidR="00B626E7" w:rsidRDefault="00B626E7">
            <w:pPr>
              <w:rPr>
                <w:rFonts w:ascii="宋体"/>
              </w:rPr>
            </w:pPr>
          </w:p>
        </w:tc>
        <w:tc>
          <w:tcPr>
            <w:tcW w:w="80" w:type="dxa"/>
            <w:shd w:val="clear" w:color="auto" w:fill="auto"/>
          </w:tcPr>
          <w:p w14:paraId="20AE273A" w14:textId="77777777" w:rsidR="00B626E7" w:rsidRDefault="00B626E7">
            <w:pPr>
              <w:rPr>
                <w:rFonts w:ascii="宋体"/>
              </w:rPr>
            </w:pPr>
          </w:p>
        </w:tc>
        <w:tc>
          <w:tcPr>
            <w:tcW w:w="20" w:type="dxa"/>
            <w:shd w:val="clear" w:color="auto" w:fill="auto"/>
          </w:tcPr>
          <w:p w14:paraId="20AE273B" w14:textId="77777777" w:rsidR="00B626E7" w:rsidRDefault="00B626E7">
            <w:pPr>
              <w:rPr>
                <w:rFonts w:ascii="宋体"/>
              </w:rPr>
            </w:pPr>
          </w:p>
        </w:tc>
        <w:tc>
          <w:tcPr>
            <w:tcW w:w="20" w:type="dxa"/>
            <w:shd w:val="clear" w:color="auto" w:fill="auto"/>
          </w:tcPr>
          <w:p w14:paraId="20AE273C" w14:textId="77777777" w:rsidR="00B626E7" w:rsidRDefault="00B626E7">
            <w:pPr>
              <w:rPr>
                <w:rFonts w:ascii="宋体"/>
              </w:rPr>
            </w:pPr>
          </w:p>
        </w:tc>
        <w:tc>
          <w:tcPr>
            <w:tcW w:w="5165" w:type="dxa"/>
            <w:shd w:val="clear" w:color="auto" w:fill="auto"/>
          </w:tcPr>
          <w:p w14:paraId="20AE273D" w14:textId="77777777" w:rsidR="00B626E7" w:rsidRDefault="00B626E7">
            <w:pPr>
              <w:rPr>
                <w:rFonts w:ascii="宋体"/>
              </w:rPr>
            </w:pPr>
          </w:p>
        </w:tc>
        <w:tc>
          <w:tcPr>
            <w:tcW w:w="20" w:type="dxa"/>
            <w:shd w:val="clear" w:color="auto" w:fill="auto"/>
          </w:tcPr>
          <w:p w14:paraId="20AE273E" w14:textId="77777777" w:rsidR="00B626E7" w:rsidRDefault="00B626E7">
            <w:pPr>
              <w:rPr>
                <w:rFonts w:ascii="宋体"/>
              </w:rPr>
            </w:pPr>
          </w:p>
        </w:tc>
        <w:tc>
          <w:tcPr>
            <w:tcW w:w="20" w:type="dxa"/>
            <w:shd w:val="clear" w:color="auto" w:fill="auto"/>
          </w:tcPr>
          <w:p w14:paraId="20AE273F" w14:textId="77777777" w:rsidR="00B626E7" w:rsidRDefault="00B626E7">
            <w:pPr>
              <w:rPr>
                <w:rFonts w:ascii="宋体"/>
              </w:rPr>
            </w:pPr>
          </w:p>
        </w:tc>
        <w:tc>
          <w:tcPr>
            <w:tcW w:w="260" w:type="dxa"/>
            <w:shd w:val="clear" w:color="auto" w:fill="auto"/>
          </w:tcPr>
          <w:p w14:paraId="20AE2740" w14:textId="77777777" w:rsidR="00B626E7" w:rsidRDefault="00B626E7">
            <w:pPr>
              <w:rPr>
                <w:rFonts w:ascii="宋体"/>
              </w:rPr>
            </w:pPr>
          </w:p>
        </w:tc>
        <w:tc>
          <w:tcPr>
            <w:tcW w:w="20" w:type="dxa"/>
            <w:shd w:val="clear" w:color="auto" w:fill="auto"/>
          </w:tcPr>
          <w:p w14:paraId="20AE2741" w14:textId="77777777" w:rsidR="00B626E7" w:rsidRDefault="00B626E7">
            <w:pPr>
              <w:rPr>
                <w:rFonts w:ascii="宋体"/>
              </w:rPr>
            </w:pPr>
          </w:p>
        </w:tc>
        <w:tc>
          <w:tcPr>
            <w:tcW w:w="20" w:type="dxa"/>
            <w:shd w:val="clear" w:color="auto" w:fill="auto"/>
          </w:tcPr>
          <w:p w14:paraId="20AE2742" w14:textId="77777777" w:rsidR="00B626E7" w:rsidRDefault="00B626E7">
            <w:pPr>
              <w:rPr>
                <w:rFonts w:ascii="宋体"/>
              </w:rPr>
            </w:pPr>
          </w:p>
        </w:tc>
        <w:tc>
          <w:tcPr>
            <w:tcW w:w="5165" w:type="dxa"/>
            <w:shd w:val="clear" w:color="auto" w:fill="auto"/>
          </w:tcPr>
          <w:p w14:paraId="20AE2743" w14:textId="77777777" w:rsidR="00B626E7" w:rsidRDefault="00B626E7">
            <w:pPr>
              <w:rPr>
                <w:rFonts w:ascii="宋体"/>
              </w:rPr>
            </w:pPr>
          </w:p>
        </w:tc>
        <w:tc>
          <w:tcPr>
            <w:tcW w:w="20" w:type="dxa"/>
            <w:shd w:val="clear" w:color="auto" w:fill="auto"/>
          </w:tcPr>
          <w:p w14:paraId="20AE2744" w14:textId="77777777" w:rsidR="00B626E7" w:rsidRDefault="00B626E7">
            <w:pPr>
              <w:rPr>
                <w:rFonts w:ascii="宋体"/>
              </w:rPr>
            </w:pPr>
          </w:p>
        </w:tc>
      </w:tr>
      <w:tr w:rsidR="00B626E7" w14:paraId="20AE274A" w14:textId="77777777">
        <w:tc>
          <w:tcPr>
            <w:tcW w:w="0" w:type="auto"/>
            <w:gridSpan w:val="3"/>
            <w:shd w:val="clear" w:color="auto" w:fill="auto"/>
            <w:tcMar>
              <w:left w:w="20" w:type="dxa"/>
              <w:right w:w="20" w:type="dxa"/>
            </w:tcMar>
            <w:vAlign w:val="bottom"/>
          </w:tcPr>
          <w:p w14:paraId="20AE2746" w14:textId="77777777" w:rsidR="00B626E7" w:rsidRDefault="00B626E7">
            <w:pPr>
              <w:rPr>
                <w:rFonts w:ascii="宋体"/>
              </w:rPr>
            </w:pPr>
          </w:p>
        </w:tc>
        <w:tc>
          <w:tcPr>
            <w:tcW w:w="0" w:type="auto"/>
            <w:gridSpan w:val="3"/>
            <w:tcBorders>
              <w:bottom w:val="single" w:sz="8" w:space="0" w:color="333333"/>
            </w:tcBorders>
            <w:shd w:val="clear" w:color="auto" w:fill="auto"/>
            <w:tcMar>
              <w:top w:w="40" w:type="dxa"/>
              <w:left w:w="20" w:type="dxa"/>
              <w:bottom w:w="40" w:type="dxa"/>
              <w:right w:w="20" w:type="dxa"/>
            </w:tcMar>
            <w:vAlign w:val="bottom"/>
          </w:tcPr>
          <w:p w14:paraId="20AE2747" w14:textId="77777777" w:rsidR="00B626E7" w:rsidRDefault="00175C1D">
            <w:pPr>
              <w:jc w:val="center"/>
              <w:textAlignment w:val="bottom"/>
            </w:pPr>
            <w:r>
              <w:rPr>
                <w:rFonts w:ascii="Arial" w:eastAsia="宋体" w:hAnsi="Arial" w:cs="Arial"/>
                <w:b/>
                <w:bCs/>
                <w:color w:val="0071C5"/>
                <w:sz w:val="20"/>
                <w:szCs w:val="20"/>
              </w:rPr>
              <w:t>DCG REVENUE $B</w:t>
            </w:r>
          </w:p>
        </w:tc>
        <w:tc>
          <w:tcPr>
            <w:tcW w:w="0" w:type="auto"/>
            <w:gridSpan w:val="3"/>
            <w:shd w:val="clear" w:color="auto" w:fill="auto"/>
            <w:tcMar>
              <w:left w:w="20" w:type="dxa"/>
              <w:right w:w="20" w:type="dxa"/>
            </w:tcMar>
            <w:vAlign w:val="bottom"/>
          </w:tcPr>
          <w:p w14:paraId="20AE2748" w14:textId="77777777" w:rsidR="00B626E7" w:rsidRDefault="00B626E7">
            <w:pPr>
              <w:rPr>
                <w:rFonts w:ascii="宋体"/>
              </w:rPr>
            </w:pPr>
          </w:p>
        </w:tc>
        <w:tc>
          <w:tcPr>
            <w:tcW w:w="0" w:type="auto"/>
            <w:gridSpan w:val="3"/>
            <w:tcBorders>
              <w:bottom w:val="single" w:sz="8" w:space="0" w:color="333333"/>
            </w:tcBorders>
            <w:shd w:val="clear" w:color="auto" w:fill="auto"/>
            <w:tcMar>
              <w:top w:w="40" w:type="dxa"/>
              <w:left w:w="20" w:type="dxa"/>
              <w:bottom w:w="40" w:type="dxa"/>
              <w:right w:w="20" w:type="dxa"/>
            </w:tcMar>
            <w:vAlign w:val="bottom"/>
          </w:tcPr>
          <w:p w14:paraId="20AE2749" w14:textId="77777777" w:rsidR="00B626E7" w:rsidRDefault="00175C1D">
            <w:pPr>
              <w:jc w:val="center"/>
              <w:textAlignment w:val="bottom"/>
            </w:pPr>
            <w:r>
              <w:rPr>
                <w:rFonts w:ascii="Arial" w:eastAsia="宋体" w:hAnsi="Arial" w:cs="Arial"/>
                <w:b/>
                <w:bCs/>
                <w:color w:val="0071C5"/>
                <w:sz w:val="20"/>
                <w:szCs w:val="20"/>
              </w:rPr>
              <w:t>DCG OPERATING INCOME $B</w:t>
            </w:r>
          </w:p>
        </w:tc>
      </w:tr>
    </w:tbl>
    <w:p w14:paraId="20AE274B" w14:textId="77777777" w:rsidR="00B626E7" w:rsidRDefault="00175C1D">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Viewer10_files/intc-20200627_g33.jpg"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6B" wp14:editId="20AE3C6C">
            <wp:extent cx="304800" cy="304800"/>
            <wp:effectExtent l="0" t="0" r="0" b="0"/>
            <wp:docPr id="50" name="图片 95"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95" descr="IMG_28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Viewer10_files/intc-202</w:instrText>
      </w:r>
      <w:r>
        <w:rPr>
          <w:rFonts w:ascii="宋体" w:eastAsia="宋体" w:hAnsi="宋体" w:cs="宋体"/>
        </w:rPr>
        <w:instrText xml:space="preserve">00627_g34.jpg"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6D" wp14:editId="20AE3C6E">
            <wp:extent cx="304800" cy="304800"/>
            <wp:effectExtent l="0" t="0" r="0" b="0"/>
            <wp:docPr id="51" name="图片 96"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96" descr="IMG_28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980" w:type="dxa"/>
        <w:tblCellMar>
          <w:top w:w="15" w:type="dxa"/>
          <w:left w:w="15" w:type="dxa"/>
          <w:bottom w:w="15" w:type="dxa"/>
          <w:right w:w="15" w:type="dxa"/>
        </w:tblCellMar>
        <w:tblLook w:val="04A0" w:firstRow="1" w:lastRow="0" w:firstColumn="1" w:lastColumn="0" w:noHBand="0" w:noVBand="1"/>
      </w:tblPr>
      <w:tblGrid>
        <w:gridCol w:w="36"/>
        <w:gridCol w:w="1193"/>
        <w:gridCol w:w="36"/>
        <w:gridCol w:w="36"/>
        <w:gridCol w:w="1288"/>
        <w:gridCol w:w="36"/>
        <w:gridCol w:w="36"/>
        <w:gridCol w:w="8283"/>
        <w:gridCol w:w="36"/>
      </w:tblGrid>
      <w:tr w:rsidR="00B626E7" w14:paraId="20AE2755" w14:textId="77777777">
        <w:tc>
          <w:tcPr>
            <w:tcW w:w="20" w:type="dxa"/>
            <w:shd w:val="clear" w:color="auto" w:fill="auto"/>
          </w:tcPr>
          <w:p w14:paraId="20AE274C" w14:textId="77777777" w:rsidR="00B626E7" w:rsidRDefault="00B626E7">
            <w:pPr>
              <w:rPr>
                <w:rFonts w:ascii="宋体"/>
              </w:rPr>
            </w:pPr>
          </w:p>
        </w:tc>
        <w:tc>
          <w:tcPr>
            <w:tcW w:w="1205" w:type="dxa"/>
            <w:shd w:val="clear" w:color="auto" w:fill="auto"/>
          </w:tcPr>
          <w:p w14:paraId="20AE274D" w14:textId="77777777" w:rsidR="00B626E7" w:rsidRDefault="00B626E7">
            <w:pPr>
              <w:rPr>
                <w:rFonts w:ascii="宋体"/>
              </w:rPr>
            </w:pPr>
          </w:p>
        </w:tc>
        <w:tc>
          <w:tcPr>
            <w:tcW w:w="20" w:type="dxa"/>
            <w:shd w:val="clear" w:color="auto" w:fill="auto"/>
          </w:tcPr>
          <w:p w14:paraId="20AE274E" w14:textId="77777777" w:rsidR="00B626E7" w:rsidRDefault="00B626E7">
            <w:pPr>
              <w:rPr>
                <w:rFonts w:ascii="宋体"/>
              </w:rPr>
            </w:pPr>
          </w:p>
        </w:tc>
        <w:tc>
          <w:tcPr>
            <w:tcW w:w="20" w:type="dxa"/>
            <w:shd w:val="clear" w:color="auto" w:fill="auto"/>
          </w:tcPr>
          <w:p w14:paraId="20AE274F" w14:textId="77777777" w:rsidR="00B626E7" w:rsidRDefault="00B626E7">
            <w:pPr>
              <w:rPr>
                <w:rFonts w:ascii="宋体"/>
              </w:rPr>
            </w:pPr>
          </w:p>
        </w:tc>
        <w:tc>
          <w:tcPr>
            <w:tcW w:w="1295" w:type="dxa"/>
            <w:shd w:val="clear" w:color="auto" w:fill="auto"/>
          </w:tcPr>
          <w:p w14:paraId="20AE2750" w14:textId="77777777" w:rsidR="00B626E7" w:rsidRDefault="00B626E7">
            <w:pPr>
              <w:rPr>
                <w:rFonts w:ascii="宋体"/>
              </w:rPr>
            </w:pPr>
          </w:p>
        </w:tc>
        <w:tc>
          <w:tcPr>
            <w:tcW w:w="20" w:type="dxa"/>
            <w:shd w:val="clear" w:color="auto" w:fill="auto"/>
          </w:tcPr>
          <w:p w14:paraId="20AE2751" w14:textId="77777777" w:rsidR="00B626E7" w:rsidRDefault="00B626E7">
            <w:pPr>
              <w:rPr>
                <w:rFonts w:ascii="宋体"/>
              </w:rPr>
            </w:pPr>
          </w:p>
        </w:tc>
        <w:tc>
          <w:tcPr>
            <w:tcW w:w="20" w:type="dxa"/>
            <w:shd w:val="clear" w:color="auto" w:fill="auto"/>
          </w:tcPr>
          <w:p w14:paraId="20AE2752" w14:textId="77777777" w:rsidR="00B626E7" w:rsidRDefault="00B626E7">
            <w:pPr>
              <w:rPr>
                <w:rFonts w:ascii="宋体"/>
              </w:rPr>
            </w:pPr>
          </w:p>
        </w:tc>
        <w:tc>
          <w:tcPr>
            <w:tcW w:w="8360" w:type="dxa"/>
            <w:shd w:val="clear" w:color="auto" w:fill="auto"/>
          </w:tcPr>
          <w:p w14:paraId="20AE2753" w14:textId="77777777" w:rsidR="00B626E7" w:rsidRDefault="00B626E7">
            <w:pPr>
              <w:rPr>
                <w:rFonts w:ascii="宋体"/>
              </w:rPr>
            </w:pPr>
          </w:p>
        </w:tc>
        <w:tc>
          <w:tcPr>
            <w:tcW w:w="20" w:type="dxa"/>
            <w:shd w:val="clear" w:color="auto" w:fill="auto"/>
          </w:tcPr>
          <w:p w14:paraId="20AE2754" w14:textId="77777777" w:rsidR="00B626E7" w:rsidRDefault="00B626E7">
            <w:pPr>
              <w:rPr>
                <w:rFonts w:ascii="宋体"/>
              </w:rPr>
            </w:pPr>
          </w:p>
        </w:tc>
      </w:tr>
      <w:tr w:rsidR="00B626E7" w14:paraId="20AE2759" w14:textId="77777777">
        <w:tc>
          <w:tcPr>
            <w:tcW w:w="0" w:type="auto"/>
            <w:gridSpan w:val="3"/>
            <w:shd w:val="clear" w:color="auto" w:fill="auto"/>
            <w:tcMar>
              <w:left w:w="20" w:type="dxa"/>
              <w:right w:w="20" w:type="dxa"/>
            </w:tcMar>
            <w:vAlign w:val="bottom"/>
          </w:tcPr>
          <w:p w14:paraId="20AE2756"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center"/>
          </w:tcPr>
          <w:p w14:paraId="20AE2757" w14:textId="77777777" w:rsidR="00B626E7" w:rsidRDefault="00175C1D">
            <w:pPr>
              <w:textAlignment w:val="center"/>
            </w:pPr>
            <w:r>
              <w:rPr>
                <w:rFonts w:ascii="Arial" w:eastAsia="宋体" w:hAnsi="Arial" w:cs="Arial"/>
                <w:color w:val="003C71"/>
                <w:sz w:val="18"/>
                <w:szCs w:val="18"/>
              </w:rPr>
              <w:t>■</w:t>
            </w:r>
            <w:r>
              <w:rPr>
                <w:rFonts w:ascii="Arial" w:eastAsia="宋体" w:hAnsi="Arial" w:cs="Arial"/>
                <w:color w:val="333333"/>
                <w:sz w:val="18"/>
                <w:szCs w:val="18"/>
              </w:rPr>
              <w:t xml:space="preserve"> </w:t>
            </w:r>
            <w:r>
              <w:rPr>
                <w:rFonts w:ascii="Arial" w:eastAsia="宋体" w:hAnsi="Arial" w:cs="Arial"/>
                <w:color w:val="333333"/>
                <w:sz w:val="16"/>
                <w:szCs w:val="16"/>
              </w:rPr>
              <w:t>Platform</w:t>
            </w:r>
          </w:p>
        </w:tc>
        <w:tc>
          <w:tcPr>
            <w:tcW w:w="0" w:type="auto"/>
            <w:gridSpan w:val="3"/>
            <w:shd w:val="clear" w:color="auto" w:fill="auto"/>
            <w:tcMar>
              <w:top w:w="40" w:type="dxa"/>
              <w:left w:w="20" w:type="dxa"/>
              <w:bottom w:w="40" w:type="dxa"/>
              <w:right w:w="20" w:type="dxa"/>
            </w:tcMar>
            <w:vAlign w:val="center"/>
          </w:tcPr>
          <w:p w14:paraId="20AE2758" w14:textId="77777777" w:rsidR="00B626E7" w:rsidRDefault="00175C1D">
            <w:pPr>
              <w:textAlignment w:val="center"/>
            </w:pPr>
            <w:r>
              <w:rPr>
                <w:rFonts w:ascii="Arial" w:eastAsia="宋体" w:hAnsi="Arial" w:cs="Arial"/>
                <w:color w:val="FFA300"/>
                <w:sz w:val="18"/>
                <w:szCs w:val="18"/>
              </w:rPr>
              <w:t>■</w:t>
            </w:r>
            <w:r>
              <w:rPr>
                <w:rFonts w:ascii="Arial" w:eastAsia="宋体" w:hAnsi="Arial" w:cs="Arial"/>
                <w:color w:val="333333"/>
                <w:sz w:val="18"/>
                <w:szCs w:val="18"/>
              </w:rPr>
              <w:t xml:space="preserve"> </w:t>
            </w:r>
            <w:r>
              <w:rPr>
                <w:rFonts w:ascii="Arial" w:eastAsia="宋体" w:hAnsi="Arial" w:cs="Arial"/>
                <w:color w:val="333333"/>
                <w:sz w:val="16"/>
                <w:szCs w:val="16"/>
              </w:rPr>
              <w:t>Adjacent</w:t>
            </w:r>
          </w:p>
        </w:tc>
      </w:tr>
    </w:tbl>
    <w:p w14:paraId="20AE275A" w14:textId="77777777" w:rsidR="00B626E7" w:rsidRDefault="00B626E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84"/>
        <w:gridCol w:w="8169"/>
        <w:gridCol w:w="83"/>
      </w:tblGrid>
      <w:tr w:rsidR="00B626E7" w14:paraId="20AE275E" w14:textId="77777777">
        <w:tc>
          <w:tcPr>
            <w:tcW w:w="50" w:type="pct"/>
            <w:shd w:val="clear" w:color="auto" w:fill="auto"/>
          </w:tcPr>
          <w:p w14:paraId="20AE275B" w14:textId="77777777" w:rsidR="00B626E7" w:rsidRDefault="00B626E7">
            <w:pPr>
              <w:rPr>
                <w:rFonts w:ascii="宋体"/>
              </w:rPr>
            </w:pPr>
          </w:p>
        </w:tc>
        <w:tc>
          <w:tcPr>
            <w:tcW w:w="4900" w:type="pct"/>
            <w:shd w:val="clear" w:color="auto" w:fill="auto"/>
          </w:tcPr>
          <w:p w14:paraId="20AE275C" w14:textId="77777777" w:rsidR="00B626E7" w:rsidRDefault="00B626E7">
            <w:pPr>
              <w:rPr>
                <w:rFonts w:ascii="宋体"/>
              </w:rPr>
            </w:pPr>
          </w:p>
        </w:tc>
        <w:tc>
          <w:tcPr>
            <w:tcW w:w="50" w:type="pct"/>
            <w:shd w:val="clear" w:color="auto" w:fill="auto"/>
          </w:tcPr>
          <w:p w14:paraId="20AE275D" w14:textId="77777777" w:rsidR="00B626E7" w:rsidRDefault="00B626E7">
            <w:pPr>
              <w:rPr>
                <w:rFonts w:ascii="宋体"/>
              </w:rPr>
            </w:pPr>
          </w:p>
        </w:tc>
      </w:tr>
      <w:tr w:rsidR="00B626E7" w14:paraId="20AE2760" w14:textId="77777777">
        <w:tc>
          <w:tcPr>
            <w:tcW w:w="0" w:type="auto"/>
            <w:gridSpan w:val="3"/>
            <w:tcBorders>
              <w:bottom w:val="single" w:sz="8" w:space="0" w:color="333333"/>
            </w:tcBorders>
            <w:shd w:val="clear" w:color="auto" w:fill="auto"/>
            <w:tcMar>
              <w:top w:w="40" w:type="dxa"/>
              <w:left w:w="20" w:type="dxa"/>
              <w:bottom w:w="40" w:type="dxa"/>
              <w:right w:w="20" w:type="dxa"/>
            </w:tcMar>
            <w:vAlign w:val="bottom"/>
          </w:tcPr>
          <w:p w14:paraId="20AE275F" w14:textId="77777777" w:rsidR="00B626E7" w:rsidRDefault="00175C1D">
            <w:pPr>
              <w:textAlignment w:val="bottom"/>
            </w:pPr>
            <w:r>
              <w:rPr>
                <w:rFonts w:ascii="Arial" w:eastAsia="宋体" w:hAnsi="Arial" w:cs="Arial"/>
                <w:b/>
                <w:bCs/>
                <w:color w:val="0071C5"/>
                <w:sz w:val="20"/>
                <w:szCs w:val="20"/>
              </w:rPr>
              <w:t>REVENUE SUMMARY</w:t>
            </w:r>
          </w:p>
        </w:tc>
      </w:tr>
    </w:tbl>
    <w:p w14:paraId="20AE2761" w14:textId="77777777" w:rsidR="00B626E7" w:rsidRDefault="00175C1D">
      <w:pPr>
        <w:spacing w:before="60" w:after="180"/>
      </w:pPr>
      <w:r>
        <w:rPr>
          <w:rFonts w:ascii="Arial" w:eastAsia="宋体" w:hAnsi="Arial" w:cs="Arial"/>
          <w:color w:val="333333"/>
          <w:sz w:val="18"/>
          <w:szCs w:val="18"/>
        </w:rPr>
        <w:t xml:space="preserve">Revenue in Q2 2020 was up 43% compared to Q2 2019, while YTD 2020 was also up 43% compared to YTD 2019, driven by increased volume, strong mix of </w:t>
      </w:r>
      <w:r>
        <w:rPr>
          <w:rFonts w:ascii="Arial" w:eastAsia="宋体" w:hAnsi="Arial" w:cs="Arial"/>
          <w:color w:val="333333"/>
          <w:sz w:val="18"/>
          <w:szCs w:val="18"/>
        </w:rPr>
        <w:t>platform products resulting in higher ASPs, and growth in adjacencies driven by 5G networking deployment. Year over year revenue in the cloud service providers market segment was up 47% as cloud service providers added capacity to serve demand. The enterpr</w:t>
      </w:r>
      <w:r>
        <w:rPr>
          <w:rFonts w:ascii="Arial" w:eastAsia="宋体" w:hAnsi="Arial" w:cs="Arial"/>
          <w:color w:val="333333"/>
          <w:sz w:val="18"/>
          <w:szCs w:val="18"/>
        </w:rPr>
        <w:t>ise and government market segment was up 34%, and the communications service providers market segment was up 44% year over year.</w:t>
      </w:r>
    </w:p>
    <w:p w14:paraId="20AE2762" w14:textId="77777777" w:rsidR="00B626E7" w:rsidRDefault="00175C1D">
      <w:pPr>
        <w:spacing w:before="60" w:after="180"/>
      </w:pPr>
      <w:r>
        <w:rPr>
          <w:rFonts w:ascii="Arial" w:eastAsia="宋体" w:hAnsi="Arial" w:cs="Arial"/>
          <w:color w:val="333333"/>
          <w:sz w:val="18"/>
          <w:szCs w:val="18"/>
        </w:rPr>
        <w:t>We anticipate demand in the enterprise and government market segment to weaken in the second half of 2020 and demand in the clo</w:t>
      </w:r>
      <w:r>
        <w:rPr>
          <w:rFonts w:ascii="Arial" w:eastAsia="宋体" w:hAnsi="Arial" w:cs="Arial"/>
          <w:color w:val="333333"/>
          <w:sz w:val="18"/>
          <w:szCs w:val="18"/>
        </w:rPr>
        <w:t xml:space="preserve">ud service providers market segment to moderate later in the year. </w:t>
      </w:r>
    </w:p>
    <w:tbl>
      <w:tblPr>
        <w:tblW w:w="5000" w:type="pct"/>
        <w:tblCellMar>
          <w:top w:w="15" w:type="dxa"/>
          <w:left w:w="15" w:type="dxa"/>
          <w:bottom w:w="15" w:type="dxa"/>
          <w:right w:w="15" w:type="dxa"/>
        </w:tblCellMar>
        <w:tblLook w:val="04A0" w:firstRow="1" w:lastRow="0" w:firstColumn="1" w:lastColumn="0" w:noHBand="0" w:noVBand="1"/>
      </w:tblPr>
      <w:tblGrid>
        <w:gridCol w:w="37"/>
        <w:gridCol w:w="2836"/>
        <w:gridCol w:w="36"/>
        <w:gridCol w:w="37"/>
        <w:gridCol w:w="248"/>
        <w:gridCol w:w="36"/>
        <w:gridCol w:w="62"/>
        <w:gridCol w:w="378"/>
        <w:gridCol w:w="61"/>
        <w:gridCol w:w="36"/>
        <w:gridCol w:w="36"/>
        <w:gridCol w:w="36"/>
        <w:gridCol w:w="136"/>
        <w:gridCol w:w="516"/>
        <w:gridCol w:w="86"/>
        <w:gridCol w:w="114"/>
        <w:gridCol w:w="544"/>
        <w:gridCol w:w="113"/>
        <w:gridCol w:w="37"/>
        <w:gridCol w:w="265"/>
        <w:gridCol w:w="36"/>
        <w:gridCol w:w="50"/>
        <w:gridCol w:w="312"/>
        <w:gridCol w:w="49"/>
        <w:gridCol w:w="36"/>
        <w:gridCol w:w="36"/>
        <w:gridCol w:w="36"/>
        <w:gridCol w:w="136"/>
        <w:gridCol w:w="598"/>
        <w:gridCol w:w="86"/>
        <w:gridCol w:w="36"/>
        <w:gridCol w:w="36"/>
        <w:gridCol w:w="36"/>
        <w:gridCol w:w="257"/>
        <w:gridCol w:w="257"/>
        <w:gridCol w:w="257"/>
        <w:gridCol w:w="36"/>
        <w:gridCol w:w="36"/>
        <w:gridCol w:w="36"/>
        <w:gridCol w:w="36"/>
        <w:gridCol w:w="36"/>
        <w:gridCol w:w="36"/>
        <w:gridCol w:w="36"/>
        <w:gridCol w:w="36"/>
        <w:gridCol w:w="36"/>
        <w:gridCol w:w="36"/>
        <w:gridCol w:w="36"/>
        <w:gridCol w:w="36"/>
      </w:tblGrid>
      <w:tr w:rsidR="00B626E7" w14:paraId="20AE2781" w14:textId="77777777">
        <w:trPr>
          <w:gridAfter w:val="18"/>
        </w:trPr>
        <w:tc>
          <w:tcPr>
            <w:tcW w:w="50" w:type="pct"/>
            <w:shd w:val="clear" w:color="auto" w:fill="auto"/>
          </w:tcPr>
          <w:p w14:paraId="20AE2763" w14:textId="77777777" w:rsidR="00B626E7" w:rsidRDefault="00B626E7">
            <w:pPr>
              <w:rPr>
                <w:rFonts w:ascii="宋体"/>
              </w:rPr>
            </w:pPr>
          </w:p>
        </w:tc>
        <w:tc>
          <w:tcPr>
            <w:tcW w:w="2078" w:type="pct"/>
            <w:shd w:val="clear" w:color="auto" w:fill="auto"/>
          </w:tcPr>
          <w:p w14:paraId="20AE2764" w14:textId="77777777" w:rsidR="00B626E7" w:rsidRDefault="00B626E7">
            <w:pPr>
              <w:rPr>
                <w:rFonts w:ascii="宋体"/>
              </w:rPr>
            </w:pPr>
          </w:p>
        </w:tc>
        <w:tc>
          <w:tcPr>
            <w:tcW w:w="50" w:type="pct"/>
            <w:shd w:val="clear" w:color="auto" w:fill="auto"/>
          </w:tcPr>
          <w:p w14:paraId="20AE2765" w14:textId="77777777" w:rsidR="00B626E7" w:rsidRDefault="00B626E7">
            <w:pPr>
              <w:rPr>
                <w:rFonts w:ascii="宋体"/>
              </w:rPr>
            </w:pPr>
          </w:p>
        </w:tc>
        <w:tc>
          <w:tcPr>
            <w:tcW w:w="50" w:type="pct"/>
            <w:shd w:val="clear" w:color="auto" w:fill="auto"/>
          </w:tcPr>
          <w:p w14:paraId="20AE2766" w14:textId="77777777" w:rsidR="00B626E7" w:rsidRDefault="00B626E7">
            <w:pPr>
              <w:rPr>
                <w:rFonts w:ascii="宋体"/>
              </w:rPr>
            </w:pPr>
          </w:p>
        </w:tc>
        <w:tc>
          <w:tcPr>
            <w:tcW w:w="255" w:type="pct"/>
            <w:shd w:val="clear" w:color="auto" w:fill="auto"/>
          </w:tcPr>
          <w:p w14:paraId="20AE2767" w14:textId="77777777" w:rsidR="00B626E7" w:rsidRDefault="00B626E7">
            <w:pPr>
              <w:rPr>
                <w:rFonts w:ascii="宋体"/>
              </w:rPr>
            </w:pPr>
          </w:p>
        </w:tc>
        <w:tc>
          <w:tcPr>
            <w:tcW w:w="50" w:type="pct"/>
            <w:shd w:val="clear" w:color="auto" w:fill="auto"/>
          </w:tcPr>
          <w:p w14:paraId="20AE2768" w14:textId="77777777" w:rsidR="00B626E7" w:rsidRDefault="00B626E7">
            <w:pPr>
              <w:rPr>
                <w:rFonts w:ascii="宋体"/>
              </w:rPr>
            </w:pPr>
          </w:p>
        </w:tc>
        <w:tc>
          <w:tcPr>
            <w:tcW w:w="50" w:type="pct"/>
            <w:shd w:val="clear" w:color="auto" w:fill="auto"/>
          </w:tcPr>
          <w:p w14:paraId="20AE2769" w14:textId="77777777" w:rsidR="00B626E7" w:rsidRDefault="00B626E7">
            <w:pPr>
              <w:rPr>
                <w:rFonts w:ascii="宋体"/>
              </w:rPr>
            </w:pPr>
          </w:p>
        </w:tc>
        <w:tc>
          <w:tcPr>
            <w:tcW w:w="309" w:type="pct"/>
            <w:shd w:val="clear" w:color="auto" w:fill="auto"/>
          </w:tcPr>
          <w:p w14:paraId="20AE276A" w14:textId="77777777" w:rsidR="00B626E7" w:rsidRDefault="00B626E7">
            <w:pPr>
              <w:rPr>
                <w:rFonts w:ascii="宋体"/>
              </w:rPr>
            </w:pPr>
          </w:p>
        </w:tc>
        <w:tc>
          <w:tcPr>
            <w:tcW w:w="50" w:type="pct"/>
            <w:shd w:val="clear" w:color="auto" w:fill="auto"/>
          </w:tcPr>
          <w:p w14:paraId="20AE276B" w14:textId="77777777" w:rsidR="00B626E7" w:rsidRDefault="00B626E7">
            <w:pPr>
              <w:rPr>
                <w:rFonts w:ascii="宋体"/>
              </w:rPr>
            </w:pPr>
          </w:p>
        </w:tc>
        <w:tc>
          <w:tcPr>
            <w:tcW w:w="5" w:type="pct"/>
            <w:shd w:val="clear" w:color="auto" w:fill="auto"/>
          </w:tcPr>
          <w:p w14:paraId="20AE276C" w14:textId="77777777" w:rsidR="00B626E7" w:rsidRDefault="00B626E7">
            <w:pPr>
              <w:rPr>
                <w:rFonts w:ascii="宋体"/>
              </w:rPr>
            </w:pPr>
          </w:p>
        </w:tc>
        <w:tc>
          <w:tcPr>
            <w:tcW w:w="24" w:type="pct"/>
            <w:shd w:val="clear" w:color="auto" w:fill="auto"/>
          </w:tcPr>
          <w:p w14:paraId="20AE276D" w14:textId="77777777" w:rsidR="00B626E7" w:rsidRDefault="00B626E7">
            <w:pPr>
              <w:rPr>
                <w:rFonts w:ascii="宋体"/>
              </w:rPr>
            </w:pPr>
          </w:p>
        </w:tc>
        <w:tc>
          <w:tcPr>
            <w:tcW w:w="5" w:type="pct"/>
            <w:shd w:val="clear" w:color="auto" w:fill="auto"/>
          </w:tcPr>
          <w:p w14:paraId="20AE276E" w14:textId="77777777" w:rsidR="00B626E7" w:rsidRDefault="00B626E7">
            <w:pPr>
              <w:rPr>
                <w:rFonts w:ascii="宋体"/>
              </w:rPr>
            </w:pPr>
          </w:p>
        </w:tc>
        <w:tc>
          <w:tcPr>
            <w:tcW w:w="50" w:type="pct"/>
            <w:shd w:val="clear" w:color="auto" w:fill="auto"/>
          </w:tcPr>
          <w:p w14:paraId="20AE276F" w14:textId="77777777" w:rsidR="00B626E7" w:rsidRDefault="00B626E7">
            <w:pPr>
              <w:rPr>
                <w:rFonts w:ascii="宋体"/>
              </w:rPr>
            </w:pPr>
          </w:p>
        </w:tc>
        <w:tc>
          <w:tcPr>
            <w:tcW w:w="494" w:type="pct"/>
            <w:shd w:val="clear" w:color="auto" w:fill="auto"/>
          </w:tcPr>
          <w:p w14:paraId="20AE2770" w14:textId="77777777" w:rsidR="00B626E7" w:rsidRDefault="00B626E7">
            <w:pPr>
              <w:rPr>
                <w:rFonts w:ascii="宋体"/>
              </w:rPr>
            </w:pPr>
          </w:p>
        </w:tc>
        <w:tc>
          <w:tcPr>
            <w:tcW w:w="50" w:type="pct"/>
            <w:shd w:val="clear" w:color="auto" w:fill="auto"/>
          </w:tcPr>
          <w:p w14:paraId="20AE2771" w14:textId="77777777" w:rsidR="00B626E7" w:rsidRDefault="00B626E7">
            <w:pPr>
              <w:rPr>
                <w:rFonts w:ascii="宋体"/>
              </w:rPr>
            </w:pPr>
          </w:p>
        </w:tc>
        <w:tc>
          <w:tcPr>
            <w:tcW w:w="5" w:type="pct"/>
            <w:shd w:val="clear" w:color="auto" w:fill="auto"/>
          </w:tcPr>
          <w:p w14:paraId="20AE2772" w14:textId="77777777" w:rsidR="00B626E7" w:rsidRDefault="00B626E7">
            <w:pPr>
              <w:rPr>
                <w:rFonts w:ascii="宋体"/>
              </w:rPr>
            </w:pPr>
          </w:p>
        </w:tc>
        <w:tc>
          <w:tcPr>
            <w:tcW w:w="24" w:type="pct"/>
            <w:shd w:val="clear" w:color="auto" w:fill="auto"/>
          </w:tcPr>
          <w:p w14:paraId="20AE2773" w14:textId="77777777" w:rsidR="00B626E7" w:rsidRDefault="00B626E7">
            <w:pPr>
              <w:rPr>
                <w:rFonts w:ascii="宋体"/>
              </w:rPr>
            </w:pPr>
          </w:p>
        </w:tc>
        <w:tc>
          <w:tcPr>
            <w:tcW w:w="5" w:type="pct"/>
            <w:shd w:val="clear" w:color="auto" w:fill="auto"/>
          </w:tcPr>
          <w:p w14:paraId="20AE2774" w14:textId="77777777" w:rsidR="00B626E7" w:rsidRDefault="00B626E7">
            <w:pPr>
              <w:rPr>
                <w:rFonts w:ascii="宋体"/>
              </w:rPr>
            </w:pPr>
          </w:p>
        </w:tc>
        <w:tc>
          <w:tcPr>
            <w:tcW w:w="50" w:type="pct"/>
            <w:shd w:val="clear" w:color="auto" w:fill="auto"/>
          </w:tcPr>
          <w:p w14:paraId="20AE2775" w14:textId="77777777" w:rsidR="00B626E7" w:rsidRDefault="00B626E7">
            <w:pPr>
              <w:rPr>
                <w:rFonts w:ascii="宋体"/>
              </w:rPr>
            </w:pPr>
          </w:p>
        </w:tc>
        <w:tc>
          <w:tcPr>
            <w:tcW w:w="255" w:type="pct"/>
            <w:shd w:val="clear" w:color="auto" w:fill="auto"/>
          </w:tcPr>
          <w:p w14:paraId="20AE2776" w14:textId="77777777" w:rsidR="00B626E7" w:rsidRDefault="00B626E7">
            <w:pPr>
              <w:rPr>
                <w:rFonts w:ascii="宋体"/>
              </w:rPr>
            </w:pPr>
          </w:p>
        </w:tc>
        <w:tc>
          <w:tcPr>
            <w:tcW w:w="50" w:type="pct"/>
            <w:shd w:val="clear" w:color="auto" w:fill="auto"/>
          </w:tcPr>
          <w:p w14:paraId="20AE2777" w14:textId="77777777" w:rsidR="00B626E7" w:rsidRDefault="00B626E7">
            <w:pPr>
              <w:rPr>
                <w:rFonts w:ascii="宋体"/>
              </w:rPr>
            </w:pPr>
          </w:p>
        </w:tc>
        <w:tc>
          <w:tcPr>
            <w:tcW w:w="50" w:type="pct"/>
            <w:shd w:val="clear" w:color="auto" w:fill="auto"/>
          </w:tcPr>
          <w:p w14:paraId="20AE2778" w14:textId="77777777" w:rsidR="00B626E7" w:rsidRDefault="00B626E7">
            <w:pPr>
              <w:rPr>
                <w:rFonts w:ascii="宋体"/>
              </w:rPr>
            </w:pPr>
          </w:p>
        </w:tc>
        <w:tc>
          <w:tcPr>
            <w:tcW w:w="309" w:type="pct"/>
            <w:shd w:val="clear" w:color="auto" w:fill="auto"/>
          </w:tcPr>
          <w:p w14:paraId="20AE2779" w14:textId="77777777" w:rsidR="00B626E7" w:rsidRDefault="00B626E7">
            <w:pPr>
              <w:rPr>
                <w:rFonts w:ascii="宋体"/>
              </w:rPr>
            </w:pPr>
          </w:p>
        </w:tc>
        <w:tc>
          <w:tcPr>
            <w:tcW w:w="50" w:type="pct"/>
            <w:shd w:val="clear" w:color="auto" w:fill="auto"/>
          </w:tcPr>
          <w:p w14:paraId="20AE277A" w14:textId="77777777" w:rsidR="00B626E7" w:rsidRDefault="00B626E7">
            <w:pPr>
              <w:rPr>
                <w:rFonts w:ascii="宋体"/>
              </w:rPr>
            </w:pPr>
          </w:p>
        </w:tc>
        <w:tc>
          <w:tcPr>
            <w:tcW w:w="5" w:type="pct"/>
            <w:shd w:val="clear" w:color="auto" w:fill="auto"/>
          </w:tcPr>
          <w:p w14:paraId="20AE277B" w14:textId="77777777" w:rsidR="00B626E7" w:rsidRDefault="00B626E7">
            <w:pPr>
              <w:rPr>
                <w:rFonts w:ascii="宋体"/>
              </w:rPr>
            </w:pPr>
          </w:p>
        </w:tc>
        <w:tc>
          <w:tcPr>
            <w:tcW w:w="24" w:type="pct"/>
            <w:shd w:val="clear" w:color="auto" w:fill="auto"/>
          </w:tcPr>
          <w:p w14:paraId="20AE277C" w14:textId="77777777" w:rsidR="00B626E7" w:rsidRDefault="00B626E7">
            <w:pPr>
              <w:rPr>
                <w:rFonts w:ascii="宋体"/>
              </w:rPr>
            </w:pPr>
          </w:p>
        </w:tc>
        <w:tc>
          <w:tcPr>
            <w:tcW w:w="5" w:type="pct"/>
            <w:shd w:val="clear" w:color="auto" w:fill="auto"/>
          </w:tcPr>
          <w:p w14:paraId="20AE277D" w14:textId="77777777" w:rsidR="00B626E7" w:rsidRDefault="00B626E7">
            <w:pPr>
              <w:rPr>
                <w:rFonts w:ascii="宋体"/>
              </w:rPr>
            </w:pPr>
          </w:p>
        </w:tc>
        <w:tc>
          <w:tcPr>
            <w:tcW w:w="50" w:type="pct"/>
            <w:shd w:val="clear" w:color="auto" w:fill="auto"/>
          </w:tcPr>
          <w:p w14:paraId="20AE277E" w14:textId="77777777" w:rsidR="00B626E7" w:rsidRDefault="00B626E7">
            <w:pPr>
              <w:rPr>
                <w:rFonts w:ascii="宋体"/>
              </w:rPr>
            </w:pPr>
          </w:p>
        </w:tc>
        <w:tc>
          <w:tcPr>
            <w:tcW w:w="494" w:type="pct"/>
            <w:shd w:val="clear" w:color="auto" w:fill="auto"/>
          </w:tcPr>
          <w:p w14:paraId="20AE277F" w14:textId="77777777" w:rsidR="00B626E7" w:rsidRDefault="00B626E7">
            <w:pPr>
              <w:rPr>
                <w:rFonts w:ascii="宋体"/>
              </w:rPr>
            </w:pPr>
          </w:p>
        </w:tc>
        <w:tc>
          <w:tcPr>
            <w:tcW w:w="50" w:type="pct"/>
            <w:shd w:val="clear" w:color="auto" w:fill="auto"/>
          </w:tcPr>
          <w:p w14:paraId="20AE2780" w14:textId="77777777" w:rsidR="00B626E7" w:rsidRDefault="00B626E7">
            <w:pPr>
              <w:rPr>
                <w:rFonts w:ascii="宋体"/>
              </w:rPr>
            </w:pPr>
          </w:p>
        </w:tc>
      </w:tr>
      <w:tr w:rsidR="00B626E7" w14:paraId="20AE278C" w14:textId="77777777">
        <w:tc>
          <w:tcPr>
            <w:tcW w:w="0" w:type="auto"/>
            <w:gridSpan w:val="3"/>
            <w:shd w:val="clear" w:color="auto" w:fill="auto"/>
            <w:tcMar>
              <w:left w:w="20" w:type="dxa"/>
              <w:right w:w="20" w:type="dxa"/>
            </w:tcMar>
            <w:vAlign w:val="bottom"/>
          </w:tcPr>
          <w:p w14:paraId="20AE2782" w14:textId="77777777" w:rsidR="00B626E7" w:rsidRDefault="00B626E7">
            <w:pPr>
              <w:rPr>
                <w:rFonts w:ascii="宋体"/>
              </w:rPr>
            </w:pPr>
          </w:p>
        </w:tc>
        <w:tc>
          <w:tcPr>
            <w:tcW w:w="0" w:type="auto"/>
            <w:gridSpan w:val="12"/>
            <w:shd w:val="clear" w:color="auto" w:fill="auto"/>
            <w:tcMar>
              <w:top w:w="40" w:type="dxa"/>
              <w:left w:w="20" w:type="dxa"/>
              <w:bottom w:w="40" w:type="dxa"/>
              <w:right w:w="20" w:type="dxa"/>
            </w:tcMar>
            <w:vAlign w:val="bottom"/>
          </w:tcPr>
          <w:p w14:paraId="20AE2783" w14:textId="77777777" w:rsidR="00B626E7" w:rsidRDefault="00175C1D">
            <w:pPr>
              <w:jc w:val="center"/>
              <w:textAlignment w:val="bottom"/>
            </w:pPr>
            <w:r>
              <w:rPr>
                <w:rFonts w:ascii="Arial" w:eastAsia="宋体" w:hAnsi="Arial" w:cs="Arial"/>
                <w:b/>
                <w:bCs/>
                <w:color w:val="333333"/>
                <w:sz w:val="18"/>
                <w:szCs w:val="18"/>
              </w:rPr>
              <w:t>Q2 2020 vs. Q2 2019</w:t>
            </w:r>
          </w:p>
        </w:tc>
        <w:tc>
          <w:tcPr>
            <w:tcW w:w="0" w:type="auto"/>
            <w:gridSpan w:val="3"/>
            <w:shd w:val="clear" w:color="auto" w:fill="auto"/>
          </w:tcPr>
          <w:p w14:paraId="20AE2784" w14:textId="77777777" w:rsidR="00B626E7" w:rsidRDefault="00B626E7">
            <w:pPr>
              <w:rPr>
                <w:rFonts w:ascii="宋体"/>
                <w:vanish/>
              </w:rPr>
            </w:pPr>
          </w:p>
        </w:tc>
        <w:tc>
          <w:tcPr>
            <w:tcW w:w="0" w:type="auto"/>
            <w:gridSpan w:val="3"/>
            <w:shd w:val="clear" w:color="auto" w:fill="auto"/>
          </w:tcPr>
          <w:p w14:paraId="20AE2785" w14:textId="77777777" w:rsidR="00B626E7" w:rsidRDefault="00B626E7">
            <w:pPr>
              <w:rPr>
                <w:rFonts w:ascii="宋体"/>
                <w:vanish/>
              </w:rPr>
            </w:pPr>
          </w:p>
        </w:tc>
        <w:tc>
          <w:tcPr>
            <w:tcW w:w="0" w:type="auto"/>
            <w:gridSpan w:val="3"/>
            <w:shd w:val="clear" w:color="auto" w:fill="auto"/>
          </w:tcPr>
          <w:p w14:paraId="20AE2786" w14:textId="77777777" w:rsidR="00B626E7" w:rsidRDefault="00B626E7">
            <w:pPr>
              <w:rPr>
                <w:rFonts w:ascii="宋体"/>
                <w:vanish/>
              </w:rPr>
            </w:pPr>
          </w:p>
        </w:tc>
        <w:tc>
          <w:tcPr>
            <w:tcW w:w="0" w:type="auto"/>
            <w:gridSpan w:val="3"/>
            <w:shd w:val="clear" w:color="auto" w:fill="auto"/>
            <w:tcMar>
              <w:left w:w="20" w:type="dxa"/>
              <w:right w:w="20" w:type="dxa"/>
            </w:tcMar>
            <w:vAlign w:val="bottom"/>
          </w:tcPr>
          <w:p w14:paraId="20AE2787" w14:textId="77777777" w:rsidR="00B626E7" w:rsidRDefault="00B626E7">
            <w:pPr>
              <w:rPr>
                <w:rFonts w:ascii="宋体"/>
              </w:rPr>
            </w:pPr>
          </w:p>
        </w:tc>
        <w:tc>
          <w:tcPr>
            <w:tcW w:w="0" w:type="auto"/>
            <w:gridSpan w:val="12"/>
            <w:shd w:val="clear" w:color="auto" w:fill="auto"/>
            <w:tcMar>
              <w:top w:w="40" w:type="dxa"/>
              <w:left w:w="20" w:type="dxa"/>
              <w:bottom w:w="40" w:type="dxa"/>
              <w:right w:w="20" w:type="dxa"/>
            </w:tcMar>
            <w:vAlign w:val="bottom"/>
          </w:tcPr>
          <w:p w14:paraId="20AE2788" w14:textId="77777777" w:rsidR="00B626E7" w:rsidRDefault="00175C1D">
            <w:pPr>
              <w:jc w:val="center"/>
              <w:textAlignment w:val="bottom"/>
            </w:pPr>
            <w:r>
              <w:rPr>
                <w:rFonts w:ascii="Arial" w:eastAsia="宋体" w:hAnsi="Arial" w:cs="Arial"/>
                <w:b/>
                <w:bCs/>
                <w:color w:val="333333"/>
                <w:sz w:val="18"/>
                <w:szCs w:val="18"/>
              </w:rPr>
              <w:t>YTD 2020 vs. YTD 2019</w:t>
            </w:r>
          </w:p>
        </w:tc>
        <w:tc>
          <w:tcPr>
            <w:tcW w:w="0" w:type="auto"/>
            <w:gridSpan w:val="3"/>
            <w:shd w:val="clear" w:color="auto" w:fill="auto"/>
          </w:tcPr>
          <w:p w14:paraId="20AE2789" w14:textId="77777777" w:rsidR="00B626E7" w:rsidRDefault="00B626E7">
            <w:pPr>
              <w:rPr>
                <w:rFonts w:ascii="宋体"/>
                <w:vanish/>
              </w:rPr>
            </w:pPr>
          </w:p>
        </w:tc>
        <w:tc>
          <w:tcPr>
            <w:tcW w:w="0" w:type="auto"/>
            <w:gridSpan w:val="3"/>
            <w:shd w:val="clear" w:color="auto" w:fill="auto"/>
          </w:tcPr>
          <w:p w14:paraId="20AE278A" w14:textId="77777777" w:rsidR="00B626E7" w:rsidRDefault="00B626E7">
            <w:pPr>
              <w:rPr>
                <w:rFonts w:ascii="宋体"/>
                <w:vanish/>
              </w:rPr>
            </w:pPr>
          </w:p>
        </w:tc>
        <w:tc>
          <w:tcPr>
            <w:tcW w:w="0" w:type="auto"/>
            <w:gridSpan w:val="3"/>
            <w:shd w:val="clear" w:color="auto" w:fill="auto"/>
          </w:tcPr>
          <w:p w14:paraId="20AE278B" w14:textId="77777777" w:rsidR="00B626E7" w:rsidRDefault="00B626E7">
            <w:pPr>
              <w:rPr>
                <w:rFonts w:ascii="宋体"/>
                <w:vanish/>
              </w:rPr>
            </w:pPr>
          </w:p>
        </w:tc>
      </w:tr>
      <w:tr w:rsidR="00B626E7" w14:paraId="20AE27A3" w14:textId="77777777">
        <w:tc>
          <w:tcPr>
            <w:tcW w:w="0" w:type="auto"/>
            <w:gridSpan w:val="3"/>
            <w:shd w:val="clear" w:color="auto" w:fill="auto"/>
            <w:tcMar>
              <w:top w:w="40" w:type="dxa"/>
              <w:left w:w="20" w:type="dxa"/>
              <w:bottom w:w="40" w:type="dxa"/>
              <w:right w:w="20" w:type="dxa"/>
            </w:tcMar>
            <w:vAlign w:val="bottom"/>
          </w:tcPr>
          <w:p w14:paraId="20AE278D" w14:textId="77777777" w:rsidR="00B626E7" w:rsidRDefault="00175C1D">
            <w:pPr>
              <w:textAlignment w:val="bottom"/>
            </w:pPr>
            <w:r>
              <w:rPr>
                <w:rFonts w:ascii="Arial" w:eastAsia="宋体" w:hAnsi="Arial" w:cs="Arial"/>
                <w:b/>
                <w:bCs/>
                <w:color w:val="333333"/>
                <w:sz w:val="18"/>
                <w:szCs w:val="18"/>
              </w:rPr>
              <w:t>(In Millions)</w:t>
            </w:r>
          </w:p>
        </w:tc>
        <w:tc>
          <w:tcPr>
            <w:tcW w:w="0" w:type="auto"/>
            <w:gridSpan w:val="6"/>
            <w:tcBorders>
              <w:top w:val="single" w:sz="8" w:space="0" w:color="0071C5"/>
            </w:tcBorders>
            <w:shd w:val="clear" w:color="auto" w:fill="auto"/>
            <w:tcMar>
              <w:top w:w="40" w:type="dxa"/>
              <w:left w:w="20" w:type="dxa"/>
              <w:bottom w:w="40" w:type="dxa"/>
              <w:right w:w="20" w:type="dxa"/>
            </w:tcMar>
            <w:vAlign w:val="bottom"/>
          </w:tcPr>
          <w:p w14:paraId="20AE278E" w14:textId="77777777" w:rsidR="00B626E7" w:rsidRDefault="00175C1D">
            <w:pPr>
              <w:jc w:val="center"/>
              <w:textAlignment w:val="bottom"/>
            </w:pPr>
            <w:r>
              <w:rPr>
                <w:rFonts w:ascii="Arial" w:eastAsia="宋体" w:hAnsi="Arial" w:cs="Arial"/>
                <w:b/>
                <w:bCs/>
                <w:color w:val="333333"/>
                <w:sz w:val="18"/>
                <w:szCs w:val="18"/>
              </w:rPr>
              <w:t xml:space="preserve">% </w:t>
            </w:r>
          </w:p>
        </w:tc>
        <w:tc>
          <w:tcPr>
            <w:tcW w:w="0" w:type="auto"/>
            <w:gridSpan w:val="3"/>
            <w:shd w:val="clear" w:color="auto" w:fill="auto"/>
          </w:tcPr>
          <w:p w14:paraId="20AE278F" w14:textId="77777777" w:rsidR="00B626E7" w:rsidRDefault="00B626E7">
            <w:pPr>
              <w:rPr>
                <w:rFonts w:ascii="宋体"/>
                <w:vanish/>
              </w:rPr>
            </w:pPr>
          </w:p>
        </w:tc>
        <w:tc>
          <w:tcPr>
            <w:tcW w:w="0" w:type="auto"/>
            <w:gridSpan w:val="3"/>
            <w:tcBorders>
              <w:top w:val="single" w:sz="8" w:space="0" w:color="0071C5"/>
            </w:tcBorders>
            <w:shd w:val="clear" w:color="auto" w:fill="auto"/>
            <w:tcMar>
              <w:left w:w="20" w:type="dxa"/>
              <w:right w:w="20" w:type="dxa"/>
            </w:tcMar>
            <w:vAlign w:val="bottom"/>
          </w:tcPr>
          <w:p w14:paraId="20AE2790"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2791" w14:textId="77777777" w:rsidR="00B626E7" w:rsidRDefault="00175C1D">
            <w:pPr>
              <w:jc w:val="center"/>
              <w:textAlignment w:val="bottom"/>
            </w:pPr>
            <w:r>
              <w:rPr>
                <w:rFonts w:ascii="Arial" w:eastAsia="宋体" w:hAnsi="Arial" w:cs="Arial"/>
                <w:b/>
                <w:bCs/>
                <w:color w:val="333333"/>
                <w:sz w:val="18"/>
                <w:szCs w:val="18"/>
              </w:rPr>
              <w:t>$ Impact</w:t>
            </w:r>
          </w:p>
        </w:tc>
        <w:tc>
          <w:tcPr>
            <w:tcW w:w="0" w:type="auto"/>
            <w:gridSpan w:val="3"/>
            <w:shd w:val="clear" w:color="auto" w:fill="auto"/>
            <w:tcMar>
              <w:left w:w="20" w:type="dxa"/>
              <w:right w:w="20" w:type="dxa"/>
            </w:tcMar>
            <w:vAlign w:val="bottom"/>
          </w:tcPr>
          <w:p w14:paraId="20AE2792" w14:textId="77777777" w:rsidR="00B626E7" w:rsidRDefault="00B626E7">
            <w:pPr>
              <w:rPr>
                <w:rFonts w:ascii="宋体"/>
              </w:rPr>
            </w:pPr>
          </w:p>
        </w:tc>
        <w:tc>
          <w:tcPr>
            <w:tcW w:w="0" w:type="auto"/>
            <w:gridSpan w:val="6"/>
            <w:tcBorders>
              <w:top w:val="single" w:sz="8" w:space="0" w:color="0071C5"/>
            </w:tcBorders>
            <w:shd w:val="clear" w:color="auto" w:fill="auto"/>
            <w:tcMar>
              <w:top w:w="40" w:type="dxa"/>
              <w:left w:w="20" w:type="dxa"/>
              <w:bottom w:w="40" w:type="dxa"/>
              <w:right w:w="20" w:type="dxa"/>
            </w:tcMar>
            <w:vAlign w:val="bottom"/>
          </w:tcPr>
          <w:p w14:paraId="20AE2793" w14:textId="77777777" w:rsidR="00B626E7" w:rsidRDefault="00175C1D">
            <w:pPr>
              <w:jc w:val="center"/>
              <w:textAlignment w:val="bottom"/>
            </w:pPr>
            <w:r>
              <w:rPr>
                <w:rFonts w:ascii="Arial" w:eastAsia="宋体" w:hAnsi="Arial" w:cs="Arial"/>
                <w:b/>
                <w:bCs/>
                <w:color w:val="333333"/>
                <w:sz w:val="18"/>
                <w:szCs w:val="18"/>
              </w:rPr>
              <w:t>%</w:t>
            </w:r>
          </w:p>
        </w:tc>
        <w:tc>
          <w:tcPr>
            <w:tcW w:w="0" w:type="auto"/>
            <w:gridSpan w:val="3"/>
            <w:shd w:val="clear" w:color="auto" w:fill="auto"/>
          </w:tcPr>
          <w:p w14:paraId="20AE2794" w14:textId="77777777" w:rsidR="00B626E7" w:rsidRDefault="00B626E7">
            <w:pPr>
              <w:rPr>
                <w:rFonts w:ascii="宋体"/>
                <w:vanish/>
              </w:rPr>
            </w:pPr>
          </w:p>
        </w:tc>
        <w:tc>
          <w:tcPr>
            <w:tcW w:w="0" w:type="auto"/>
            <w:gridSpan w:val="3"/>
            <w:tcBorders>
              <w:top w:val="single" w:sz="8" w:space="0" w:color="0071C5"/>
            </w:tcBorders>
            <w:shd w:val="clear" w:color="auto" w:fill="auto"/>
            <w:tcMar>
              <w:left w:w="20" w:type="dxa"/>
              <w:right w:w="20" w:type="dxa"/>
            </w:tcMar>
            <w:vAlign w:val="bottom"/>
          </w:tcPr>
          <w:p w14:paraId="20AE2795"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2796" w14:textId="77777777" w:rsidR="00B626E7" w:rsidRDefault="00175C1D">
            <w:pPr>
              <w:jc w:val="center"/>
              <w:textAlignment w:val="bottom"/>
            </w:pPr>
            <w:r>
              <w:rPr>
                <w:rFonts w:ascii="Arial" w:eastAsia="宋体" w:hAnsi="Arial" w:cs="Arial"/>
                <w:b/>
                <w:bCs/>
                <w:color w:val="333333"/>
                <w:sz w:val="18"/>
                <w:szCs w:val="18"/>
              </w:rPr>
              <w:t>$ Impact</w:t>
            </w:r>
          </w:p>
        </w:tc>
        <w:tc>
          <w:tcPr>
            <w:tcW w:w="0" w:type="auto"/>
            <w:shd w:val="clear" w:color="auto" w:fill="auto"/>
          </w:tcPr>
          <w:p w14:paraId="20AE2797" w14:textId="77777777" w:rsidR="00B626E7" w:rsidRDefault="00B626E7">
            <w:pPr>
              <w:rPr>
                <w:rFonts w:ascii="宋体"/>
              </w:rPr>
            </w:pPr>
          </w:p>
        </w:tc>
        <w:tc>
          <w:tcPr>
            <w:tcW w:w="0" w:type="auto"/>
            <w:shd w:val="clear" w:color="auto" w:fill="auto"/>
          </w:tcPr>
          <w:p w14:paraId="20AE2798" w14:textId="77777777" w:rsidR="00B626E7" w:rsidRDefault="00B626E7">
            <w:pPr>
              <w:rPr>
                <w:rFonts w:ascii="宋体"/>
              </w:rPr>
            </w:pPr>
          </w:p>
        </w:tc>
        <w:tc>
          <w:tcPr>
            <w:tcW w:w="0" w:type="auto"/>
            <w:shd w:val="clear" w:color="auto" w:fill="auto"/>
          </w:tcPr>
          <w:p w14:paraId="20AE2799" w14:textId="77777777" w:rsidR="00B626E7" w:rsidRDefault="00B626E7">
            <w:pPr>
              <w:rPr>
                <w:rFonts w:ascii="宋体"/>
              </w:rPr>
            </w:pPr>
          </w:p>
        </w:tc>
        <w:tc>
          <w:tcPr>
            <w:tcW w:w="0" w:type="auto"/>
            <w:shd w:val="clear" w:color="auto" w:fill="auto"/>
          </w:tcPr>
          <w:p w14:paraId="20AE279A" w14:textId="77777777" w:rsidR="00B626E7" w:rsidRDefault="00B626E7">
            <w:pPr>
              <w:rPr>
                <w:rFonts w:ascii="宋体"/>
              </w:rPr>
            </w:pPr>
          </w:p>
        </w:tc>
        <w:tc>
          <w:tcPr>
            <w:tcW w:w="0" w:type="auto"/>
            <w:shd w:val="clear" w:color="auto" w:fill="auto"/>
          </w:tcPr>
          <w:p w14:paraId="20AE279B" w14:textId="77777777" w:rsidR="00B626E7" w:rsidRDefault="00B626E7">
            <w:pPr>
              <w:rPr>
                <w:rFonts w:ascii="宋体"/>
              </w:rPr>
            </w:pPr>
          </w:p>
        </w:tc>
        <w:tc>
          <w:tcPr>
            <w:tcW w:w="0" w:type="auto"/>
            <w:shd w:val="clear" w:color="auto" w:fill="auto"/>
          </w:tcPr>
          <w:p w14:paraId="20AE279C" w14:textId="77777777" w:rsidR="00B626E7" w:rsidRDefault="00B626E7">
            <w:pPr>
              <w:rPr>
                <w:rFonts w:ascii="宋体"/>
              </w:rPr>
            </w:pPr>
          </w:p>
        </w:tc>
        <w:tc>
          <w:tcPr>
            <w:tcW w:w="0" w:type="auto"/>
            <w:shd w:val="clear" w:color="auto" w:fill="auto"/>
          </w:tcPr>
          <w:p w14:paraId="20AE279D" w14:textId="77777777" w:rsidR="00B626E7" w:rsidRDefault="00B626E7">
            <w:pPr>
              <w:rPr>
                <w:rFonts w:ascii="宋体"/>
              </w:rPr>
            </w:pPr>
          </w:p>
        </w:tc>
        <w:tc>
          <w:tcPr>
            <w:tcW w:w="0" w:type="auto"/>
            <w:shd w:val="clear" w:color="auto" w:fill="auto"/>
          </w:tcPr>
          <w:p w14:paraId="20AE279E" w14:textId="77777777" w:rsidR="00B626E7" w:rsidRDefault="00B626E7">
            <w:pPr>
              <w:rPr>
                <w:rFonts w:ascii="宋体"/>
              </w:rPr>
            </w:pPr>
          </w:p>
        </w:tc>
        <w:tc>
          <w:tcPr>
            <w:tcW w:w="0" w:type="auto"/>
            <w:shd w:val="clear" w:color="auto" w:fill="auto"/>
          </w:tcPr>
          <w:p w14:paraId="20AE279F" w14:textId="77777777" w:rsidR="00B626E7" w:rsidRDefault="00B626E7">
            <w:pPr>
              <w:rPr>
                <w:rFonts w:ascii="宋体"/>
              </w:rPr>
            </w:pPr>
          </w:p>
        </w:tc>
        <w:tc>
          <w:tcPr>
            <w:tcW w:w="0" w:type="auto"/>
            <w:shd w:val="clear" w:color="auto" w:fill="auto"/>
          </w:tcPr>
          <w:p w14:paraId="20AE27A0" w14:textId="77777777" w:rsidR="00B626E7" w:rsidRDefault="00B626E7">
            <w:pPr>
              <w:rPr>
                <w:rFonts w:ascii="宋体"/>
              </w:rPr>
            </w:pPr>
          </w:p>
        </w:tc>
        <w:tc>
          <w:tcPr>
            <w:tcW w:w="0" w:type="auto"/>
            <w:shd w:val="clear" w:color="auto" w:fill="auto"/>
          </w:tcPr>
          <w:p w14:paraId="20AE27A1" w14:textId="77777777" w:rsidR="00B626E7" w:rsidRDefault="00B626E7">
            <w:pPr>
              <w:rPr>
                <w:rFonts w:ascii="宋体"/>
              </w:rPr>
            </w:pPr>
          </w:p>
        </w:tc>
        <w:tc>
          <w:tcPr>
            <w:tcW w:w="0" w:type="auto"/>
            <w:shd w:val="clear" w:color="auto" w:fill="auto"/>
          </w:tcPr>
          <w:p w14:paraId="20AE27A2" w14:textId="77777777" w:rsidR="00B626E7" w:rsidRDefault="00B626E7">
            <w:pPr>
              <w:rPr>
                <w:rFonts w:ascii="宋体"/>
              </w:rPr>
            </w:pPr>
          </w:p>
        </w:tc>
      </w:tr>
      <w:tr w:rsidR="00B626E7" w14:paraId="20AE27C0" w14:textId="77777777">
        <w:trPr>
          <w:trHeight w:val="60"/>
        </w:trPr>
        <w:tc>
          <w:tcPr>
            <w:tcW w:w="0" w:type="auto"/>
            <w:gridSpan w:val="3"/>
            <w:tcBorders>
              <w:top w:val="single" w:sz="8" w:space="0" w:color="0071C5"/>
            </w:tcBorders>
            <w:shd w:val="clear" w:color="auto" w:fill="auto"/>
            <w:tcMar>
              <w:left w:w="20" w:type="dxa"/>
              <w:right w:w="20" w:type="dxa"/>
            </w:tcMar>
            <w:vAlign w:val="bottom"/>
          </w:tcPr>
          <w:p w14:paraId="20AE27A4"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27A5"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27A6"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7A7"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27A8"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7A9"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27AA"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27AB"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7AC"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27AD" w14:textId="77777777" w:rsidR="00B626E7" w:rsidRDefault="00B626E7">
            <w:pPr>
              <w:rPr>
                <w:rFonts w:ascii="宋体"/>
              </w:rPr>
            </w:pPr>
          </w:p>
        </w:tc>
        <w:tc>
          <w:tcPr>
            <w:tcW w:w="0" w:type="auto"/>
            <w:shd w:val="clear" w:color="auto" w:fill="auto"/>
          </w:tcPr>
          <w:p w14:paraId="20AE27AE" w14:textId="77777777" w:rsidR="00B626E7" w:rsidRDefault="00B626E7">
            <w:pPr>
              <w:rPr>
                <w:rFonts w:ascii="宋体"/>
              </w:rPr>
            </w:pPr>
          </w:p>
        </w:tc>
        <w:tc>
          <w:tcPr>
            <w:tcW w:w="0" w:type="auto"/>
            <w:shd w:val="clear" w:color="auto" w:fill="auto"/>
          </w:tcPr>
          <w:p w14:paraId="20AE27AF" w14:textId="77777777" w:rsidR="00B626E7" w:rsidRDefault="00B626E7">
            <w:pPr>
              <w:rPr>
                <w:rFonts w:ascii="宋体"/>
              </w:rPr>
            </w:pPr>
          </w:p>
        </w:tc>
        <w:tc>
          <w:tcPr>
            <w:tcW w:w="0" w:type="auto"/>
            <w:shd w:val="clear" w:color="auto" w:fill="auto"/>
          </w:tcPr>
          <w:p w14:paraId="20AE27B0" w14:textId="77777777" w:rsidR="00B626E7" w:rsidRDefault="00B626E7">
            <w:pPr>
              <w:rPr>
                <w:rFonts w:ascii="宋体"/>
              </w:rPr>
            </w:pPr>
          </w:p>
        </w:tc>
        <w:tc>
          <w:tcPr>
            <w:tcW w:w="0" w:type="auto"/>
            <w:shd w:val="clear" w:color="auto" w:fill="auto"/>
          </w:tcPr>
          <w:p w14:paraId="20AE27B1" w14:textId="77777777" w:rsidR="00B626E7" w:rsidRDefault="00B626E7">
            <w:pPr>
              <w:rPr>
                <w:rFonts w:ascii="宋体"/>
              </w:rPr>
            </w:pPr>
          </w:p>
        </w:tc>
        <w:tc>
          <w:tcPr>
            <w:tcW w:w="0" w:type="auto"/>
            <w:shd w:val="clear" w:color="auto" w:fill="auto"/>
          </w:tcPr>
          <w:p w14:paraId="20AE27B2" w14:textId="77777777" w:rsidR="00B626E7" w:rsidRDefault="00B626E7">
            <w:pPr>
              <w:rPr>
                <w:rFonts w:ascii="宋体"/>
              </w:rPr>
            </w:pPr>
          </w:p>
        </w:tc>
        <w:tc>
          <w:tcPr>
            <w:tcW w:w="0" w:type="auto"/>
            <w:shd w:val="clear" w:color="auto" w:fill="auto"/>
          </w:tcPr>
          <w:p w14:paraId="20AE27B3" w14:textId="77777777" w:rsidR="00B626E7" w:rsidRDefault="00B626E7">
            <w:pPr>
              <w:rPr>
                <w:rFonts w:ascii="宋体"/>
              </w:rPr>
            </w:pPr>
          </w:p>
        </w:tc>
        <w:tc>
          <w:tcPr>
            <w:tcW w:w="0" w:type="auto"/>
            <w:shd w:val="clear" w:color="auto" w:fill="auto"/>
          </w:tcPr>
          <w:p w14:paraId="20AE27B4" w14:textId="77777777" w:rsidR="00B626E7" w:rsidRDefault="00B626E7">
            <w:pPr>
              <w:rPr>
                <w:rFonts w:ascii="宋体"/>
              </w:rPr>
            </w:pPr>
          </w:p>
        </w:tc>
        <w:tc>
          <w:tcPr>
            <w:tcW w:w="0" w:type="auto"/>
            <w:shd w:val="clear" w:color="auto" w:fill="auto"/>
          </w:tcPr>
          <w:p w14:paraId="20AE27B5" w14:textId="77777777" w:rsidR="00B626E7" w:rsidRDefault="00B626E7">
            <w:pPr>
              <w:rPr>
                <w:rFonts w:ascii="宋体"/>
              </w:rPr>
            </w:pPr>
          </w:p>
        </w:tc>
        <w:tc>
          <w:tcPr>
            <w:tcW w:w="0" w:type="auto"/>
            <w:shd w:val="clear" w:color="auto" w:fill="auto"/>
          </w:tcPr>
          <w:p w14:paraId="20AE27B6" w14:textId="77777777" w:rsidR="00B626E7" w:rsidRDefault="00B626E7">
            <w:pPr>
              <w:rPr>
                <w:rFonts w:ascii="宋体"/>
              </w:rPr>
            </w:pPr>
          </w:p>
        </w:tc>
        <w:tc>
          <w:tcPr>
            <w:tcW w:w="0" w:type="auto"/>
            <w:shd w:val="clear" w:color="auto" w:fill="auto"/>
          </w:tcPr>
          <w:p w14:paraId="20AE27B7" w14:textId="77777777" w:rsidR="00B626E7" w:rsidRDefault="00B626E7">
            <w:pPr>
              <w:rPr>
                <w:rFonts w:ascii="宋体"/>
              </w:rPr>
            </w:pPr>
          </w:p>
        </w:tc>
        <w:tc>
          <w:tcPr>
            <w:tcW w:w="0" w:type="auto"/>
            <w:shd w:val="clear" w:color="auto" w:fill="auto"/>
          </w:tcPr>
          <w:p w14:paraId="20AE27B8" w14:textId="77777777" w:rsidR="00B626E7" w:rsidRDefault="00B626E7">
            <w:pPr>
              <w:rPr>
                <w:rFonts w:ascii="宋体"/>
              </w:rPr>
            </w:pPr>
          </w:p>
        </w:tc>
        <w:tc>
          <w:tcPr>
            <w:tcW w:w="0" w:type="auto"/>
            <w:shd w:val="clear" w:color="auto" w:fill="auto"/>
          </w:tcPr>
          <w:p w14:paraId="20AE27B9" w14:textId="77777777" w:rsidR="00B626E7" w:rsidRDefault="00B626E7">
            <w:pPr>
              <w:rPr>
                <w:rFonts w:ascii="宋体"/>
              </w:rPr>
            </w:pPr>
          </w:p>
        </w:tc>
        <w:tc>
          <w:tcPr>
            <w:tcW w:w="0" w:type="auto"/>
            <w:shd w:val="clear" w:color="auto" w:fill="auto"/>
          </w:tcPr>
          <w:p w14:paraId="20AE27BA" w14:textId="77777777" w:rsidR="00B626E7" w:rsidRDefault="00B626E7">
            <w:pPr>
              <w:rPr>
                <w:rFonts w:ascii="宋体"/>
              </w:rPr>
            </w:pPr>
          </w:p>
        </w:tc>
        <w:tc>
          <w:tcPr>
            <w:tcW w:w="0" w:type="auto"/>
            <w:shd w:val="clear" w:color="auto" w:fill="auto"/>
          </w:tcPr>
          <w:p w14:paraId="20AE27BB" w14:textId="77777777" w:rsidR="00B626E7" w:rsidRDefault="00B626E7">
            <w:pPr>
              <w:rPr>
                <w:rFonts w:ascii="宋体"/>
              </w:rPr>
            </w:pPr>
          </w:p>
        </w:tc>
        <w:tc>
          <w:tcPr>
            <w:tcW w:w="0" w:type="auto"/>
            <w:shd w:val="clear" w:color="auto" w:fill="auto"/>
          </w:tcPr>
          <w:p w14:paraId="20AE27BC" w14:textId="77777777" w:rsidR="00B626E7" w:rsidRDefault="00B626E7">
            <w:pPr>
              <w:rPr>
                <w:rFonts w:ascii="宋体"/>
              </w:rPr>
            </w:pPr>
          </w:p>
        </w:tc>
        <w:tc>
          <w:tcPr>
            <w:tcW w:w="0" w:type="auto"/>
            <w:shd w:val="clear" w:color="auto" w:fill="auto"/>
          </w:tcPr>
          <w:p w14:paraId="20AE27BD" w14:textId="77777777" w:rsidR="00B626E7" w:rsidRDefault="00B626E7">
            <w:pPr>
              <w:rPr>
                <w:rFonts w:ascii="宋体"/>
              </w:rPr>
            </w:pPr>
          </w:p>
        </w:tc>
        <w:tc>
          <w:tcPr>
            <w:tcW w:w="0" w:type="auto"/>
            <w:shd w:val="clear" w:color="auto" w:fill="auto"/>
          </w:tcPr>
          <w:p w14:paraId="20AE27BE" w14:textId="77777777" w:rsidR="00B626E7" w:rsidRDefault="00B626E7">
            <w:pPr>
              <w:rPr>
                <w:rFonts w:ascii="宋体"/>
              </w:rPr>
            </w:pPr>
          </w:p>
        </w:tc>
        <w:tc>
          <w:tcPr>
            <w:tcW w:w="0" w:type="auto"/>
            <w:shd w:val="clear" w:color="auto" w:fill="auto"/>
          </w:tcPr>
          <w:p w14:paraId="20AE27BF" w14:textId="77777777" w:rsidR="00B626E7" w:rsidRDefault="00B626E7">
            <w:pPr>
              <w:rPr>
                <w:rFonts w:ascii="宋体"/>
              </w:rPr>
            </w:pPr>
          </w:p>
        </w:tc>
      </w:tr>
      <w:tr w:rsidR="00B626E7" w14:paraId="20AE27E1" w14:textId="77777777">
        <w:tc>
          <w:tcPr>
            <w:tcW w:w="0" w:type="auto"/>
            <w:gridSpan w:val="3"/>
            <w:shd w:val="clear" w:color="auto" w:fill="auto"/>
            <w:tcMar>
              <w:top w:w="40" w:type="dxa"/>
              <w:left w:w="20" w:type="dxa"/>
              <w:bottom w:w="40" w:type="dxa"/>
              <w:right w:w="20" w:type="dxa"/>
            </w:tcMar>
            <w:vAlign w:val="center"/>
          </w:tcPr>
          <w:p w14:paraId="20AE27C1" w14:textId="77777777" w:rsidR="00B626E7" w:rsidRDefault="00175C1D">
            <w:pPr>
              <w:textAlignment w:val="center"/>
            </w:pPr>
            <w:r>
              <w:rPr>
                <w:rFonts w:ascii="Arial" w:eastAsia="宋体" w:hAnsi="Arial" w:cs="Arial"/>
                <w:color w:val="333333"/>
                <w:sz w:val="18"/>
                <w:szCs w:val="18"/>
              </w:rPr>
              <w:t>P</w:t>
            </w:r>
            <w:r>
              <w:rPr>
                <w:rFonts w:ascii="Arial" w:eastAsia="宋体" w:hAnsi="Arial" w:cs="Arial"/>
                <w:color w:val="333333"/>
                <w:sz w:val="18"/>
                <w:szCs w:val="18"/>
              </w:rPr>
              <w:t>latform volume</w:t>
            </w:r>
          </w:p>
        </w:tc>
        <w:tc>
          <w:tcPr>
            <w:tcW w:w="0" w:type="auto"/>
            <w:gridSpan w:val="3"/>
            <w:shd w:val="clear" w:color="auto" w:fill="auto"/>
            <w:tcMar>
              <w:top w:w="40" w:type="dxa"/>
              <w:left w:w="20" w:type="dxa"/>
              <w:bottom w:w="40" w:type="dxa"/>
              <w:right w:w="20" w:type="dxa"/>
            </w:tcMar>
            <w:vAlign w:val="center"/>
          </w:tcPr>
          <w:p w14:paraId="20AE27C2" w14:textId="77777777" w:rsidR="00B626E7" w:rsidRDefault="00175C1D">
            <w:pPr>
              <w:jc w:val="right"/>
              <w:textAlignment w:val="center"/>
            </w:pPr>
            <w:r>
              <w:rPr>
                <w:rFonts w:ascii="Arial" w:eastAsia="宋体" w:hAnsi="Arial" w:cs="Arial"/>
                <w:color w:val="0071C5"/>
                <w:sz w:val="18"/>
                <w:szCs w:val="18"/>
              </w:rPr>
              <w:t>up</w:t>
            </w:r>
          </w:p>
        </w:tc>
        <w:tc>
          <w:tcPr>
            <w:tcW w:w="0" w:type="auto"/>
            <w:gridSpan w:val="3"/>
            <w:shd w:val="clear" w:color="auto" w:fill="auto"/>
            <w:tcMar>
              <w:top w:w="40" w:type="dxa"/>
              <w:left w:w="20" w:type="dxa"/>
              <w:bottom w:w="40" w:type="dxa"/>
              <w:right w:w="20" w:type="dxa"/>
            </w:tcMar>
            <w:vAlign w:val="center"/>
          </w:tcPr>
          <w:p w14:paraId="20AE27C3" w14:textId="77777777" w:rsidR="00B626E7" w:rsidRDefault="00175C1D">
            <w:pPr>
              <w:textAlignment w:val="center"/>
            </w:pPr>
            <w:r>
              <w:rPr>
                <w:rFonts w:ascii="Arial" w:eastAsia="宋体" w:hAnsi="Arial" w:cs="Arial"/>
                <w:color w:val="0071C5"/>
                <w:sz w:val="18"/>
                <w:szCs w:val="18"/>
              </w:rPr>
              <w:t>29%</w:t>
            </w:r>
          </w:p>
        </w:tc>
        <w:tc>
          <w:tcPr>
            <w:tcW w:w="0" w:type="auto"/>
            <w:gridSpan w:val="3"/>
            <w:shd w:val="clear" w:color="auto" w:fill="auto"/>
            <w:tcMar>
              <w:left w:w="20" w:type="dxa"/>
              <w:right w:w="20" w:type="dxa"/>
            </w:tcMar>
            <w:vAlign w:val="bottom"/>
          </w:tcPr>
          <w:p w14:paraId="20AE27C4" w14:textId="77777777" w:rsidR="00B626E7" w:rsidRDefault="00B626E7">
            <w:pPr>
              <w:rPr>
                <w:rFonts w:ascii="宋体"/>
              </w:rPr>
            </w:pPr>
          </w:p>
        </w:tc>
        <w:tc>
          <w:tcPr>
            <w:tcW w:w="0" w:type="auto"/>
            <w:shd w:val="clear" w:color="auto" w:fill="auto"/>
            <w:tcMar>
              <w:top w:w="40" w:type="dxa"/>
              <w:left w:w="20" w:type="dxa"/>
              <w:bottom w:w="40" w:type="dxa"/>
            </w:tcMar>
            <w:vAlign w:val="center"/>
          </w:tcPr>
          <w:p w14:paraId="20AE27C5" w14:textId="77777777" w:rsidR="00B626E7" w:rsidRDefault="00175C1D">
            <w:pPr>
              <w:textAlignment w:val="center"/>
            </w:pPr>
            <w:r>
              <w:rPr>
                <w:rFonts w:ascii="Arial" w:eastAsia="宋体" w:hAnsi="Arial" w:cs="Arial"/>
                <w:color w:val="0071C5"/>
                <w:sz w:val="18"/>
                <w:szCs w:val="18"/>
              </w:rPr>
              <w:t>$</w:t>
            </w:r>
          </w:p>
        </w:tc>
        <w:tc>
          <w:tcPr>
            <w:tcW w:w="0" w:type="auto"/>
            <w:shd w:val="clear" w:color="auto" w:fill="auto"/>
            <w:tcMar>
              <w:top w:w="40" w:type="dxa"/>
              <w:bottom w:w="40" w:type="dxa"/>
              <w:right w:w="0" w:type="dxa"/>
            </w:tcMar>
            <w:vAlign w:val="center"/>
          </w:tcPr>
          <w:p w14:paraId="20AE27C6" w14:textId="77777777" w:rsidR="00B626E7" w:rsidRDefault="00175C1D">
            <w:pPr>
              <w:jc w:val="right"/>
              <w:textAlignment w:val="center"/>
            </w:pPr>
            <w:r>
              <w:rPr>
                <w:rFonts w:ascii="Arial" w:eastAsia="宋体" w:hAnsi="Arial" w:cs="Arial"/>
                <w:color w:val="0071C5"/>
                <w:sz w:val="18"/>
                <w:szCs w:val="18"/>
              </w:rPr>
              <w:t>1,326 </w:t>
            </w:r>
          </w:p>
        </w:tc>
        <w:tc>
          <w:tcPr>
            <w:tcW w:w="0" w:type="auto"/>
            <w:shd w:val="clear" w:color="auto" w:fill="auto"/>
            <w:tcMar>
              <w:top w:w="40" w:type="dxa"/>
              <w:bottom w:w="40" w:type="dxa"/>
              <w:right w:w="20" w:type="dxa"/>
            </w:tcMar>
            <w:vAlign w:val="center"/>
          </w:tcPr>
          <w:p w14:paraId="20AE27C7" w14:textId="77777777" w:rsidR="00B626E7" w:rsidRDefault="00175C1D">
            <w:pPr>
              <w:jc w:val="right"/>
              <w:textAlignment w:val="center"/>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27C8"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center"/>
          </w:tcPr>
          <w:p w14:paraId="20AE27C9" w14:textId="77777777" w:rsidR="00B626E7" w:rsidRDefault="00175C1D">
            <w:pPr>
              <w:jc w:val="right"/>
              <w:textAlignment w:val="center"/>
            </w:pPr>
            <w:r>
              <w:rPr>
                <w:rFonts w:ascii="Arial" w:eastAsia="宋体" w:hAnsi="Arial" w:cs="Arial"/>
                <w:color w:val="0071C5"/>
                <w:sz w:val="18"/>
                <w:szCs w:val="18"/>
              </w:rPr>
              <w:t>up</w:t>
            </w:r>
          </w:p>
        </w:tc>
        <w:tc>
          <w:tcPr>
            <w:tcW w:w="0" w:type="auto"/>
            <w:gridSpan w:val="3"/>
            <w:shd w:val="clear" w:color="auto" w:fill="auto"/>
            <w:tcMar>
              <w:top w:w="40" w:type="dxa"/>
              <w:left w:w="20" w:type="dxa"/>
              <w:bottom w:w="40" w:type="dxa"/>
              <w:right w:w="20" w:type="dxa"/>
            </w:tcMar>
            <w:vAlign w:val="center"/>
          </w:tcPr>
          <w:p w14:paraId="20AE27CA" w14:textId="77777777" w:rsidR="00B626E7" w:rsidRDefault="00175C1D">
            <w:pPr>
              <w:textAlignment w:val="center"/>
            </w:pPr>
            <w:r>
              <w:rPr>
                <w:rFonts w:ascii="Arial" w:eastAsia="宋体" w:hAnsi="Arial" w:cs="Arial"/>
                <w:color w:val="0071C5"/>
                <w:sz w:val="18"/>
                <w:szCs w:val="18"/>
              </w:rPr>
              <w:t>28%</w:t>
            </w:r>
          </w:p>
        </w:tc>
        <w:tc>
          <w:tcPr>
            <w:tcW w:w="0" w:type="auto"/>
            <w:gridSpan w:val="3"/>
            <w:shd w:val="clear" w:color="auto" w:fill="auto"/>
            <w:tcMar>
              <w:left w:w="20" w:type="dxa"/>
              <w:right w:w="20" w:type="dxa"/>
            </w:tcMar>
            <w:vAlign w:val="bottom"/>
          </w:tcPr>
          <w:p w14:paraId="20AE27CB" w14:textId="77777777" w:rsidR="00B626E7" w:rsidRDefault="00B626E7">
            <w:pPr>
              <w:rPr>
                <w:rFonts w:ascii="宋体"/>
              </w:rPr>
            </w:pPr>
          </w:p>
        </w:tc>
        <w:tc>
          <w:tcPr>
            <w:tcW w:w="0" w:type="auto"/>
            <w:shd w:val="clear" w:color="auto" w:fill="auto"/>
            <w:tcMar>
              <w:top w:w="40" w:type="dxa"/>
              <w:left w:w="20" w:type="dxa"/>
              <w:bottom w:w="40" w:type="dxa"/>
            </w:tcMar>
            <w:vAlign w:val="center"/>
          </w:tcPr>
          <w:p w14:paraId="20AE27CC" w14:textId="77777777" w:rsidR="00B626E7" w:rsidRDefault="00175C1D">
            <w:pPr>
              <w:textAlignment w:val="center"/>
            </w:pPr>
            <w:r>
              <w:rPr>
                <w:rFonts w:ascii="Arial" w:eastAsia="宋体" w:hAnsi="Arial" w:cs="Arial"/>
                <w:color w:val="0071C5"/>
                <w:sz w:val="18"/>
                <w:szCs w:val="18"/>
              </w:rPr>
              <w:t>$</w:t>
            </w:r>
          </w:p>
        </w:tc>
        <w:tc>
          <w:tcPr>
            <w:tcW w:w="0" w:type="auto"/>
            <w:shd w:val="clear" w:color="auto" w:fill="auto"/>
            <w:tcMar>
              <w:top w:w="40" w:type="dxa"/>
              <w:bottom w:w="40" w:type="dxa"/>
              <w:right w:w="0" w:type="dxa"/>
            </w:tcMar>
            <w:vAlign w:val="center"/>
          </w:tcPr>
          <w:p w14:paraId="20AE27CD" w14:textId="77777777" w:rsidR="00B626E7" w:rsidRDefault="00175C1D">
            <w:pPr>
              <w:jc w:val="right"/>
              <w:textAlignment w:val="center"/>
            </w:pPr>
            <w:r>
              <w:rPr>
                <w:rFonts w:ascii="Arial" w:eastAsia="宋体" w:hAnsi="Arial" w:cs="Arial"/>
                <w:color w:val="0071C5"/>
                <w:sz w:val="18"/>
                <w:szCs w:val="18"/>
              </w:rPr>
              <w:t>2,555 </w:t>
            </w:r>
          </w:p>
        </w:tc>
        <w:tc>
          <w:tcPr>
            <w:tcW w:w="0" w:type="auto"/>
            <w:shd w:val="clear" w:color="auto" w:fill="auto"/>
            <w:tcMar>
              <w:top w:w="40" w:type="dxa"/>
              <w:bottom w:w="40" w:type="dxa"/>
              <w:right w:w="20" w:type="dxa"/>
            </w:tcMar>
            <w:vAlign w:val="center"/>
          </w:tcPr>
          <w:p w14:paraId="20AE27CE" w14:textId="77777777" w:rsidR="00B626E7" w:rsidRDefault="00175C1D">
            <w:pPr>
              <w:jc w:val="right"/>
              <w:textAlignment w:val="center"/>
            </w:pPr>
            <w:r>
              <w:rPr>
                <w:rFonts w:ascii="Arial" w:eastAsia="宋体" w:hAnsi="Arial" w:cs="Arial"/>
                <w:color w:val="0071C5"/>
                <w:sz w:val="18"/>
                <w:szCs w:val="18"/>
              </w:rPr>
              <w:t> </w:t>
            </w:r>
          </w:p>
        </w:tc>
        <w:tc>
          <w:tcPr>
            <w:tcW w:w="0" w:type="auto"/>
            <w:shd w:val="clear" w:color="auto" w:fill="auto"/>
          </w:tcPr>
          <w:p w14:paraId="20AE27CF" w14:textId="77777777" w:rsidR="00B626E7" w:rsidRDefault="00B626E7">
            <w:pPr>
              <w:rPr>
                <w:rFonts w:ascii="宋体"/>
              </w:rPr>
            </w:pPr>
          </w:p>
        </w:tc>
        <w:tc>
          <w:tcPr>
            <w:tcW w:w="0" w:type="auto"/>
            <w:shd w:val="clear" w:color="auto" w:fill="auto"/>
          </w:tcPr>
          <w:p w14:paraId="20AE27D0" w14:textId="77777777" w:rsidR="00B626E7" w:rsidRDefault="00B626E7">
            <w:pPr>
              <w:rPr>
                <w:rFonts w:ascii="宋体"/>
              </w:rPr>
            </w:pPr>
          </w:p>
        </w:tc>
        <w:tc>
          <w:tcPr>
            <w:tcW w:w="0" w:type="auto"/>
            <w:shd w:val="clear" w:color="auto" w:fill="auto"/>
          </w:tcPr>
          <w:p w14:paraId="20AE27D1" w14:textId="77777777" w:rsidR="00B626E7" w:rsidRDefault="00B626E7">
            <w:pPr>
              <w:rPr>
                <w:rFonts w:ascii="宋体"/>
              </w:rPr>
            </w:pPr>
          </w:p>
        </w:tc>
        <w:tc>
          <w:tcPr>
            <w:tcW w:w="0" w:type="auto"/>
            <w:shd w:val="clear" w:color="auto" w:fill="auto"/>
          </w:tcPr>
          <w:p w14:paraId="20AE27D2" w14:textId="77777777" w:rsidR="00B626E7" w:rsidRDefault="00B626E7">
            <w:pPr>
              <w:rPr>
                <w:rFonts w:ascii="宋体"/>
              </w:rPr>
            </w:pPr>
          </w:p>
        </w:tc>
        <w:tc>
          <w:tcPr>
            <w:tcW w:w="0" w:type="auto"/>
            <w:shd w:val="clear" w:color="auto" w:fill="auto"/>
          </w:tcPr>
          <w:p w14:paraId="20AE27D3" w14:textId="77777777" w:rsidR="00B626E7" w:rsidRDefault="00B626E7">
            <w:pPr>
              <w:rPr>
                <w:rFonts w:ascii="宋体"/>
              </w:rPr>
            </w:pPr>
          </w:p>
        </w:tc>
        <w:tc>
          <w:tcPr>
            <w:tcW w:w="0" w:type="auto"/>
            <w:shd w:val="clear" w:color="auto" w:fill="auto"/>
          </w:tcPr>
          <w:p w14:paraId="20AE27D4" w14:textId="77777777" w:rsidR="00B626E7" w:rsidRDefault="00B626E7">
            <w:pPr>
              <w:rPr>
                <w:rFonts w:ascii="宋体"/>
              </w:rPr>
            </w:pPr>
          </w:p>
        </w:tc>
        <w:tc>
          <w:tcPr>
            <w:tcW w:w="0" w:type="auto"/>
            <w:shd w:val="clear" w:color="auto" w:fill="auto"/>
          </w:tcPr>
          <w:p w14:paraId="20AE27D5" w14:textId="77777777" w:rsidR="00B626E7" w:rsidRDefault="00B626E7">
            <w:pPr>
              <w:rPr>
                <w:rFonts w:ascii="宋体"/>
              </w:rPr>
            </w:pPr>
          </w:p>
        </w:tc>
        <w:tc>
          <w:tcPr>
            <w:tcW w:w="0" w:type="auto"/>
            <w:shd w:val="clear" w:color="auto" w:fill="auto"/>
          </w:tcPr>
          <w:p w14:paraId="20AE27D6" w14:textId="77777777" w:rsidR="00B626E7" w:rsidRDefault="00B626E7">
            <w:pPr>
              <w:rPr>
                <w:rFonts w:ascii="宋体"/>
              </w:rPr>
            </w:pPr>
          </w:p>
        </w:tc>
        <w:tc>
          <w:tcPr>
            <w:tcW w:w="0" w:type="auto"/>
            <w:shd w:val="clear" w:color="auto" w:fill="auto"/>
          </w:tcPr>
          <w:p w14:paraId="20AE27D7" w14:textId="77777777" w:rsidR="00B626E7" w:rsidRDefault="00B626E7">
            <w:pPr>
              <w:rPr>
                <w:rFonts w:ascii="宋体"/>
              </w:rPr>
            </w:pPr>
          </w:p>
        </w:tc>
        <w:tc>
          <w:tcPr>
            <w:tcW w:w="0" w:type="auto"/>
            <w:shd w:val="clear" w:color="auto" w:fill="auto"/>
          </w:tcPr>
          <w:p w14:paraId="20AE27D8" w14:textId="77777777" w:rsidR="00B626E7" w:rsidRDefault="00B626E7">
            <w:pPr>
              <w:rPr>
                <w:rFonts w:ascii="宋体"/>
              </w:rPr>
            </w:pPr>
          </w:p>
        </w:tc>
        <w:tc>
          <w:tcPr>
            <w:tcW w:w="0" w:type="auto"/>
            <w:shd w:val="clear" w:color="auto" w:fill="auto"/>
          </w:tcPr>
          <w:p w14:paraId="20AE27D9" w14:textId="77777777" w:rsidR="00B626E7" w:rsidRDefault="00B626E7">
            <w:pPr>
              <w:rPr>
                <w:rFonts w:ascii="宋体"/>
              </w:rPr>
            </w:pPr>
          </w:p>
        </w:tc>
        <w:tc>
          <w:tcPr>
            <w:tcW w:w="0" w:type="auto"/>
            <w:shd w:val="clear" w:color="auto" w:fill="auto"/>
          </w:tcPr>
          <w:p w14:paraId="20AE27DA" w14:textId="77777777" w:rsidR="00B626E7" w:rsidRDefault="00B626E7">
            <w:pPr>
              <w:rPr>
                <w:rFonts w:ascii="宋体"/>
              </w:rPr>
            </w:pPr>
          </w:p>
        </w:tc>
        <w:tc>
          <w:tcPr>
            <w:tcW w:w="0" w:type="auto"/>
            <w:shd w:val="clear" w:color="auto" w:fill="auto"/>
          </w:tcPr>
          <w:p w14:paraId="20AE27DB" w14:textId="77777777" w:rsidR="00B626E7" w:rsidRDefault="00B626E7">
            <w:pPr>
              <w:rPr>
                <w:rFonts w:ascii="宋体"/>
              </w:rPr>
            </w:pPr>
          </w:p>
        </w:tc>
        <w:tc>
          <w:tcPr>
            <w:tcW w:w="0" w:type="auto"/>
            <w:shd w:val="clear" w:color="auto" w:fill="auto"/>
          </w:tcPr>
          <w:p w14:paraId="20AE27DC" w14:textId="77777777" w:rsidR="00B626E7" w:rsidRDefault="00B626E7">
            <w:pPr>
              <w:rPr>
                <w:rFonts w:ascii="宋体"/>
              </w:rPr>
            </w:pPr>
          </w:p>
        </w:tc>
        <w:tc>
          <w:tcPr>
            <w:tcW w:w="0" w:type="auto"/>
            <w:shd w:val="clear" w:color="auto" w:fill="auto"/>
          </w:tcPr>
          <w:p w14:paraId="20AE27DD" w14:textId="77777777" w:rsidR="00B626E7" w:rsidRDefault="00B626E7">
            <w:pPr>
              <w:rPr>
                <w:rFonts w:ascii="宋体"/>
              </w:rPr>
            </w:pPr>
          </w:p>
        </w:tc>
        <w:tc>
          <w:tcPr>
            <w:tcW w:w="0" w:type="auto"/>
            <w:shd w:val="clear" w:color="auto" w:fill="auto"/>
          </w:tcPr>
          <w:p w14:paraId="20AE27DE" w14:textId="77777777" w:rsidR="00B626E7" w:rsidRDefault="00B626E7">
            <w:pPr>
              <w:rPr>
                <w:rFonts w:ascii="宋体"/>
              </w:rPr>
            </w:pPr>
          </w:p>
        </w:tc>
        <w:tc>
          <w:tcPr>
            <w:tcW w:w="0" w:type="auto"/>
            <w:shd w:val="clear" w:color="auto" w:fill="auto"/>
          </w:tcPr>
          <w:p w14:paraId="20AE27DF" w14:textId="77777777" w:rsidR="00B626E7" w:rsidRDefault="00B626E7">
            <w:pPr>
              <w:rPr>
                <w:rFonts w:ascii="宋体"/>
              </w:rPr>
            </w:pPr>
          </w:p>
        </w:tc>
        <w:tc>
          <w:tcPr>
            <w:tcW w:w="0" w:type="auto"/>
            <w:shd w:val="clear" w:color="auto" w:fill="auto"/>
          </w:tcPr>
          <w:p w14:paraId="20AE27E0" w14:textId="77777777" w:rsidR="00B626E7" w:rsidRDefault="00B626E7">
            <w:pPr>
              <w:rPr>
                <w:rFonts w:ascii="宋体"/>
              </w:rPr>
            </w:pPr>
          </w:p>
        </w:tc>
      </w:tr>
      <w:tr w:rsidR="00B626E7" w14:paraId="20AE2800" w14:textId="77777777">
        <w:tc>
          <w:tcPr>
            <w:tcW w:w="0" w:type="auto"/>
            <w:gridSpan w:val="3"/>
            <w:shd w:val="clear" w:color="auto" w:fill="auto"/>
            <w:tcMar>
              <w:top w:w="40" w:type="dxa"/>
              <w:left w:w="20" w:type="dxa"/>
              <w:bottom w:w="40" w:type="dxa"/>
              <w:right w:w="20" w:type="dxa"/>
            </w:tcMar>
            <w:vAlign w:val="bottom"/>
          </w:tcPr>
          <w:p w14:paraId="20AE27E2" w14:textId="77777777" w:rsidR="00B626E7" w:rsidRDefault="00175C1D">
            <w:pPr>
              <w:textAlignment w:val="bottom"/>
            </w:pPr>
            <w:r>
              <w:rPr>
                <w:rFonts w:ascii="Arial" w:eastAsia="宋体" w:hAnsi="Arial" w:cs="Arial"/>
                <w:color w:val="333333"/>
                <w:sz w:val="18"/>
                <w:szCs w:val="18"/>
              </w:rPr>
              <w:t>Platform ASP</w:t>
            </w:r>
          </w:p>
        </w:tc>
        <w:tc>
          <w:tcPr>
            <w:tcW w:w="0" w:type="auto"/>
            <w:gridSpan w:val="3"/>
            <w:shd w:val="clear" w:color="auto" w:fill="auto"/>
            <w:tcMar>
              <w:top w:w="40" w:type="dxa"/>
              <w:left w:w="20" w:type="dxa"/>
              <w:bottom w:w="40" w:type="dxa"/>
              <w:right w:w="20" w:type="dxa"/>
            </w:tcMar>
            <w:vAlign w:val="center"/>
          </w:tcPr>
          <w:p w14:paraId="20AE27E3" w14:textId="77777777" w:rsidR="00B626E7" w:rsidRDefault="00175C1D">
            <w:pPr>
              <w:jc w:val="right"/>
              <w:textAlignment w:val="center"/>
            </w:pPr>
            <w:r>
              <w:rPr>
                <w:rFonts w:ascii="Arial" w:eastAsia="宋体" w:hAnsi="Arial" w:cs="Arial"/>
                <w:color w:val="0071C5"/>
                <w:sz w:val="18"/>
                <w:szCs w:val="18"/>
              </w:rPr>
              <w:t>up</w:t>
            </w:r>
          </w:p>
        </w:tc>
        <w:tc>
          <w:tcPr>
            <w:tcW w:w="0" w:type="auto"/>
            <w:gridSpan w:val="3"/>
            <w:shd w:val="clear" w:color="auto" w:fill="auto"/>
            <w:tcMar>
              <w:top w:w="40" w:type="dxa"/>
              <w:left w:w="20" w:type="dxa"/>
              <w:bottom w:w="40" w:type="dxa"/>
              <w:right w:w="20" w:type="dxa"/>
            </w:tcMar>
            <w:vAlign w:val="center"/>
          </w:tcPr>
          <w:p w14:paraId="20AE27E4" w14:textId="77777777" w:rsidR="00B626E7" w:rsidRDefault="00175C1D">
            <w:pPr>
              <w:textAlignment w:val="center"/>
            </w:pPr>
            <w:r>
              <w:rPr>
                <w:rFonts w:ascii="Arial" w:eastAsia="宋体" w:hAnsi="Arial" w:cs="Arial"/>
                <w:color w:val="0071C5"/>
                <w:sz w:val="18"/>
                <w:szCs w:val="18"/>
              </w:rPr>
              <w:t>5%</w:t>
            </w:r>
          </w:p>
        </w:tc>
        <w:tc>
          <w:tcPr>
            <w:tcW w:w="0" w:type="auto"/>
            <w:gridSpan w:val="3"/>
            <w:shd w:val="clear" w:color="auto" w:fill="auto"/>
            <w:tcMar>
              <w:left w:w="20" w:type="dxa"/>
              <w:right w:w="20" w:type="dxa"/>
            </w:tcMar>
            <w:vAlign w:val="bottom"/>
          </w:tcPr>
          <w:p w14:paraId="20AE27E5"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center"/>
          </w:tcPr>
          <w:p w14:paraId="20AE27E6" w14:textId="77777777" w:rsidR="00B626E7" w:rsidRDefault="00175C1D">
            <w:pPr>
              <w:jc w:val="right"/>
              <w:textAlignment w:val="center"/>
            </w:pPr>
            <w:r>
              <w:rPr>
                <w:rFonts w:ascii="Arial" w:eastAsia="宋体" w:hAnsi="Arial" w:cs="Arial"/>
                <w:color w:val="0071C5"/>
                <w:sz w:val="18"/>
                <w:szCs w:val="18"/>
              </w:rPr>
              <w:t>302 </w:t>
            </w:r>
          </w:p>
        </w:tc>
        <w:tc>
          <w:tcPr>
            <w:tcW w:w="0" w:type="auto"/>
            <w:shd w:val="clear" w:color="auto" w:fill="auto"/>
            <w:tcMar>
              <w:top w:w="40" w:type="dxa"/>
              <w:bottom w:w="40" w:type="dxa"/>
              <w:right w:w="20" w:type="dxa"/>
            </w:tcMar>
            <w:vAlign w:val="center"/>
          </w:tcPr>
          <w:p w14:paraId="20AE27E7" w14:textId="77777777" w:rsidR="00B626E7" w:rsidRDefault="00175C1D">
            <w:pPr>
              <w:jc w:val="right"/>
              <w:textAlignment w:val="center"/>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27E8"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center"/>
          </w:tcPr>
          <w:p w14:paraId="20AE27E9" w14:textId="77777777" w:rsidR="00B626E7" w:rsidRDefault="00175C1D">
            <w:pPr>
              <w:jc w:val="right"/>
              <w:textAlignment w:val="center"/>
            </w:pPr>
            <w:r>
              <w:rPr>
                <w:rFonts w:ascii="Arial" w:eastAsia="宋体" w:hAnsi="Arial" w:cs="Arial"/>
                <w:color w:val="0071C5"/>
                <w:sz w:val="18"/>
                <w:szCs w:val="18"/>
              </w:rPr>
              <w:t>up</w:t>
            </w:r>
          </w:p>
        </w:tc>
        <w:tc>
          <w:tcPr>
            <w:tcW w:w="0" w:type="auto"/>
            <w:gridSpan w:val="3"/>
            <w:shd w:val="clear" w:color="auto" w:fill="auto"/>
            <w:tcMar>
              <w:top w:w="40" w:type="dxa"/>
              <w:left w:w="20" w:type="dxa"/>
              <w:bottom w:w="40" w:type="dxa"/>
              <w:right w:w="20" w:type="dxa"/>
            </w:tcMar>
            <w:vAlign w:val="center"/>
          </w:tcPr>
          <w:p w14:paraId="20AE27EA" w14:textId="77777777" w:rsidR="00B626E7" w:rsidRDefault="00175C1D">
            <w:pPr>
              <w:textAlignment w:val="center"/>
            </w:pPr>
            <w:r>
              <w:rPr>
                <w:rFonts w:ascii="Arial" w:eastAsia="宋体" w:hAnsi="Arial" w:cs="Arial"/>
                <w:color w:val="0071C5"/>
                <w:sz w:val="18"/>
                <w:szCs w:val="18"/>
              </w:rPr>
              <w:t>9%</w:t>
            </w:r>
          </w:p>
        </w:tc>
        <w:tc>
          <w:tcPr>
            <w:tcW w:w="0" w:type="auto"/>
            <w:gridSpan w:val="3"/>
            <w:shd w:val="clear" w:color="auto" w:fill="auto"/>
            <w:tcMar>
              <w:left w:w="20" w:type="dxa"/>
              <w:right w:w="20" w:type="dxa"/>
            </w:tcMar>
            <w:vAlign w:val="bottom"/>
          </w:tcPr>
          <w:p w14:paraId="20AE27EB"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center"/>
          </w:tcPr>
          <w:p w14:paraId="20AE27EC" w14:textId="77777777" w:rsidR="00B626E7" w:rsidRDefault="00175C1D">
            <w:pPr>
              <w:jc w:val="right"/>
              <w:textAlignment w:val="center"/>
            </w:pPr>
            <w:r>
              <w:rPr>
                <w:rFonts w:ascii="Arial" w:eastAsia="宋体" w:hAnsi="Arial" w:cs="Arial"/>
                <w:color w:val="0071C5"/>
                <w:sz w:val="18"/>
                <w:szCs w:val="18"/>
              </w:rPr>
              <w:t>1,018 </w:t>
            </w:r>
          </w:p>
        </w:tc>
        <w:tc>
          <w:tcPr>
            <w:tcW w:w="0" w:type="auto"/>
            <w:shd w:val="clear" w:color="auto" w:fill="auto"/>
            <w:tcMar>
              <w:top w:w="40" w:type="dxa"/>
              <w:bottom w:w="40" w:type="dxa"/>
              <w:right w:w="20" w:type="dxa"/>
            </w:tcMar>
            <w:vAlign w:val="center"/>
          </w:tcPr>
          <w:p w14:paraId="20AE27ED" w14:textId="77777777" w:rsidR="00B626E7" w:rsidRDefault="00175C1D">
            <w:pPr>
              <w:jc w:val="right"/>
              <w:textAlignment w:val="center"/>
            </w:pPr>
            <w:r>
              <w:rPr>
                <w:rFonts w:ascii="Arial" w:eastAsia="宋体" w:hAnsi="Arial" w:cs="Arial"/>
                <w:color w:val="0071C5"/>
                <w:sz w:val="18"/>
                <w:szCs w:val="18"/>
              </w:rPr>
              <w:t> </w:t>
            </w:r>
          </w:p>
        </w:tc>
        <w:tc>
          <w:tcPr>
            <w:tcW w:w="0" w:type="auto"/>
            <w:shd w:val="clear" w:color="auto" w:fill="auto"/>
          </w:tcPr>
          <w:p w14:paraId="20AE27EE" w14:textId="77777777" w:rsidR="00B626E7" w:rsidRDefault="00B626E7">
            <w:pPr>
              <w:rPr>
                <w:rFonts w:ascii="宋体"/>
              </w:rPr>
            </w:pPr>
          </w:p>
        </w:tc>
        <w:tc>
          <w:tcPr>
            <w:tcW w:w="0" w:type="auto"/>
            <w:shd w:val="clear" w:color="auto" w:fill="auto"/>
          </w:tcPr>
          <w:p w14:paraId="20AE27EF" w14:textId="77777777" w:rsidR="00B626E7" w:rsidRDefault="00B626E7">
            <w:pPr>
              <w:rPr>
                <w:rFonts w:ascii="宋体"/>
              </w:rPr>
            </w:pPr>
          </w:p>
        </w:tc>
        <w:tc>
          <w:tcPr>
            <w:tcW w:w="0" w:type="auto"/>
            <w:shd w:val="clear" w:color="auto" w:fill="auto"/>
          </w:tcPr>
          <w:p w14:paraId="20AE27F0" w14:textId="77777777" w:rsidR="00B626E7" w:rsidRDefault="00B626E7">
            <w:pPr>
              <w:rPr>
                <w:rFonts w:ascii="宋体"/>
              </w:rPr>
            </w:pPr>
          </w:p>
        </w:tc>
        <w:tc>
          <w:tcPr>
            <w:tcW w:w="0" w:type="auto"/>
            <w:shd w:val="clear" w:color="auto" w:fill="auto"/>
          </w:tcPr>
          <w:p w14:paraId="20AE27F1" w14:textId="77777777" w:rsidR="00B626E7" w:rsidRDefault="00B626E7">
            <w:pPr>
              <w:rPr>
                <w:rFonts w:ascii="宋体"/>
              </w:rPr>
            </w:pPr>
          </w:p>
        </w:tc>
        <w:tc>
          <w:tcPr>
            <w:tcW w:w="0" w:type="auto"/>
            <w:shd w:val="clear" w:color="auto" w:fill="auto"/>
          </w:tcPr>
          <w:p w14:paraId="20AE27F2" w14:textId="77777777" w:rsidR="00B626E7" w:rsidRDefault="00B626E7">
            <w:pPr>
              <w:rPr>
                <w:rFonts w:ascii="宋体"/>
              </w:rPr>
            </w:pPr>
          </w:p>
        </w:tc>
        <w:tc>
          <w:tcPr>
            <w:tcW w:w="0" w:type="auto"/>
            <w:shd w:val="clear" w:color="auto" w:fill="auto"/>
          </w:tcPr>
          <w:p w14:paraId="20AE27F3" w14:textId="77777777" w:rsidR="00B626E7" w:rsidRDefault="00B626E7">
            <w:pPr>
              <w:rPr>
                <w:rFonts w:ascii="宋体"/>
              </w:rPr>
            </w:pPr>
          </w:p>
        </w:tc>
        <w:tc>
          <w:tcPr>
            <w:tcW w:w="0" w:type="auto"/>
            <w:shd w:val="clear" w:color="auto" w:fill="auto"/>
          </w:tcPr>
          <w:p w14:paraId="20AE27F4" w14:textId="77777777" w:rsidR="00B626E7" w:rsidRDefault="00B626E7">
            <w:pPr>
              <w:rPr>
                <w:rFonts w:ascii="宋体"/>
              </w:rPr>
            </w:pPr>
          </w:p>
        </w:tc>
        <w:tc>
          <w:tcPr>
            <w:tcW w:w="0" w:type="auto"/>
            <w:shd w:val="clear" w:color="auto" w:fill="auto"/>
          </w:tcPr>
          <w:p w14:paraId="20AE27F5" w14:textId="77777777" w:rsidR="00B626E7" w:rsidRDefault="00B626E7">
            <w:pPr>
              <w:rPr>
                <w:rFonts w:ascii="宋体"/>
              </w:rPr>
            </w:pPr>
          </w:p>
        </w:tc>
        <w:tc>
          <w:tcPr>
            <w:tcW w:w="0" w:type="auto"/>
            <w:shd w:val="clear" w:color="auto" w:fill="auto"/>
          </w:tcPr>
          <w:p w14:paraId="20AE27F6" w14:textId="77777777" w:rsidR="00B626E7" w:rsidRDefault="00B626E7">
            <w:pPr>
              <w:rPr>
                <w:rFonts w:ascii="宋体"/>
              </w:rPr>
            </w:pPr>
          </w:p>
        </w:tc>
        <w:tc>
          <w:tcPr>
            <w:tcW w:w="0" w:type="auto"/>
            <w:shd w:val="clear" w:color="auto" w:fill="auto"/>
          </w:tcPr>
          <w:p w14:paraId="20AE27F7" w14:textId="77777777" w:rsidR="00B626E7" w:rsidRDefault="00B626E7">
            <w:pPr>
              <w:rPr>
                <w:rFonts w:ascii="宋体"/>
              </w:rPr>
            </w:pPr>
          </w:p>
        </w:tc>
        <w:tc>
          <w:tcPr>
            <w:tcW w:w="0" w:type="auto"/>
            <w:shd w:val="clear" w:color="auto" w:fill="auto"/>
          </w:tcPr>
          <w:p w14:paraId="20AE27F8" w14:textId="77777777" w:rsidR="00B626E7" w:rsidRDefault="00B626E7">
            <w:pPr>
              <w:rPr>
                <w:rFonts w:ascii="宋体"/>
              </w:rPr>
            </w:pPr>
          </w:p>
        </w:tc>
        <w:tc>
          <w:tcPr>
            <w:tcW w:w="0" w:type="auto"/>
            <w:shd w:val="clear" w:color="auto" w:fill="auto"/>
          </w:tcPr>
          <w:p w14:paraId="20AE27F9" w14:textId="77777777" w:rsidR="00B626E7" w:rsidRDefault="00B626E7">
            <w:pPr>
              <w:rPr>
                <w:rFonts w:ascii="宋体"/>
              </w:rPr>
            </w:pPr>
          </w:p>
        </w:tc>
        <w:tc>
          <w:tcPr>
            <w:tcW w:w="0" w:type="auto"/>
            <w:shd w:val="clear" w:color="auto" w:fill="auto"/>
          </w:tcPr>
          <w:p w14:paraId="20AE27FA" w14:textId="77777777" w:rsidR="00B626E7" w:rsidRDefault="00B626E7">
            <w:pPr>
              <w:rPr>
                <w:rFonts w:ascii="宋体"/>
              </w:rPr>
            </w:pPr>
          </w:p>
        </w:tc>
        <w:tc>
          <w:tcPr>
            <w:tcW w:w="0" w:type="auto"/>
            <w:shd w:val="clear" w:color="auto" w:fill="auto"/>
          </w:tcPr>
          <w:p w14:paraId="20AE27FB" w14:textId="77777777" w:rsidR="00B626E7" w:rsidRDefault="00B626E7">
            <w:pPr>
              <w:rPr>
                <w:rFonts w:ascii="宋体"/>
              </w:rPr>
            </w:pPr>
          </w:p>
        </w:tc>
        <w:tc>
          <w:tcPr>
            <w:tcW w:w="0" w:type="auto"/>
            <w:shd w:val="clear" w:color="auto" w:fill="auto"/>
          </w:tcPr>
          <w:p w14:paraId="20AE27FC" w14:textId="77777777" w:rsidR="00B626E7" w:rsidRDefault="00B626E7">
            <w:pPr>
              <w:rPr>
                <w:rFonts w:ascii="宋体"/>
              </w:rPr>
            </w:pPr>
          </w:p>
        </w:tc>
        <w:tc>
          <w:tcPr>
            <w:tcW w:w="0" w:type="auto"/>
            <w:shd w:val="clear" w:color="auto" w:fill="auto"/>
          </w:tcPr>
          <w:p w14:paraId="20AE27FD" w14:textId="77777777" w:rsidR="00B626E7" w:rsidRDefault="00B626E7">
            <w:pPr>
              <w:rPr>
                <w:rFonts w:ascii="宋体"/>
              </w:rPr>
            </w:pPr>
          </w:p>
        </w:tc>
        <w:tc>
          <w:tcPr>
            <w:tcW w:w="0" w:type="auto"/>
            <w:shd w:val="clear" w:color="auto" w:fill="auto"/>
          </w:tcPr>
          <w:p w14:paraId="20AE27FE" w14:textId="77777777" w:rsidR="00B626E7" w:rsidRDefault="00B626E7">
            <w:pPr>
              <w:rPr>
                <w:rFonts w:ascii="宋体"/>
              </w:rPr>
            </w:pPr>
          </w:p>
        </w:tc>
        <w:tc>
          <w:tcPr>
            <w:tcW w:w="0" w:type="auto"/>
            <w:shd w:val="clear" w:color="auto" w:fill="auto"/>
          </w:tcPr>
          <w:p w14:paraId="20AE27FF" w14:textId="77777777" w:rsidR="00B626E7" w:rsidRDefault="00B626E7">
            <w:pPr>
              <w:rPr>
                <w:rFonts w:ascii="宋体"/>
              </w:rPr>
            </w:pPr>
          </w:p>
        </w:tc>
      </w:tr>
      <w:tr w:rsidR="00B626E7" w14:paraId="20AE281F" w14:textId="77777777">
        <w:tc>
          <w:tcPr>
            <w:tcW w:w="0" w:type="auto"/>
            <w:gridSpan w:val="3"/>
            <w:shd w:val="clear" w:color="auto" w:fill="auto"/>
            <w:tcMar>
              <w:top w:w="40" w:type="dxa"/>
              <w:left w:w="20" w:type="dxa"/>
              <w:bottom w:w="40" w:type="dxa"/>
              <w:right w:w="20" w:type="dxa"/>
            </w:tcMar>
            <w:vAlign w:val="bottom"/>
          </w:tcPr>
          <w:p w14:paraId="20AE2801" w14:textId="77777777" w:rsidR="00B626E7" w:rsidRDefault="00175C1D">
            <w:pPr>
              <w:textAlignment w:val="bottom"/>
            </w:pPr>
            <w:r>
              <w:rPr>
                <w:rFonts w:ascii="Arial" w:eastAsia="宋体" w:hAnsi="Arial" w:cs="Arial"/>
                <w:color w:val="333333"/>
                <w:sz w:val="18"/>
                <w:szCs w:val="18"/>
              </w:rPr>
              <w:t>Adjacent products</w:t>
            </w:r>
          </w:p>
        </w:tc>
        <w:tc>
          <w:tcPr>
            <w:tcW w:w="0" w:type="auto"/>
            <w:gridSpan w:val="3"/>
            <w:shd w:val="clear" w:color="auto" w:fill="auto"/>
            <w:tcMar>
              <w:top w:w="40" w:type="dxa"/>
              <w:left w:w="20" w:type="dxa"/>
              <w:bottom w:w="40" w:type="dxa"/>
              <w:right w:w="20" w:type="dxa"/>
            </w:tcMar>
            <w:vAlign w:val="center"/>
          </w:tcPr>
          <w:p w14:paraId="20AE2802" w14:textId="77777777" w:rsidR="00B626E7" w:rsidRDefault="00175C1D">
            <w:pPr>
              <w:jc w:val="right"/>
              <w:textAlignment w:val="center"/>
            </w:pPr>
            <w:r>
              <w:rPr>
                <w:rFonts w:ascii="Arial" w:eastAsia="宋体" w:hAnsi="Arial" w:cs="Arial"/>
                <w:color w:val="0071C5"/>
                <w:sz w:val="18"/>
                <w:szCs w:val="18"/>
              </w:rPr>
              <w:t>up</w:t>
            </w:r>
          </w:p>
        </w:tc>
        <w:tc>
          <w:tcPr>
            <w:tcW w:w="0" w:type="auto"/>
            <w:gridSpan w:val="3"/>
            <w:shd w:val="clear" w:color="auto" w:fill="auto"/>
            <w:tcMar>
              <w:top w:w="40" w:type="dxa"/>
              <w:left w:w="20" w:type="dxa"/>
              <w:bottom w:w="40" w:type="dxa"/>
              <w:right w:w="20" w:type="dxa"/>
            </w:tcMar>
            <w:vAlign w:val="center"/>
          </w:tcPr>
          <w:p w14:paraId="20AE2803" w14:textId="77777777" w:rsidR="00B626E7" w:rsidRDefault="00175C1D">
            <w:pPr>
              <w:textAlignment w:val="center"/>
            </w:pPr>
            <w:r>
              <w:rPr>
                <w:rFonts w:ascii="Arial" w:eastAsia="宋体" w:hAnsi="Arial" w:cs="Arial"/>
                <w:color w:val="0071C5"/>
                <w:sz w:val="18"/>
                <w:szCs w:val="18"/>
              </w:rPr>
              <w:t>118%</w:t>
            </w:r>
          </w:p>
        </w:tc>
        <w:tc>
          <w:tcPr>
            <w:tcW w:w="0" w:type="auto"/>
            <w:gridSpan w:val="3"/>
            <w:shd w:val="clear" w:color="auto" w:fill="auto"/>
            <w:tcMar>
              <w:left w:w="20" w:type="dxa"/>
              <w:right w:w="20" w:type="dxa"/>
            </w:tcMar>
            <w:vAlign w:val="bottom"/>
          </w:tcPr>
          <w:p w14:paraId="20AE2804"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center"/>
          </w:tcPr>
          <w:p w14:paraId="20AE2805" w14:textId="77777777" w:rsidR="00B626E7" w:rsidRDefault="00175C1D">
            <w:pPr>
              <w:jc w:val="right"/>
              <w:textAlignment w:val="center"/>
            </w:pPr>
            <w:r>
              <w:rPr>
                <w:rFonts w:ascii="Arial" w:eastAsia="宋体" w:hAnsi="Arial" w:cs="Arial"/>
                <w:color w:val="0071C5"/>
                <w:sz w:val="18"/>
                <w:szCs w:val="18"/>
              </w:rPr>
              <w:t>506 </w:t>
            </w:r>
          </w:p>
        </w:tc>
        <w:tc>
          <w:tcPr>
            <w:tcW w:w="0" w:type="auto"/>
            <w:shd w:val="clear" w:color="auto" w:fill="auto"/>
            <w:tcMar>
              <w:top w:w="40" w:type="dxa"/>
              <w:bottom w:w="40" w:type="dxa"/>
              <w:right w:w="20" w:type="dxa"/>
            </w:tcMar>
            <w:vAlign w:val="center"/>
          </w:tcPr>
          <w:p w14:paraId="20AE2806" w14:textId="77777777" w:rsidR="00B626E7" w:rsidRDefault="00175C1D">
            <w:pPr>
              <w:jc w:val="right"/>
              <w:textAlignment w:val="center"/>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2807"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center"/>
          </w:tcPr>
          <w:p w14:paraId="20AE2808" w14:textId="77777777" w:rsidR="00B626E7" w:rsidRDefault="00175C1D">
            <w:pPr>
              <w:jc w:val="right"/>
              <w:textAlignment w:val="center"/>
            </w:pPr>
            <w:r>
              <w:rPr>
                <w:rFonts w:ascii="Arial" w:eastAsia="宋体" w:hAnsi="Arial" w:cs="Arial"/>
                <w:color w:val="0071C5"/>
                <w:sz w:val="18"/>
                <w:szCs w:val="18"/>
              </w:rPr>
              <w:t>up</w:t>
            </w:r>
          </w:p>
        </w:tc>
        <w:tc>
          <w:tcPr>
            <w:tcW w:w="0" w:type="auto"/>
            <w:gridSpan w:val="3"/>
            <w:shd w:val="clear" w:color="auto" w:fill="auto"/>
            <w:tcMar>
              <w:top w:w="40" w:type="dxa"/>
              <w:left w:w="20" w:type="dxa"/>
              <w:bottom w:w="40" w:type="dxa"/>
              <w:right w:w="20" w:type="dxa"/>
            </w:tcMar>
            <w:vAlign w:val="center"/>
          </w:tcPr>
          <w:p w14:paraId="20AE2809" w14:textId="77777777" w:rsidR="00B626E7" w:rsidRDefault="00175C1D">
            <w:pPr>
              <w:textAlignment w:val="center"/>
            </w:pPr>
            <w:r>
              <w:rPr>
                <w:rFonts w:ascii="Arial" w:eastAsia="宋体" w:hAnsi="Arial" w:cs="Arial"/>
                <w:color w:val="0071C5"/>
                <w:sz w:val="18"/>
                <w:szCs w:val="18"/>
              </w:rPr>
              <w:t>77%</w:t>
            </w:r>
          </w:p>
        </w:tc>
        <w:tc>
          <w:tcPr>
            <w:tcW w:w="0" w:type="auto"/>
            <w:gridSpan w:val="3"/>
            <w:shd w:val="clear" w:color="auto" w:fill="auto"/>
            <w:tcMar>
              <w:left w:w="20" w:type="dxa"/>
              <w:right w:w="20" w:type="dxa"/>
            </w:tcMar>
            <w:vAlign w:val="bottom"/>
          </w:tcPr>
          <w:p w14:paraId="20AE280A"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center"/>
          </w:tcPr>
          <w:p w14:paraId="20AE280B" w14:textId="77777777" w:rsidR="00B626E7" w:rsidRDefault="00175C1D">
            <w:pPr>
              <w:jc w:val="right"/>
              <w:textAlignment w:val="center"/>
            </w:pPr>
            <w:r>
              <w:rPr>
                <w:rFonts w:ascii="Arial" w:eastAsia="宋体" w:hAnsi="Arial" w:cs="Arial"/>
                <w:color w:val="0071C5"/>
                <w:sz w:val="18"/>
                <w:szCs w:val="18"/>
              </w:rPr>
              <w:t>652 </w:t>
            </w:r>
          </w:p>
        </w:tc>
        <w:tc>
          <w:tcPr>
            <w:tcW w:w="0" w:type="auto"/>
            <w:shd w:val="clear" w:color="auto" w:fill="auto"/>
            <w:tcMar>
              <w:top w:w="40" w:type="dxa"/>
              <w:bottom w:w="40" w:type="dxa"/>
              <w:right w:w="20" w:type="dxa"/>
            </w:tcMar>
            <w:vAlign w:val="center"/>
          </w:tcPr>
          <w:p w14:paraId="20AE280C" w14:textId="77777777" w:rsidR="00B626E7" w:rsidRDefault="00175C1D">
            <w:pPr>
              <w:jc w:val="right"/>
              <w:textAlignment w:val="center"/>
            </w:pPr>
            <w:r>
              <w:rPr>
                <w:rFonts w:ascii="Arial" w:eastAsia="宋体" w:hAnsi="Arial" w:cs="Arial"/>
                <w:color w:val="0071C5"/>
                <w:sz w:val="18"/>
                <w:szCs w:val="18"/>
              </w:rPr>
              <w:t> </w:t>
            </w:r>
          </w:p>
        </w:tc>
        <w:tc>
          <w:tcPr>
            <w:tcW w:w="0" w:type="auto"/>
            <w:shd w:val="clear" w:color="auto" w:fill="auto"/>
          </w:tcPr>
          <w:p w14:paraId="20AE280D" w14:textId="77777777" w:rsidR="00B626E7" w:rsidRDefault="00B626E7">
            <w:pPr>
              <w:rPr>
                <w:rFonts w:ascii="宋体"/>
              </w:rPr>
            </w:pPr>
          </w:p>
        </w:tc>
        <w:tc>
          <w:tcPr>
            <w:tcW w:w="0" w:type="auto"/>
            <w:shd w:val="clear" w:color="auto" w:fill="auto"/>
          </w:tcPr>
          <w:p w14:paraId="20AE280E" w14:textId="77777777" w:rsidR="00B626E7" w:rsidRDefault="00B626E7">
            <w:pPr>
              <w:rPr>
                <w:rFonts w:ascii="宋体"/>
              </w:rPr>
            </w:pPr>
          </w:p>
        </w:tc>
        <w:tc>
          <w:tcPr>
            <w:tcW w:w="0" w:type="auto"/>
            <w:shd w:val="clear" w:color="auto" w:fill="auto"/>
          </w:tcPr>
          <w:p w14:paraId="20AE280F" w14:textId="77777777" w:rsidR="00B626E7" w:rsidRDefault="00B626E7">
            <w:pPr>
              <w:rPr>
                <w:rFonts w:ascii="宋体"/>
              </w:rPr>
            </w:pPr>
          </w:p>
        </w:tc>
        <w:tc>
          <w:tcPr>
            <w:tcW w:w="0" w:type="auto"/>
            <w:shd w:val="clear" w:color="auto" w:fill="auto"/>
          </w:tcPr>
          <w:p w14:paraId="20AE2810" w14:textId="77777777" w:rsidR="00B626E7" w:rsidRDefault="00B626E7">
            <w:pPr>
              <w:rPr>
                <w:rFonts w:ascii="宋体"/>
              </w:rPr>
            </w:pPr>
          </w:p>
        </w:tc>
        <w:tc>
          <w:tcPr>
            <w:tcW w:w="0" w:type="auto"/>
            <w:shd w:val="clear" w:color="auto" w:fill="auto"/>
          </w:tcPr>
          <w:p w14:paraId="20AE2811" w14:textId="77777777" w:rsidR="00B626E7" w:rsidRDefault="00B626E7">
            <w:pPr>
              <w:rPr>
                <w:rFonts w:ascii="宋体"/>
              </w:rPr>
            </w:pPr>
          </w:p>
        </w:tc>
        <w:tc>
          <w:tcPr>
            <w:tcW w:w="0" w:type="auto"/>
            <w:shd w:val="clear" w:color="auto" w:fill="auto"/>
          </w:tcPr>
          <w:p w14:paraId="20AE2812" w14:textId="77777777" w:rsidR="00B626E7" w:rsidRDefault="00B626E7">
            <w:pPr>
              <w:rPr>
                <w:rFonts w:ascii="宋体"/>
              </w:rPr>
            </w:pPr>
          </w:p>
        </w:tc>
        <w:tc>
          <w:tcPr>
            <w:tcW w:w="0" w:type="auto"/>
            <w:shd w:val="clear" w:color="auto" w:fill="auto"/>
          </w:tcPr>
          <w:p w14:paraId="20AE2813" w14:textId="77777777" w:rsidR="00B626E7" w:rsidRDefault="00B626E7">
            <w:pPr>
              <w:rPr>
                <w:rFonts w:ascii="宋体"/>
              </w:rPr>
            </w:pPr>
          </w:p>
        </w:tc>
        <w:tc>
          <w:tcPr>
            <w:tcW w:w="0" w:type="auto"/>
            <w:shd w:val="clear" w:color="auto" w:fill="auto"/>
          </w:tcPr>
          <w:p w14:paraId="20AE2814" w14:textId="77777777" w:rsidR="00B626E7" w:rsidRDefault="00B626E7">
            <w:pPr>
              <w:rPr>
                <w:rFonts w:ascii="宋体"/>
              </w:rPr>
            </w:pPr>
          </w:p>
        </w:tc>
        <w:tc>
          <w:tcPr>
            <w:tcW w:w="0" w:type="auto"/>
            <w:shd w:val="clear" w:color="auto" w:fill="auto"/>
          </w:tcPr>
          <w:p w14:paraId="20AE2815" w14:textId="77777777" w:rsidR="00B626E7" w:rsidRDefault="00B626E7">
            <w:pPr>
              <w:rPr>
                <w:rFonts w:ascii="宋体"/>
              </w:rPr>
            </w:pPr>
          </w:p>
        </w:tc>
        <w:tc>
          <w:tcPr>
            <w:tcW w:w="0" w:type="auto"/>
            <w:shd w:val="clear" w:color="auto" w:fill="auto"/>
          </w:tcPr>
          <w:p w14:paraId="20AE2816" w14:textId="77777777" w:rsidR="00B626E7" w:rsidRDefault="00B626E7">
            <w:pPr>
              <w:rPr>
                <w:rFonts w:ascii="宋体"/>
              </w:rPr>
            </w:pPr>
          </w:p>
        </w:tc>
        <w:tc>
          <w:tcPr>
            <w:tcW w:w="0" w:type="auto"/>
            <w:shd w:val="clear" w:color="auto" w:fill="auto"/>
          </w:tcPr>
          <w:p w14:paraId="20AE2817" w14:textId="77777777" w:rsidR="00B626E7" w:rsidRDefault="00B626E7">
            <w:pPr>
              <w:rPr>
                <w:rFonts w:ascii="宋体"/>
              </w:rPr>
            </w:pPr>
          </w:p>
        </w:tc>
        <w:tc>
          <w:tcPr>
            <w:tcW w:w="0" w:type="auto"/>
            <w:shd w:val="clear" w:color="auto" w:fill="auto"/>
          </w:tcPr>
          <w:p w14:paraId="20AE2818" w14:textId="77777777" w:rsidR="00B626E7" w:rsidRDefault="00B626E7">
            <w:pPr>
              <w:rPr>
                <w:rFonts w:ascii="宋体"/>
              </w:rPr>
            </w:pPr>
          </w:p>
        </w:tc>
        <w:tc>
          <w:tcPr>
            <w:tcW w:w="0" w:type="auto"/>
            <w:shd w:val="clear" w:color="auto" w:fill="auto"/>
          </w:tcPr>
          <w:p w14:paraId="20AE2819" w14:textId="77777777" w:rsidR="00B626E7" w:rsidRDefault="00B626E7">
            <w:pPr>
              <w:rPr>
                <w:rFonts w:ascii="宋体"/>
              </w:rPr>
            </w:pPr>
          </w:p>
        </w:tc>
        <w:tc>
          <w:tcPr>
            <w:tcW w:w="0" w:type="auto"/>
            <w:shd w:val="clear" w:color="auto" w:fill="auto"/>
          </w:tcPr>
          <w:p w14:paraId="20AE281A" w14:textId="77777777" w:rsidR="00B626E7" w:rsidRDefault="00B626E7">
            <w:pPr>
              <w:rPr>
                <w:rFonts w:ascii="宋体"/>
              </w:rPr>
            </w:pPr>
          </w:p>
        </w:tc>
        <w:tc>
          <w:tcPr>
            <w:tcW w:w="0" w:type="auto"/>
            <w:shd w:val="clear" w:color="auto" w:fill="auto"/>
          </w:tcPr>
          <w:p w14:paraId="20AE281B" w14:textId="77777777" w:rsidR="00B626E7" w:rsidRDefault="00B626E7">
            <w:pPr>
              <w:rPr>
                <w:rFonts w:ascii="宋体"/>
              </w:rPr>
            </w:pPr>
          </w:p>
        </w:tc>
        <w:tc>
          <w:tcPr>
            <w:tcW w:w="0" w:type="auto"/>
            <w:shd w:val="clear" w:color="auto" w:fill="auto"/>
          </w:tcPr>
          <w:p w14:paraId="20AE281C" w14:textId="77777777" w:rsidR="00B626E7" w:rsidRDefault="00B626E7">
            <w:pPr>
              <w:rPr>
                <w:rFonts w:ascii="宋体"/>
              </w:rPr>
            </w:pPr>
          </w:p>
        </w:tc>
        <w:tc>
          <w:tcPr>
            <w:tcW w:w="0" w:type="auto"/>
            <w:shd w:val="clear" w:color="auto" w:fill="auto"/>
          </w:tcPr>
          <w:p w14:paraId="20AE281D" w14:textId="77777777" w:rsidR="00B626E7" w:rsidRDefault="00B626E7">
            <w:pPr>
              <w:rPr>
                <w:rFonts w:ascii="宋体"/>
              </w:rPr>
            </w:pPr>
          </w:p>
        </w:tc>
        <w:tc>
          <w:tcPr>
            <w:tcW w:w="0" w:type="auto"/>
            <w:shd w:val="clear" w:color="auto" w:fill="auto"/>
          </w:tcPr>
          <w:p w14:paraId="20AE281E" w14:textId="77777777" w:rsidR="00B626E7" w:rsidRDefault="00B626E7">
            <w:pPr>
              <w:rPr>
                <w:rFonts w:ascii="宋体"/>
              </w:rPr>
            </w:pPr>
          </w:p>
        </w:tc>
      </w:tr>
      <w:tr w:rsidR="00B626E7" w14:paraId="20AE283C" w14:textId="77777777">
        <w:trPr>
          <w:trHeight w:val="60"/>
        </w:trPr>
        <w:tc>
          <w:tcPr>
            <w:tcW w:w="0" w:type="auto"/>
            <w:gridSpan w:val="3"/>
            <w:shd w:val="clear" w:color="auto" w:fill="auto"/>
            <w:tcMar>
              <w:left w:w="20" w:type="dxa"/>
              <w:right w:w="20" w:type="dxa"/>
            </w:tcMar>
            <w:vAlign w:val="bottom"/>
          </w:tcPr>
          <w:p w14:paraId="20AE2820"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821"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822"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823"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824"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825"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826"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827"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828"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829" w14:textId="77777777" w:rsidR="00B626E7" w:rsidRDefault="00B626E7">
            <w:pPr>
              <w:rPr>
                <w:rFonts w:ascii="宋体"/>
              </w:rPr>
            </w:pPr>
          </w:p>
        </w:tc>
        <w:tc>
          <w:tcPr>
            <w:tcW w:w="0" w:type="auto"/>
            <w:shd w:val="clear" w:color="auto" w:fill="auto"/>
          </w:tcPr>
          <w:p w14:paraId="20AE282A" w14:textId="77777777" w:rsidR="00B626E7" w:rsidRDefault="00B626E7">
            <w:pPr>
              <w:rPr>
                <w:rFonts w:ascii="宋体"/>
              </w:rPr>
            </w:pPr>
          </w:p>
        </w:tc>
        <w:tc>
          <w:tcPr>
            <w:tcW w:w="0" w:type="auto"/>
            <w:shd w:val="clear" w:color="auto" w:fill="auto"/>
          </w:tcPr>
          <w:p w14:paraId="20AE282B" w14:textId="77777777" w:rsidR="00B626E7" w:rsidRDefault="00B626E7">
            <w:pPr>
              <w:rPr>
                <w:rFonts w:ascii="宋体"/>
              </w:rPr>
            </w:pPr>
          </w:p>
        </w:tc>
        <w:tc>
          <w:tcPr>
            <w:tcW w:w="0" w:type="auto"/>
            <w:shd w:val="clear" w:color="auto" w:fill="auto"/>
          </w:tcPr>
          <w:p w14:paraId="20AE282C" w14:textId="77777777" w:rsidR="00B626E7" w:rsidRDefault="00B626E7">
            <w:pPr>
              <w:rPr>
                <w:rFonts w:ascii="宋体"/>
              </w:rPr>
            </w:pPr>
          </w:p>
        </w:tc>
        <w:tc>
          <w:tcPr>
            <w:tcW w:w="0" w:type="auto"/>
            <w:shd w:val="clear" w:color="auto" w:fill="auto"/>
          </w:tcPr>
          <w:p w14:paraId="20AE282D" w14:textId="77777777" w:rsidR="00B626E7" w:rsidRDefault="00B626E7">
            <w:pPr>
              <w:rPr>
                <w:rFonts w:ascii="宋体"/>
              </w:rPr>
            </w:pPr>
          </w:p>
        </w:tc>
        <w:tc>
          <w:tcPr>
            <w:tcW w:w="0" w:type="auto"/>
            <w:shd w:val="clear" w:color="auto" w:fill="auto"/>
          </w:tcPr>
          <w:p w14:paraId="20AE282E" w14:textId="77777777" w:rsidR="00B626E7" w:rsidRDefault="00B626E7">
            <w:pPr>
              <w:rPr>
                <w:rFonts w:ascii="宋体"/>
              </w:rPr>
            </w:pPr>
          </w:p>
        </w:tc>
        <w:tc>
          <w:tcPr>
            <w:tcW w:w="0" w:type="auto"/>
            <w:shd w:val="clear" w:color="auto" w:fill="auto"/>
          </w:tcPr>
          <w:p w14:paraId="20AE282F" w14:textId="77777777" w:rsidR="00B626E7" w:rsidRDefault="00B626E7">
            <w:pPr>
              <w:rPr>
                <w:rFonts w:ascii="宋体"/>
              </w:rPr>
            </w:pPr>
          </w:p>
        </w:tc>
        <w:tc>
          <w:tcPr>
            <w:tcW w:w="0" w:type="auto"/>
            <w:shd w:val="clear" w:color="auto" w:fill="auto"/>
          </w:tcPr>
          <w:p w14:paraId="20AE2830" w14:textId="77777777" w:rsidR="00B626E7" w:rsidRDefault="00B626E7">
            <w:pPr>
              <w:rPr>
                <w:rFonts w:ascii="宋体"/>
              </w:rPr>
            </w:pPr>
          </w:p>
        </w:tc>
        <w:tc>
          <w:tcPr>
            <w:tcW w:w="0" w:type="auto"/>
            <w:shd w:val="clear" w:color="auto" w:fill="auto"/>
          </w:tcPr>
          <w:p w14:paraId="20AE2831" w14:textId="77777777" w:rsidR="00B626E7" w:rsidRDefault="00B626E7">
            <w:pPr>
              <w:rPr>
                <w:rFonts w:ascii="宋体"/>
              </w:rPr>
            </w:pPr>
          </w:p>
        </w:tc>
        <w:tc>
          <w:tcPr>
            <w:tcW w:w="0" w:type="auto"/>
            <w:shd w:val="clear" w:color="auto" w:fill="auto"/>
          </w:tcPr>
          <w:p w14:paraId="20AE2832" w14:textId="77777777" w:rsidR="00B626E7" w:rsidRDefault="00B626E7">
            <w:pPr>
              <w:rPr>
                <w:rFonts w:ascii="宋体"/>
              </w:rPr>
            </w:pPr>
          </w:p>
        </w:tc>
        <w:tc>
          <w:tcPr>
            <w:tcW w:w="0" w:type="auto"/>
            <w:shd w:val="clear" w:color="auto" w:fill="auto"/>
          </w:tcPr>
          <w:p w14:paraId="20AE2833" w14:textId="77777777" w:rsidR="00B626E7" w:rsidRDefault="00B626E7">
            <w:pPr>
              <w:rPr>
                <w:rFonts w:ascii="宋体"/>
              </w:rPr>
            </w:pPr>
          </w:p>
        </w:tc>
        <w:tc>
          <w:tcPr>
            <w:tcW w:w="0" w:type="auto"/>
            <w:shd w:val="clear" w:color="auto" w:fill="auto"/>
          </w:tcPr>
          <w:p w14:paraId="20AE2834" w14:textId="77777777" w:rsidR="00B626E7" w:rsidRDefault="00B626E7">
            <w:pPr>
              <w:rPr>
                <w:rFonts w:ascii="宋体"/>
              </w:rPr>
            </w:pPr>
          </w:p>
        </w:tc>
        <w:tc>
          <w:tcPr>
            <w:tcW w:w="0" w:type="auto"/>
            <w:shd w:val="clear" w:color="auto" w:fill="auto"/>
          </w:tcPr>
          <w:p w14:paraId="20AE2835" w14:textId="77777777" w:rsidR="00B626E7" w:rsidRDefault="00B626E7">
            <w:pPr>
              <w:rPr>
                <w:rFonts w:ascii="宋体"/>
              </w:rPr>
            </w:pPr>
          </w:p>
        </w:tc>
        <w:tc>
          <w:tcPr>
            <w:tcW w:w="0" w:type="auto"/>
            <w:shd w:val="clear" w:color="auto" w:fill="auto"/>
          </w:tcPr>
          <w:p w14:paraId="20AE2836" w14:textId="77777777" w:rsidR="00B626E7" w:rsidRDefault="00B626E7">
            <w:pPr>
              <w:rPr>
                <w:rFonts w:ascii="宋体"/>
              </w:rPr>
            </w:pPr>
          </w:p>
        </w:tc>
        <w:tc>
          <w:tcPr>
            <w:tcW w:w="0" w:type="auto"/>
            <w:shd w:val="clear" w:color="auto" w:fill="auto"/>
          </w:tcPr>
          <w:p w14:paraId="20AE2837" w14:textId="77777777" w:rsidR="00B626E7" w:rsidRDefault="00B626E7">
            <w:pPr>
              <w:rPr>
                <w:rFonts w:ascii="宋体"/>
              </w:rPr>
            </w:pPr>
          </w:p>
        </w:tc>
        <w:tc>
          <w:tcPr>
            <w:tcW w:w="0" w:type="auto"/>
            <w:shd w:val="clear" w:color="auto" w:fill="auto"/>
          </w:tcPr>
          <w:p w14:paraId="20AE2838" w14:textId="77777777" w:rsidR="00B626E7" w:rsidRDefault="00B626E7">
            <w:pPr>
              <w:rPr>
                <w:rFonts w:ascii="宋体"/>
              </w:rPr>
            </w:pPr>
          </w:p>
        </w:tc>
        <w:tc>
          <w:tcPr>
            <w:tcW w:w="0" w:type="auto"/>
            <w:shd w:val="clear" w:color="auto" w:fill="auto"/>
          </w:tcPr>
          <w:p w14:paraId="20AE2839" w14:textId="77777777" w:rsidR="00B626E7" w:rsidRDefault="00B626E7">
            <w:pPr>
              <w:rPr>
                <w:rFonts w:ascii="宋体"/>
              </w:rPr>
            </w:pPr>
          </w:p>
        </w:tc>
        <w:tc>
          <w:tcPr>
            <w:tcW w:w="0" w:type="auto"/>
            <w:shd w:val="clear" w:color="auto" w:fill="auto"/>
          </w:tcPr>
          <w:p w14:paraId="20AE283A" w14:textId="77777777" w:rsidR="00B626E7" w:rsidRDefault="00B626E7">
            <w:pPr>
              <w:rPr>
                <w:rFonts w:ascii="宋体"/>
              </w:rPr>
            </w:pPr>
          </w:p>
        </w:tc>
        <w:tc>
          <w:tcPr>
            <w:tcW w:w="0" w:type="auto"/>
            <w:shd w:val="clear" w:color="auto" w:fill="auto"/>
          </w:tcPr>
          <w:p w14:paraId="20AE283B" w14:textId="77777777" w:rsidR="00B626E7" w:rsidRDefault="00B626E7">
            <w:pPr>
              <w:rPr>
                <w:rFonts w:ascii="宋体"/>
              </w:rPr>
            </w:pPr>
          </w:p>
        </w:tc>
      </w:tr>
      <w:tr w:rsidR="00B626E7" w14:paraId="20AE285D" w14:textId="77777777">
        <w:tc>
          <w:tcPr>
            <w:tcW w:w="0" w:type="auto"/>
            <w:gridSpan w:val="3"/>
            <w:shd w:val="clear" w:color="auto" w:fill="auto"/>
            <w:tcMar>
              <w:top w:w="40" w:type="dxa"/>
              <w:left w:w="20" w:type="dxa"/>
              <w:bottom w:w="40" w:type="dxa"/>
              <w:right w:w="20" w:type="dxa"/>
            </w:tcMar>
            <w:vAlign w:val="bottom"/>
          </w:tcPr>
          <w:p w14:paraId="20AE283D" w14:textId="77777777" w:rsidR="00B626E7" w:rsidRDefault="00175C1D">
            <w:pPr>
              <w:textAlignment w:val="bottom"/>
            </w:pPr>
            <w:r>
              <w:rPr>
                <w:rFonts w:ascii="Arial" w:eastAsia="宋体" w:hAnsi="Arial" w:cs="Arial"/>
                <w:b/>
                <w:bCs/>
                <w:color w:val="333333"/>
                <w:sz w:val="18"/>
                <w:szCs w:val="18"/>
              </w:rPr>
              <w:t>Total change in revenue</w:t>
            </w:r>
          </w:p>
        </w:tc>
        <w:tc>
          <w:tcPr>
            <w:tcW w:w="0" w:type="auto"/>
            <w:gridSpan w:val="3"/>
            <w:shd w:val="clear" w:color="auto" w:fill="auto"/>
            <w:tcMar>
              <w:left w:w="20" w:type="dxa"/>
              <w:right w:w="20" w:type="dxa"/>
            </w:tcMar>
            <w:vAlign w:val="bottom"/>
          </w:tcPr>
          <w:p w14:paraId="20AE283E"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83F"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840" w14:textId="77777777" w:rsidR="00B626E7" w:rsidRDefault="00B626E7">
            <w:pPr>
              <w:rPr>
                <w:rFonts w:ascii="宋体"/>
              </w:rPr>
            </w:pPr>
          </w:p>
        </w:tc>
        <w:tc>
          <w:tcPr>
            <w:tcW w:w="0" w:type="auto"/>
            <w:tcBorders>
              <w:top w:val="single" w:sz="8" w:space="0" w:color="333333"/>
              <w:bottom w:val="double" w:sz="6" w:space="0" w:color="000000"/>
            </w:tcBorders>
            <w:shd w:val="clear" w:color="auto" w:fill="auto"/>
            <w:tcMar>
              <w:top w:w="40" w:type="dxa"/>
              <w:left w:w="20" w:type="dxa"/>
              <w:bottom w:w="40" w:type="dxa"/>
            </w:tcMar>
            <w:vAlign w:val="bottom"/>
          </w:tcPr>
          <w:p w14:paraId="20AE2841" w14:textId="77777777" w:rsidR="00B626E7" w:rsidRDefault="00175C1D">
            <w:pPr>
              <w:textAlignment w:val="bottom"/>
            </w:pPr>
            <w:r>
              <w:rPr>
                <w:rFonts w:ascii="Arial" w:eastAsia="宋体" w:hAnsi="Arial" w:cs="Arial"/>
                <w:b/>
                <w:bCs/>
                <w:color w:val="0071C5"/>
                <w:sz w:val="18"/>
                <w:szCs w:val="18"/>
              </w:rPr>
              <w:t>$</w:t>
            </w:r>
          </w:p>
        </w:tc>
        <w:tc>
          <w:tcPr>
            <w:tcW w:w="0" w:type="auto"/>
            <w:tcBorders>
              <w:top w:val="single" w:sz="8" w:space="0" w:color="333333"/>
              <w:bottom w:val="double" w:sz="6" w:space="0" w:color="000000"/>
            </w:tcBorders>
            <w:shd w:val="clear" w:color="auto" w:fill="auto"/>
            <w:tcMar>
              <w:top w:w="40" w:type="dxa"/>
              <w:bottom w:w="40" w:type="dxa"/>
              <w:right w:w="0" w:type="dxa"/>
            </w:tcMar>
            <w:vAlign w:val="bottom"/>
          </w:tcPr>
          <w:p w14:paraId="20AE2842" w14:textId="77777777" w:rsidR="00B626E7" w:rsidRDefault="00175C1D">
            <w:pPr>
              <w:jc w:val="right"/>
              <w:textAlignment w:val="bottom"/>
            </w:pPr>
            <w:r>
              <w:rPr>
                <w:rFonts w:ascii="Arial" w:eastAsia="宋体" w:hAnsi="Arial" w:cs="Arial"/>
                <w:b/>
                <w:bCs/>
                <w:color w:val="0071C5"/>
                <w:sz w:val="18"/>
                <w:szCs w:val="18"/>
              </w:rPr>
              <w:t>2,134 </w:t>
            </w:r>
          </w:p>
        </w:tc>
        <w:tc>
          <w:tcPr>
            <w:tcW w:w="0" w:type="auto"/>
            <w:tcBorders>
              <w:top w:val="single" w:sz="8" w:space="0" w:color="333333"/>
              <w:bottom w:val="double" w:sz="6" w:space="0" w:color="000000"/>
            </w:tcBorders>
            <w:shd w:val="clear" w:color="auto" w:fill="auto"/>
            <w:tcMar>
              <w:top w:w="40" w:type="dxa"/>
              <w:bottom w:w="40" w:type="dxa"/>
              <w:right w:w="20" w:type="dxa"/>
            </w:tcMar>
            <w:vAlign w:val="bottom"/>
          </w:tcPr>
          <w:p w14:paraId="20AE2843"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2844"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845"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846"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847" w14:textId="77777777" w:rsidR="00B626E7" w:rsidRDefault="00B626E7">
            <w:pPr>
              <w:rPr>
                <w:rFonts w:ascii="宋体"/>
              </w:rPr>
            </w:pPr>
          </w:p>
        </w:tc>
        <w:tc>
          <w:tcPr>
            <w:tcW w:w="0" w:type="auto"/>
            <w:tcBorders>
              <w:top w:val="single" w:sz="8" w:space="0" w:color="333333"/>
              <w:bottom w:val="double" w:sz="6" w:space="0" w:color="000000"/>
            </w:tcBorders>
            <w:shd w:val="clear" w:color="auto" w:fill="auto"/>
            <w:tcMar>
              <w:top w:w="40" w:type="dxa"/>
              <w:left w:w="20" w:type="dxa"/>
              <w:bottom w:w="40" w:type="dxa"/>
            </w:tcMar>
            <w:vAlign w:val="bottom"/>
          </w:tcPr>
          <w:p w14:paraId="20AE2848" w14:textId="77777777" w:rsidR="00B626E7" w:rsidRDefault="00175C1D">
            <w:pPr>
              <w:textAlignment w:val="bottom"/>
            </w:pPr>
            <w:r>
              <w:rPr>
                <w:rFonts w:ascii="Arial" w:eastAsia="宋体" w:hAnsi="Arial" w:cs="Arial"/>
                <w:b/>
                <w:bCs/>
                <w:color w:val="0071C5"/>
                <w:sz w:val="18"/>
                <w:szCs w:val="18"/>
              </w:rPr>
              <w:t>$</w:t>
            </w:r>
          </w:p>
        </w:tc>
        <w:tc>
          <w:tcPr>
            <w:tcW w:w="0" w:type="auto"/>
            <w:tcBorders>
              <w:top w:val="single" w:sz="8" w:space="0" w:color="333333"/>
              <w:bottom w:val="double" w:sz="6" w:space="0" w:color="000000"/>
            </w:tcBorders>
            <w:shd w:val="clear" w:color="auto" w:fill="auto"/>
            <w:tcMar>
              <w:top w:w="40" w:type="dxa"/>
              <w:bottom w:w="40" w:type="dxa"/>
              <w:right w:w="0" w:type="dxa"/>
            </w:tcMar>
            <w:vAlign w:val="bottom"/>
          </w:tcPr>
          <w:p w14:paraId="20AE2849" w14:textId="77777777" w:rsidR="00B626E7" w:rsidRDefault="00175C1D">
            <w:pPr>
              <w:jc w:val="right"/>
              <w:textAlignment w:val="bottom"/>
            </w:pPr>
            <w:r>
              <w:rPr>
                <w:rFonts w:ascii="Arial" w:eastAsia="宋体" w:hAnsi="Arial" w:cs="Arial"/>
                <w:b/>
                <w:bCs/>
                <w:color w:val="0071C5"/>
                <w:sz w:val="18"/>
                <w:szCs w:val="18"/>
              </w:rPr>
              <w:t>4,225 </w:t>
            </w:r>
          </w:p>
        </w:tc>
        <w:tc>
          <w:tcPr>
            <w:tcW w:w="0" w:type="auto"/>
            <w:tcBorders>
              <w:top w:val="single" w:sz="8" w:space="0" w:color="333333"/>
              <w:bottom w:val="double" w:sz="6" w:space="0" w:color="000000"/>
            </w:tcBorders>
            <w:shd w:val="clear" w:color="auto" w:fill="auto"/>
            <w:tcMar>
              <w:top w:w="40" w:type="dxa"/>
              <w:bottom w:w="40" w:type="dxa"/>
              <w:right w:w="20" w:type="dxa"/>
            </w:tcMar>
            <w:vAlign w:val="bottom"/>
          </w:tcPr>
          <w:p w14:paraId="20AE284A" w14:textId="77777777" w:rsidR="00B626E7" w:rsidRDefault="00175C1D">
            <w:pPr>
              <w:jc w:val="right"/>
              <w:textAlignment w:val="bottom"/>
            </w:pPr>
            <w:r>
              <w:rPr>
                <w:rFonts w:ascii="Arial" w:eastAsia="宋体" w:hAnsi="Arial" w:cs="Arial"/>
                <w:b/>
                <w:bCs/>
                <w:color w:val="0071C5"/>
                <w:sz w:val="18"/>
                <w:szCs w:val="18"/>
              </w:rPr>
              <w:t> </w:t>
            </w:r>
          </w:p>
        </w:tc>
        <w:tc>
          <w:tcPr>
            <w:tcW w:w="0" w:type="auto"/>
            <w:shd w:val="clear" w:color="auto" w:fill="auto"/>
          </w:tcPr>
          <w:p w14:paraId="20AE284B" w14:textId="77777777" w:rsidR="00B626E7" w:rsidRDefault="00B626E7">
            <w:pPr>
              <w:rPr>
                <w:rFonts w:ascii="宋体"/>
              </w:rPr>
            </w:pPr>
          </w:p>
        </w:tc>
        <w:tc>
          <w:tcPr>
            <w:tcW w:w="0" w:type="auto"/>
            <w:shd w:val="clear" w:color="auto" w:fill="auto"/>
          </w:tcPr>
          <w:p w14:paraId="20AE284C" w14:textId="77777777" w:rsidR="00B626E7" w:rsidRDefault="00B626E7">
            <w:pPr>
              <w:rPr>
                <w:rFonts w:ascii="宋体"/>
              </w:rPr>
            </w:pPr>
          </w:p>
        </w:tc>
        <w:tc>
          <w:tcPr>
            <w:tcW w:w="0" w:type="auto"/>
            <w:shd w:val="clear" w:color="auto" w:fill="auto"/>
          </w:tcPr>
          <w:p w14:paraId="20AE284D" w14:textId="77777777" w:rsidR="00B626E7" w:rsidRDefault="00B626E7">
            <w:pPr>
              <w:rPr>
                <w:rFonts w:ascii="宋体"/>
              </w:rPr>
            </w:pPr>
          </w:p>
        </w:tc>
        <w:tc>
          <w:tcPr>
            <w:tcW w:w="0" w:type="auto"/>
            <w:shd w:val="clear" w:color="auto" w:fill="auto"/>
          </w:tcPr>
          <w:p w14:paraId="20AE284E" w14:textId="77777777" w:rsidR="00B626E7" w:rsidRDefault="00B626E7">
            <w:pPr>
              <w:rPr>
                <w:rFonts w:ascii="宋体"/>
              </w:rPr>
            </w:pPr>
          </w:p>
        </w:tc>
        <w:tc>
          <w:tcPr>
            <w:tcW w:w="0" w:type="auto"/>
            <w:shd w:val="clear" w:color="auto" w:fill="auto"/>
          </w:tcPr>
          <w:p w14:paraId="20AE284F" w14:textId="77777777" w:rsidR="00B626E7" w:rsidRDefault="00B626E7">
            <w:pPr>
              <w:rPr>
                <w:rFonts w:ascii="宋体"/>
              </w:rPr>
            </w:pPr>
          </w:p>
        </w:tc>
        <w:tc>
          <w:tcPr>
            <w:tcW w:w="0" w:type="auto"/>
            <w:shd w:val="clear" w:color="auto" w:fill="auto"/>
          </w:tcPr>
          <w:p w14:paraId="20AE2850" w14:textId="77777777" w:rsidR="00B626E7" w:rsidRDefault="00B626E7">
            <w:pPr>
              <w:rPr>
                <w:rFonts w:ascii="宋体"/>
              </w:rPr>
            </w:pPr>
          </w:p>
        </w:tc>
        <w:tc>
          <w:tcPr>
            <w:tcW w:w="0" w:type="auto"/>
            <w:shd w:val="clear" w:color="auto" w:fill="auto"/>
          </w:tcPr>
          <w:p w14:paraId="20AE2851" w14:textId="77777777" w:rsidR="00B626E7" w:rsidRDefault="00B626E7">
            <w:pPr>
              <w:rPr>
                <w:rFonts w:ascii="宋体"/>
              </w:rPr>
            </w:pPr>
          </w:p>
        </w:tc>
        <w:tc>
          <w:tcPr>
            <w:tcW w:w="0" w:type="auto"/>
            <w:shd w:val="clear" w:color="auto" w:fill="auto"/>
          </w:tcPr>
          <w:p w14:paraId="20AE2852" w14:textId="77777777" w:rsidR="00B626E7" w:rsidRDefault="00B626E7">
            <w:pPr>
              <w:rPr>
                <w:rFonts w:ascii="宋体"/>
              </w:rPr>
            </w:pPr>
          </w:p>
        </w:tc>
        <w:tc>
          <w:tcPr>
            <w:tcW w:w="0" w:type="auto"/>
            <w:shd w:val="clear" w:color="auto" w:fill="auto"/>
          </w:tcPr>
          <w:p w14:paraId="20AE2853" w14:textId="77777777" w:rsidR="00B626E7" w:rsidRDefault="00B626E7">
            <w:pPr>
              <w:rPr>
                <w:rFonts w:ascii="宋体"/>
              </w:rPr>
            </w:pPr>
          </w:p>
        </w:tc>
        <w:tc>
          <w:tcPr>
            <w:tcW w:w="0" w:type="auto"/>
            <w:shd w:val="clear" w:color="auto" w:fill="auto"/>
          </w:tcPr>
          <w:p w14:paraId="20AE2854" w14:textId="77777777" w:rsidR="00B626E7" w:rsidRDefault="00B626E7">
            <w:pPr>
              <w:rPr>
                <w:rFonts w:ascii="宋体"/>
              </w:rPr>
            </w:pPr>
          </w:p>
        </w:tc>
        <w:tc>
          <w:tcPr>
            <w:tcW w:w="0" w:type="auto"/>
            <w:shd w:val="clear" w:color="auto" w:fill="auto"/>
          </w:tcPr>
          <w:p w14:paraId="20AE2855" w14:textId="77777777" w:rsidR="00B626E7" w:rsidRDefault="00B626E7">
            <w:pPr>
              <w:rPr>
                <w:rFonts w:ascii="宋体"/>
              </w:rPr>
            </w:pPr>
          </w:p>
        </w:tc>
        <w:tc>
          <w:tcPr>
            <w:tcW w:w="0" w:type="auto"/>
            <w:shd w:val="clear" w:color="auto" w:fill="auto"/>
          </w:tcPr>
          <w:p w14:paraId="20AE2856" w14:textId="77777777" w:rsidR="00B626E7" w:rsidRDefault="00B626E7">
            <w:pPr>
              <w:rPr>
                <w:rFonts w:ascii="宋体"/>
              </w:rPr>
            </w:pPr>
          </w:p>
        </w:tc>
        <w:tc>
          <w:tcPr>
            <w:tcW w:w="0" w:type="auto"/>
            <w:shd w:val="clear" w:color="auto" w:fill="auto"/>
          </w:tcPr>
          <w:p w14:paraId="20AE2857" w14:textId="77777777" w:rsidR="00B626E7" w:rsidRDefault="00B626E7">
            <w:pPr>
              <w:rPr>
                <w:rFonts w:ascii="宋体"/>
              </w:rPr>
            </w:pPr>
          </w:p>
        </w:tc>
        <w:tc>
          <w:tcPr>
            <w:tcW w:w="0" w:type="auto"/>
            <w:shd w:val="clear" w:color="auto" w:fill="auto"/>
          </w:tcPr>
          <w:p w14:paraId="20AE2858" w14:textId="77777777" w:rsidR="00B626E7" w:rsidRDefault="00B626E7">
            <w:pPr>
              <w:rPr>
                <w:rFonts w:ascii="宋体"/>
              </w:rPr>
            </w:pPr>
          </w:p>
        </w:tc>
        <w:tc>
          <w:tcPr>
            <w:tcW w:w="0" w:type="auto"/>
            <w:shd w:val="clear" w:color="auto" w:fill="auto"/>
          </w:tcPr>
          <w:p w14:paraId="20AE2859" w14:textId="77777777" w:rsidR="00B626E7" w:rsidRDefault="00B626E7">
            <w:pPr>
              <w:rPr>
                <w:rFonts w:ascii="宋体"/>
              </w:rPr>
            </w:pPr>
          </w:p>
        </w:tc>
        <w:tc>
          <w:tcPr>
            <w:tcW w:w="0" w:type="auto"/>
            <w:shd w:val="clear" w:color="auto" w:fill="auto"/>
          </w:tcPr>
          <w:p w14:paraId="20AE285A" w14:textId="77777777" w:rsidR="00B626E7" w:rsidRDefault="00B626E7">
            <w:pPr>
              <w:rPr>
                <w:rFonts w:ascii="宋体"/>
              </w:rPr>
            </w:pPr>
          </w:p>
        </w:tc>
        <w:tc>
          <w:tcPr>
            <w:tcW w:w="0" w:type="auto"/>
            <w:shd w:val="clear" w:color="auto" w:fill="auto"/>
          </w:tcPr>
          <w:p w14:paraId="20AE285B" w14:textId="77777777" w:rsidR="00B626E7" w:rsidRDefault="00B626E7">
            <w:pPr>
              <w:rPr>
                <w:rFonts w:ascii="宋体"/>
              </w:rPr>
            </w:pPr>
          </w:p>
        </w:tc>
        <w:tc>
          <w:tcPr>
            <w:tcW w:w="0" w:type="auto"/>
            <w:shd w:val="clear" w:color="auto" w:fill="auto"/>
          </w:tcPr>
          <w:p w14:paraId="20AE285C" w14:textId="77777777" w:rsidR="00B626E7" w:rsidRDefault="00B626E7">
            <w:pPr>
              <w:rPr>
                <w:rFonts w:ascii="宋体"/>
              </w:rPr>
            </w:pPr>
          </w:p>
        </w:tc>
      </w:tr>
      <w:tr w:rsidR="00B626E7" w14:paraId="20AE287A" w14:textId="77777777">
        <w:trPr>
          <w:hidden/>
        </w:trPr>
        <w:tc>
          <w:tcPr>
            <w:tcW w:w="0" w:type="auto"/>
            <w:gridSpan w:val="3"/>
            <w:shd w:val="clear" w:color="auto" w:fill="auto"/>
          </w:tcPr>
          <w:p w14:paraId="20AE285E" w14:textId="77777777" w:rsidR="00B626E7" w:rsidRDefault="00B626E7">
            <w:pPr>
              <w:rPr>
                <w:rFonts w:ascii="宋体"/>
                <w:vanish/>
              </w:rPr>
            </w:pPr>
          </w:p>
        </w:tc>
        <w:tc>
          <w:tcPr>
            <w:tcW w:w="0" w:type="auto"/>
            <w:gridSpan w:val="3"/>
            <w:shd w:val="clear" w:color="auto" w:fill="auto"/>
          </w:tcPr>
          <w:p w14:paraId="20AE285F" w14:textId="77777777" w:rsidR="00B626E7" w:rsidRDefault="00B626E7">
            <w:pPr>
              <w:rPr>
                <w:rFonts w:ascii="宋体"/>
                <w:vanish/>
              </w:rPr>
            </w:pPr>
          </w:p>
        </w:tc>
        <w:tc>
          <w:tcPr>
            <w:tcW w:w="0" w:type="auto"/>
            <w:gridSpan w:val="3"/>
            <w:shd w:val="clear" w:color="auto" w:fill="auto"/>
          </w:tcPr>
          <w:p w14:paraId="20AE2860" w14:textId="77777777" w:rsidR="00B626E7" w:rsidRDefault="00B626E7">
            <w:pPr>
              <w:rPr>
                <w:rFonts w:ascii="宋体"/>
                <w:vanish/>
              </w:rPr>
            </w:pPr>
          </w:p>
        </w:tc>
        <w:tc>
          <w:tcPr>
            <w:tcW w:w="0" w:type="auto"/>
            <w:gridSpan w:val="3"/>
            <w:shd w:val="clear" w:color="auto" w:fill="auto"/>
          </w:tcPr>
          <w:p w14:paraId="20AE2861" w14:textId="77777777" w:rsidR="00B626E7" w:rsidRDefault="00B626E7">
            <w:pPr>
              <w:rPr>
                <w:rFonts w:ascii="宋体"/>
                <w:vanish/>
              </w:rPr>
            </w:pPr>
          </w:p>
        </w:tc>
        <w:tc>
          <w:tcPr>
            <w:tcW w:w="0" w:type="auto"/>
            <w:gridSpan w:val="3"/>
            <w:shd w:val="clear" w:color="auto" w:fill="auto"/>
          </w:tcPr>
          <w:p w14:paraId="20AE2862" w14:textId="77777777" w:rsidR="00B626E7" w:rsidRDefault="00B626E7">
            <w:pPr>
              <w:rPr>
                <w:rFonts w:ascii="宋体"/>
                <w:vanish/>
              </w:rPr>
            </w:pPr>
          </w:p>
        </w:tc>
        <w:tc>
          <w:tcPr>
            <w:tcW w:w="0" w:type="auto"/>
            <w:gridSpan w:val="3"/>
            <w:shd w:val="clear" w:color="auto" w:fill="auto"/>
          </w:tcPr>
          <w:p w14:paraId="20AE2863" w14:textId="77777777" w:rsidR="00B626E7" w:rsidRDefault="00B626E7">
            <w:pPr>
              <w:rPr>
                <w:rFonts w:ascii="宋体"/>
                <w:vanish/>
              </w:rPr>
            </w:pPr>
          </w:p>
        </w:tc>
        <w:tc>
          <w:tcPr>
            <w:tcW w:w="0" w:type="auto"/>
            <w:gridSpan w:val="3"/>
            <w:shd w:val="clear" w:color="auto" w:fill="auto"/>
          </w:tcPr>
          <w:p w14:paraId="20AE2864" w14:textId="77777777" w:rsidR="00B626E7" w:rsidRDefault="00B626E7">
            <w:pPr>
              <w:rPr>
                <w:rFonts w:ascii="宋体"/>
                <w:vanish/>
              </w:rPr>
            </w:pPr>
          </w:p>
        </w:tc>
        <w:tc>
          <w:tcPr>
            <w:tcW w:w="0" w:type="auto"/>
            <w:gridSpan w:val="3"/>
            <w:shd w:val="clear" w:color="auto" w:fill="auto"/>
          </w:tcPr>
          <w:p w14:paraId="20AE2865" w14:textId="77777777" w:rsidR="00B626E7" w:rsidRDefault="00B626E7">
            <w:pPr>
              <w:rPr>
                <w:rFonts w:ascii="宋体"/>
                <w:vanish/>
              </w:rPr>
            </w:pPr>
          </w:p>
        </w:tc>
        <w:tc>
          <w:tcPr>
            <w:tcW w:w="0" w:type="auto"/>
            <w:gridSpan w:val="3"/>
            <w:shd w:val="clear" w:color="auto" w:fill="auto"/>
          </w:tcPr>
          <w:p w14:paraId="20AE2866" w14:textId="77777777" w:rsidR="00B626E7" w:rsidRDefault="00B626E7">
            <w:pPr>
              <w:rPr>
                <w:rFonts w:ascii="宋体"/>
                <w:vanish/>
              </w:rPr>
            </w:pPr>
          </w:p>
        </w:tc>
        <w:tc>
          <w:tcPr>
            <w:tcW w:w="0" w:type="auto"/>
            <w:gridSpan w:val="3"/>
            <w:shd w:val="clear" w:color="auto" w:fill="auto"/>
          </w:tcPr>
          <w:p w14:paraId="20AE2867" w14:textId="77777777" w:rsidR="00B626E7" w:rsidRDefault="00B626E7">
            <w:pPr>
              <w:rPr>
                <w:rFonts w:ascii="宋体"/>
                <w:vanish/>
              </w:rPr>
            </w:pPr>
          </w:p>
        </w:tc>
        <w:tc>
          <w:tcPr>
            <w:tcW w:w="0" w:type="auto"/>
            <w:shd w:val="clear" w:color="auto" w:fill="auto"/>
          </w:tcPr>
          <w:p w14:paraId="20AE2868" w14:textId="77777777" w:rsidR="00B626E7" w:rsidRDefault="00B626E7">
            <w:pPr>
              <w:rPr>
                <w:rFonts w:ascii="宋体"/>
              </w:rPr>
            </w:pPr>
          </w:p>
        </w:tc>
        <w:tc>
          <w:tcPr>
            <w:tcW w:w="0" w:type="auto"/>
            <w:shd w:val="clear" w:color="auto" w:fill="auto"/>
          </w:tcPr>
          <w:p w14:paraId="20AE2869" w14:textId="77777777" w:rsidR="00B626E7" w:rsidRDefault="00B626E7">
            <w:pPr>
              <w:rPr>
                <w:rFonts w:ascii="宋体"/>
              </w:rPr>
            </w:pPr>
          </w:p>
        </w:tc>
        <w:tc>
          <w:tcPr>
            <w:tcW w:w="0" w:type="auto"/>
            <w:shd w:val="clear" w:color="auto" w:fill="auto"/>
          </w:tcPr>
          <w:p w14:paraId="20AE286A" w14:textId="77777777" w:rsidR="00B626E7" w:rsidRDefault="00B626E7">
            <w:pPr>
              <w:rPr>
                <w:rFonts w:ascii="宋体"/>
              </w:rPr>
            </w:pPr>
          </w:p>
        </w:tc>
        <w:tc>
          <w:tcPr>
            <w:tcW w:w="0" w:type="auto"/>
            <w:shd w:val="clear" w:color="auto" w:fill="auto"/>
          </w:tcPr>
          <w:p w14:paraId="20AE286B" w14:textId="77777777" w:rsidR="00B626E7" w:rsidRDefault="00B626E7">
            <w:pPr>
              <w:rPr>
                <w:rFonts w:ascii="宋体"/>
              </w:rPr>
            </w:pPr>
          </w:p>
        </w:tc>
        <w:tc>
          <w:tcPr>
            <w:tcW w:w="0" w:type="auto"/>
            <w:shd w:val="clear" w:color="auto" w:fill="auto"/>
          </w:tcPr>
          <w:p w14:paraId="20AE286C" w14:textId="77777777" w:rsidR="00B626E7" w:rsidRDefault="00B626E7">
            <w:pPr>
              <w:rPr>
                <w:rFonts w:ascii="宋体"/>
              </w:rPr>
            </w:pPr>
          </w:p>
        </w:tc>
        <w:tc>
          <w:tcPr>
            <w:tcW w:w="0" w:type="auto"/>
            <w:shd w:val="clear" w:color="auto" w:fill="auto"/>
          </w:tcPr>
          <w:p w14:paraId="20AE286D" w14:textId="77777777" w:rsidR="00B626E7" w:rsidRDefault="00B626E7">
            <w:pPr>
              <w:rPr>
                <w:rFonts w:ascii="宋体"/>
              </w:rPr>
            </w:pPr>
          </w:p>
        </w:tc>
        <w:tc>
          <w:tcPr>
            <w:tcW w:w="0" w:type="auto"/>
            <w:shd w:val="clear" w:color="auto" w:fill="auto"/>
          </w:tcPr>
          <w:p w14:paraId="20AE286E" w14:textId="77777777" w:rsidR="00B626E7" w:rsidRDefault="00B626E7">
            <w:pPr>
              <w:rPr>
                <w:rFonts w:ascii="宋体"/>
              </w:rPr>
            </w:pPr>
          </w:p>
        </w:tc>
        <w:tc>
          <w:tcPr>
            <w:tcW w:w="0" w:type="auto"/>
            <w:shd w:val="clear" w:color="auto" w:fill="auto"/>
          </w:tcPr>
          <w:p w14:paraId="20AE286F" w14:textId="77777777" w:rsidR="00B626E7" w:rsidRDefault="00B626E7">
            <w:pPr>
              <w:rPr>
                <w:rFonts w:ascii="宋体"/>
              </w:rPr>
            </w:pPr>
          </w:p>
        </w:tc>
        <w:tc>
          <w:tcPr>
            <w:tcW w:w="0" w:type="auto"/>
            <w:shd w:val="clear" w:color="auto" w:fill="auto"/>
          </w:tcPr>
          <w:p w14:paraId="20AE2870" w14:textId="77777777" w:rsidR="00B626E7" w:rsidRDefault="00B626E7">
            <w:pPr>
              <w:rPr>
                <w:rFonts w:ascii="宋体"/>
              </w:rPr>
            </w:pPr>
          </w:p>
        </w:tc>
        <w:tc>
          <w:tcPr>
            <w:tcW w:w="0" w:type="auto"/>
            <w:shd w:val="clear" w:color="auto" w:fill="auto"/>
          </w:tcPr>
          <w:p w14:paraId="20AE2871" w14:textId="77777777" w:rsidR="00B626E7" w:rsidRDefault="00B626E7">
            <w:pPr>
              <w:rPr>
                <w:rFonts w:ascii="宋体"/>
              </w:rPr>
            </w:pPr>
          </w:p>
        </w:tc>
        <w:tc>
          <w:tcPr>
            <w:tcW w:w="0" w:type="auto"/>
            <w:shd w:val="clear" w:color="auto" w:fill="auto"/>
          </w:tcPr>
          <w:p w14:paraId="20AE2872" w14:textId="77777777" w:rsidR="00B626E7" w:rsidRDefault="00B626E7">
            <w:pPr>
              <w:rPr>
                <w:rFonts w:ascii="宋体"/>
              </w:rPr>
            </w:pPr>
          </w:p>
        </w:tc>
        <w:tc>
          <w:tcPr>
            <w:tcW w:w="0" w:type="auto"/>
            <w:shd w:val="clear" w:color="auto" w:fill="auto"/>
          </w:tcPr>
          <w:p w14:paraId="20AE2873" w14:textId="77777777" w:rsidR="00B626E7" w:rsidRDefault="00B626E7">
            <w:pPr>
              <w:rPr>
                <w:rFonts w:ascii="宋体"/>
              </w:rPr>
            </w:pPr>
          </w:p>
        </w:tc>
        <w:tc>
          <w:tcPr>
            <w:tcW w:w="0" w:type="auto"/>
            <w:shd w:val="clear" w:color="auto" w:fill="auto"/>
          </w:tcPr>
          <w:p w14:paraId="20AE2874" w14:textId="77777777" w:rsidR="00B626E7" w:rsidRDefault="00B626E7">
            <w:pPr>
              <w:rPr>
                <w:rFonts w:ascii="宋体"/>
              </w:rPr>
            </w:pPr>
          </w:p>
        </w:tc>
        <w:tc>
          <w:tcPr>
            <w:tcW w:w="0" w:type="auto"/>
            <w:shd w:val="clear" w:color="auto" w:fill="auto"/>
          </w:tcPr>
          <w:p w14:paraId="20AE2875" w14:textId="77777777" w:rsidR="00B626E7" w:rsidRDefault="00B626E7">
            <w:pPr>
              <w:rPr>
                <w:rFonts w:ascii="宋体"/>
              </w:rPr>
            </w:pPr>
          </w:p>
        </w:tc>
        <w:tc>
          <w:tcPr>
            <w:tcW w:w="0" w:type="auto"/>
            <w:shd w:val="clear" w:color="auto" w:fill="auto"/>
          </w:tcPr>
          <w:p w14:paraId="20AE2876" w14:textId="77777777" w:rsidR="00B626E7" w:rsidRDefault="00B626E7">
            <w:pPr>
              <w:rPr>
                <w:rFonts w:ascii="宋体"/>
              </w:rPr>
            </w:pPr>
          </w:p>
        </w:tc>
        <w:tc>
          <w:tcPr>
            <w:tcW w:w="0" w:type="auto"/>
            <w:shd w:val="clear" w:color="auto" w:fill="auto"/>
          </w:tcPr>
          <w:p w14:paraId="20AE2877" w14:textId="77777777" w:rsidR="00B626E7" w:rsidRDefault="00B626E7">
            <w:pPr>
              <w:rPr>
                <w:rFonts w:ascii="宋体"/>
              </w:rPr>
            </w:pPr>
          </w:p>
        </w:tc>
        <w:tc>
          <w:tcPr>
            <w:tcW w:w="0" w:type="auto"/>
            <w:shd w:val="clear" w:color="auto" w:fill="auto"/>
          </w:tcPr>
          <w:p w14:paraId="20AE2878" w14:textId="77777777" w:rsidR="00B626E7" w:rsidRDefault="00B626E7">
            <w:pPr>
              <w:rPr>
                <w:rFonts w:ascii="宋体"/>
              </w:rPr>
            </w:pPr>
          </w:p>
        </w:tc>
        <w:tc>
          <w:tcPr>
            <w:tcW w:w="0" w:type="auto"/>
            <w:shd w:val="clear" w:color="auto" w:fill="auto"/>
          </w:tcPr>
          <w:p w14:paraId="20AE2879" w14:textId="77777777" w:rsidR="00B626E7" w:rsidRDefault="00B626E7">
            <w:pPr>
              <w:rPr>
                <w:rFonts w:ascii="宋体"/>
              </w:rPr>
            </w:pPr>
          </w:p>
        </w:tc>
      </w:tr>
      <w:tr w:rsidR="00B626E7" w14:paraId="20AE2897" w14:textId="77777777">
        <w:trPr>
          <w:hidden/>
        </w:trPr>
        <w:tc>
          <w:tcPr>
            <w:tcW w:w="0" w:type="auto"/>
            <w:gridSpan w:val="3"/>
            <w:shd w:val="clear" w:color="auto" w:fill="auto"/>
          </w:tcPr>
          <w:p w14:paraId="20AE287B" w14:textId="77777777" w:rsidR="00B626E7" w:rsidRDefault="00B626E7">
            <w:pPr>
              <w:rPr>
                <w:rFonts w:ascii="宋体"/>
                <w:vanish/>
              </w:rPr>
            </w:pPr>
          </w:p>
        </w:tc>
        <w:tc>
          <w:tcPr>
            <w:tcW w:w="0" w:type="auto"/>
            <w:gridSpan w:val="3"/>
            <w:shd w:val="clear" w:color="auto" w:fill="auto"/>
          </w:tcPr>
          <w:p w14:paraId="20AE287C" w14:textId="77777777" w:rsidR="00B626E7" w:rsidRDefault="00B626E7">
            <w:pPr>
              <w:rPr>
                <w:rFonts w:ascii="宋体"/>
                <w:vanish/>
              </w:rPr>
            </w:pPr>
          </w:p>
        </w:tc>
        <w:tc>
          <w:tcPr>
            <w:tcW w:w="0" w:type="auto"/>
            <w:gridSpan w:val="3"/>
            <w:shd w:val="clear" w:color="auto" w:fill="auto"/>
          </w:tcPr>
          <w:p w14:paraId="20AE287D" w14:textId="77777777" w:rsidR="00B626E7" w:rsidRDefault="00B626E7">
            <w:pPr>
              <w:rPr>
                <w:rFonts w:ascii="宋体"/>
                <w:vanish/>
              </w:rPr>
            </w:pPr>
          </w:p>
        </w:tc>
        <w:tc>
          <w:tcPr>
            <w:tcW w:w="0" w:type="auto"/>
            <w:gridSpan w:val="3"/>
            <w:shd w:val="clear" w:color="auto" w:fill="auto"/>
          </w:tcPr>
          <w:p w14:paraId="20AE287E" w14:textId="77777777" w:rsidR="00B626E7" w:rsidRDefault="00B626E7">
            <w:pPr>
              <w:rPr>
                <w:rFonts w:ascii="宋体"/>
                <w:vanish/>
              </w:rPr>
            </w:pPr>
          </w:p>
        </w:tc>
        <w:tc>
          <w:tcPr>
            <w:tcW w:w="0" w:type="auto"/>
            <w:gridSpan w:val="3"/>
            <w:shd w:val="clear" w:color="auto" w:fill="auto"/>
          </w:tcPr>
          <w:p w14:paraId="20AE287F" w14:textId="77777777" w:rsidR="00B626E7" w:rsidRDefault="00B626E7">
            <w:pPr>
              <w:rPr>
                <w:rFonts w:ascii="宋体"/>
                <w:vanish/>
              </w:rPr>
            </w:pPr>
          </w:p>
        </w:tc>
        <w:tc>
          <w:tcPr>
            <w:tcW w:w="0" w:type="auto"/>
            <w:gridSpan w:val="3"/>
            <w:shd w:val="clear" w:color="auto" w:fill="auto"/>
          </w:tcPr>
          <w:p w14:paraId="20AE2880" w14:textId="77777777" w:rsidR="00B626E7" w:rsidRDefault="00B626E7">
            <w:pPr>
              <w:rPr>
                <w:rFonts w:ascii="宋体"/>
                <w:vanish/>
              </w:rPr>
            </w:pPr>
          </w:p>
        </w:tc>
        <w:tc>
          <w:tcPr>
            <w:tcW w:w="0" w:type="auto"/>
            <w:gridSpan w:val="3"/>
            <w:shd w:val="clear" w:color="auto" w:fill="auto"/>
          </w:tcPr>
          <w:p w14:paraId="20AE2881" w14:textId="77777777" w:rsidR="00B626E7" w:rsidRDefault="00B626E7">
            <w:pPr>
              <w:rPr>
                <w:rFonts w:ascii="宋体"/>
                <w:vanish/>
              </w:rPr>
            </w:pPr>
          </w:p>
        </w:tc>
        <w:tc>
          <w:tcPr>
            <w:tcW w:w="0" w:type="auto"/>
            <w:gridSpan w:val="3"/>
            <w:shd w:val="clear" w:color="auto" w:fill="auto"/>
          </w:tcPr>
          <w:p w14:paraId="20AE2882" w14:textId="77777777" w:rsidR="00B626E7" w:rsidRDefault="00B626E7">
            <w:pPr>
              <w:rPr>
                <w:rFonts w:ascii="宋体"/>
                <w:vanish/>
              </w:rPr>
            </w:pPr>
          </w:p>
        </w:tc>
        <w:tc>
          <w:tcPr>
            <w:tcW w:w="0" w:type="auto"/>
            <w:gridSpan w:val="3"/>
            <w:shd w:val="clear" w:color="auto" w:fill="auto"/>
          </w:tcPr>
          <w:p w14:paraId="20AE2883" w14:textId="77777777" w:rsidR="00B626E7" w:rsidRDefault="00B626E7">
            <w:pPr>
              <w:rPr>
                <w:rFonts w:ascii="宋体"/>
                <w:vanish/>
              </w:rPr>
            </w:pPr>
          </w:p>
        </w:tc>
        <w:tc>
          <w:tcPr>
            <w:tcW w:w="0" w:type="auto"/>
            <w:gridSpan w:val="3"/>
            <w:shd w:val="clear" w:color="auto" w:fill="auto"/>
          </w:tcPr>
          <w:p w14:paraId="20AE2884" w14:textId="77777777" w:rsidR="00B626E7" w:rsidRDefault="00B626E7">
            <w:pPr>
              <w:rPr>
                <w:rFonts w:ascii="宋体"/>
                <w:vanish/>
              </w:rPr>
            </w:pPr>
          </w:p>
        </w:tc>
        <w:tc>
          <w:tcPr>
            <w:tcW w:w="0" w:type="auto"/>
            <w:shd w:val="clear" w:color="auto" w:fill="auto"/>
          </w:tcPr>
          <w:p w14:paraId="20AE2885" w14:textId="77777777" w:rsidR="00B626E7" w:rsidRDefault="00B626E7">
            <w:pPr>
              <w:rPr>
                <w:rFonts w:ascii="宋体"/>
              </w:rPr>
            </w:pPr>
          </w:p>
        </w:tc>
        <w:tc>
          <w:tcPr>
            <w:tcW w:w="0" w:type="auto"/>
            <w:shd w:val="clear" w:color="auto" w:fill="auto"/>
          </w:tcPr>
          <w:p w14:paraId="20AE2886" w14:textId="77777777" w:rsidR="00B626E7" w:rsidRDefault="00B626E7">
            <w:pPr>
              <w:rPr>
                <w:rFonts w:ascii="宋体"/>
              </w:rPr>
            </w:pPr>
          </w:p>
        </w:tc>
        <w:tc>
          <w:tcPr>
            <w:tcW w:w="0" w:type="auto"/>
            <w:shd w:val="clear" w:color="auto" w:fill="auto"/>
          </w:tcPr>
          <w:p w14:paraId="20AE2887" w14:textId="77777777" w:rsidR="00B626E7" w:rsidRDefault="00B626E7">
            <w:pPr>
              <w:rPr>
                <w:rFonts w:ascii="宋体"/>
              </w:rPr>
            </w:pPr>
          </w:p>
        </w:tc>
        <w:tc>
          <w:tcPr>
            <w:tcW w:w="0" w:type="auto"/>
            <w:shd w:val="clear" w:color="auto" w:fill="auto"/>
          </w:tcPr>
          <w:p w14:paraId="20AE2888" w14:textId="77777777" w:rsidR="00B626E7" w:rsidRDefault="00B626E7">
            <w:pPr>
              <w:rPr>
                <w:rFonts w:ascii="宋体"/>
              </w:rPr>
            </w:pPr>
          </w:p>
        </w:tc>
        <w:tc>
          <w:tcPr>
            <w:tcW w:w="0" w:type="auto"/>
            <w:shd w:val="clear" w:color="auto" w:fill="auto"/>
          </w:tcPr>
          <w:p w14:paraId="20AE2889" w14:textId="77777777" w:rsidR="00B626E7" w:rsidRDefault="00B626E7">
            <w:pPr>
              <w:rPr>
                <w:rFonts w:ascii="宋体"/>
              </w:rPr>
            </w:pPr>
          </w:p>
        </w:tc>
        <w:tc>
          <w:tcPr>
            <w:tcW w:w="0" w:type="auto"/>
            <w:shd w:val="clear" w:color="auto" w:fill="auto"/>
          </w:tcPr>
          <w:p w14:paraId="20AE288A" w14:textId="77777777" w:rsidR="00B626E7" w:rsidRDefault="00B626E7">
            <w:pPr>
              <w:rPr>
                <w:rFonts w:ascii="宋体"/>
              </w:rPr>
            </w:pPr>
          </w:p>
        </w:tc>
        <w:tc>
          <w:tcPr>
            <w:tcW w:w="0" w:type="auto"/>
            <w:shd w:val="clear" w:color="auto" w:fill="auto"/>
          </w:tcPr>
          <w:p w14:paraId="20AE288B" w14:textId="77777777" w:rsidR="00B626E7" w:rsidRDefault="00B626E7">
            <w:pPr>
              <w:rPr>
                <w:rFonts w:ascii="宋体"/>
              </w:rPr>
            </w:pPr>
          </w:p>
        </w:tc>
        <w:tc>
          <w:tcPr>
            <w:tcW w:w="0" w:type="auto"/>
            <w:shd w:val="clear" w:color="auto" w:fill="auto"/>
          </w:tcPr>
          <w:p w14:paraId="20AE288C" w14:textId="77777777" w:rsidR="00B626E7" w:rsidRDefault="00B626E7">
            <w:pPr>
              <w:rPr>
                <w:rFonts w:ascii="宋体"/>
              </w:rPr>
            </w:pPr>
          </w:p>
        </w:tc>
        <w:tc>
          <w:tcPr>
            <w:tcW w:w="0" w:type="auto"/>
            <w:shd w:val="clear" w:color="auto" w:fill="auto"/>
          </w:tcPr>
          <w:p w14:paraId="20AE288D" w14:textId="77777777" w:rsidR="00B626E7" w:rsidRDefault="00B626E7">
            <w:pPr>
              <w:rPr>
                <w:rFonts w:ascii="宋体"/>
              </w:rPr>
            </w:pPr>
          </w:p>
        </w:tc>
        <w:tc>
          <w:tcPr>
            <w:tcW w:w="0" w:type="auto"/>
            <w:shd w:val="clear" w:color="auto" w:fill="auto"/>
          </w:tcPr>
          <w:p w14:paraId="20AE288E" w14:textId="77777777" w:rsidR="00B626E7" w:rsidRDefault="00B626E7">
            <w:pPr>
              <w:rPr>
                <w:rFonts w:ascii="宋体"/>
              </w:rPr>
            </w:pPr>
          </w:p>
        </w:tc>
        <w:tc>
          <w:tcPr>
            <w:tcW w:w="0" w:type="auto"/>
            <w:shd w:val="clear" w:color="auto" w:fill="auto"/>
          </w:tcPr>
          <w:p w14:paraId="20AE288F" w14:textId="77777777" w:rsidR="00B626E7" w:rsidRDefault="00B626E7">
            <w:pPr>
              <w:rPr>
                <w:rFonts w:ascii="宋体"/>
              </w:rPr>
            </w:pPr>
          </w:p>
        </w:tc>
        <w:tc>
          <w:tcPr>
            <w:tcW w:w="0" w:type="auto"/>
            <w:shd w:val="clear" w:color="auto" w:fill="auto"/>
          </w:tcPr>
          <w:p w14:paraId="20AE2890" w14:textId="77777777" w:rsidR="00B626E7" w:rsidRDefault="00B626E7">
            <w:pPr>
              <w:rPr>
                <w:rFonts w:ascii="宋体"/>
              </w:rPr>
            </w:pPr>
          </w:p>
        </w:tc>
        <w:tc>
          <w:tcPr>
            <w:tcW w:w="0" w:type="auto"/>
            <w:shd w:val="clear" w:color="auto" w:fill="auto"/>
          </w:tcPr>
          <w:p w14:paraId="20AE2891" w14:textId="77777777" w:rsidR="00B626E7" w:rsidRDefault="00B626E7">
            <w:pPr>
              <w:rPr>
                <w:rFonts w:ascii="宋体"/>
              </w:rPr>
            </w:pPr>
          </w:p>
        </w:tc>
        <w:tc>
          <w:tcPr>
            <w:tcW w:w="0" w:type="auto"/>
            <w:shd w:val="clear" w:color="auto" w:fill="auto"/>
          </w:tcPr>
          <w:p w14:paraId="20AE2892" w14:textId="77777777" w:rsidR="00B626E7" w:rsidRDefault="00B626E7">
            <w:pPr>
              <w:rPr>
                <w:rFonts w:ascii="宋体"/>
              </w:rPr>
            </w:pPr>
          </w:p>
        </w:tc>
        <w:tc>
          <w:tcPr>
            <w:tcW w:w="0" w:type="auto"/>
            <w:shd w:val="clear" w:color="auto" w:fill="auto"/>
          </w:tcPr>
          <w:p w14:paraId="20AE2893" w14:textId="77777777" w:rsidR="00B626E7" w:rsidRDefault="00B626E7">
            <w:pPr>
              <w:rPr>
                <w:rFonts w:ascii="宋体"/>
              </w:rPr>
            </w:pPr>
          </w:p>
        </w:tc>
        <w:tc>
          <w:tcPr>
            <w:tcW w:w="0" w:type="auto"/>
            <w:shd w:val="clear" w:color="auto" w:fill="auto"/>
          </w:tcPr>
          <w:p w14:paraId="20AE2894" w14:textId="77777777" w:rsidR="00B626E7" w:rsidRDefault="00B626E7">
            <w:pPr>
              <w:rPr>
                <w:rFonts w:ascii="宋体"/>
              </w:rPr>
            </w:pPr>
          </w:p>
        </w:tc>
        <w:tc>
          <w:tcPr>
            <w:tcW w:w="0" w:type="auto"/>
            <w:shd w:val="clear" w:color="auto" w:fill="auto"/>
          </w:tcPr>
          <w:p w14:paraId="20AE2895" w14:textId="77777777" w:rsidR="00B626E7" w:rsidRDefault="00B626E7">
            <w:pPr>
              <w:rPr>
                <w:rFonts w:ascii="宋体"/>
              </w:rPr>
            </w:pPr>
          </w:p>
        </w:tc>
        <w:tc>
          <w:tcPr>
            <w:tcW w:w="0" w:type="auto"/>
            <w:shd w:val="clear" w:color="auto" w:fill="auto"/>
          </w:tcPr>
          <w:p w14:paraId="20AE2896" w14:textId="77777777" w:rsidR="00B626E7" w:rsidRDefault="00B626E7">
            <w:pPr>
              <w:rPr>
                <w:rFonts w:ascii="宋体"/>
              </w:rPr>
            </w:pPr>
          </w:p>
        </w:tc>
      </w:tr>
      <w:tr w:rsidR="00B626E7" w14:paraId="20AE28B4" w14:textId="77777777">
        <w:trPr>
          <w:hidden/>
        </w:trPr>
        <w:tc>
          <w:tcPr>
            <w:tcW w:w="0" w:type="auto"/>
            <w:gridSpan w:val="3"/>
            <w:shd w:val="clear" w:color="auto" w:fill="auto"/>
          </w:tcPr>
          <w:p w14:paraId="20AE2898" w14:textId="77777777" w:rsidR="00B626E7" w:rsidRDefault="00B626E7">
            <w:pPr>
              <w:rPr>
                <w:rFonts w:ascii="宋体"/>
                <w:vanish/>
              </w:rPr>
            </w:pPr>
          </w:p>
        </w:tc>
        <w:tc>
          <w:tcPr>
            <w:tcW w:w="0" w:type="auto"/>
            <w:gridSpan w:val="3"/>
            <w:shd w:val="clear" w:color="auto" w:fill="auto"/>
          </w:tcPr>
          <w:p w14:paraId="20AE2899" w14:textId="77777777" w:rsidR="00B626E7" w:rsidRDefault="00B626E7">
            <w:pPr>
              <w:rPr>
                <w:rFonts w:ascii="宋体"/>
                <w:vanish/>
              </w:rPr>
            </w:pPr>
          </w:p>
        </w:tc>
        <w:tc>
          <w:tcPr>
            <w:tcW w:w="0" w:type="auto"/>
            <w:gridSpan w:val="3"/>
            <w:shd w:val="clear" w:color="auto" w:fill="auto"/>
          </w:tcPr>
          <w:p w14:paraId="20AE289A" w14:textId="77777777" w:rsidR="00B626E7" w:rsidRDefault="00B626E7">
            <w:pPr>
              <w:rPr>
                <w:rFonts w:ascii="宋体"/>
                <w:vanish/>
              </w:rPr>
            </w:pPr>
          </w:p>
        </w:tc>
        <w:tc>
          <w:tcPr>
            <w:tcW w:w="0" w:type="auto"/>
            <w:gridSpan w:val="3"/>
            <w:shd w:val="clear" w:color="auto" w:fill="auto"/>
          </w:tcPr>
          <w:p w14:paraId="20AE289B" w14:textId="77777777" w:rsidR="00B626E7" w:rsidRDefault="00B626E7">
            <w:pPr>
              <w:rPr>
                <w:rFonts w:ascii="宋体"/>
                <w:vanish/>
              </w:rPr>
            </w:pPr>
          </w:p>
        </w:tc>
        <w:tc>
          <w:tcPr>
            <w:tcW w:w="0" w:type="auto"/>
            <w:gridSpan w:val="3"/>
            <w:shd w:val="clear" w:color="auto" w:fill="auto"/>
          </w:tcPr>
          <w:p w14:paraId="20AE289C" w14:textId="77777777" w:rsidR="00B626E7" w:rsidRDefault="00B626E7">
            <w:pPr>
              <w:rPr>
                <w:rFonts w:ascii="宋体"/>
                <w:vanish/>
              </w:rPr>
            </w:pPr>
          </w:p>
        </w:tc>
        <w:tc>
          <w:tcPr>
            <w:tcW w:w="0" w:type="auto"/>
            <w:gridSpan w:val="3"/>
            <w:shd w:val="clear" w:color="auto" w:fill="auto"/>
          </w:tcPr>
          <w:p w14:paraId="20AE289D" w14:textId="77777777" w:rsidR="00B626E7" w:rsidRDefault="00B626E7">
            <w:pPr>
              <w:rPr>
                <w:rFonts w:ascii="宋体"/>
                <w:vanish/>
              </w:rPr>
            </w:pPr>
          </w:p>
        </w:tc>
        <w:tc>
          <w:tcPr>
            <w:tcW w:w="0" w:type="auto"/>
            <w:gridSpan w:val="3"/>
            <w:shd w:val="clear" w:color="auto" w:fill="auto"/>
          </w:tcPr>
          <w:p w14:paraId="20AE289E" w14:textId="77777777" w:rsidR="00B626E7" w:rsidRDefault="00B626E7">
            <w:pPr>
              <w:rPr>
                <w:rFonts w:ascii="宋体"/>
                <w:vanish/>
              </w:rPr>
            </w:pPr>
          </w:p>
        </w:tc>
        <w:tc>
          <w:tcPr>
            <w:tcW w:w="0" w:type="auto"/>
            <w:gridSpan w:val="3"/>
            <w:shd w:val="clear" w:color="auto" w:fill="auto"/>
          </w:tcPr>
          <w:p w14:paraId="20AE289F" w14:textId="77777777" w:rsidR="00B626E7" w:rsidRDefault="00B626E7">
            <w:pPr>
              <w:rPr>
                <w:rFonts w:ascii="宋体"/>
                <w:vanish/>
              </w:rPr>
            </w:pPr>
          </w:p>
        </w:tc>
        <w:tc>
          <w:tcPr>
            <w:tcW w:w="0" w:type="auto"/>
            <w:gridSpan w:val="3"/>
            <w:shd w:val="clear" w:color="auto" w:fill="auto"/>
          </w:tcPr>
          <w:p w14:paraId="20AE28A0" w14:textId="77777777" w:rsidR="00B626E7" w:rsidRDefault="00B626E7">
            <w:pPr>
              <w:rPr>
                <w:rFonts w:ascii="宋体"/>
                <w:vanish/>
              </w:rPr>
            </w:pPr>
          </w:p>
        </w:tc>
        <w:tc>
          <w:tcPr>
            <w:tcW w:w="0" w:type="auto"/>
            <w:gridSpan w:val="3"/>
            <w:shd w:val="clear" w:color="auto" w:fill="auto"/>
          </w:tcPr>
          <w:p w14:paraId="20AE28A1" w14:textId="77777777" w:rsidR="00B626E7" w:rsidRDefault="00B626E7">
            <w:pPr>
              <w:rPr>
                <w:rFonts w:ascii="宋体"/>
                <w:vanish/>
              </w:rPr>
            </w:pPr>
          </w:p>
        </w:tc>
        <w:tc>
          <w:tcPr>
            <w:tcW w:w="0" w:type="auto"/>
            <w:shd w:val="clear" w:color="auto" w:fill="auto"/>
          </w:tcPr>
          <w:p w14:paraId="20AE28A2" w14:textId="77777777" w:rsidR="00B626E7" w:rsidRDefault="00B626E7">
            <w:pPr>
              <w:rPr>
                <w:rFonts w:ascii="宋体"/>
              </w:rPr>
            </w:pPr>
          </w:p>
        </w:tc>
        <w:tc>
          <w:tcPr>
            <w:tcW w:w="0" w:type="auto"/>
            <w:shd w:val="clear" w:color="auto" w:fill="auto"/>
          </w:tcPr>
          <w:p w14:paraId="20AE28A3" w14:textId="77777777" w:rsidR="00B626E7" w:rsidRDefault="00B626E7">
            <w:pPr>
              <w:rPr>
                <w:rFonts w:ascii="宋体"/>
              </w:rPr>
            </w:pPr>
          </w:p>
        </w:tc>
        <w:tc>
          <w:tcPr>
            <w:tcW w:w="0" w:type="auto"/>
            <w:shd w:val="clear" w:color="auto" w:fill="auto"/>
          </w:tcPr>
          <w:p w14:paraId="20AE28A4" w14:textId="77777777" w:rsidR="00B626E7" w:rsidRDefault="00B626E7">
            <w:pPr>
              <w:rPr>
                <w:rFonts w:ascii="宋体"/>
              </w:rPr>
            </w:pPr>
          </w:p>
        </w:tc>
        <w:tc>
          <w:tcPr>
            <w:tcW w:w="0" w:type="auto"/>
            <w:shd w:val="clear" w:color="auto" w:fill="auto"/>
          </w:tcPr>
          <w:p w14:paraId="20AE28A5" w14:textId="77777777" w:rsidR="00B626E7" w:rsidRDefault="00B626E7">
            <w:pPr>
              <w:rPr>
                <w:rFonts w:ascii="宋体"/>
              </w:rPr>
            </w:pPr>
          </w:p>
        </w:tc>
        <w:tc>
          <w:tcPr>
            <w:tcW w:w="0" w:type="auto"/>
            <w:shd w:val="clear" w:color="auto" w:fill="auto"/>
          </w:tcPr>
          <w:p w14:paraId="20AE28A6" w14:textId="77777777" w:rsidR="00B626E7" w:rsidRDefault="00B626E7">
            <w:pPr>
              <w:rPr>
                <w:rFonts w:ascii="宋体"/>
              </w:rPr>
            </w:pPr>
          </w:p>
        </w:tc>
        <w:tc>
          <w:tcPr>
            <w:tcW w:w="0" w:type="auto"/>
            <w:shd w:val="clear" w:color="auto" w:fill="auto"/>
          </w:tcPr>
          <w:p w14:paraId="20AE28A7" w14:textId="77777777" w:rsidR="00B626E7" w:rsidRDefault="00B626E7">
            <w:pPr>
              <w:rPr>
                <w:rFonts w:ascii="宋体"/>
              </w:rPr>
            </w:pPr>
          </w:p>
        </w:tc>
        <w:tc>
          <w:tcPr>
            <w:tcW w:w="0" w:type="auto"/>
            <w:shd w:val="clear" w:color="auto" w:fill="auto"/>
          </w:tcPr>
          <w:p w14:paraId="20AE28A8" w14:textId="77777777" w:rsidR="00B626E7" w:rsidRDefault="00B626E7">
            <w:pPr>
              <w:rPr>
                <w:rFonts w:ascii="宋体"/>
              </w:rPr>
            </w:pPr>
          </w:p>
        </w:tc>
        <w:tc>
          <w:tcPr>
            <w:tcW w:w="0" w:type="auto"/>
            <w:shd w:val="clear" w:color="auto" w:fill="auto"/>
          </w:tcPr>
          <w:p w14:paraId="20AE28A9" w14:textId="77777777" w:rsidR="00B626E7" w:rsidRDefault="00B626E7">
            <w:pPr>
              <w:rPr>
                <w:rFonts w:ascii="宋体"/>
              </w:rPr>
            </w:pPr>
          </w:p>
        </w:tc>
        <w:tc>
          <w:tcPr>
            <w:tcW w:w="0" w:type="auto"/>
            <w:shd w:val="clear" w:color="auto" w:fill="auto"/>
          </w:tcPr>
          <w:p w14:paraId="20AE28AA" w14:textId="77777777" w:rsidR="00B626E7" w:rsidRDefault="00B626E7">
            <w:pPr>
              <w:rPr>
                <w:rFonts w:ascii="宋体"/>
              </w:rPr>
            </w:pPr>
          </w:p>
        </w:tc>
        <w:tc>
          <w:tcPr>
            <w:tcW w:w="0" w:type="auto"/>
            <w:shd w:val="clear" w:color="auto" w:fill="auto"/>
          </w:tcPr>
          <w:p w14:paraId="20AE28AB" w14:textId="77777777" w:rsidR="00B626E7" w:rsidRDefault="00B626E7">
            <w:pPr>
              <w:rPr>
                <w:rFonts w:ascii="宋体"/>
              </w:rPr>
            </w:pPr>
          </w:p>
        </w:tc>
        <w:tc>
          <w:tcPr>
            <w:tcW w:w="0" w:type="auto"/>
            <w:shd w:val="clear" w:color="auto" w:fill="auto"/>
          </w:tcPr>
          <w:p w14:paraId="20AE28AC" w14:textId="77777777" w:rsidR="00B626E7" w:rsidRDefault="00B626E7">
            <w:pPr>
              <w:rPr>
                <w:rFonts w:ascii="宋体"/>
              </w:rPr>
            </w:pPr>
          </w:p>
        </w:tc>
        <w:tc>
          <w:tcPr>
            <w:tcW w:w="0" w:type="auto"/>
            <w:shd w:val="clear" w:color="auto" w:fill="auto"/>
          </w:tcPr>
          <w:p w14:paraId="20AE28AD" w14:textId="77777777" w:rsidR="00B626E7" w:rsidRDefault="00B626E7">
            <w:pPr>
              <w:rPr>
                <w:rFonts w:ascii="宋体"/>
              </w:rPr>
            </w:pPr>
          </w:p>
        </w:tc>
        <w:tc>
          <w:tcPr>
            <w:tcW w:w="0" w:type="auto"/>
            <w:shd w:val="clear" w:color="auto" w:fill="auto"/>
          </w:tcPr>
          <w:p w14:paraId="20AE28AE" w14:textId="77777777" w:rsidR="00B626E7" w:rsidRDefault="00B626E7">
            <w:pPr>
              <w:rPr>
                <w:rFonts w:ascii="宋体"/>
              </w:rPr>
            </w:pPr>
          </w:p>
        </w:tc>
        <w:tc>
          <w:tcPr>
            <w:tcW w:w="0" w:type="auto"/>
            <w:shd w:val="clear" w:color="auto" w:fill="auto"/>
          </w:tcPr>
          <w:p w14:paraId="20AE28AF" w14:textId="77777777" w:rsidR="00B626E7" w:rsidRDefault="00B626E7">
            <w:pPr>
              <w:rPr>
                <w:rFonts w:ascii="宋体"/>
              </w:rPr>
            </w:pPr>
          </w:p>
        </w:tc>
        <w:tc>
          <w:tcPr>
            <w:tcW w:w="0" w:type="auto"/>
            <w:shd w:val="clear" w:color="auto" w:fill="auto"/>
          </w:tcPr>
          <w:p w14:paraId="20AE28B0" w14:textId="77777777" w:rsidR="00B626E7" w:rsidRDefault="00B626E7">
            <w:pPr>
              <w:rPr>
                <w:rFonts w:ascii="宋体"/>
              </w:rPr>
            </w:pPr>
          </w:p>
        </w:tc>
        <w:tc>
          <w:tcPr>
            <w:tcW w:w="0" w:type="auto"/>
            <w:shd w:val="clear" w:color="auto" w:fill="auto"/>
          </w:tcPr>
          <w:p w14:paraId="20AE28B1" w14:textId="77777777" w:rsidR="00B626E7" w:rsidRDefault="00B626E7">
            <w:pPr>
              <w:rPr>
                <w:rFonts w:ascii="宋体"/>
              </w:rPr>
            </w:pPr>
          </w:p>
        </w:tc>
        <w:tc>
          <w:tcPr>
            <w:tcW w:w="0" w:type="auto"/>
            <w:shd w:val="clear" w:color="auto" w:fill="auto"/>
          </w:tcPr>
          <w:p w14:paraId="20AE28B2" w14:textId="77777777" w:rsidR="00B626E7" w:rsidRDefault="00B626E7">
            <w:pPr>
              <w:rPr>
                <w:rFonts w:ascii="宋体"/>
              </w:rPr>
            </w:pPr>
          </w:p>
        </w:tc>
        <w:tc>
          <w:tcPr>
            <w:tcW w:w="0" w:type="auto"/>
            <w:shd w:val="clear" w:color="auto" w:fill="auto"/>
          </w:tcPr>
          <w:p w14:paraId="20AE28B3" w14:textId="77777777" w:rsidR="00B626E7" w:rsidRDefault="00B626E7">
            <w:pPr>
              <w:rPr>
                <w:rFonts w:ascii="宋体"/>
              </w:rPr>
            </w:pPr>
          </w:p>
        </w:tc>
      </w:tr>
      <w:tr w:rsidR="00B626E7" w14:paraId="20AE28D1" w14:textId="77777777">
        <w:trPr>
          <w:hidden/>
        </w:trPr>
        <w:tc>
          <w:tcPr>
            <w:tcW w:w="0" w:type="auto"/>
            <w:gridSpan w:val="3"/>
            <w:shd w:val="clear" w:color="auto" w:fill="auto"/>
          </w:tcPr>
          <w:p w14:paraId="20AE28B5" w14:textId="77777777" w:rsidR="00B626E7" w:rsidRDefault="00B626E7">
            <w:pPr>
              <w:rPr>
                <w:rFonts w:ascii="宋体"/>
                <w:vanish/>
              </w:rPr>
            </w:pPr>
          </w:p>
        </w:tc>
        <w:tc>
          <w:tcPr>
            <w:tcW w:w="0" w:type="auto"/>
            <w:gridSpan w:val="3"/>
            <w:shd w:val="clear" w:color="auto" w:fill="auto"/>
          </w:tcPr>
          <w:p w14:paraId="20AE28B6" w14:textId="77777777" w:rsidR="00B626E7" w:rsidRDefault="00B626E7">
            <w:pPr>
              <w:rPr>
                <w:rFonts w:ascii="宋体"/>
                <w:vanish/>
              </w:rPr>
            </w:pPr>
          </w:p>
        </w:tc>
        <w:tc>
          <w:tcPr>
            <w:tcW w:w="0" w:type="auto"/>
            <w:gridSpan w:val="3"/>
            <w:shd w:val="clear" w:color="auto" w:fill="auto"/>
          </w:tcPr>
          <w:p w14:paraId="20AE28B7" w14:textId="77777777" w:rsidR="00B626E7" w:rsidRDefault="00B626E7">
            <w:pPr>
              <w:rPr>
                <w:rFonts w:ascii="宋体"/>
                <w:vanish/>
              </w:rPr>
            </w:pPr>
          </w:p>
        </w:tc>
        <w:tc>
          <w:tcPr>
            <w:tcW w:w="0" w:type="auto"/>
            <w:gridSpan w:val="3"/>
            <w:shd w:val="clear" w:color="auto" w:fill="auto"/>
          </w:tcPr>
          <w:p w14:paraId="20AE28B8" w14:textId="77777777" w:rsidR="00B626E7" w:rsidRDefault="00B626E7">
            <w:pPr>
              <w:rPr>
                <w:rFonts w:ascii="宋体"/>
                <w:vanish/>
              </w:rPr>
            </w:pPr>
          </w:p>
        </w:tc>
        <w:tc>
          <w:tcPr>
            <w:tcW w:w="0" w:type="auto"/>
            <w:gridSpan w:val="3"/>
            <w:shd w:val="clear" w:color="auto" w:fill="auto"/>
          </w:tcPr>
          <w:p w14:paraId="20AE28B9" w14:textId="77777777" w:rsidR="00B626E7" w:rsidRDefault="00B626E7">
            <w:pPr>
              <w:rPr>
                <w:rFonts w:ascii="宋体"/>
                <w:vanish/>
              </w:rPr>
            </w:pPr>
          </w:p>
        </w:tc>
        <w:tc>
          <w:tcPr>
            <w:tcW w:w="0" w:type="auto"/>
            <w:gridSpan w:val="3"/>
            <w:shd w:val="clear" w:color="auto" w:fill="auto"/>
          </w:tcPr>
          <w:p w14:paraId="20AE28BA" w14:textId="77777777" w:rsidR="00B626E7" w:rsidRDefault="00B626E7">
            <w:pPr>
              <w:rPr>
                <w:rFonts w:ascii="宋体"/>
                <w:vanish/>
              </w:rPr>
            </w:pPr>
          </w:p>
        </w:tc>
        <w:tc>
          <w:tcPr>
            <w:tcW w:w="0" w:type="auto"/>
            <w:gridSpan w:val="3"/>
            <w:shd w:val="clear" w:color="auto" w:fill="auto"/>
          </w:tcPr>
          <w:p w14:paraId="20AE28BB" w14:textId="77777777" w:rsidR="00B626E7" w:rsidRDefault="00B626E7">
            <w:pPr>
              <w:rPr>
                <w:rFonts w:ascii="宋体"/>
                <w:vanish/>
              </w:rPr>
            </w:pPr>
          </w:p>
        </w:tc>
        <w:tc>
          <w:tcPr>
            <w:tcW w:w="0" w:type="auto"/>
            <w:gridSpan w:val="3"/>
            <w:shd w:val="clear" w:color="auto" w:fill="auto"/>
          </w:tcPr>
          <w:p w14:paraId="20AE28BC" w14:textId="77777777" w:rsidR="00B626E7" w:rsidRDefault="00B626E7">
            <w:pPr>
              <w:rPr>
                <w:rFonts w:ascii="宋体"/>
                <w:vanish/>
              </w:rPr>
            </w:pPr>
          </w:p>
        </w:tc>
        <w:tc>
          <w:tcPr>
            <w:tcW w:w="0" w:type="auto"/>
            <w:gridSpan w:val="3"/>
            <w:shd w:val="clear" w:color="auto" w:fill="auto"/>
          </w:tcPr>
          <w:p w14:paraId="20AE28BD" w14:textId="77777777" w:rsidR="00B626E7" w:rsidRDefault="00B626E7">
            <w:pPr>
              <w:rPr>
                <w:rFonts w:ascii="宋体"/>
                <w:vanish/>
              </w:rPr>
            </w:pPr>
          </w:p>
        </w:tc>
        <w:tc>
          <w:tcPr>
            <w:tcW w:w="0" w:type="auto"/>
            <w:gridSpan w:val="3"/>
            <w:shd w:val="clear" w:color="auto" w:fill="auto"/>
          </w:tcPr>
          <w:p w14:paraId="20AE28BE" w14:textId="77777777" w:rsidR="00B626E7" w:rsidRDefault="00B626E7">
            <w:pPr>
              <w:rPr>
                <w:rFonts w:ascii="宋体"/>
                <w:vanish/>
              </w:rPr>
            </w:pPr>
          </w:p>
        </w:tc>
        <w:tc>
          <w:tcPr>
            <w:tcW w:w="0" w:type="auto"/>
            <w:shd w:val="clear" w:color="auto" w:fill="auto"/>
          </w:tcPr>
          <w:p w14:paraId="20AE28BF" w14:textId="77777777" w:rsidR="00B626E7" w:rsidRDefault="00B626E7">
            <w:pPr>
              <w:rPr>
                <w:rFonts w:ascii="宋体"/>
              </w:rPr>
            </w:pPr>
          </w:p>
        </w:tc>
        <w:tc>
          <w:tcPr>
            <w:tcW w:w="0" w:type="auto"/>
            <w:shd w:val="clear" w:color="auto" w:fill="auto"/>
          </w:tcPr>
          <w:p w14:paraId="20AE28C0" w14:textId="77777777" w:rsidR="00B626E7" w:rsidRDefault="00B626E7">
            <w:pPr>
              <w:rPr>
                <w:rFonts w:ascii="宋体"/>
              </w:rPr>
            </w:pPr>
          </w:p>
        </w:tc>
        <w:tc>
          <w:tcPr>
            <w:tcW w:w="0" w:type="auto"/>
            <w:shd w:val="clear" w:color="auto" w:fill="auto"/>
          </w:tcPr>
          <w:p w14:paraId="20AE28C1" w14:textId="77777777" w:rsidR="00B626E7" w:rsidRDefault="00B626E7">
            <w:pPr>
              <w:rPr>
                <w:rFonts w:ascii="宋体"/>
              </w:rPr>
            </w:pPr>
          </w:p>
        </w:tc>
        <w:tc>
          <w:tcPr>
            <w:tcW w:w="0" w:type="auto"/>
            <w:shd w:val="clear" w:color="auto" w:fill="auto"/>
          </w:tcPr>
          <w:p w14:paraId="20AE28C2" w14:textId="77777777" w:rsidR="00B626E7" w:rsidRDefault="00B626E7">
            <w:pPr>
              <w:rPr>
                <w:rFonts w:ascii="宋体"/>
              </w:rPr>
            </w:pPr>
          </w:p>
        </w:tc>
        <w:tc>
          <w:tcPr>
            <w:tcW w:w="0" w:type="auto"/>
            <w:shd w:val="clear" w:color="auto" w:fill="auto"/>
          </w:tcPr>
          <w:p w14:paraId="20AE28C3" w14:textId="77777777" w:rsidR="00B626E7" w:rsidRDefault="00B626E7">
            <w:pPr>
              <w:rPr>
                <w:rFonts w:ascii="宋体"/>
              </w:rPr>
            </w:pPr>
          </w:p>
        </w:tc>
        <w:tc>
          <w:tcPr>
            <w:tcW w:w="0" w:type="auto"/>
            <w:shd w:val="clear" w:color="auto" w:fill="auto"/>
          </w:tcPr>
          <w:p w14:paraId="20AE28C4" w14:textId="77777777" w:rsidR="00B626E7" w:rsidRDefault="00B626E7">
            <w:pPr>
              <w:rPr>
                <w:rFonts w:ascii="宋体"/>
              </w:rPr>
            </w:pPr>
          </w:p>
        </w:tc>
        <w:tc>
          <w:tcPr>
            <w:tcW w:w="0" w:type="auto"/>
            <w:shd w:val="clear" w:color="auto" w:fill="auto"/>
          </w:tcPr>
          <w:p w14:paraId="20AE28C5" w14:textId="77777777" w:rsidR="00B626E7" w:rsidRDefault="00B626E7">
            <w:pPr>
              <w:rPr>
                <w:rFonts w:ascii="宋体"/>
              </w:rPr>
            </w:pPr>
          </w:p>
        </w:tc>
        <w:tc>
          <w:tcPr>
            <w:tcW w:w="0" w:type="auto"/>
            <w:shd w:val="clear" w:color="auto" w:fill="auto"/>
          </w:tcPr>
          <w:p w14:paraId="20AE28C6" w14:textId="77777777" w:rsidR="00B626E7" w:rsidRDefault="00B626E7">
            <w:pPr>
              <w:rPr>
                <w:rFonts w:ascii="宋体"/>
              </w:rPr>
            </w:pPr>
          </w:p>
        </w:tc>
        <w:tc>
          <w:tcPr>
            <w:tcW w:w="0" w:type="auto"/>
            <w:shd w:val="clear" w:color="auto" w:fill="auto"/>
          </w:tcPr>
          <w:p w14:paraId="20AE28C7" w14:textId="77777777" w:rsidR="00B626E7" w:rsidRDefault="00B626E7">
            <w:pPr>
              <w:rPr>
                <w:rFonts w:ascii="宋体"/>
              </w:rPr>
            </w:pPr>
          </w:p>
        </w:tc>
        <w:tc>
          <w:tcPr>
            <w:tcW w:w="0" w:type="auto"/>
            <w:shd w:val="clear" w:color="auto" w:fill="auto"/>
          </w:tcPr>
          <w:p w14:paraId="20AE28C8" w14:textId="77777777" w:rsidR="00B626E7" w:rsidRDefault="00B626E7">
            <w:pPr>
              <w:rPr>
                <w:rFonts w:ascii="宋体"/>
              </w:rPr>
            </w:pPr>
          </w:p>
        </w:tc>
        <w:tc>
          <w:tcPr>
            <w:tcW w:w="0" w:type="auto"/>
            <w:shd w:val="clear" w:color="auto" w:fill="auto"/>
          </w:tcPr>
          <w:p w14:paraId="20AE28C9" w14:textId="77777777" w:rsidR="00B626E7" w:rsidRDefault="00B626E7">
            <w:pPr>
              <w:rPr>
                <w:rFonts w:ascii="宋体"/>
              </w:rPr>
            </w:pPr>
          </w:p>
        </w:tc>
        <w:tc>
          <w:tcPr>
            <w:tcW w:w="0" w:type="auto"/>
            <w:shd w:val="clear" w:color="auto" w:fill="auto"/>
          </w:tcPr>
          <w:p w14:paraId="20AE28CA" w14:textId="77777777" w:rsidR="00B626E7" w:rsidRDefault="00B626E7">
            <w:pPr>
              <w:rPr>
                <w:rFonts w:ascii="宋体"/>
              </w:rPr>
            </w:pPr>
          </w:p>
        </w:tc>
        <w:tc>
          <w:tcPr>
            <w:tcW w:w="0" w:type="auto"/>
            <w:shd w:val="clear" w:color="auto" w:fill="auto"/>
          </w:tcPr>
          <w:p w14:paraId="20AE28CB" w14:textId="77777777" w:rsidR="00B626E7" w:rsidRDefault="00B626E7">
            <w:pPr>
              <w:rPr>
                <w:rFonts w:ascii="宋体"/>
              </w:rPr>
            </w:pPr>
          </w:p>
        </w:tc>
        <w:tc>
          <w:tcPr>
            <w:tcW w:w="0" w:type="auto"/>
            <w:shd w:val="clear" w:color="auto" w:fill="auto"/>
          </w:tcPr>
          <w:p w14:paraId="20AE28CC" w14:textId="77777777" w:rsidR="00B626E7" w:rsidRDefault="00B626E7">
            <w:pPr>
              <w:rPr>
                <w:rFonts w:ascii="宋体"/>
              </w:rPr>
            </w:pPr>
          </w:p>
        </w:tc>
        <w:tc>
          <w:tcPr>
            <w:tcW w:w="0" w:type="auto"/>
            <w:shd w:val="clear" w:color="auto" w:fill="auto"/>
          </w:tcPr>
          <w:p w14:paraId="20AE28CD" w14:textId="77777777" w:rsidR="00B626E7" w:rsidRDefault="00B626E7">
            <w:pPr>
              <w:rPr>
                <w:rFonts w:ascii="宋体"/>
              </w:rPr>
            </w:pPr>
          </w:p>
        </w:tc>
        <w:tc>
          <w:tcPr>
            <w:tcW w:w="0" w:type="auto"/>
            <w:shd w:val="clear" w:color="auto" w:fill="auto"/>
          </w:tcPr>
          <w:p w14:paraId="20AE28CE" w14:textId="77777777" w:rsidR="00B626E7" w:rsidRDefault="00B626E7">
            <w:pPr>
              <w:rPr>
                <w:rFonts w:ascii="宋体"/>
              </w:rPr>
            </w:pPr>
          </w:p>
        </w:tc>
        <w:tc>
          <w:tcPr>
            <w:tcW w:w="0" w:type="auto"/>
            <w:shd w:val="clear" w:color="auto" w:fill="auto"/>
          </w:tcPr>
          <w:p w14:paraId="20AE28CF" w14:textId="77777777" w:rsidR="00B626E7" w:rsidRDefault="00B626E7">
            <w:pPr>
              <w:rPr>
                <w:rFonts w:ascii="宋体"/>
              </w:rPr>
            </w:pPr>
          </w:p>
        </w:tc>
        <w:tc>
          <w:tcPr>
            <w:tcW w:w="0" w:type="auto"/>
            <w:shd w:val="clear" w:color="auto" w:fill="auto"/>
          </w:tcPr>
          <w:p w14:paraId="20AE28D0" w14:textId="77777777" w:rsidR="00B626E7" w:rsidRDefault="00B626E7">
            <w:pPr>
              <w:rPr>
                <w:rFonts w:ascii="宋体"/>
              </w:rPr>
            </w:pPr>
          </w:p>
        </w:tc>
      </w:tr>
      <w:tr w:rsidR="00B626E7" w14:paraId="20AE28EE" w14:textId="77777777">
        <w:trPr>
          <w:hidden/>
        </w:trPr>
        <w:tc>
          <w:tcPr>
            <w:tcW w:w="0" w:type="auto"/>
            <w:gridSpan w:val="3"/>
            <w:shd w:val="clear" w:color="auto" w:fill="auto"/>
          </w:tcPr>
          <w:p w14:paraId="20AE28D2" w14:textId="77777777" w:rsidR="00B626E7" w:rsidRDefault="00B626E7">
            <w:pPr>
              <w:rPr>
                <w:rFonts w:ascii="宋体"/>
                <w:vanish/>
              </w:rPr>
            </w:pPr>
          </w:p>
        </w:tc>
        <w:tc>
          <w:tcPr>
            <w:tcW w:w="0" w:type="auto"/>
            <w:gridSpan w:val="3"/>
            <w:shd w:val="clear" w:color="auto" w:fill="auto"/>
          </w:tcPr>
          <w:p w14:paraId="20AE28D3" w14:textId="77777777" w:rsidR="00B626E7" w:rsidRDefault="00B626E7">
            <w:pPr>
              <w:rPr>
                <w:rFonts w:ascii="宋体"/>
                <w:vanish/>
              </w:rPr>
            </w:pPr>
          </w:p>
        </w:tc>
        <w:tc>
          <w:tcPr>
            <w:tcW w:w="0" w:type="auto"/>
            <w:gridSpan w:val="3"/>
            <w:shd w:val="clear" w:color="auto" w:fill="auto"/>
          </w:tcPr>
          <w:p w14:paraId="20AE28D4" w14:textId="77777777" w:rsidR="00B626E7" w:rsidRDefault="00B626E7">
            <w:pPr>
              <w:rPr>
                <w:rFonts w:ascii="宋体"/>
                <w:vanish/>
              </w:rPr>
            </w:pPr>
          </w:p>
        </w:tc>
        <w:tc>
          <w:tcPr>
            <w:tcW w:w="0" w:type="auto"/>
            <w:gridSpan w:val="3"/>
            <w:shd w:val="clear" w:color="auto" w:fill="auto"/>
          </w:tcPr>
          <w:p w14:paraId="20AE28D5" w14:textId="77777777" w:rsidR="00B626E7" w:rsidRDefault="00B626E7">
            <w:pPr>
              <w:rPr>
                <w:rFonts w:ascii="宋体"/>
                <w:vanish/>
              </w:rPr>
            </w:pPr>
          </w:p>
        </w:tc>
        <w:tc>
          <w:tcPr>
            <w:tcW w:w="0" w:type="auto"/>
            <w:gridSpan w:val="3"/>
            <w:shd w:val="clear" w:color="auto" w:fill="auto"/>
          </w:tcPr>
          <w:p w14:paraId="20AE28D6" w14:textId="77777777" w:rsidR="00B626E7" w:rsidRDefault="00B626E7">
            <w:pPr>
              <w:rPr>
                <w:rFonts w:ascii="宋体"/>
                <w:vanish/>
              </w:rPr>
            </w:pPr>
          </w:p>
        </w:tc>
        <w:tc>
          <w:tcPr>
            <w:tcW w:w="0" w:type="auto"/>
            <w:gridSpan w:val="3"/>
            <w:shd w:val="clear" w:color="auto" w:fill="auto"/>
          </w:tcPr>
          <w:p w14:paraId="20AE28D7" w14:textId="77777777" w:rsidR="00B626E7" w:rsidRDefault="00B626E7">
            <w:pPr>
              <w:rPr>
                <w:rFonts w:ascii="宋体"/>
                <w:vanish/>
              </w:rPr>
            </w:pPr>
          </w:p>
        </w:tc>
        <w:tc>
          <w:tcPr>
            <w:tcW w:w="0" w:type="auto"/>
            <w:gridSpan w:val="3"/>
            <w:shd w:val="clear" w:color="auto" w:fill="auto"/>
          </w:tcPr>
          <w:p w14:paraId="20AE28D8" w14:textId="77777777" w:rsidR="00B626E7" w:rsidRDefault="00B626E7">
            <w:pPr>
              <w:rPr>
                <w:rFonts w:ascii="宋体"/>
                <w:vanish/>
              </w:rPr>
            </w:pPr>
          </w:p>
        </w:tc>
        <w:tc>
          <w:tcPr>
            <w:tcW w:w="0" w:type="auto"/>
            <w:gridSpan w:val="3"/>
            <w:shd w:val="clear" w:color="auto" w:fill="auto"/>
          </w:tcPr>
          <w:p w14:paraId="20AE28D9" w14:textId="77777777" w:rsidR="00B626E7" w:rsidRDefault="00B626E7">
            <w:pPr>
              <w:rPr>
                <w:rFonts w:ascii="宋体"/>
                <w:vanish/>
              </w:rPr>
            </w:pPr>
          </w:p>
        </w:tc>
        <w:tc>
          <w:tcPr>
            <w:tcW w:w="0" w:type="auto"/>
            <w:gridSpan w:val="3"/>
            <w:shd w:val="clear" w:color="auto" w:fill="auto"/>
          </w:tcPr>
          <w:p w14:paraId="20AE28DA" w14:textId="77777777" w:rsidR="00B626E7" w:rsidRDefault="00B626E7">
            <w:pPr>
              <w:rPr>
                <w:rFonts w:ascii="宋体"/>
                <w:vanish/>
              </w:rPr>
            </w:pPr>
          </w:p>
        </w:tc>
        <w:tc>
          <w:tcPr>
            <w:tcW w:w="0" w:type="auto"/>
            <w:gridSpan w:val="3"/>
            <w:shd w:val="clear" w:color="auto" w:fill="auto"/>
          </w:tcPr>
          <w:p w14:paraId="20AE28DB" w14:textId="77777777" w:rsidR="00B626E7" w:rsidRDefault="00B626E7">
            <w:pPr>
              <w:rPr>
                <w:rFonts w:ascii="宋体"/>
                <w:vanish/>
              </w:rPr>
            </w:pPr>
          </w:p>
        </w:tc>
        <w:tc>
          <w:tcPr>
            <w:tcW w:w="0" w:type="auto"/>
            <w:shd w:val="clear" w:color="auto" w:fill="auto"/>
          </w:tcPr>
          <w:p w14:paraId="20AE28DC" w14:textId="77777777" w:rsidR="00B626E7" w:rsidRDefault="00B626E7">
            <w:pPr>
              <w:rPr>
                <w:rFonts w:ascii="宋体"/>
              </w:rPr>
            </w:pPr>
          </w:p>
        </w:tc>
        <w:tc>
          <w:tcPr>
            <w:tcW w:w="0" w:type="auto"/>
            <w:shd w:val="clear" w:color="auto" w:fill="auto"/>
          </w:tcPr>
          <w:p w14:paraId="20AE28DD" w14:textId="77777777" w:rsidR="00B626E7" w:rsidRDefault="00B626E7">
            <w:pPr>
              <w:rPr>
                <w:rFonts w:ascii="宋体"/>
              </w:rPr>
            </w:pPr>
          </w:p>
        </w:tc>
        <w:tc>
          <w:tcPr>
            <w:tcW w:w="0" w:type="auto"/>
            <w:shd w:val="clear" w:color="auto" w:fill="auto"/>
          </w:tcPr>
          <w:p w14:paraId="20AE28DE" w14:textId="77777777" w:rsidR="00B626E7" w:rsidRDefault="00B626E7">
            <w:pPr>
              <w:rPr>
                <w:rFonts w:ascii="宋体"/>
              </w:rPr>
            </w:pPr>
          </w:p>
        </w:tc>
        <w:tc>
          <w:tcPr>
            <w:tcW w:w="0" w:type="auto"/>
            <w:shd w:val="clear" w:color="auto" w:fill="auto"/>
          </w:tcPr>
          <w:p w14:paraId="20AE28DF" w14:textId="77777777" w:rsidR="00B626E7" w:rsidRDefault="00B626E7">
            <w:pPr>
              <w:rPr>
                <w:rFonts w:ascii="宋体"/>
              </w:rPr>
            </w:pPr>
          </w:p>
        </w:tc>
        <w:tc>
          <w:tcPr>
            <w:tcW w:w="0" w:type="auto"/>
            <w:shd w:val="clear" w:color="auto" w:fill="auto"/>
          </w:tcPr>
          <w:p w14:paraId="20AE28E0" w14:textId="77777777" w:rsidR="00B626E7" w:rsidRDefault="00B626E7">
            <w:pPr>
              <w:rPr>
                <w:rFonts w:ascii="宋体"/>
              </w:rPr>
            </w:pPr>
          </w:p>
        </w:tc>
        <w:tc>
          <w:tcPr>
            <w:tcW w:w="0" w:type="auto"/>
            <w:shd w:val="clear" w:color="auto" w:fill="auto"/>
          </w:tcPr>
          <w:p w14:paraId="20AE28E1" w14:textId="77777777" w:rsidR="00B626E7" w:rsidRDefault="00B626E7">
            <w:pPr>
              <w:rPr>
                <w:rFonts w:ascii="宋体"/>
              </w:rPr>
            </w:pPr>
          </w:p>
        </w:tc>
        <w:tc>
          <w:tcPr>
            <w:tcW w:w="0" w:type="auto"/>
            <w:shd w:val="clear" w:color="auto" w:fill="auto"/>
          </w:tcPr>
          <w:p w14:paraId="20AE28E2" w14:textId="77777777" w:rsidR="00B626E7" w:rsidRDefault="00B626E7">
            <w:pPr>
              <w:rPr>
                <w:rFonts w:ascii="宋体"/>
              </w:rPr>
            </w:pPr>
          </w:p>
        </w:tc>
        <w:tc>
          <w:tcPr>
            <w:tcW w:w="0" w:type="auto"/>
            <w:shd w:val="clear" w:color="auto" w:fill="auto"/>
          </w:tcPr>
          <w:p w14:paraId="20AE28E3" w14:textId="77777777" w:rsidR="00B626E7" w:rsidRDefault="00B626E7">
            <w:pPr>
              <w:rPr>
                <w:rFonts w:ascii="宋体"/>
              </w:rPr>
            </w:pPr>
          </w:p>
        </w:tc>
        <w:tc>
          <w:tcPr>
            <w:tcW w:w="0" w:type="auto"/>
            <w:shd w:val="clear" w:color="auto" w:fill="auto"/>
          </w:tcPr>
          <w:p w14:paraId="20AE28E4" w14:textId="77777777" w:rsidR="00B626E7" w:rsidRDefault="00B626E7">
            <w:pPr>
              <w:rPr>
                <w:rFonts w:ascii="宋体"/>
              </w:rPr>
            </w:pPr>
          </w:p>
        </w:tc>
        <w:tc>
          <w:tcPr>
            <w:tcW w:w="0" w:type="auto"/>
            <w:shd w:val="clear" w:color="auto" w:fill="auto"/>
          </w:tcPr>
          <w:p w14:paraId="20AE28E5" w14:textId="77777777" w:rsidR="00B626E7" w:rsidRDefault="00B626E7">
            <w:pPr>
              <w:rPr>
                <w:rFonts w:ascii="宋体"/>
              </w:rPr>
            </w:pPr>
          </w:p>
        </w:tc>
        <w:tc>
          <w:tcPr>
            <w:tcW w:w="0" w:type="auto"/>
            <w:shd w:val="clear" w:color="auto" w:fill="auto"/>
          </w:tcPr>
          <w:p w14:paraId="20AE28E6" w14:textId="77777777" w:rsidR="00B626E7" w:rsidRDefault="00B626E7">
            <w:pPr>
              <w:rPr>
                <w:rFonts w:ascii="宋体"/>
              </w:rPr>
            </w:pPr>
          </w:p>
        </w:tc>
        <w:tc>
          <w:tcPr>
            <w:tcW w:w="0" w:type="auto"/>
            <w:shd w:val="clear" w:color="auto" w:fill="auto"/>
          </w:tcPr>
          <w:p w14:paraId="20AE28E7" w14:textId="77777777" w:rsidR="00B626E7" w:rsidRDefault="00B626E7">
            <w:pPr>
              <w:rPr>
                <w:rFonts w:ascii="宋体"/>
              </w:rPr>
            </w:pPr>
          </w:p>
        </w:tc>
        <w:tc>
          <w:tcPr>
            <w:tcW w:w="0" w:type="auto"/>
            <w:shd w:val="clear" w:color="auto" w:fill="auto"/>
          </w:tcPr>
          <w:p w14:paraId="20AE28E8" w14:textId="77777777" w:rsidR="00B626E7" w:rsidRDefault="00B626E7">
            <w:pPr>
              <w:rPr>
                <w:rFonts w:ascii="宋体"/>
              </w:rPr>
            </w:pPr>
          </w:p>
        </w:tc>
        <w:tc>
          <w:tcPr>
            <w:tcW w:w="0" w:type="auto"/>
            <w:shd w:val="clear" w:color="auto" w:fill="auto"/>
          </w:tcPr>
          <w:p w14:paraId="20AE28E9" w14:textId="77777777" w:rsidR="00B626E7" w:rsidRDefault="00B626E7">
            <w:pPr>
              <w:rPr>
                <w:rFonts w:ascii="宋体"/>
              </w:rPr>
            </w:pPr>
          </w:p>
        </w:tc>
        <w:tc>
          <w:tcPr>
            <w:tcW w:w="0" w:type="auto"/>
            <w:shd w:val="clear" w:color="auto" w:fill="auto"/>
          </w:tcPr>
          <w:p w14:paraId="20AE28EA" w14:textId="77777777" w:rsidR="00B626E7" w:rsidRDefault="00B626E7">
            <w:pPr>
              <w:rPr>
                <w:rFonts w:ascii="宋体"/>
              </w:rPr>
            </w:pPr>
          </w:p>
        </w:tc>
        <w:tc>
          <w:tcPr>
            <w:tcW w:w="0" w:type="auto"/>
            <w:shd w:val="clear" w:color="auto" w:fill="auto"/>
          </w:tcPr>
          <w:p w14:paraId="20AE28EB" w14:textId="77777777" w:rsidR="00B626E7" w:rsidRDefault="00B626E7">
            <w:pPr>
              <w:rPr>
                <w:rFonts w:ascii="宋体"/>
              </w:rPr>
            </w:pPr>
          </w:p>
        </w:tc>
        <w:tc>
          <w:tcPr>
            <w:tcW w:w="0" w:type="auto"/>
            <w:shd w:val="clear" w:color="auto" w:fill="auto"/>
          </w:tcPr>
          <w:p w14:paraId="20AE28EC" w14:textId="77777777" w:rsidR="00B626E7" w:rsidRDefault="00B626E7">
            <w:pPr>
              <w:rPr>
                <w:rFonts w:ascii="宋体"/>
              </w:rPr>
            </w:pPr>
          </w:p>
        </w:tc>
        <w:tc>
          <w:tcPr>
            <w:tcW w:w="0" w:type="auto"/>
            <w:shd w:val="clear" w:color="auto" w:fill="auto"/>
          </w:tcPr>
          <w:p w14:paraId="20AE28ED" w14:textId="77777777" w:rsidR="00B626E7" w:rsidRDefault="00B626E7">
            <w:pPr>
              <w:rPr>
                <w:rFonts w:ascii="宋体"/>
              </w:rPr>
            </w:pPr>
          </w:p>
        </w:tc>
      </w:tr>
      <w:tr w:rsidR="00B626E7" w14:paraId="20AE290B" w14:textId="77777777">
        <w:trPr>
          <w:hidden/>
        </w:trPr>
        <w:tc>
          <w:tcPr>
            <w:tcW w:w="0" w:type="auto"/>
            <w:gridSpan w:val="3"/>
            <w:shd w:val="clear" w:color="auto" w:fill="auto"/>
          </w:tcPr>
          <w:p w14:paraId="20AE28EF" w14:textId="77777777" w:rsidR="00B626E7" w:rsidRDefault="00B626E7">
            <w:pPr>
              <w:rPr>
                <w:rFonts w:ascii="宋体"/>
                <w:vanish/>
              </w:rPr>
            </w:pPr>
          </w:p>
        </w:tc>
        <w:tc>
          <w:tcPr>
            <w:tcW w:w="0" w:type="auto"/>
            <w:gridSpan w:val="3"/>
            <w:shd w:val="clear" w:color="auto" w:fill="auto"/>
          </w:tcPr>
          <w:p w14:paraId="20AE28F0" w14:textId="77777777" w:rsidR="00B626E7" w:rsidRDefault="00B626E7">
            <w:pPr>
              <w:rPr>
                <w:rFonts w:ascii="宋体"/>
                <w:vanish/>
              </w:rPr>
            </w:pPr>
          </w:p>
        </w:tc>
        <w:tc>
          <w:tcPr>
            <w:tcW w:w="0" w:type="auto"/>
            <w:gridSpan w:val="3"/>
            <w:shd w:val="clear" w:color="auto" w:fill="auto"/>
          </w:tcPr>
          <w:p w14:paraId="20AE28F1" w14:textId="77777777" w:rsidR="00B626E7" w:rsidRDefault="00B626E7">
            <w:pPr>
              <w:rPr>
                <w:rFonts w:ascii="宋体"/>
                <w:vanish/>
              </w:rPr>
            </w:pPr>
          </w:p>
        </w:tc>
        <w:tc>
          <w:tcPr>
            <w:tcW w:w="0" w:type="auto"/>
            <w:gridSpan w:val="3"/>
            <w:shd w:val="clear" w:color="auto" w:fill="auto"/>
          </w:tcPr>
          <w:p w14:paraId="20AE28F2" w14:textId="77777777" w:rsidR="00B626E7" w:rsidRDefault="00B626E7">
            <w:pPr>
              <w:rPr>
                <w:rFonts w:ascii="宋体"/>
                <w:vanish/>
              </w:rPr>
            </w:pPr>
          </w:p>
        </w:tc>
        <w:tc>
          <w:tcPr>
            <w:tcW w:w="0" w:type="auto"/>
            <w:gridSpan w:val="3"/>
            <w:shd w:val="clear" w:color="auto" w:fill="auto"/>
          </w:tcPr>
          <w:p w14:paraId="20AE28F3" w14:textId="77777777" w:rsidR="00B626E7" w:rsidRDefault="00B626E7">
            <w:pPr>
              <w:rPr>
                <w:rFonts w:ascii="宋体"/>
                <w:vanish/>
              </w:rPr>
            </w:pPr>
          </w:p>
        </w:tc>
        <w:tc>
          <w:tcPr>
            <w:tcW w:w="0" w:type="auto"/>
            <w:gridSpan w:val="3"/>
            <w:shd w:val="clear" w:color="auto" w:fill="auto"/>
          </w:tcPr>
          <w:p w14:paraId="20AE28F4" w14:textId="77777777" w:rsidR="00B626E7" w:rsidRDefault="00B626E7">
            <w:pPr>
              <w:rPr>
                <w:rFonts w:ascii="宋体"/>
                <w:vanish/>
              </w:rPr>
            </w:pPr>
          </w:p>
        </w:tc>
        <w:tc>
          <w:tcPr>
            <w:tcW w:w="0" w:type="auto"/>
            <w:gridSpan w:val="3"/>
            <w:shd w:val="clear" w:color="auto" w:fill="auto"/>
          </w:tcPr>
          <w:p w14:paraId="20AE28F5" w14:textId="77777777" w:rsidR="00B626E7" w:rsidRDefault="00B626E7">
            <w:pPr>
              <w:rPr>
                <w:rFonts w:ascii="宋体"/>
                <w:vanish/>
              </w:rPr>
            </w:pPr>
          </w:p>
        </w:tc>
        <w:tc>
          <w:tcPr>
            <w:tcW w:w="0" w:type="auto"/>
            <w:gridSpan w:val="3"/>
            <w:shd w:val="clear" w:color="auto" w:fill="auto"/>
          </w:tcPr>
          <w:p w14:paraId="20AE28F6" w14:textId="77777777" w:rsidR="00B626E7" w:rsidRDefault="00B626E7">
            <w:pPr>
              <w:rPr>
                <w:rFonts w:ascii="宋体"/>
                <w:vanish/>
              </w:rPr>
            </w:pPr>
          </w:p>
        </w:tc>
        <w:tc>
          <w:tcPr>
            <w:tcW w:w="0" w:type="auto"/>
            <w:gridSpan w:val="3"/>
            <w:shd w:val="clear" w:color="auto" w:fill="auto"/>
          </w:tcPr>
          <w:p w14:paraId="20AE28F7" w14:textId="77777777" w:rsidR="00B626E7" w:rsidRDefault="00B626E7">
            <w:pPr>
              <w:rPr>
                <w:rFonts w:ascii="宋体"/>
                <w:vanish/>
              </w:rPr>
            </w:pPr>
          </w:p>
        </w:tc>
        <w:tc>
          <w:tcPr>
            <w:tcW w:w="0" w:type="auto"/>
            <w:gridSpan w:val="3"/>
            <w:shd w:val="clear" w:color="auto" w:fill="auto"/>
          </w:tcPr>
          <w:p w14:paraId="20AE28F8" w14:textId="77777777" w:rsidR="00B626E7" w:rsidRDefault="00B626E7">
            <w:pPr>
              <w:rPr>
                <w:rFonts w:ascii="宋体"/>
                <w:vanish/>
              </w:rPr>
            </w:pPr>
          </w:p>
        </w:tc>
        <w:tc>
          <w:tcPr>
            <w:tcW w:w="0" w:type="auto"/>
            <w:shd w:val="clear" w:color="auto" w:fill="auto"/>
          </w:tcPr>
          <w:p w14:paraId="20AE28F9" w14:textId="77777777" w:rsidR="00B626E7" w:rsidRDefault="00B626E7">
            <w:pPr>
              <w:rPr>
                <w:rFonts w:ascii="宋体"/>
              </w:rPr>
            </w:pPr>
          </w:p>
        </w:tc>
        <w:tc>
          <w:tcPr>
            <w:tcW w:w="0" w:type="auto"/>
            <w:shd w:val="clear" w:color="auto" w:fill="auto"/>
          </w:tcPr>
          <w:p w14:paraId="20AE28FA" w14:textId="77777777" w:rsidR="00B626E7" w:rsidRDefault="00B626E7">
            <w:pPr>
              <w:rPr>
                <w:rFonts w:ascii="宋体"/>
              </w:rPr>
            </w:pPr>
          </w:p>
        </w:tc>
        <w:tc>
          <w:tcPr>
            <w:tcW w:w="0" w:type="auto"/>
            <w:shd w:val="clear" w:color="auto" w:fill="auto"/>
          </w:tcPr>
          <w:p w14:paraId="20AE28FB" w14:textId="77777777" w:rsidR="00B626E7" w:rsidRDefault="00B626E7">
            <w:pPr>
              <w:rPr>
                <w:rFonts w:ascii="宋体"/>
              </w:rPr>
            </w:pPr>
          </w:p>
        </w:tc>
        <w:tc>
          <w:tcPr>
            <w:tcW w:w="0" w:type="auto"/>
            <w:shd w:val="clear" w:color="auto" w:fill="auto"/>
          </w:tcPr>
          <w:p w14:paraId="20AE28FC" w14:textId="77777777" w:rsidR="00B626E7" w:rsidRDefault="00B626E7">
            <w:pPr>
              <w:rPr>
                <w:rFonts w:ascii="宋体"/>
              </w:rPr>
            </w:pPr>
          </w:p>
        </w:tc>
        <w:tc>
          <w:tcPr>
            <w:tcW w:w="0" w:type="auto"/>
            <w:shd w:val="clear" w:color="auto" w:fill="auto"/>
          </w:tcPr>
          <w:p w14:paraId="20AE28FD" w14:textId="77777777" w:rsidR="00B626E7" w:rsidRDefault="00B626E7">
            <w:pPr>
              <w:rPr>
                <w:rFonts w:ascii="宋体"/>
              </w:rPr>
            </w:pPr>
          </w:p>
        </w:tc>
        <w:tc>
          <w:tcPr>
            <w:tcW w:w="0" w:type="auto"/>
            <w:shd w:val="clear" w:color="auto" w:fill="auto"/>
          </w:tcPr>
          <w:p w14:paraId="20AE28FE" w14:textId="77777777" w:rsidR="00B626E7" w:rsidRDefault="00B626E7">
            <w:pPr>
              <w:rPr>
                <w:rFonts w:ascii="宋体"/>
              </w:rPr>
            </w:pPr>
          </w:p>
        </w:tc>
        <w:tc>
          <w:tcPr>
            <w:tcW w:w="0" w:type="auto"/>
            <w:shd w:val="clear" w:color="auto" w:fill="auto"/>
          </w:tcPr>
          <w:p w14:paraId="20AE28FF" w14:textId="77777777" w:rsidR="00B626E7" w:rsidRDefault="00B626E7">
            <w:pPr>
              <w:rPr>
                <w:rFonts w:ascii="宋体"/>
              </w:rPr>
            </w:pPr>
          </w:p>
        </w:tc>
        <w:tc>
          <w:tcPr>
            <w:tcW w:w="0" w:type="auto"/>
            <w:shd w:val="clear" w:color="auto" w:fill="auto"/>
          </w:tcPr>
          <w:p w14:paraId="20AE2900" w14:textId="77777777" w:rsidR="00B626E7" w:rsidRDefault="00B626E7">
            <w:pPr>
              <w:rPr>
                <w:rFonts w:ascii="宋体"/>
              </w:rPr>
            </w:pPr>
          </w:p>
        </w:tc>
        <w:tc>
          <w:tcPr>
            <w:tcW w:w="0" w:type="auto"/>
            <w:shd w:val="clear" w:color="auto" w:fill="auto"/>
          </w:tcPr>
          <w:p w14:paraId="20AE2901" w14:textId="77777777" w:rsidR="00B626E7" w:rsidRDefault="00B626E7">
            <w:pPr>
              <w:rPr>
                <w:rFonts w:ascii="宋体"/>
              </w:rPr>
            </w:pPr>
          </w:p>
        </w:tc>
        <w:tc>
          <w:tcPr>
            <w:tcW w:w="0" w:type="auto"/>
            <w:shd w:val="clear" w:color="auto" w:fill="auto"/>
          </w:tcPr>
          <w:p w14:paraId="20AE2902" w14:textId="77777777" w:rsidR="00B626E7" w:rsidRDefault="00B626E7">
            <w:pPr>
              <w:rPr>
                <w:rFonts w:ascii="宋体"/>
              </w:rPr>
            </w:pPr>
          </w:p>
        </w:tc>
        <w:tc>
          <w:tcPr>
            <w:tcW w:w="0" w:type="auto"/>
            <w:shd w:val="clear" w:color="auto" w:fill="auto"/>
          </w:tcPr>
          <w:p w14:paraId="20AE2903" w14:textId="77777777" w:rsidR="00B626E7" w:rsidRDefault="00B626E7">
            <w:pPr>
              <w:rPr>
                <w:rFonts w:ascii="宋体"/>
              </w:rPr>
            </w:pPr>
          </w:p>
        </w:tc>
        <w:tc>
          <w:tcPr>
            <w:tcW w:w="0" w:type="auto"/>
            <w:shd w:val="clear" w:color="auto" w:fill="auto"/>
          </w:tcPr>
          <w:p w14:paraId="20AE2904" w14:textId="77777777" w:rsidR="00B626E7" w:rsidRDefault="00B626E7">
            <w:pPr>
              <w:rPr>
                <w:rFonts w:ascii="宋体"/>
              </w:rPr>
            </w:pPr>
          </w:p>
        </w:tc>
        <w:tc>
          <w:tcPr>
            <w:tcW w:w="0" w:type="auto"/>
            <w:shd w:val="clear" w:color="auto" w:fill="auto"/>
          </w:tcPr>
          <w:p w14:paraId="20AE2905" w14:textId="77777777" w:rsidR="00B626E7" w:rsidRDefault="00B626E7">
            <w:pPr>
              <w:rPr>
                <w:rFonts w:ascii="宋体"/>
              </w:rPr>
            </w:pPr>
          </w:p>
        </w:tc>
        <w:tc>
          <w:tcPr>
            <w:tcW w:w="0" w:type="auto"/>
            <w:shd w:val="clear" w:color="auto" w:fill="auto"/>
          </w:tcPr>
          <w:p w14:paraId="20AE2906" w14:textId="77777777" w:rsidR="00B626E7" w:rsidRDefault="00B626E7">
            <w:pPr>
              <w:rPr>
                <w:rFonts w:ascii="宋体"/>
              </w:rPr>
            </w:pPr>
          </w:p>
        </w:tc>
        <w:tc>
          <w:tcPr>
            <w:tcW w:w="0" w:type="auto"/>
            <w:shd w:val="clear" w:color="auto" w:fill="auto"/>
          </w:tcPr>
          <w:p w14:paraId="20AE2907" w14:textId="77777777" w:rsidR="00B626E7" w:rsidRDefault="00B626E7">
            <w:pPr>
              <w:rPr>
                <w:rFonts w:ascii="宋体"/>
              </w:rPr>
            </w:pPr>
          </w:p>
        </w:tc>
        <w:tc>
          <w:tcPr>
            <w:tcW w:w="0" w:type="auto"/>
            <w:shd w:val="clear" w:color="auto" w:fill="auto"/>
          </w:tcPr>
          <w:p w14:paraId="20AE2908" w14:textId="77777777" w:rsidR="00B626E7" w:rsidRDefault="00B626E7">
            <w:pPr>
              <w:rPr>
                <w:rFonts w:ascii="宋体"/>
              </w:rPr>
            </w:pPr>
          </w:p>
        </w:tc>
        <w:tc>
          <w:tcPr>
            <w:tcW w:w="0" w:type="auto"/>
            <w:shd w:val="clear" w:color="auto" w:fill="auto"/>
          </w:tcPr>
          <w:p w14:paraId="20AE2909" w14:textId="77777777" w:rsidR="00B626E7" w:rsidRDefault="00B626E7">
            <w:pPr>
              <w:rPr>
                <w:rFonts w:ascii="宋体"/>
              </w:rPr>
            </w:pPr>
          </w:p>
        </w:tc>
        <w:tc>
          <w:tcPr>
            <w:tcW w:w="0" w:type="auto"/>
            <w:shd w:val="clear" w:color="auto" w:fill="auto"/>
          </w:tcPr>
          <w:p w14:paraId="20AE290A" w14:textId="77777777" w:rsidR="00B626E7" w:rsidRDefault="00B626E7">
            <w:pPr>
              <w:rPr>
                <w:rFonts w:ascii="宋体"/>
              </w:rPr>
            </w:pPr>
          </w:p>
        </w:tc>
      </w:tr>
    </w:tbl>
    <w:p w14:paraId="20AE290C" w14:textId="77777777" w:rsidR="00B626E7" w:rsidRDefault="00B626E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84"/>
        <w:gridCol w:w="2423"/>
        <w:gridCol w:w="84"/>
        <w:gridCol w:w="83"/>
        <w:gridCol w:w="3471"/>
        <w:gridCol w:w="83"/>
        <w:gridCol w:w="83"/>
        <w:gridCol w:w="1942"/>
        <w:gridCol w:w="83"/>
      </w:tblGrid>
      <w:tr w:rsidR="00B626E7" w14:paraId="20AE2916" w14:textId="77777777">
        <w:tc>
          <w:tcPr>
            <w:tcW w:w="50" w:type="pct"/>
            <w:shd w:val="clear" w:color="auto" w:fill="auto"/>
            <w:vAlign w:val="bottom"/>
          </w:tcPr>
          <w:p w14:paraId="20AE290D" w14:textId="77777777" w:rsidR="00B626E7" w:rsidRDefault="00B626E7">
            <w:pPr>
              <w:rPr>
                <w:rFonts w:ascii="宋体"/>
              </w:rPr>
            </w:pPr>
          </w:p>
        </w:tc>
        <w:tc>
          <w:tcPr>
            <w:tcW w:w="1452" w:type="pct"/>
            <w:shd w:val="clear" w:color="auto" w:fill="auto"/>
            <w:vAlign w:val="bottom"/>
          </w:tcPr>
          <w:p w14:paraId="20AE290E" w14:textId="77777777" w:rsidR="00B626E7" w:rsidRDefault="00B626E7">
            <w:pPr>
              <w:rPr>
                <w:rFonts w:ascii="宋体"/>
              </w:rPr>
            </w:pPr>
          </w:p>
        </w:tc>
        <w:tc>
          <w:tcPr>
            <w:tcW w:w="50" w:type="pct"/>
            <w:shd w:val="clear" w:color="auto" w:fill="auto"/>
            <w:vAlign w:val="bottom"/>
          </w:tcPr>
          <w:p w14:paraId="20AE290F" w14:textId="77777777" w:rsidR="00B626E7" w:rsidRDefault="00B626E7">
            <w:pPr>
              <w:rPr>
                <w:rFonts w:ascii="宋体"/>
              </w:rPr>
            </w:pPr>
          </w:p>
        </w:tc>
        <w:tc>
          <w:tcPr>
            <w:tcW w:w="50" w:type="pct"/>
            <w:shd w:val="clear" w:color="auto" w:fill="auto"/>
            <w:vAlign w:val="bottom"/>
          </w:tcPr>
          <w:p w14:paraId="20AE2910" w14:textId="77777777" w:rsidR="00B626E7" w:rsidRDefault="00B626E7">
            <w:pPr>
              <w:rPr>
                <w:rFonts w:ascii="宋体"/>
              </w:rPr>
            </w:pPr>
          </w:p>
        </w:tc>
        <w:tc>
          <w:tcPr>
            <w:tcW w:w="2081" w:type="pct"/>
            <w:shd w:val="clear" w:color="auto" w:fill="auto"/>
            <w:vAlign w:val="bottom"/>
          </w:tcPr>
          <w:p w14:paraId="20AE2911" w14:textId="77777777" w:rsidR="00B626E7" w:rsidRDefault="00B626E7">
            <w:pPr>
              <w:rPr>
                <w:rFonts w:ascii="宋体"/>
              </w:rPr>
            </w:pPr>
          </w:p>
        </w:tc>
        <w:tc>
          <w:tcPr>
            <w:tcW w:w="50" w:type="pct"/>
            <w:shd w:val="clear" w:color="auto" w:fill="auto"/>
            <w:vAlign w:val="bottom"/>
          </w:tcPr>
          <w:p w14:paraId="20AE2912" w14:textId="77777777" w:rsidR="00B626E7" w:rsidRDefault="00B626E7">
            <w:pPr>
              <w:rPr>
                <w:rFonts w:ascii="宋体"/>
              </w:rPr>
            </w:pPr>
          </w:p>
        </w:tc>
        <w:tc>
          <w:tcPr>
            <w:tcW w:w="50" w:type="pct"/>
            <w:shd w:val="clear" w:color="auto" w:fill="auto"/>
            <w:vAlign w:val="bottom"/>
          </w:tcPr>
          <w:p w14:paraId="20AE2913" w14:textId="77777777" w:rsidR="00B626E7" w:rsidRDefault="00B626E7">
            <w:pPr>
              <w:rPr>
                <w:rFonts w:ascii="宋体"/>
              </w:rPr>
            </w:pPr>
          </w:p>
        </w:tc>
        <w:tc>
          <w:tcPr>
            <w:tcW w:w="1165" w:type="pct"/>
            <w:shd w:val="clear" w:color="auto" w:fill="auto"/>
            <w:vAlign w:val="bottom"/>
          </w:tcPr>
          <w:p w14:paraId="20AE2914" w14:textId="77777777" w:rsidR="00B626E7" w:rsidRDefault="00B626E7">
            <w:pPr>
              <w:rPr>
                <w:rFonts w:ascii="宋体"/>
              </w:rPr>
            </w:pPr>
          </w:p>
        </w:tc>
        <w:tc>
          <w:tcPr>
            <w:tcW w:w="50" w:type="pct"/>
            <w:shd w:val="clear" w:color="auto" w:fill="auto"/>
            <w:vAlign w:val="bottom"/>
          </w:tcPr>
          <w:p w14:paraId="20AE2915" w14:textId="77777777" w:rsidR="00B626E7" w:rsidRDefault="00B626E7">
            <w:pPr>
              <w:rPr>
                <w:rFonts w:ascii="宋体"/>
              </w:rPr>
            </w:pPr>
          </w:p>
        </w:tc>
      </w:tr>
      <w:tr w:rsidR="00B626E7" w14:paraId="20AE291A" w14:textId="77777777">
        <w:tc>
          <w:tcPr>
            <w:tcW w:w="0" w:type="auto"/>
            <w:gridSpan w:val="3"/>
            <w:tcBorders>
              <w:top w:val="single" w:sz="8" w:space="0" w:color="0071C5"/>
            </w:tcBorders>
            <w:shd w:val="clear" w:color="auto" w:fill="auto"/>
            <w:tcMar>
              <w:top w:w="40" w:type="dxa"/>
              <w:left w:w="20" w:type="dxa"/>
              <w:bottom w:w="40" w:type="dxa"/>
              <w:right w:w="20" w:type="dxa"/>
            </w:tcMar>
            <w:vAlign w:val="center"/>
          </w:tcPr>
          <w:p w14:paraId="20AE2917" w14:textId="77777777" w:rsidR="00B626E7" w:rsidRDefault="00175C1D">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Viewer10_files/intc-20200627_g35.jpg"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6F" wp14:editId="20AE3C70">
                  <wp:extent cx="304800" cy="304800"/>
                  <wp:effectExtent l="0" t="0" r="0" b="0"/>
                  <wp:docPr id="76" name="图片 97"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97" descr="IMG_29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Arial" w:eastAsia="宋体" w:hAnsi="Arial" w:cs="Arial"/>
                <w:color w:val="333333"/>
                <w:sz w:val="16"/>
                <w:szCs w:val="16"/>
              </w:rPr>
              <w:t>MD&amp;A</w:t>
            </w:r>
          </w:p>
        </w:tc>
        <w:tc>
          <w:tcPr>
            <w:tcW w:w="0" w:type="auto"/>
            <w:gridSpan w:val="3"/>
            <w:tcBorders>
              <w:top w:val="single" w:sz="8" w:space="0" w:color="0071C5"/>
            </w:tcBorders>
            <w:shd w:val="clear" w:color="auto" w:fill="auto"/>
            <w:tcMar>
              <w:left w:w="20" w:type="dxa"/>
              <w:right w:w="20" w:type="dxa"/>
            </w:tcMar>
            <w:vAlign w:val="bottom"/>
          </w:tcPr>
          <w:p w14:paraId="20AE2918"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2919" w14:textId="77777777" w:rsidR="00B626E7" w:rsidRDefault="00175C1D">
            <w:pPr>
              <w:jc w:val="right"/>
              <w:textAlignment w:val="bottom"/>
            </w:pPr>
            <w:r>
              <w:rPr>
                <w:rFonts w:ascii="Arial" w:eastAsia="宋体" w:hAnsi="Arial" w:cs="Arial"/>
                <w:color w:val="333333"/>
                <w:sz w:val="16"/>
                <w:szCs w:val="16"/>
              </w:rPr>
              <w:t>28</w:t>
            </w:r>
          </w:p>
        </w:tc>
      </w:tr>
    </w:tbl>
    <w:p w14:paraId="20AE291B" w14:textId="77777777" w:rsidR="00B626E7" w:rsidRDefault="00175C1D">
      <w:r>
        <w:pict w14:anchorId="20AE3C71">
          <v:rect id="_x0000_i1054" style="width:415.3pt;height:1.5pt" o:hralign="center" o:hrstd="t" o:hr="t" fillcolor="#a0a0a0" stroked="f"/>
        </w:pict>
      </w:r>
    </w:p>
    <w:p w14:paraId="20AE291C" w14:textId="77777777" w:rsidR="00B626E7" w:rsidRDefault="00175C1D">
      <w:pPr>
        <w:spacing w:after="180"/>
        <w:jc w:val="right"/>
      </w:pPr>
      <w:hyperlink r:id="rId55" w:anchor="ib035cc8759904e51927d703ec8414366_7" w:history="1">
        <w:r>
          <w:rPr>
            <w:rStyle w:val="a5"/>
            <w:rFonts w:ascii="Arial" w:eastAsia="宋体" w:hAnsi="Arial" w:cs="Arial"/>
            <w:b/>
            <w:bCs/>
            <w:sz w:val="16"/>
            <w:szCs w:val="16"/>
          </w:rPr>
          <w:t>Table of Contents</w:t>
        </w:r>
      </w:hyperlink>
    </w:p>
    <w:p w14:paraId="20AE291D" w14:textId="77777777" w:rsidR="00B626E7" w:rsidRDefault="00B626E7">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84"/>
        <w:gridCol w:w="8169"/>
        <w:gridCol w:w="83"/>
      </w:tblGrid>
      <w:tr w:rsidR="00B626E7" w14:paraId="20AE2921" w14:textId="77777777">
        <w:tc>
          <w:tcPr>
            <w:tcW w:w="50" w:type="pct"/>
            <w:shd w:val="clear" w:color="auto" w:fill="auto"/>
          </w:tcPr>
          <w:p w14:paraId="20AE291E" w14:textId="77777777" w:rsidR="00B626E7" w:rsidRDefault="00B626E7">
            <w:pPr>
              <w:rPr>
                <w:rFonts w:ascii="宋体"/>
              </w:rPr>
            </w:pPr>
          </w:p>
        </w:tc>
        <w:tc>
          <w:tcPr>
            <w:tcW w:w="4900" w:type="pct"/>
            <w:shd w:val="clear" w:color="auto" w:fill="auto"/>
          </w:tcPr>
          <w:p w14:paraId="20AE291F" w14:textId="77777777" w:rsidR="00B626E7" w:rsidRDefault="00B626E7">
            <w:pPr>
              <w:rPr>
                <w:rFonts w:ascii="宋体"/>
              </w:rPr>
            </w:pPr>
          </w:p>
        </w:tc>
        <w:tc>
          <w:tcPr>
            <w:tcW w:w="50" w:type="pct"/>
            <w:shd w:val="clear" w:color="auto" w:fill="auto"/>
          </w:tcPr>
          <w:p w14:paraId="20AE2920" w14:textId="77777777" w:rsidR="00B626E7" w:rsidRDefault="00B626E7">
            <w:pPr>
              <w:rPr>
                <w:rFonts w:ascii="宋体"/>
              </w:rPr>
            </w:pPr>
          </w:p>
        </w:tc>
      </w:tr>
      <w:tr w:rsidR="00B626E7" w14:paraId="20AE2923" w14:textId="77777777">
        <w:tc>
          <w:tcPr>
            <w:tcW w:w="0" w:type="auto"/>
            <w:gridSpan w:val="3"/>
            <w:tcBorders>
              <w:bottom w:val="single" w:sz="8" w:space="0" w:color="333333"/>
            </w:tcBorders>
            <w:shd w:val="clear" w:color="auto" w:fill="auto"/>
            <w:tcMar>
              <w:top w:w="40" w:type="dxa"/>
              <w:left w:w="20" w:type="dxa"/>
              <w:bottom w:w="40" w:type="dxa"/>
              <w:right w:w="20" w:type="dxa"/>
            </w:tcMar>
            <w:vAlign w:val="bottom"/>
          </w:tcPr>
          <w:p w14:paraId="20AE2922" w14:textId="77777777" w:rsidR="00B626E7" w:rsidRDefault="00175C1D">
            <w:pPr>
              <w:textAlignment w:val="bottom"/>
            </w:pPr>
            <w:r>
              <w:rPr>
                <w:rFonts w:ascii="Arial" w:eastAsia="宋体" w:hAnsi="Arial" w:cs="Arial"/>
                <w:b/>
                <w:bCs/>
                <w:color w:val="0071C5"/>
                <w:sz w:val="20"/>
                <w:szCs w:val="20"/>
              </w:rPr>
              <w:t>OPERATING INCOME SUMMARY</w:t>
            </w:r>
          </w:p>
        </w:tc>
      </w:tr>
    </w:tbl>
    <w:p w14:paraId="20AE2924" w14:textId="77777777" w:rsidR="00B626E7" w:rsidRDefault="00175C1D">
      <w:pPr>
        <w:spacing w:before="60" w:after="120"/>
      </w:pPr>
      <w:r>
        <w:rPr>
          <w:rFonts w:ascii="Arial" w:eastAsia="宋体" w:hAnsi="Arial" w:cs="Arial"/>
          <w:color w:val="333333"/>
          <w:sz w:val="18"/>
          <w:szCs w:val="18"/>
        </w:rPr>
        <w:t xml:space="preserve">Operating income in Q2 2020 increased 72% from Q2 </w:t>
      </w:r>
      <w:r>
        <w:rPr>
          <w:rFonts w:ascii="Arial" w:eastAsia="宋体" w:hAnsi="Arial" w:cs="Arial"/>
          <w:color w:val="333333"/>
          <w:sz w:val="18"/>
          <w:szCs w:val="18"/>
        </w:rPr>
        <w:t>2019, with an operating margin of 44%. Operating income YTD 2020 increased 81%, with an operating margin of 47%.</w:t>
      </w:r>
    </w:p>
    <w:tbl>
      <w:tblPr>
        <w:tblW w:w="5000" w:type="pct"/>
        <w:tblCellMar>
          <w:top w:w="15" w:type="dxa"/>
          <w:left w:w="15" w:type="dxa"/>
          <w:bottom w:w="15" w:type="dxa"/>
          <w:right w:w="15" w:type="dxa"/>
        </w:tblCellMar>
        <w:tblLook w:val="04A0" w:firstRow="1" w:lastRow="0" w:firstColumn="1" w:lastColumn="0" w:noHBand="0" w:noVBand="1"/>
      </w:tblPr>
      <w:tblGrid>
        <w:gridCol w:w="137"/>
        <w:gridCol w:w="801"/>
        <w:gridCol w:w="86"/>
        <w:gridCol w:w="36"/>
        <w:gridCol w:w="36"/>
        <w:gridCol w:w="36"/>
        <w:gridCol w:w="43"/>
        <w:gridCol w:w="7100"/>
        <w:gridCol w:w="61"/>
      </w:tblGrid>
      <w:tr w:rsidR="00B626E7" w14:paraId="20AE292E" w14:textId="77777777">
        <w:tc>
          <w:tcPr>
            <w:tcW w:w="50" w:type="pct"/>
            <w:shd w:val="clear" w:color="auto" w:fill="auto"/>
          </w:tcPr>
          <w:p w14:paraId="20AE2925" w14:textId="77777777" w:rsidR="00B626E7" w:rsidRDefault="00B626E7">
            <w:pPr>
              <w:rPr>
                <w:rFonts w:ascii="宋体"/>
              </w:rPr>
            </w:pPr>
          </w:p>
        </w:tc>
        <w:tc>
          <w:tcPr>
            <w:tcW w:w="494" w:type="pct"/>
            <w:shd w:val="clear" w:color="auto" w:fill="auto"/>
          </w:tcPr>
          <w:p w14:paraId="20AE2926" w14:textId="77777777" w:rsidR="00B626E7" w:rsidRDefault="00B626E7">
            <w:pPr>
              <w:rPr>
                <w:rFonts w:ascii="宋体"/>
              </w:rPr>
            </w:pPr>
          </w:p>
        </w:tc>
        <w:tc>
          <w:tcPr>
            <w:tcW w:w="50" w:type="pct"/>
            <w:shd w:val="clear" w:color="auto" w:fill="auto"/>
          </w:tcPr>
          <w:p w14:paraId="20AE2927" w14:textId="77777777" w:rsidR="00B626E7" w:rsidRDefault="00B626E7">
            <w:pPr>
              <w:rPr>
                <w:rFonts w:ascii="宋体"/>
              </w:rPr>
            </w:pPr>
          </w:p>
        </w:tc>
        <w:tc>
          <w:tcPr>
            <w:tcW w:w="5" w:type="pct"/>
            <w:shd w:val="clear" w:color="auto" w:fill="auto"/>
          </w:tcPr>
          <w:p w14:paraId="20AE2928" w14:textId="77777777" w:rsidR="00B626E7" w:rsidRDefault="00B626E7">
            <w:pPr>
              <w:rPr>
                <w:rFonts w:ascii="宋体"/>
              </w:rPr>
            </w:pPr>
          </w:p>
        </w:tc>
        <w:tc>
          <w:tcPr>
            <w:tcW w:w="24" w:type="pct"/>
            <w:shd w:val="clear" w:color="auto" w:fill="auto"/>
          </w:tcPr>
          <w:p w14:paraId="20AE2929" w14:textId="77777777" w:rsidR="00B626E7" w:rsidRDefault="00B626E7">
            <w:pPr>
              <w:rPr>
                <w:rFonts w:ascii="宋体"/>
              </w:rPr>
            </w:pPr>
          </w:p>
        </w:tc>
        <w:tc>
          <w:tcPr>
            <w:tcW w:w="5" w:type="pct"/>
            <w:shd w:val="clear" w:color="auto" w:fill="auto"/>
          </w:tcPr>
          <w:p w14:paraId="20AE292A" w14:textId="77777777" w:rsidR="00B626E7" w:rsidRDefault="00B626E7">
            <w:pPr>
              <w:rPr>
                <w:rFonts w:ascii="宋体"/>
              </w:rPr>
            </w:pPr>
          </w:p>
        </w:tc>
        <w:tc>
          <w:tcPr>
            <w:tcW w:w="50" w:type="pct"/>
            <w:shd w:val="clear" w:color="auto" w:fill="auto"/>
          </w:tcPr>
          <w:p w14:paraId="20AE292B" w14:textId="77777777" w:rsidR="00B626E7" w:rsidRDefault="00B626E7">
            <w:pPr>
              <w:rPr>
                <w:rFonts w:ascii="宋体"/>
              </w:rPr>
            </w:pPr>
          </w:p>
        </w:tc>
        <w:tc>
          <w:tcPr>
            <w:tcW w:w="4271" w:type="pct"/>
            <w:shd w:val="clear" w:color="auto" w:fill="auto"/>
          </w:tcPr>
          <w:p w14:paraId="20AE292C" w14:textId="77777777" w:rsidR="00B626E7" w:rsidRDefault="00B626E7">
            <w:pPr>
              <w:rPr>
                <w:rFonts w:ascii="宋体"/>
              </w:rPr>
            </w:pPr>
          </w:p>
        </w:tc>
        <w:tc>
          <w:tcPr>
            <w:tcW w:w="50" w:type="pct"/>
            <w:shd w:val="clear" w:color="auto" w:fill="auto"/>
          </w:tcPr>
          <w:p w14:paraId="20AE292D" w14:textId="77777777" w:rsidR="00B626E7" w:rsidRDefault="00B626E7">
            <w:pPr>
              <w:rPr>
                <w:rFonts w:ascii="宋体"/>
              </w:rPr>
            </w:pPr>
          </w:p>
        </w:tc>
      </w:tr>
      <w:tr w:rsidR="00B626E7" w14:paraId="20AE2932" w14:textId="77777777">
        <w:tc>
          <w:tcPr>
            <w:tcW w:w="0" w:type="auto"/>
            <w:gridSpan w:val="3"/>
            <w:shd w:val="clear" w:color="auto" w:fill="auto"/>
            <w:tcMar>
              <w:top w:w="40" w:type="dxa"/>
              <w:left w:w="20" w:type="dxa"/>
              <w:bottom w:w="40" w:type="dxa"/>
              <w:right w:w="20" w:type="dxa"/>
            </w:tcMar>
            <w:vAlign w:val="bottom"/>
          </w:tcPr>
          <w:p w14:paraId="20AE292F" w14:textId="77777777" w:rsidR="00B626E7" w:rsidRDefault="00175C1D">
            <w:pPr>
              <w:textAlignment w:val="bottom"/>
            </w:pPr>
            <w:r>
              <w:rPr>
                <w:rFonts w:ascii="Arial" w:eastAsia="宋体" w:hAnsi="Arial" w:cs="Arial"/>
                <w:b/>
                <w:bCs/>
                <w:color w:val="333333"/>
                <w:sz w:val="18"/>
                <w:szCs w:val="18"/>
              </w:rPr>
              <w:t>(In Millions)</w:t>
            </w:r>
          </w:p>
        </w:tc>
        <w:tc>
          <w:tcPr>
            <w:tcW w:w="0" w:type="auto"/>
            <w:gridSpan w:val="3"/>
            <w:shd w:val="clear" w:color="auto" w:fill="auto"/>
            <w:tcMar>
              <w:left w:w="20" w:type="dxa"/>
              <w:right w:w="20" w:type="dxa"/>
            </w:tcMar>
            <w:vAlign w:val="bottom"/>
          </w:tcPr>
          <w:p w14:paraId="20AE2930"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931" w14:textId="77777777" w:rsidR="00B626E7" w:rsidRDefault="00B626E7">
            <w:pPr>
              <w:rPr>
                <w:rFonts w:ascii="宋体"/>
              </w:rPr>
            </w:pPr>
          </w:p>
        </w:tc>
      </w:tr>
      <w:tr w:rsidR="00B626E7" w14:paraId="20AE2938" w14:textId="77777777">
        <w:tc>
          <w:tcPr>
            <w:tcW w:w="0" w:type="auto"/>
            <w:tcBorders>
              <w:top w:val="single" w:sz="8" w:space="0" w:color="0071C5"/>
            </w:tcBorders>
            <w:shd w:val="clear" w:color="auto" w:fill="auto"/>
            <w:tcMar>
              <w:top w:w="40" w:type="dxa"/>
              <w:left w:w="20" w:type="dxa"/>
              <w:bottom w:w="40" w:type="dxa"/>
            </w:tcMar>
            <w:vAlign w:val="bottom"/>
          </w:tcPr>
          <w:p w14:paraId="20AE2933" w14:textId="77777777" w:rsidR="00B626E7" w:rsidRDefault="00175C1D">
            <w:pPr>
              <w:textAlignment w:val="bottom"/>
            </w:pPr>
            <w:r>
              <w:rPr>
                <w:rFonts w:ascii="Arial" w:eastAsia="宋体" w:hAnsi="Arial" w:cs="Arial"/>
                <w:b/>
                <w:bCs/>
                <w:color w:val="0071C5"/>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2934" w14:textId="77777777" w:rsidR="00B626E7" w:rsidRDefault="00175C1D">
            <w:pPr>
              <w:jc w:val="right"/>
              <w:textAlignment w:val="bottom"/>
            </w:pPr>
            <w:r>
              <w:rPr>
                <w:rFonts w:ascii="Arial" w:eastAsia="宋体" w:hAnsi="Arial" w:cs="Arial"/>
                <w:b/>
                <w:bCs/>
                <w:color w:val="0071C5"/>
                <w:sz w:val="18"/>
                <w:szCs w:val="18"/>
              </w:rPr>
              <w:t>3,099 </w:t>
            </w:r>
          </w:p>
        </w:tc>
        <w:tc>
          <w:tcPr>
            <w:tcW w:w="0" w:type="auto"/>
            <w:tcBorders>
              <w:top w:val="single" w:sz="8" w:space="0" w:color="0071C5"/>
            </w:tcBorders>
            <w:shd w:val="clear" w:color="auto" w:fill="auto"/>
            <w:tcMar>
              <w:top w:w="40" w:type="dxa"/>
              <w:bottom w:w="40" w:type="dxa"/>
              <w:right w:w="20" w:type="dxa"/>
            </w:tcMar>
            <w:vAlign w:val="bottom"/>
          </w:tcPr>
          <w:p w14:paraId="20AE2935"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2936"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2937" w14:textId="77777777" w:rsidR="00B626E7" w:rsidRDefault="00175C1D">
            <w:pPr>
              <w:textAlignment w:val="bottom"/>
            </w:pPr>
            <w:r>
              <w:rPr>
                <w:rFonts w:ascii="Arial" w:eastAsia="宋体" w:hAnsi="Arial" w:cs="Arial"/>
                <w:b/>
                <w:bCs/>
                <w:color w:val="333333"/>
                <w:sz w:val="18"/>
                <w:szCs w:val="18"/>
              </w:rPr>
              <w:t>Q2 2020 DCG Operating Income</w:t>
            </w:r>
          </w:p>
        </w:tc>
      </w:tr>
      <w:tr w:rsidR="00B626E7" w14:paraId="20AE293D" w14:textId="77777777">
        <w:tc>
          <w:tcPr>
            <w:tcW w:w="0" w:type="auto"/>
            <w:gridSpan w:val="2"/>
            <w:tcBorders>
              <w:top w:val="single" w:sz="8" w:space="0" w:color="333333"/>
            </w:tcBorders>
            <w:shd w:val="clear" w:color="auto" w:fill="auto"/>
            <w:tcMar>
              <w:top w:w="40" w:type="dxa"/>
              <w:left w:w="20" w:type="dxa"/>
              <w:bottom w:w="40" w:type="dxa"/>
              <w:right w:w="0" w:type="dxa"/>
            </w:tcMar>
          </w:tcPr>
          <w:p w14:paraId="20AE2939" w14:textId="77777777" w:rsidR="00B626E7" w:rsidRDefault="00175C1D">
            <w:pPr>
              <w:jc w:val="right"/>
              <w:textAlignment w:val="top"/>
            </w:pPr>
            <w:r>
              <w:rPr>
                <w:rFonts w:ascii="Arial" w:eastAsia="宋体" w:hAnsi="Arial" w:cs="Arial"/>
                <w:color w:val="0071C5"/>
                <w:sz w:val="18"/>
                <w:szCs w:val="18"/>
              </w:rPr>
              <w:t>1,450 </w:t>
            </w:r>
          </w:p>
        </w:tc>
        <w:tc>
          <w:tcPr>
            <w:tcW w:w="0" w:type="auto"/>
            <w:tcBorders>
              <w:top w:val="single" w:sz="8" w:space="0" w:color="333333"/>
            </w:tcBorders>
            <w:shd w:val="clear" w:color="auto" w:fill="auto"/>
            <w:tcMar>
              <w:top w:w="40" w:type="dxa"/>
              <w:bottom w:w="40" w:type="dxa"/>
              <w:right w:w="20" w:type="dxa"/>
            </w:tcMar>
          </w:tcPr>
          <w:p w14:paraId="20AE293A" w14:textId="77777777" w:rsidR="00B626E7" w:rsidRDefault="00175C1D">
            <w:pPr>
              <w:jc w:val="right"/>
              <w:textAlignment w:val="top"/>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293B" w14:textId="77777777" w:rsidR="00B626E7" w:rsidRDefault="00B626E7">
            <w:pPr>
              <w:rPr>
                <w:rFonts w:ascii="宋体"/>
              </w:rPr>
            </w:pPr>
          </w:p>
        </w:tc>
        <w:tc>
          <w:tcPr>
            <w:tcW w:w="0" w:type="auto"/>
            <w:gridSpan w:val="3"/>
            <w:tcBorders>
              <w:top w:val="single" w:sz="8" w:space="0" w:color="333333"/>
            </w:tcBorders>
            <w:shd w:val="clear" w:color="auto" w:fill="auto"/>
            <w:tcMar>
              <w:top w:w="40" w:type="dxa"/>
              <w:left w:w="20" w:type="dxa"/>
              <w:bottom w:w="40" w:type="dxa"/>
              <w:right w:w="20" w:type="dxa"/>
            </w:tcMar>
          </w:tcPr>
          <w:p w14:paraId="20AE293C" w14:textId="77777777" w:rsidR="00B626E7" w:rsidRDefault="00175C1D">
            <w:pPr>
              <w:textAlignment w:val="top"/>
            </w:pPr>
            <w:r>
              <w:rPr>
                <w:rFonts w:ascii="Arial" w:eastAsia="宋体" w:hAnsi="Arial" w:cs="Arial"/>
                <w:color w:val="0071C5"/>
                <w:sz w:val="18"/>
                <w:szCs w:val="18"/>
              </w:rPr>
              <w:t>Higher gross margin from platform revenue</w:t>
            </w:r>
          </w:p>
        </w:tc>
      </w:tr>
      <w:tr w:rsidR="00B626E7" w14:paraId="20AE2942" w14:textId="77777777">
        <w:tc>
          <w:tcPr>
            <w:tcW w:w="0" w:type="auto"/>
            <w:gridSpan w:val="2"/>
            <w:shd w:val="clear" w:color="auto" w:fill="auto"/>
            <w:tcMar>
              <w:top w:w="40" w:type="dxa"/>
              <w:left w:w="20" w:type="dxa"/>
              <w:bottom w:w="40" w:type="dxa"/>
              <w:right w:w="0" w:type="dxa"/>
            </w:tcMar>
          </w:tcPr>
          <w:p w14:paraId="20AE293E" w14:textId="77777777" w:rsidR="00B626E7" w:rsidRDefault="00175C1D">
            <w:pPr>
              <w:jc w:val="right"/>
              <w:textAlignment w:val="top"/>
            </w:pPr>
            <w:r>
              <w:rPr>
                <w:rFonts w:ascii="Arial" w:eastAsia="宋体" w:hAnsi="Arial" w:cs="Arial"/>
                <w:color w:val="0071C5"/>
                <w:sz w:val="18"/>
                <w:szCs w:val="18"/>
              </w:rPr>
              <w:t>100 </w:t>
            </w:r>
          </w:p>
        </w:tc>
        <w:tc>
          <w:tcPr>
            <w:tcW w:w="0" w:type="auto"/>
            <w:shd w:val="clear" w:color="auto" w:fill="auto"/>
            <w:tcMar>
              <w:top w:w="40" w:type="dxa"/>
              <w:bottom w:w="40" w:type="dxa"/>
              <w:right w:w="20" w:type="dxa"/>
            </w:tcMar>
          </w:tcPr>
          <w:p w14:paraId="20AE293F" w14:textId="77777777" w:rsidR="00B626E7" w:rsidRDefault="00175C1D">
            <w:pPr>
              <w:jc w:val="right"/>
              <w:textAlignment w:val="top"/>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2940"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2941" w14:textId="77777777" w:rsidR="00B626E7" w:rsidRDefault="00175C1D">
            <w:pPr>
              <w:textAlignment w:val="top"/>
            </w:pPr>
            <w:r>
              <w:rPr>
                <w:rFonts w:ascii="Arial" w:eastAsia="宋体" w:hAnsi="Arial" w:cs="Arial"/>
                <w:color w:val="0071C5"/>
                <w:sz w:val="18"/>
                <w:szCs w:val="18"/>
              </w:rPr>
              <w:t xml:space="preserve">Lower </w:t>
            </w:r>
            <w:r>
              <w:rPr>
                <w:rFonts w:ascii="Arial" w:eastAsia="宋体" w:hAnsi="Arial" w:cs="Arial"/>
                <w:color w:val="0071C5"/>
                <w:sz w:val="18"/>
                <w:szCs w:val="18"/>
              </w:rPr>
              <w:t>period charges, primarily associated with the initial ramp of 10nm</w:t>
            </w:r>
          </w:p>
        </w:tc>
      </w:tr>
      <w:tr w:rsidR="00B626E7" w14:paraId="20AE2947" w14:textId="77777777">
        <w:tc>
          <w:tcPr>
            <w:tcW w:w="0" w:type="auto"/>
            <w:gridSpan w:val="2"/>
            <w:shd w:val="clear" w:color="auto" w:fill="auto"/>
            <w:tcMar>
              <w:top w:w="40" w:type="dxa"/>
              <w:left w:w="20" w:type="dxa"/>
              <w:bottom w:w="40" w:type="dxa"/>
              <w:right w:w="0" w:type="dxa"/>
            </w:tcMar>
          </w:tcPr>
          <w:p w14:paraId="20AE2943" w14:textId="77777777" w:rsidR="00B626E7" w:rsidRDefault="00175C1D">
            <w:pPr>
              <w:jc w:val="right"/>
              <w:textAlignment w:val="top"/>
            </w:pPr>
            <w:r>
              <w:rPr>
                <w:rFonts w:ascii="Arial" w:eastAsia="宋体" w:hAnsi="Arial" w:cs="Arial"/>
                <w:color w:val="0071C5"/>
                <w:sz w:val="18"/>
                <w:szCs w:val="18"/>
              </w:rPr>
              <w:t>(110)</w:t>
            </w:r>
          </w:p>
        </w:tc>
        <w:tc>
          <w:tcPr>
            <w:tcW w:w="0" w:type="auto"/>
            <w:shd w:val="clear" w:color="auto" w:fill="auto"/>
            <w:tcMar>
              <w:top w:w="40" w:type="dxa"/>
              <w:bottom w:w="40" w:type="dxa"/>
              <w:right w:w="20" w:type="dxa"/>
            </w:tcMar>
          </w:tcPr>
          <w:p w14:paraId="20AE2944" w14:textId="77777777" w:rsidR="00B626E7" w:rsidRDefault="00175C1D">
            <w:pPr>
              <w:jc w:val="right"/>
              <w:textAlignment w:val="top"/>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2945"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2946" w14:textId="77777777" w:rsidR="00B626E7" w:rsidRDefault="00175C1D">
            <w:pPr>
              <w:textAlignment w:val="top"/>
            </w:pPr>
            <w:r>
              <w:rPr>
                <w:rFonts w:ascii="Arial" w:eastAsia="宋体" w:hAnsi="Arial" w:cs="Arial"/>
                <w:color w:val="0071C5"/>
                <w:sz w:val="18"/>
                <w:szCs w:val="18"/>
              </w:rPr>
              <w:t>Lower DCG adjacency gross margin</w:t>
            </w:r>
          </w:p>
        </w:tc>
      </w:tr>
      <w:tr w:rsidR="00B626E7" w14:paraId="20AE294C" w14:textId="77777777">
        <w:tc>
          <w:tcPr>
            <w:tcW w:w="0" w:type="auto"/>
            <w:gridSpan w:val="2"/>
            <w:shd w:val="clear" w:color="auto" w:fill="auto"/>
            <w:tcMar>
              <w:top w:w="40" w:type="dxa"/>
              <w:left w:w="20" w:type="dxa"/>
              <w:bottom w:w="40" w:type="dxa"/>
              <w:right w:w="0" w:type="dxa"/>
            </w:tcMar>
          </w:tcPr>
          <w:p w14:paraId="20AE2948" w14:textId="77777777" w:rsidR="00B626E7" w:rsidRDefault="00175C1D">
            <w:pPr>
              <w:jc w:val="right"/>
              <w:textAlignment w:val="top"/>
            </w:pPr>
            <w:r>
              <w:rPr>
                <w:rFonts w:ascii="Arial" w:eastAsia="宋体" w:hAnsi="Arial" w:cs="Arial"/>
                <w:color w:val="0071C5"/>
                <w:sz w:val="18"/>
                <w:szCs w:val="18"/>
              </w:rPr>
              <w:t>(105)</w:t>
            </w:r>
          </w:p>
        </w:tc>
        <w:tc>
          <w:tcPr>
            <w:tcW w:w="0" w:type="auto"/>
            <w:shd w:val="clear" w:color="auto" w:fill="auto"/>
            <w:tcMar>
              <w:top w:w="40" w:type="dxa"/>
              <w:bottom w:w="40" w:type="dxa"/>
              <w:right w:w="20" w:type="dxa"/>
            </w:tcMar>
          </w:tcPr>
          <w:p w14:paraId="20AE2949" w14:textId="77777777" w:rsidR="00B626E7" w:rsidRDefault="00175C1D">
            <w:pPr>
              <w:jc w:val="right"/>
              <w:textAlignment w:val="top"/>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294A"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294B" w14:textId="77777777" w:rsidR="00B626E7" w:rsidRDefault="00175C1D">
            <w:pPr>
              <w:textAlignment w:val="top"/>
            </w:pPr>
            <w:r>
              <w:rPr>
                <w:rFonts w:ascii="Arial" w:eastAsia="宋体" w:hAnsi="Arial" w:cs="Arial"/>
                <w:color w:val="0071C5"/>
                <w:sz w:val="18"/>
                <w:szCs w:val="18"/>
              </w:rPr>
              <w:t>Higher platform unit cost</w:t>
            </w:r>
          </w:p>
        </w:tc>
      </w:tr>
      <w:tr w:rsidR="00B626E7" w14:paraId="20AE2950" w14:textId="77777777">
        <w:trPr>
          <w:hidden/>
        </w:trPr>
        <w:tc>
          <w:tcPr>
            <w:tcW w:w="0" w:type="auto"/>
            <w:gridSpan w:val="3"/>
            <w:shd w:val="clear" w:color="auto" w:fill="auto"/>
          </w:tcPr>
          <w:p w14:paraId="20AE294D" w14:textId="77777777" w:rsidR="00B626E7" w:rsidRDefault="00B626E7">
            <w:pPr>
              <w:rPr>
                <w:rFonts w:ascii="宋体"/>
                <w:vanish/>
              </w:rPr>
            </w:pPr>
          </w:p>
        </w:tc>
        <w:tc>
          <w:tcPr>
            <w:tcW w:w="0" w:type="auto"/>
            <w:gridSpan w:val="3"/>
            <w:shd w:val="clear" w:color="auto" w:fill="auto"/>
          </w:tcPr>
          <w:p w14:paraId="20AE294E" w14:textId="77777777" w:rsidR="00B626E7" w:rsidRDefault="00B626E7">
            <w:pPr>
              <w:rPr>
                <w:rFonts w:ascii="宋体"/>
                <w:vanish/>
              </w:rPr>
            </w:pPr>
          </w:p>
        </w:tc>
        <w:tc>
          <w:tcPr>
            <w:tcW w:w="0" w:type="auto"/>
            <w:gridSpan w:val="3"/>
            <w:shd w:val="clear" w:color="auto" w:fill="auto"/>
          </w:tcPr>
          <w:p w14:paraId="20AE294F" w14:textId="77777777" w:rsidR="00B626E7" w:rsidRDefault="00B626E7">
            <w:pPr>
              <w:rPr>
                <w:rFonts w:ascii="宋体"/>
                <w:vanish/>
              </w:rPr>
            </w:pPr>
          </w:p>
        </w:tc>
      </w:tr>
      <w:tr w:rsidR="00B626E7" w14:paraId="20AE2954" w14:textId="77777777">
        <w:trPr>
          <w:hidden/>
        </w:trPr>
        <w:tc>
          <w:tcPr>
            <w:tcW w:w="0" w:type="auto"/>
            <w:gridSpan w:val="3"/>
            <w:shd w:val="clear" w:color="auto" w:fill="auto"/>
          </w:tcPr>
          <w:p w14:paraId="20AE2951" w14:textId="77777777" w:rsidR="00B626E7" w:rsidRDefault="00B626E7">
            <w:pPr>
              <w:rPr>
                <w:rFonts w:ascii="宋体"/>
                <w:vanish/>
              </w:rPr>
            </w:pPr>
          </w:p>
        </w:tc>
        <w:tc>
          <w:tcPr>
            <w:tcW w:w="0" w:type="auto"/>
            <w:gridSpan w:val="3"/>
            <w:shd w:val="clear" w:color="auto" w:fill="auto"/>
          </w:tcPr>
          <w:p w14:paraId="20AE2952" w14:textId="77777777" w:rsidR="00B626E7" w:rsidRDefault="00B626E7">
            <w:pPr>
              <w:rPr>
                <w:rFonts w:ascii="宋体"/>
                <w:vanish/>
              </w:rPr>
            </w:pPr>
          </w:p>
        </w:tc>
        <w:tc>
          <w:tcPr>
            <w:tcW w:w="0" w:type="auto"/>
            <w:gridSpan w:val="3"/>
            <w:shd w:val="clear" w:color="auto" w:fill="auto"/>
          </w:tcPr>
          <w:p w14:paraId="20AE2953" w14:textId="77777777" w:rsidR="00B626E7" w:rsidRDefault="00B626E7">
            <w:pPr>
              <w:rPr>
                <w:rFonts w:ascii="宋体"/>
                <w:vanish/>
              </w:rPr>
            </w:pPr>
          </w:p>
        </w:tc>
      </w:tr>
      <w:tr w:rsidR="00B626E7" w14:paraId="20AE2958" w14:textId="77777777">
        <w:trPr>
          <w:hidden/>
        </w:trPr>
        <w:tc>
          <w:tcPr>
            <w:tcW w:w="0" w:type="auto"/>
            <w:gridSpan w:val="3"/>
            <w:shd w:val="clear" w:color="auto" w:fill="auto"/>
          </w:tcPr>
          <w:p w14:paraId="20AE2955" w14:textId="77777777" w:rsidR="00B626E7" w:rsidRDefault="00B626E7">
            <w:pPr>
              <w:rPr>
                <w:rFonts w:ascii="宋体"/>
                <w:vanish/>
              </w:rPr>
            </w:pPr>
          </w:p>
        </w:tc>
        <w:tc>
          <w:tcPr>
            <w:tcW w:w="0" w:type="auto"/>
            <w:gridSpan w:val="3"/>
            <w:shd w:val="clear" w:color="auto" w:fill="auto"/>
          </w:tcPr>
          <w:p w14:paraId="20AE2956" w14:textId="77777777" w:rsidR="00B626E7" w:rsidRDefault="00B626E7">
            <w:pPr>
              <w:rPr>
                <w:rFonts w:ascii="宋体"/>
                <w:vanish/>
              </w:rPr>
            </w:pPr>
          </w:p>
        </w:tc>
        <w:tc>
          <w:tcPr>
            <w:tcW w:w="0" w:type="auto"/>
            <w:gridSpan w:val="3"/>
            <w:shd w:val="clear" w:color="auto" w:fill="auto"/>
          </w:tcPr>
          <w:p w14:paraId="20AE2957" w14:textId="77777777" w:rsidR="00B626E7" w:rsidRDefault="00B626E7">
            <w:pPr>
              <w:rPr>
                <w:rFonts w:ascii="宋体"/>
                <w:vanish/>
              </w:rPr>
            </w:pPr>
          </w:p>
        </w:tc>
      </w:tr>
      <w:tr w:rsidR="00B626E7" w14:paraId="20AE295C" w14:textId="77777777">
        <w:trPr>
          <w:hidden/>
        </w:trPr>
        <w:tc>
          <w:tcPr>
            <w:tcW w:w="0" w:type="auto"/>
            <w:gridSpan w:val="3"/>
            <w:shd w:val="clear" w:color="auto" w:fill="auto"/>
          </w:tcPr>
          <w:p w14:paraId="20AE2959" w14:textId="77777777" w:rsidR="00B626E7" w:rsidRDefault="00B626E7">
            <w:pPr>
              <w:rPr>
                <w:rFonts w:ascii="宋体"/>
                <w:vanish/>
              </w:rPr>
            </w:pPr>
          </w:p>
        </w:tc>
        <w:tc>
          <w:tcPr>
            <w:tcW w:w="0" w:type="auto"/>
            <w:gridSpan w:val="3"/>
            <w:shd w:val="clear" w:color="auto" w:fill="auto"/>
          </w:tcPr>
          <w:p w14:paraId="20AE295A" w14:textId="77777777" w:rsidR="00B626E7" w:rsidRDefault="00B626E7">
            <w:pPr>
              <w:rPr>
                <w:rFonts w:ascii="宋体"/>
                <w:vanish/>
              </w:rPr>
            </w:pPr>
          </w:p>
        </w:tc>
        <w:tc>
          <w:tcPr>
            <w:tcW w:w="0" w:type="auto"/>
            <w:gridSpan w:val="3"/>
            <w:shd w:val="clear" w:color="auto" w:fill="auto"/>
          </w:tcPr>
          <w:p w14:paraId="20AE295B" w14:textId="77777777" w:rsidR="00B626E7" w:rsidRDefault="00B626E7">
            <w:pPr>
              <w:rPr>
                <w:rFonts w:ascii="宋体"/>
                <w:vanish/>
              </w:rPr>
            </w:pPr>
          </w:p>
        </w:tc>
      </w:tr>
      <w:tr w:rsidR="00B626E7" w14:paraId="20AE2960" w14:textId="77777777">
        <w:trPr>
          <w:hidden/>
        </w:trPr>
        <w:tc>
          <w:tcPr>
            <w:tcW w:w="0" w:type="auto"/>
            <w:gridSpan w:val="3"/>
            <w:shd w:val="clear" w:color="auto" w:fill="auto"/>
          </w:tcPr>
          <w:p w14:paraId="20AE295D" w14:textId="77777777" w:rsidR="00B626E7" w:rsidRDefault="00B626E7">
            <w:pPr>
              <w:rPr>
                <w:rFonts w:ascii="宋体"/>
                <w:vanish/>
              </w:rPr>
            </w:pPr>
          </w:p>
        </w:tc>
        <w:tc>
          <w:tcPr>
            <w:tcW w:w="0" w:type="auto"/>
            <w:gridSpan w:val="3"/>
            <w:shd w:val="clear" w:color="auto" w:fill="auto"/>
          </w:tcPr>
          <w:p w14:paraId="20AE295E" w14:textId="77777777" w:rsidR="00B626E7" w:rsidRDefault="00B626E7">
            <w:pPr>
              <w:rPr>
                <w:rFonts w:ascii="宋体"/>
                <w:vanish/>
              </w:rPr>
            </w:pPr>
          </w:p>
        </w:tc>
        <w:tc>
          <w:tcPr>
            <w:tcW w:w="0" w:type="auto"/>
            <w:gridSpan w:val="3"/>
            <w:shd w:val="clear" w:color="auto" w:fill="auto"/>
          </w:tcPr>
          <w:p w14:paraId="20AE295F" w14:textId="77777777" w:rsidR="00B626E7" w:rsidRDefault="00B626E7">
            <w:pPr>
              <w:rPr>
                <w:rFonts w:ascii="宋体"/>
                <w:vanish/>
              </w:rPr>
            </w:pPr>
          </w:p>
        </w:tc>
      </w:tr>
      <w:tr w:rsidR="00B626E7" w14:paraId="20AE2964" w14:textId="77777777">
        <w:trPr>
          <w:hidden/>
        </w:trPr>
        <w:tc>
          <w:tcPr>
            <w:tcW w:w="0" w:type="auto"/>
            <w:gridSpan w:val="3"/>
            <w:shd w:val="clear" w:color="auto" w:fill="auto"/>
          </w:tcPr>
          <w:p w14:paraId="20AE2961" w14:textId="77777777" w:rsidR="00B626E7" w:rsidRDefault="00B626E7">
            <w:pPr>
              <w:rPr>
                <w:rFonts w:ascii="宋体"/>
                <w:vanish/>
              </w:rPr>
            </w:pPr>
          </w:p>
        </w:tc>
        <w:tc>
          <w:tcPr>
            <w:tcW w:w="0" w:type="auto"/>
            <w:gridSpan w:val="3"/>
            <w:shd w:val="clear" w:color="auto" w:fill="auto"/>
          </w:tcPr>
          <w:p w14:paraId="20AE2962" w14:textId="77777777" w:rsidR="00B626E7" w:rsidRDefault="00B626E7">
            <w:pPr>
              <w:rPr>
                <w:rFonts w:ascii="宋体"/>
                <w:vanish/>
              </w:rPr>
            </w:pPr>
          </w:p>
        </w:tc>
        <w:tc>
          <w:tcPr>
            <w:tcW w:w="0" w:type="auto"/>
            <w:gridSpan w:val="3"/>
            <w:shd w:val="clear" w:color="auto" w:fill="auto"/>
          </w:tcPr>
          <w:p w14:paraId="20AE2963" w14:textId="77777777" w:rsidR="00B626E7" w:rsidRDefault="00B626E7">
            <w:pPr>
              <w:rPr>
                <w:rFonts w:ascii="宋体"/>
                <w:vanish/>
              </w:rPr>
            </w:pPr>
          </w:p>
        </w:tc>
      </w:tr>
      <w:tr w:rsidR="00B626E7" w14:paraId="20AE2968" w14:textId="77777777">
        <w:trPr>
          <w:hidden/>
        </w:trPr>
        <w:tc>
          <w:tcPr>
            <w:tcW w:w="0" w:type="auto"/>
            <w:gridSpan w:val="3"/>
            <w:shd w:val="clear" w:color="auto" w:fill="auto"/>
          </w:tcPr>
          <w:p w14:paraId="20AE2965" w14:textId="77777777" w:rsidR="00B626E7" w:rsidRDefault="00B626E7">
            <w:pPr>
              <w:rPr>
                <w:rFonts w:ascii="宋体"/>
                <w:vanish/>
              </w:rPr>
            </w:pPr>
          </w:p>
        </w:tc>
        <w:tc>
          <w:tcPr>
            <w:tcW w:w="0" w:type="auto"/>
            <w:gridSpan w:val="3"/>
            <w:shd w:val="clear" w:color="auto" w:fill="auto"/>
          </w:tcPr>
          <w:p w14:paraId="20AE2966" w14:textId="77777777" w:rsidR="00B626E7" w:rsidRDefault="00B626E7">
            <w:pPr>
              <w:rPr>
                <w:rFonts w:ascii="宋体"/>
                <w:vanish/>
              </w:rPr>
            </w:pPr>
          </w:p>
        </w:tc>
        <w:tc>
          <w:tcPr>
            <w:tcW w:w="0" w:type="auto"/>
            <w:gridSpan w:val="3"/>
            <w:shd w:val="clear" w:color="auto" w:fill="auto"/>
          </w:tcPr>
          <w:p w14:paraId="20AE2967" w14:textId="77777777" w:rsidR="00B626E7" w:rsidRDefault="00B626E7">
            <w:pPr>
              <w:rPr>
                <w:rFonts w:ascii="宋体"/>
                <w:vanish/>
              </w:rPr>
            </w:pPr>
          </w:p>
        </w:tc>
      </w:tr>
      <w:tr w:rsidR="00B626E7" w14:paraId="20AE296D" w14:textId="77777777">
        <w:tc>
          <w:tcPr>
            <w:tcW w:w="0" w:type="auto"/>
            <w:gridSpan w:val="2"/>
            <w:shd w:val="clear" w:color="auto" w:fill="auto"/>
            <w:tcMar>
              <w:top w:w="40" w:type="dxa"/>
              <w:left w:w="20" w:type="dxa"/>
              <w:bottom w:w="40" w:type="dxa"/>
              <w:right w:w="0" w:type="dxa"/>
            </w:tcMar>
          </w:tcPr>
          <w:p w14:paraId="20AE2969" w14:textId="77777777" w:rsidR="00B626E7" w:rsidRDefault="00175C1D">
            <w:pPr>
              <w:jc w:val="right"/>
              <w:textAlignment w:val="top"/>
            </w:pPr>
            <w:r>
              <w:rPr>
                <w:rFonts w:ascii="Arial" w:eastAsia="宋体" w:hAnsi="Arial" w:cs="Arial"/>
                <w:color w:val="0071C5"/>
                <w:sz w:val="18"/>
                <w:szCs w:val="18"/>
              </w:rPr>
              <w:t>(36)</w:t>
            </w:r>
          </w:p>
        </w:tc>
        <w:tc>
          <w:tcPr>
            <w:tcW w:w="0" w:type="auto"/>
            <w:shd w:val="clear" w:color="auto" w:fill="auto"/>
            <w:tcMar>
              <w:top w:w="40" w:type="dxa"/>
              <w:bottom w:w="40" w:type="dxa"/>
              <w:right w:w="20" w:type="dxa"/>
            </w:tcMar>
          </w:tcPr>
          <w:p w14:paraId="20AE296A" w14:textId="77777777" w:rsidR="00B626E7" w:rsidRDefault="00175C1D">
            <w:pPr>
              <w:jc w:val="right"/>
              <w:textAlignment w:val="top"/>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296B"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296C" w14:textId="77777777" w:rsidR="00B626E7" w:rsidRDefault="00175C1D">
            <w:pPr>
              <w:textAlignment w:val="top"/>
            </w:pPr>
            <w:r>
              <w:rPr>
                <w:rFonts w:ascii="Arial" w:eastAsia="宋体" w:hAnsi="Arial" w:cs="Arial"/>
                <w:color w:val="0071C5"/>
                <w:sz w:val="18"/>
                <w:szCs w:val="18"/>
              </w:rPr>
              <w:t>Other</w:t>
            </w:r>
          </w:p>
        </w:tc>
      </w:tr>
      <w:tr w:rsidR="00B626E7" w14:paraId="20AE2973" w14:textId="77777777">
        <w:tc>
          <w:tcPr>
            <w:tcW w:w="0" w:type="auto"/>
            <w:tcBorders>
              <w:top w:val="single" w:sz="8" w:space="0" w:color="333333"/>
            </w:tcBorders>
            <w:shd w:val="clear" w:color="auto" w:fill="auto"/>
            <w:tcMar>
              <w:top w:w="40" w:type="dxa"/>
              <w:left w:w="20" w:type="dxa"/>
              <w:bottom w:w="40" w:type="dxa"/>
            </w:tcMar>
            <w:vAlign w:val="bottom"/>
          </w:tcPr>
          <w:p w14:paraId="20AE296E"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20AE296F" w14:textId="77777777" w:rsidR="00B626E7" w:rsidRDefault="00175C1D">
            <w:pPr>
              <w:jc w:val="right"/>
              <w:textAlignment w:val="bottom"/>
            </w:pPr>
            <w:r>
              <w:rPr>
                <w:rFonts w:ascii="Arial" w:eastAsia="宋体" w:hAnsi="Arial" w:cs="Arial"/>
                <w:b/>
                <w:bCs/>
                <w:color w:val="333333"/>
                <w:sz w:val="18"/>
                <w:szCs w:val="18"/>
              </w:rPr>
              <w:t>1,800 </w:t>
            </w:r>
          </w:p>
        </w:tc>
        <w:tc>
          <w:tcPr>
            <w:tcW w:w="0" w:type="auto"/>
            <w:tcBorders>
              <w:top w:val="single" w:sz="8" w:space="0" w:color="333333"/>
            </w:tcBorders>
            <w:shd w:val="clear" w:color="auto" w:fill="auto"/>
            <w:tcMar>
              <w:top w:w="40" w:type="dxa"/>
              <w:bottom w:w="40" w:type="dxa"/>
              <w:right w:w="20" w:type="dxa"/>
            </w:tcMar>
            <w:vAlign w:val="bottom"/>
          </w:tcPr>
          <w:p w14:paraId="20AE2970"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2971" w14:textId="77777777" w:rsidR="00B626E7" w:rsidRDefault="00B626E7">
            <w:pPr>
              <w:rPr>
                <w:rFonts w:ascii="宋体"/>
              </w:rPr>
            </w:pPr>
          </w:p>
        </w:tc>
        <w:tc>
          <w:tcPr>
            <w:tcW w:w="0" w:type="auto"/>
            <w:gridSpan w:val="3"/>
            <w:tcBorders>
              <w:top w:val="single" w:sz="8" w:space="0" w:color="333333"/>
            </w:tcBorders>
            <w:shd w:val="clear" w:color="auto" w:fill="auto"/>
            <w:tcMar>
              <w:top w:w="40" w:type="dxa"/>
              <w:left w:w="20" w:type="dxa"/>
              <w:bottom w:w="40" w:type="dxa"/>
              <w:right w:w="20" w:type="dxa"/>
            </w:tcMar>
            <w:vAlign w:val="bottom"/>
          </w:tcPr>
          <w:p w14:paraId="20AE2972" w14:textId="77777777" w:rsidR="00B626E7" w:rsidRDefault="00175C1D">
            <w:pPr>
              <w:textAlignment w:val="bottom"/>
            </w:pPr>
            <w:r>
              <w:rPr>
                <w:rFonts w:ascii="Arial" w:eastAsia="宋体" w:hAnsi="Arial" w:cs="Arial"/>
                <w:b/>
                <w:bCs/>
                <w:color w:val="333333"/>
                <w:sz w:val="18"/>
                <w:szCs w:val="18"/>
              </w:rPr>
              <w:t>Q2 2019 DCG Operating Income</w:t>
            </w:r>
          </w:p>
        </w:tc>
      </w:tr>
      <w:tr w:rsidR="00B626E7" w14:paraId="20AE2977" w14:textId="77777777">
        <w:trPr>
          <w:trHeight w:val="160"/>
        </w:trPr>
        <w:tc>
          <w:tcPr>
            <w:tcW w:w="0" w:type="auto"/>
            <w:gridSpan w:val="3"/>
            <w:tcBorders>
              <w:top w:val="single" w:sz="8" w:space="0" w:color="333333"/>
            </w:tcBorders>
            <w:shd w:val="clear" w:color="auto" w:fill="auto"/>
            <w:tcMar>
              <w:left w:w="20" w:type="dxa"/>
              <w:right w:w="20" w:type="dxa"/>
            </w:tcMar>
            <w:vAlign w:val="bottom"/>
          </w:tcPr>
          <w:p w14:paraId="20AE2974"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975" w14:textId="77777777" w:rsidR="00B626E7" w:rsidRDefault="00B626E7">
            <w:pPr>
              <w:rPr>
                <w:rFonts w:ascii="宋体"/>
              </w:rPr>
            </w:pPr>
          </w:p>
        </w:tc>
        <w:tc>
          <w:tcPr>
            <w:tcW w:w="0" w:type="auto"/>
            <w:gridSpan w:val="3"/>
            <w:tcBorders>
              <w:top w:val="single" w:sz="8" w:space="0" w:color="333333"/>
            </w:tcBorders>
            <w:shd w:val="clear" w:color="auto" w:fill="auto"/>
            <w:tcMar>
              <w:left w:w="20" w:type="dxa"/>
              <w:right w:w="20" w:type="dxa"/>
            </w:tcMar>
            <w:vAlign w:val="bottom"/>
          </w:tcPr>
          <w:p w14:paraId="20AE2976" w14:textId="77777777" w:rsidR="00B626E7" w:rsidRDefault="00B626E7">
            <w:pPr>
              <w:rPr>
                <w:rFonts w:ascii="宋体"/>
              </w:rPr>
            </w:pPr>
          </w:p>
        </w:tc>
      </w:tr>
      <w:tr w:rsidR="00B626E7" w14:paraId="20AE297D" w14:textId="77777777">
        <w:tc>
          <w:tcPr>
            <w:tcW w:w="0" w:type="auto"/>
            <w:tcBorders>
              <w:top w:val="single" w:sz="8" w:space="0" w:color="333333"/>
            </w:tcBorders>
            <w:shd w:val="clear" w:color="auto" w:fill="auto"/>
            <w:tcMar>
              <w:top w:w="40" w:type="dxa"/>
              <w:left w:w="20" w:type="dxa"/>
              <w:bottom w:w="40" w:type="dxa"/>
            </w:tcMar>
            <w:vAlign w:val="bottom"/>
          </w:tcPr>
          <w:p w14:paraId="20AE2978" w14:textId="77777777" w:rsidR="00B626E7" w:rsidRDefault="00175C1D">
            <w:pPr>
              <w:textAlignment w:val="bottom"/>
            </w:pPr>
            <w:r>
              <w:rPr>
                <w:rFonts w:ascii="Arial" w:eastAsia="宋体" w:hAnsi="Arial" w:cs="Arial"/>
                <w:b/>
                <w:bCs/>
                <w:color w:val="0071C5"/>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20AE2979" w14:textId="77777777" w:rsidR="00B626E7" w:rsidRDefault="00175C1D">
            <w:pPr>
              <w:jc w:val="right"/>
              <w:textAlignment w:val="bottom"/>
            </w:pPr>
            <w:r>
              <w:rPr>
                <w:rFonts w:ascii="Arial" w:eastAsia="宋体" w:hAnsi="Arial" w:cs="Arial"/>
                <w:b/>
                <w:bCs/>
                <w:color w:val="0071C5"/>
                <w:sz w:val="18"/>
                <w:szCs w:val="18"/>
              </w:rPr>
              <w:t>6,591 </w:t>
            </w:r>
          </w:p>
        </w:tc>
        <w:tc>
          <w:tcPr>
            <w:tcW w:w="0" w:type="auto"/>
            <w:tcBorders>
              <w:top w:val="single" w:sz="8" w:space="0" w:color="333333"/>
            </w:tcBorders>
            <w:shd w:val="clear" w:color="auto" w:fill="auto"/>
            <w:tcMar>
              <w:top w:w="40" w:type="dxa"/>
              <w:bottom w:w="40" w:type="dxa"/>
              <w:right w:w="20" w:type="dxa"/>
            </w:tcMar>
            <w:vAlign w:val="bottom"/>
          </w:tcPr>
          <w:p w14:paraId="20AE297A"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297B" w14:textId="77777777" w:rsidR="00B626E7" w:rsidRDefault="00B626E7">
            <w:pPr>
              <w:rPr>
                <w:rFonts w:ascii="宋体"/>
              </w:rPr>
            </w:pPr>
          </w:p>
        </w:tc>
        <w:tc>
          <w:tcPr>
            <w:tcW w:w="0" w:type="auto"/>
            <w:gridSpan w:val="3"/>
            <w:tcBorders>
              <w:top w:val="single" w:sz="8" w:space="0" w:color="333333"/>
            </w:tcBorders>
            <w:shd w:val="clear" w:color="auto" w:fill="auto"/>
            <w:tcMar>
              <w:top w:w="40" w:type="dxa"/>
              <w:left w:w="20" w:type="dxa"/>
              <w:bottom w:w="40" w:type="dxa"/>
              <w:right w:w="20" w:type="dxa"/>
            </w:tcMar>
            <w:vAlign w:val="bottom"/>
          </w:tcPr>
          <w:p w14:paraId="20AE297C" w14:textId="77777777" w:rsidR="00B626E7" w:rsidRDefault="00175C1D">
            <w:pPr>
              <w:textAlignment w:val="bottom"/>
            </w:pPr>
            <w:r>
              <w:rPr>
                <w:rFonts w:ascii="Arial" w:eastAsia="宋体" w:hAnsi="Arial" w:cs="Arial"/>
                <w:b/>
                <w:bCs/>
                <w:color w:val="333333"/>
                <w:sz w:val="18"/>
                <w:szCs w:val="18"/>
              </w:rPr>
              <w:t xml:space="preserve">YTD </w:t>
            </w:r>
            <w:r>
              <w:rPr>
                <w:rFonts w:ascii="Arial" w:eastAsia="宋体" w:hAnsi="Arial" w:cs="Arial"/>
                <w:b/>
                <w:bCs/>
                <w:color w:val="333333"/>
                <w:sz w:val="18"/>
                <w:szCs w:val="18"/>
              </w:rPr>
              <w:t>2020 DCG Operating Income</w:t>
            </w:r>
          </w:p>
        </w:tc>
      </w:tr>
      <w:tr w:rsidR="00B626E7" w14:paraId="20AE2982" w14:textId="77777777">
        <w:tc>
          <w:tcPr>
            <w:tcW w:w="0" w:type="auto"/>
            <w:gridSpan w:val="2"/>
            <w:tcBorders>
              <w:top w:val="single" w:sz="8" w:space="0" w:color="333333"/>
            </w:tcBorders>
            <w:shd w:val="clear" w:color="auto" w:fill="auto"/>
            <w:tcMar>
              <w:top w:w="40" w:type="dxa"/>
              <w:left w:w="20" w:type="dxa"/>
              <w:bottom w:w="40" w:type="dxa"/>
              <w:right w:w="0" w:type="dxa"/>
            </w:tcMar>
          </w:tcPr>
          <w:p w14:paraId="20AE297E" w14:textId="77777777" w:rsidR="00B626E7" w:rsidRDefault="00175C1D">
            <w:pPr>
              <w:jc w:val="right"/>
              <w:textAlignment w:val="top"/>
            </w:pPr>
            <w:r>
              <w:rPr>
                <w:rFonts w:ascii="Arial" w:eastAsia="宋体" w:hAnsi="Arial" w:cs="Arial"/>
                <w:color w:val="0071C5"/>
                <w:sz w:val="18"/>
                <w:szCs w:val="18"/>
              </w:rPr>
              <w:t>3,235 </w:t>
            </w:r>
          </w:p>
        </w:tc>
        <w:tc>
          <w:tcPr>
            <w:tcW w:w="0" w:type="auto"/>
            <w:tcBorders>
              <w:top w:val="single" w:sz="8" w:space="0" w:color="333333"/>
            </w:tcBorders>
            <w:shd w:val="clear" w:color="auto" w:fill="auto"/>
            <w:tcMar>
              <w:top w:w="40" w:type="dxa"/>
              <w:bottom w:w="40" w:type="dxa"/>
              <w:right w:w="20" w:type="dxa"/>
            </w:tcMar>
          </w:tcPr>
          <w:p w14:paraId="20AE297F" w14:textId="77777777" w:rsidR="00B626E7" w:rsidRDefault="00175C1D">
            <w:pPr>
              <w:jc w:val="right"/>
              <w:textAlignment w:val="top"/>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2980" w14:textId="77777777" w:rsidR="00B626E7" w:rsidRDefault="00B626E7">
            <w:pPr>
              <w:rPr>
                <w:rFonts w:ascii="宋体"/>
              </w:rPr>
            </w:pPr>
          </w:p>
        </w:tc>
        <w:tc>
          <w:tcPr>
            <w:tcW w:w="0" w:type="auto"/>
            <w:gridSpan w:val="3"/>
            <w:tcBorders>
              <w:top w:val="single" w:sz="8" w:space="0" w:color="333333"/>
            </w:tcBorders>
            <w:shd w:val="clear" w:color="auto" w:fill="auto"/>
            <w:tcMar>
              <w:top w:w="40" w:type="dxa"/>
              <w:left w:w="20" w:type="dxa"/>
              <w:bottom w:w="40" w:type="dxa"/>
              <w:right w:w="20" w:type="dxa"/>
            </w:tcMar>
          </w:tcPr>
          <w:p w14:paraId="20AE2981" w14:textId="77777777" w:rsidR="00B626E7" w:rsidRDefault="00175C1D">
            <w:pPr>
              <w:textAlignment w:val="top"/>
            </w:pPr>
            <w:r>
              <w:rPr>
                <w:rFonts w:ascii="Arial" w:eastAsia="宋体" w:hAnsi="Arial" w:cs="Arial"/>
                <w:color w:val="0071C5"/>
                <w:sz w:val="18"/>
                <w:szCs w:val="18"/>
              </w:rPr>
              <w:t>Higher gross margin from platform revenue</w:t>
            </w:r>
          </w:p>
        </w:tc>
      </w:tr>
      <w:tr w:rsidR="00B626E7" w14:paraId="20AE2987" w14:textId="77777777">
        <w:tc>
          <w:tcPr>
            <w:tcW w:w="0" w:type="auto"/>
            <w:gridSpan w:val="2"/>
            <w:shd w:val="clear" w:color="auto" w:fill="auto"/>
            <w:tcMar>
              <w:top w:w="40" w:type="dxa"/>
              <w:left w:w="20" w:type="dxa"/>
              <w:bottom w:w="40" w:type="dxa"/>
              <w:right w:w="0" w:type="dxa"/>
            </w:tcMar>
          </w:tcPr>
          <w:p w14:paraId="20AE2983" w14:textId="77777777" w:rsidR="00B626E7" w:rsidRDefault="00175C1D">
            <w:pPr>
              <w:jc w:val="right"/>
              <w:textAlignment w:val="top"/>
            </w:pPr>
            <w:r>
              <w:rPr>
                <w:rFonts w:ascii="Arial" w:eastAsia="宋体" w:hAnsi="Arial" w:cs="Arial"/>
                <w:color w:val="0071C5"/>
                <w:sz w:val="18"/>
                <w:szCs w:val="18"/>
              </w:rPr>
              <w:t>135 </w:t>
            </w:r>
          </w:p>
        </w:tc>
        <w:tc>
          <w:tcPr>
            <w:tcW w:w="0" w:type="auto"/>
            <w:shd w:val="clear" w:color="auto" w:fill="auto"/>
            <w:tcMar>
              <w:top w:w="40" w:type="dxa"/>
              <w:bottom w:w="40" w:type="dxa"/>
              <w:right w:w="20" w:type="dxa"/>
            </w:tcMar>
          </w:tcPr>
          <w:p w14:paraId="20AE2984" w14:textId="77777777" w:rsidR="00B626E7" w:rsidRDefault="00175C1D">
            <w:pPr>
              <w:jc w:val="right"/>
              <w:textAlignment w:val="top"/>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2985"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2986" w14:textId="77777777" w:rsidR="00B626E7" w:rsidRDefault="00175C1D">
            <w:pPr>
              <w:textAlignment w:val="top"/>
            </w:pPr>
            <w:r>
              <w:rPr>
                <w:rFonts w:ascii="Arial" w:eastAsia="宋体" w:hAnsi="Arial" w:cs="Arial"/>
                <w:color w:val="0071C5"/>
                <w:sz w:val="18"/>
                <w:szCs w:val="18"/>
              </w:rPr>
              <w:t>Lower period charges, primarily associated with the initial ramp of 10nm</w:t>
            </w:r>
          </w:p>
        </w:tc>
      </w:tr>
      <w:tr w:rsidR="00B626E7" w14:paraId="20AE298C" w14:textId="77777777">
        <w:tc>
          <w:tcPr>
            <w:tcW w:w="0" w:type="auto"/>
            <w:gridSpan w:val="2"/>
            <w:shd w:val="clear" w:color="auto" w:fill="auto"/>
            <w:tcMar>
              <w:top w:w="40" w:type="dxa"/>
              <w:left w:w="20" w:type="dxa"/>
              <w:bottom w:w="40" w:type="dxa"/>
              <w:right w:w="0" w:type="dxa"/>
            </w:tcMar>
          </w:tcPr>
          <w:p w14:paraId="20AE2988" w14:textId="77777777" w:rsidR="00B626E7" w:rsidRDefault="00175C1D">
            <w:pPr>
              <w:jc w:val="right"/>
              <w:textAlignment w:val="top"/>
            </w:pPr>
            <w:r>
              <w:rPr>
                <w:rFonts w:ascii="Arial" w:eastAsia="宋体" w:hAnsi="Arial" w:cs="Arial"/>
                <w:color w:val="0071C5"/>
                <w:sz w:val="18"/>
                <w:szCs w:val="18"/>
              </w:rPr>
              <w:t>(165)</w:t>
            </w:r>
          </w:p>
        </w:tc>
        <w:tc>
          <w:tcPr>
            <w:tcW w:w="0" w:type="auto"/>
            <w:shd w:val="clear" w:color="auto" w:fill="auto"/>
            <w:tcMar>
              <w:top w:w="40" w:type="dxa"/>
              <w:bottom w:w="40" w:type="dxa"/>
              <w:right w:w="20" w:type="dxa"/>
            </w:tcMar>
          </w:tcPr>
          <w:p w14:paraId="20AE2989" w14:textId="77777777" w:rsidR="00B626E7" w:rsidRDefault="00175C1D">
            <w:pPr>
              <w:jc w:val="right"/>
              <w:textAlignment w:val="top"/>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298A"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298B" w14:textId="77777777" w:rsidR="00B626E7" w:rsidRDefault="00175C1D">
            <w:pPr>
              <w:textAlignment w:val="top"/>
            </w:pPr>
            <w:r>
              <w:rPr>
                <w:rFonts w:ascii="Arial" w:eastAsia="宋体" w:hAnsi="Arial" w:cs="Arial"/>
                <w:color w:val="0071C5"/>
                <w:sz w:val="18"/>
                <w:szCs w:val="18"/>
              </w:rPr>
              <w:t>Lower DCG adjacency gross margin</w:t>
            </w:r>
          </w:p>
        </w:tc>
      </w:tr>
      <w:tr w:rsidR="00B626E7" w14:paraId="20AE2991" w14:textId="77777777">
        <w:tc>
          <w:tcPr>
            <w:tcW w:w="0" w:type="auto"/>
            <w:gridSpan w:val="2"/>
            <w:shd w:val="clear" w:color="auto" w:fill="auto"/>
            <w:tcMar>
              <w:top w:w="40" w:type="dxa"/>
              <w:left w:w="20" w:type="dxa"/>
              <w:bottom w:w="40" w:type="dxa"/>
              <w:right w:w="0" w:type="dxa"/>
            </w:tcMar>
          </w:tcPr>
          <w:p w14:paraId="20AE298D" w14:textId="77777777" w:rsidR="00B626E7" w:rsidRDefault="00175C1D">
            <w:pPr>
              <w:jc w:val="right"/>
              <w:textAlignment w:val="top"/>
            </w:pPr>
            <w:r>
              <w:rPr>
                <w:rFonts w:ascii="Arial" w:eastAsia="宋体" w:hAnsi="Arial" w:cs="Arial"/>
                <w:color w:val="0071C5"/>
                <w:sz w:val="18"/>
                <w:szCs w:val="18"/>
              </w:rPr>
              <w:t>(120)</w:t>
            </w:r>
          </w:p>
        </w:tc>
        <w:tc>
          <w:tcPr>
            <w:tcW w:w="0" w:type="auto"/>
            <w:shd w:val="clear" w:color="auto" w:fill="auto"/>
            <w:tcMar>
              <w:top w:w="40" w:type="dxa"/>
              <w:bottom w:w="40" w:type="dxa"/>
              <w:right w:w="20" w:type="dxa"/>
            </w:tcMar>
          </w:tcPr>
          <w:p w14:paraId="20AE298E" w14:textId="77777777" w:rsidR="00B626E7" w:rsidRDefault="00175C1D">
            <w:pPr>
              <w:jc w:val="right"/>
              <w:textAlignment w:val="top"/>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298F"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2990" w14:textId="77777777" w:rsidR="00B626E7" w:rsidRDefault="00175C1D">
            <w:pPr>
              <w:textAlignment w:val="top"/>
            </w:pPr>
            <w:r>
              <w:rPr>
                <w:rFonts w:ascii="Arial" w:eastAsia="宋体" w:hAnsi="Arial" w:cs="Arial"/>
                <w:color w:val="0071C5"/>
                <w:sz w:val="18"/>
                <w:szCs w:val="18"/>
              </w:rPr>
              <w:t>Higher platform unit cost</w:t>
            </w:r>
          </w:p>
        </w:tc>
      </w:tr>
      <w:tr w:rsidR="00B626E7" w14:paraId="20AE2996" w14:textId="77777777">
        <w:tc>
          <w:tcPr>
            <w:tcW w:w="0" w:type="auto"/>
            <w:gridSpan w:val="2"/>
            <w:shd w:val="clear" w:color="auto" w:fill="auto"/>
            <w:tcMar>
              <w:top w:w="40" w:type="dxa"/>
              <w:left w:w="20" w:type="dxa"/>
              <w:bottom w:w="40" w:type="dxa"/>
              <w:right w:w="0" w:type="dxa"/>
            </w:tcMar>
          </w:tcPr>
          <w:p w14:paraId="20AE2992" w14:textId="77777777" w:rsidR="00B626E7" w:rsidRDefault="00175C1D">
            <w:pPr>
              <w:jc w:val="right"/>
              <w:textAlignment w:val="top"/>
            </w:pPr>
            <w:r>
              <w:rPr>
                <w:rFonts w:ascii="Arial" w:eastAsia="宋体" w:hAnsi="Arial" w:cs="Arial"/>
                <w:color w:val="0071C5"/>
                <w:sz w:val="18"/>
                <w:szCs w:val="18"/>
              </w:rPr>
              <w:t>(75)</w:t>
            </w:r>
          </w:p>
        </w:tc>
        <w:tc>
          <w:tcPr>
            <w:tcW w:w="0" w:type="auto"/>
            <w:shd w:val="clear" w:color="auto" w:fill="auto"/>
            <w:tcMar>
              <w:top w:w="40" w:type="dxa"/>
              <w:bottom w:w="40" w:type="dxa"/>
              <w:right w:w="20" w:type="dxa"/>
            </w:tcMar>
          </w:tcPr>
          <w:p w14:paraId="20AE2993" w14:textId="77777777" w:rsidR="00B626E7" w:rsidRDefault="00175C1D">
            <w:pPr>
              <w:jc w:val="right"/>
              <w:textAlignment w:val="top"/>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2994"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2995" w14:textId="77777777" w:rsidR="00B626E7" w:rsidRDefault="00175C1D">
            <w:pPr>
              <w:textAlignment w:val="top"/>
            </w:pPr>
            <w:r>
              <w:rPr>
                <w:rFonts w:ascii="Arial" w:eastAsia="宋体" w:hAnsi="Arial" w:cs="Arial"/>
                <w:color w:val="0071C5"/>
                <w:sz w:val="18"/>
                <w:szCs w:val="18"/>
              </w:rPr>
              <w:t>Higher operating expenses</w:t>
            </w:r>
          </w:p>
        </w:tc>
      </w:tr>
      <w:tr w:rsidR="00B626E7" w14:paraId="20AE299A" w14:textId="77777777">
        <w:trPr>
          <w:hidden/>
        </w:trPr>
        <w:tc>
          <w:tcPr>
            <w:tcW w:w="0" w:type="auto"/>
            <w:gridSpan w:val="3"/>
            <w:shd w:val="clear" w:color="auto" w:fill="auto"/>
          </w:tcPr>
          <w:p w14:paraId="20AE2997" w14:textId="77777777" w:rsidR="00B626E7" w:rsidRDefault="00B626E7">
            <w:pPr>
              <w:rPr>
                <w:rFonts w:ascii="宋体"/>
                <w:vanish/>
              </w:rPr>
            </w:pPr>
          </w:p>
        </w:tc>
        <w:tc>
          <w:tcPr>
            <w:tcW w:w="0" w:type="auto"/>
            <w:gridSpan w:val="3"/>
            <w:shd w:val="clear" w:color="auto" w:fill="auto"/>
          </w:tcPr>
          <w:p w14:paraId="20AE2998" w14:textId="77777777" w:rsidR="00B626E7" w:rsidRDefault="00B626E7">
            <w:pPr>
              <w:rPr>
                <w:rFonts w:ascii="宋体"/>
                <w:vanish/>
              </w:rPr>
            </w:pPr>
          </w:p>
        </w:tc>
        <w:tc>
          <w:tcPr>
            <w:tcW w:w="0" w:type="auto"/>
            <w:gridSpan w:val="3"/>
            <w:shd w:val="clear" w:color="auto" w:fill="auto"/>
          </w:tcPr>
          <w:p w14:paraId="20AE2999" w14:textId="77777777" w:rsidR="00B626E7" w:rsidRDefault="00B626E7">
            <w:pPr>
              <w:rPr>
                <w:rFonts w:ascii="宋体"/>
                <w:vanish/>
              </w:rPr>
            </w:pPr>
          </w:p>
        </w:tc>
      </w:tr>
      <w:tr w:rsidR="00B626E7" w14:paraId="20AE299E" w14:textId="77777777">
        <w:trPr>
          <w:hidden/>
        </w:trPr>
        <w:tc>
          <w:tcPr>
            <w:tcW w:w="0" w:type="auto"/>
            <w:gridSpan w:val="3"/>
            <w:shd w:val="clear" w:color="auto" w:fill="auto"/>
          </w:tcPr>
          <w:p w14:paraId="20AE299B" w14:textId="77777777" w:rsidR="00B626E7" w:rsidRDefault="00B626E7">
            <w:pPr>
              <w:rPr>
                <w:rFonts w:ascii="宋体"/>
                <w:vanish/>
              </w:rPr>
            </w:pPr>
          </w:p>
        </w:tc>
        <w:tc>
          <w:tcPr>
            <w:tcW w:w="0" w:type="auto"/>
            <w:gridSpan w:val="3"/>
            <w:shd w:val="clear" w:color="auto" w:fill="auto"/>
          </w:tcPr>
          <w:p w14:paraId="20AE299C" w14:textId="77777777" w:rsidR="00B626E7" w:rsidRDefault="00B626E7">
            <w:pPr>
              <w:rPr>
                <w:rFonts w:ascii="宋体"/>
                <w:vanish/>
              </w:rPr>
            </w:pPr>
          </w:p>
        </w:tc>
        <w:tc>
          <w:tcPr>
            <w:tcW w:w="0" w:type="auto"/>
            <w:gridSpan w:val="3"/>
            <w:shd w:val="clear" w:color="auto" w:fill="auto"/>
          </w:tcPr>
          <w:p w14:paraId="20AE299D" w14:textId="77777777" w:rsidR="00B626E7" w:rsidRDefault="00B626E7">
            <w:pPr>
              <w:rPr>
                <w:rFonts w:ascii="宋体"/>
                <w:vanish/>
              </w:rPr>
            </w:pPr>
          </w:p>
        </w:tc>
      </w:tr>
      <w:tr w:rsidR="00B626E7" w14:paraId="20AE29A2" w14:textId="77777777">
        <w:trPr>
          <w:hidden/>
        </w:trPr>
        <w:tc>
          <w:tcPr>
            <w:tcW w:w="0" w:type="auto"/>
            <w:gridSpan w:val="3"/>
            <w:shd w:val="clear" w:color="auto" w:fill="auto"/>
          </w:tcPr>
          <w:p w14:paraId="20AE299F" w14:textId="77777777" w:rsidR="00B626E7" w:rsidRDefault="00B626E7">
            <w:pPr>
              <w:rPr>
                <w:rFonts w:ascii="宋体"/>
                <w:vanish/>
              </w:rPr>
            </w:pPr>
          </w:p>
        </w:tc>
        <w:tc>
          <w:tcPr>
            <w:tcW w:w="0" w:type="auto"/>
            <w:gridSpan w:val="3"/>
            <w:shd w:val="clear" w:color="auto" w:fill="auto"/>
          </w:tcPr>
          <w:p w14:paraId="20AE29A0" w14:textId="77777777" w:rsidR="00B626E7" w:rsidRDefault="00B626E7">
            <w:pPr>
              <w:rPr>
                <w:rFonts w:ascii="宋体"/>
                <w:vanish/>
              </w:rPr>
            </w:pPr>
          </w:p>
        </w:tc>
        <w:tc>
          <w:tcPr>
            <w:tcW w:w="0" w:type="auto"/>
            <w:gridSpan w:val="3"/>
            <w:shd w:val="clear" w:color="auto" w:fill="auto"/>
          </w:tcPr>
          <w:p w14:paraId="20AE29A1" w14:textId="77777777" w:rsidR="00B626E7" w:rsidRDefault="00B626E7">
            <w:pPr>
              <w:rPr>
                <w:rFonts w:ascii="宋体"/>
                <w:vanish/>
              </w:rPr>
            </w:pPr>
          </w:p>
        </w:tc>
      </w:tr>
      <w:tr w:rsidR="00B626E7" w14:paraId="20AE29A6" w14:textId="77777777">
        <w:trPr>
          <w:hidden/>
        </w:trPr>
        <w:tc>
          <w:tcPr>
            <w:tcW w:w="0" w:type="auto"/>
            <w:gridSpan w:val="3"/>
            <w:shd w:val="clear" w:color="auto" w:fill="auto"/>
          </w:tcPr>
          <w:p w14:paraId="20AE29A3" w14:textId="77777777" w:rsidR="00B626E7" w:rsidRDefault="00B626E7">
            <w:pPr>
              <w:rPr>
                <w:rFonts w:ascii="宋体"/>
                <w:vanish/>
              </w:rPr>
            </w:pPr>
          </w:p>
        </w:tc>
        <w:tc>
          <w:tcPr>
            <w:tcW w:w="0" w:type="auto"/>
            <w:gridSpan w:val="3"/>
            <w:shd w:val="clear" w:color="auto" w:fill="auto"/>
          </w:tcPr>
          <w:p w14:paraId="20AE29A4" w14:textId="77777777" w:rsidR="00B626E7" w:rsidRDefault="00B626E7">
            <w:pPr>
              <w:rPr>
                <w:rFonts w:ascii="宋体"/>
                <w:vanish/>
              </w:rPr>
            </w:pPr>
          </w:p>
        </w:tc>
        <w:tc>
          <w:tcPr>
            <w:tcW w:w="0" w:type="auto"/>
            <w:gridSpan w:val="3"/>
            <w:shd w:val="clear" w:color="auto" w:fill="auto"/>
          </w:tcPr>
          <w:p w14:paraId="20AE29A5" w14:textId="77777777" w:rsidR="00B626E7" w:rsidRDefault="00B626E7">
            <w:pPr>
              <w:rPr>
                <w:rFonts w:ascii="宋体"/>
                <w:vanish/>
              </w:rPr>
            </w:pPr>
          </w:p>
        </w:tc>
      </w:tr>
      <w:tr w:rsidR="00B626E7" w14:paraId="20AE29AA" w14:textId="77777777">
        <w:trPr>
          <w:hidden/>
        </w:trPr>
        <w:tc>
          <w:tcPr>
            <w:tcW w:w="0" w:type="auto"/>
            <w:gridSpan w:val="3"/>
            <w:shd w:val="clear" w:color="auto" w:fill="auto"/>
          </w:tcPr>
          <w:p w14:paraId="20AE29A7" w14:textId="77777777" w:rsidR="00B626E7" w:rsidRDefault="00B626E7">
            <w:pPr>
              <w:rPr>
                <w:rFonts w:ascii="宋体"/>
                <w:vanish/>
              </w:rPr>
            </w:pPr>
          </w:p>
        </w:tc>
        <w:tc>
          <w:tcPr>
            <w:tcW w:w="0" w:type="auto"/>
            <w:gridSpan w:val="3"/>
            <w:shd w:val="clear" w:color="auto" w:fill="auto"/>
          </w:tcPr>
          <w:p w14:paraId="20AE29A8" w14:textId="77777777" w:rsidR="00B626E7" w:rsidRDefault="00B626E7">
            <w:pPr>
              <w:rPr>
                <w:rFonts w:ascii="宋体"/>
                <w:vanish/>
              </w:rPr>
            </w:pPr>
          </w:p>
        </w:tc>
        <w:tc>
          <w:tcPr>
            <w:tcW w:w="0" w:type="auto"/>
            <w:gridSpan w:val="3"/>
            <w:shd w:val="clear" w:color="auto" w:fill="auto"/>
          </w:tcPr>
          <w:p w14:paraId="20AE29A9" w14:textId="77777777" w:rsidR="00B626E7" w:rsidRDefault="00B626E7">
            <w:pPr>
              <w:rPr>
                <w:rFonts w:ascii="宋体"/>
                <w:vanish/>
              </w:rPr>
            </w:pPr>
          </w:p>
        </w:tc>
      </w:tr>
      <w:tr w:rsidR="00B626E7" w14:paraId="20AE29AE" w14:textId="77777777">
        <w:trPr>
          <w:hidden/>
        </w:trPr>
        <w:tc>
          <w:tcPr>
            <w:tcW w:w="0" w:type="auto"/>
            <w:gridSpan w:val="3"/>
            <w:shd w:val="clear" w:color="auto" w:fill="auto"/>
          </w:tcPr>
          <w:p w14:paraId="20AE29AB" w14:textId="77777777" w:rsidR="00B626E7" w:rsidRDefault="00B626E7">
            <w:pPr>
              <w:rPr>
                <w:rFonts w:ascii="宋体"/>
                <w:vanish/>
              </w:rPr>
            </w:pPr>
          </w:p>
        </w:tc>
        <w:tc>
          <w:tcPr>
            <w:tcW w:w="0" w:type="auto"/>
            <w:gridSpan w:val="3"/>
            <w:shd w:val="clear" w:color="auto" w:fill="auto"/>
          </w:tcPr>
          <w:p w14:paraId="20AE29AC" w14:textId="77777777" w:rsidR="00B626E7" w:rsidRDefault="00B626E7">
            <w:pPr>
              <w:rPr>
                <w:rFonts w:ascii="宋体"/>
                <w:vanish/>
              </w:rPr>
            </w:pPr>
          </w:p>
        </w:tc>
        <w:tc>
          <w:tcPr>
            <w:tcW w:w="0" w:type="auto"/>
            <w:gridSpan w:val="3"/>
            <w:shd w:val="clear" w:color="auto" w:fill="auto"/>
          </w:tcPr>
          <w:p w14:paraId="20AE29AD" w14:textId="77777777" w:rsidR="00B626E7" w:rsidRDefault="00B626E7">
            <w:pPr>
              <w:rPr>
                <w:rFonts w:ascii="宋体"/>
                <w:vanish/>
              </w:rPr>
            </w:pPr>
          </w:p>
        </w:tc>
      </w:tr>
      <w:tr w:rsidR="00B626E7" w14:paraId="20AE29B3" w14:textId="77777777">
        <w:tc>
          <w:tcPr>
            <w:tcW w:w="0" w:type="auto"/>
            <w:gridSpan w:val="2"/>
            <w:shd w:val="clear" w:color="auto" w:fill="auto"/>
            <w:tcMar>
              <w:top w:w="40" w:type="dxa"/>
              <w:left w:w="20" w:type="dxa"/>
              <w:bottom w:w="40" w:type="dxa"/>
              <w:right w:w="0" w:type="dxa"/>
            </w:tcMar>
          </w:tcPr>
          <w:p w14:paraId="20AE29AF" w14:textId="77777777" w:rsidR="00B626E7" w:rsidRDefault="00175C1D">
            <w:pPr>
              <w:jc w:val="right"/>
              <w:textAlignment w:val="top"/>
            </w:pPr>
            <w:r>
              <w:rPr>
                <w:rFonts w:ascii="Arial" w:eastAsia="宋体" w:hAnsi="Arial" w:cs="Arial"/>
                <w:color w:val="0071C5"/>
                <w:sz w:val="18"/>
                <w:szCs w:val="18"/>
              </w:rPr>
              <w:t>(60)</w:t>
            </w:r>
          </w:p>
        </w:tc>
        <w:tc>
          <w:tcPr>
            <w:tcW w:w="0" w:type="auto"/>
            <w:shd w:val="clear" w:color="auto" w:fill="auto"/>
            <w:tcMar>
              <w:top w:w="40" w:type="dxa"/>
              <w:bottom w:w="40" w:type="dxa"/>
              <w:right w:w="20" w:type="dxa"/>
            </w:tcMar>
          </w:tcPr>
          <w:p w14:paraId="20AE29B0" w14:textId="77777777" w:rsidR="00B626E7" w:rsidRDefault="00175C1D">
            <w:pPr>
              <w:jc w:val="right"/>
              <w:textAlignment w:val="top"/>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29B1"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29B2" w14:textId="77777777" w:rsidR="00B626E7" w:rsidRDefault="00175C1D">
            <w:pPr>
              <w:textAlignment w:val="top"/>
            </w:pPr>
            <w:r>
              <w:rPr>
                <w:rFonts w:ascii="Arial" w:eastAsia="宋体" w:hAnsi="Arial" w:cs="Arial"/>
                <w:color w:val="0071C5"/>
                <w:sz w:val="18"/>
                <w:szCs w:val="18"/>
              </w:rPr>
              <w:t>Other</w:t>
            </w:r>
          </w:p>
        </w:tc>
      </w:tr>
      <w:tr w:rsidR="00B626E7" w14:paraId="20AE29B9" w14:textId="77777777">
        <w:tc>
          <w:tcPr>
            <w:tcW w:w="0" w:type="auto"/>
            <w:tcBorders>
              <w:top w:val="single" w:sz="8" w:space="0" w:color="333333"/>
              <w:bottom w:val="single" w:sz="8" w:space="0" w:color="333333"/>
            </w:tcBorders>
            <w:shd w:val="clear" w:color="auto" w:fill="auto"/>
            <w:tcMar>
              <w:top w:w="40" w:type="dxa"/>
              <w:left w:w="20" w:type="dxa"/>
              <w:bottom w:w="40" w:type="dxa"/>
            </w:tcMar>
            <w:vAlign w:val="bottom"/>
          </w:tcPr>
          <w:p w14:paraId="20AE29B4"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bottom w:val="single" w:sz="8" w:space="0" w:color="333333"/>
            </w:tcBorders>
            <w:shd w:val="clear" w:color="auto" w:fill="auto"/>
            <w:tcMar>
              <w:top w:w="40" w:type="dxa"/>
              <w:bottom w:w="40" w:type="dxa"/>
              <w:right w:w="0" w:type="dxa"/>
            </w:tcMar>
            <w:vAlign w:val="bottom"/>
          </w:tcPr>
          <w:p w14:paraId="20AE29B5" w14:textId="77777777" w:rsidR="00B626E7" w:rsidRDefault="00175C1D">
            <w:pPr>
              <w:jc w:val="right"/>
              <w:textAlignment w:val="bottom"/>
            </w:pPr>
            <w:r>
              <w:rPr>
                <w:rFonts w:ascii="Arial" w:eastAsia="宋体" w:hAnsi="Arial" w:cs="Arial"/>
                <w:b/>
                <w:bCs/>
                <w:color w:val="333333"/>
                <w:sz w:val="18"/>
                <w:szCs w:val="18"/>
              </w:rPr>
              <w:t>3,641 </w:t>
            </w:r>
          </w:p>
        </w:tc>
        <w:tc>
          <w:tcPr>
            <w:tcW w:w="0" w:type="auto"/>
            <w:tcBorders>
              <w:top w:val="single" w:sz="8" w:space="0" w:color="333333"/>
              <w:bottom w:val="single" w:sz="8" w:space="0" w:color="333333"/>
            </w:tcBorders>
            <w:shd w:val="clear" w:color="auto" w:fill="auto"/>
            <w:tcMar>
              <w:top w:w="40" w:type="dxa"/>
              <w:bottom w:w="40" w:type="dxa"/>
              <w:right w:w="20" w:type="dxa"/>
            </w:tcMar>
            <w:vAlign w:val="bottom"/>
          </w:tcPr>
          <w:p w14:paraId="20AE29B6"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29B7" w14:textId="77777777" w:rsidR="00B626E7" w:rsidRDefault="00B626E7">
            <w:pPr>
              <w:rPr>
                <w:rFonts w:ascii="宋体"/>
              </w:rPr>
            </w:pPr>
          </w:p>
        </w:tc>
        <w:tc>
          <w:tcPr>
            <w:tcW w:w="0" w:type="auto"/>
            <w:gridSpan w:val="3"/>
            <w:tcBorders>
              <w:top w:val="single" w:sz="8" w:space="0" w:color="333333"/>
              <w:bottom w:val="single" w:sz="8" w:space="0" w:color="333333"/>
            </w:tcBorders>
            <w:shd w:val="clear" w:color="auto" w:fill="auto"/>
            <w:tcMar>
              <w:top w:w="40" w:type="dxa"/>
              <w:left w:w="20" w:type="dxa"/>
              <w:bottom w:w="40" w:type="dxa"/>
              <w:right w:w="20" w:type="dxa"/>
            </w:tcMar>
            <w:vAlign w:val="bottom"/>
          </w:tcPr>
          <w:p w14:paraId="20AE29B8" w14:textId="77777777" w:rsidR="00B626E7" w:rsidRDefault="00175C1D">
            <w:pPr>
              <w:textAlignment w:val="bottom"/>
            </w:pPr>
            <w:r>
              <w:rPr>
                <w:rFonts w:ascii="Arial" w:eastAsia="宋体" w:hAnsi="Arial" w:cs="Arial"/>
                <w:b/>
                <w:bCs/>
                <w:color w:val="333333"/>
                <w:sz w:val="18"/>
                <w:szCs w:val="18"/>
              </w:rPr>
              <w:t>YTD 2019 DCG Operating Income</w:t>
            </w:r>
          </w:p>
        </w:tc>
      </w:tr>
    </w:tbl>
    <w:p w14:paraId="20AE29BA" w14:textId="77777777" w:rsidR="00B626E7" w:rsidRDefault="00B626E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84"/>
        <w:gridCol w:w="2423"/>
        <w:gridCol w:w="84"/>
        <w:gridCol w:w="83"/>
        <w:gridCol w:w="3471"/>
        <w:gridCol w:w="83"/>
        <w:gridCol w:w="83"/>
        <w:gridCol w:w="1942"/>
        <w:gridCol w:w="83"/>
      </w:tblGrid>
      <w:tr w:rsidR="00B626E7" w14:paraId="20AE29C4" w14:textId="77777777">
        <w:tc>
          <w:tcPr>
            <w:tcW w:w="50" w:type="pct"/>
            <w:shd w:val="clear" w:color="auto" w:fill="auto"/>
            <w:vAlign w:val="bottom"/>
          </w:tcPr>
          <w:p w14:paraId="20AE29BB" w14:textId="77777777" w:rsidR="00B626E7" w:rsidRDefault="00B626E7">
            <w:pPr>
              <w:rPr>
                <w:rFonts w:ascii="宋体"/>
              </w:rPr>
            </w:pPr>
          </w:p>
        </w:tc>
        <w:tc>
          <w:tcPr>
            <w:tcW w:w="1452" w:type="pct"/>
            <w:shd w:val="clear" w:color="auto" w:fill="auto"/>
            <w:vAlign w:val="bottom"/>
          </w:tcPr>
          <w:p w14:paraId="20AE29BC" w14:textId="77777777" w:rsidR="00B626E7" w:rsidRDefault="00B626E7">
            <w:pPr>
              <w:rPr>
                <w:rFonts w:ascii="宋体"/>
              </w:rPr>
            </w:pPr>
          </w:p>
        </w:tc>
        <w:tc>
          <w:tcPr>
            <w:tcW w:w="50" w:type="pct"/>
            <w:shd w:val="clear" w:color="auto" w:fill="auto"/>
            <w:vAlign w:val="bottom"/>
          </w:tcPr>
          <w:p w14:paraId="20AE29BD" w14:textId="77777777" w:rsidR="00B626E7" w:rsidRDefault="00B626E7">
            <w:pPr>
              <w:rPr>
                <w:rFonts w:ascii="宋体"/>
              </w:rPr>
            </w:pPr>
          </w:p>
        </w:tc>
        <w:tc>
          <w:tcPr>
            <w:tcW w:w="50" w:type="pct"/>
            <w:shd w:val="clear" w:color="auto" w:fill="auto"/>
            <w:vAlign w:val="bottom"/>
          </w:tcPr>
          <w:p w14:paraId="20AE29BE" w14:textId="77777777" w:rsidR="00B626E7" w:rsidRDefault="00B626E7">
            <w:pPr>
              <w:rPr>
                <w:rFonts w:ascii="宋体"/>
              </w:rPr>
            </w:pPr>
          </w:p>
        </w:tc>
        <w:tc>
          <w:tcPr>
            <w:tcW w:w="2081" w:type="pct"/>
            <w:shd w:val="clear" w:color="auto" w:fill="auto"/>
            <w:vAlign w:val="bottom"/>
          </w:tcPr>
          <w:p w14:paraId="20AE29BF" w14:textId="77777777" w:rsidR="00B626E7" w:rsidRDefault="00B626E7">
            <w:pPr>
              <w:rPr>
                <w:rFonts w:ascii="宋体"/>
              </w:rPr>
            </w:pPr>
          </w:p>
        </w:tc>
        <w:tc>
          <w:tcPr>
            <w:tcW w:w="50" w:type="pct"/>
            <w:shd w:val="clear" w:color="auto" w:fill="auto"/>
            <w:vAlign w:val="bottom"/>
          </w:tcPr>
          <w:p w14:paraId="20AE29C0" w14:textId="77777777" w:rsidR="00B626E7" w:rsidRDefault="00B626E7">
            <w:pPr>
              <w:rPr>
                <w:rFonts w:ascii="宋体"/>
              </w:rPr>
            </w:pPr>
          </w:p>
        </w:tc>
        <w:tc>
          <w:tcPr>
            <w:tcW w:w="50" w:type="pct"/>
            <w:shd w:val="clear" w:color="auto" w:fill="auto"/>
            <w:vAlign w:val="bottom"/>
          </w:tcPr>
          <w:p w14:paraId="20AE29C1" w14:textId="77777777" w:rsidR="00B626E7" w:rsidRDefault="00B626E7">
            <w:pPr>
              <w:rPr>
                <w:rFonts w:ascii="宋体"/>
              </w:rPr>
            </w:pPr>
          </w:p>
        </w:tc>
        <w:tc>
          <w:tcPr>
            <w:tcW w:w="1165" w:type="pct"/>
            <w:shd w:val="clear" w:color="auto" w:fill="auto"/>
            <w:vAlign w:val="bottom"/>
          </w:tcPr>
          <w:p w14:paraId="20AE29C2" w14:textId="77777777" w:rsidR="00B626E7" w:rsidRDefault="00B626E7">
            <w:pPr>
              <w:rPr>
                <w:rFonts w:ascii="宋体"/>
              </w:rPr>
            </w:pPr>
          </w:p>
        </w:tc>
        <w:tc>
          <w:tcPr>
            <w:tcW w:w="50" w:type="pct"/>
            <w:shd w:val="clear" w:color="auto" w:fill="auto"/>
            <w:vAlign w:val="bottom"/>
          </w:tcPr>
          <w:p w14:paraId="20AE29C3" w14:textId="77777777" w:rsidR="00B626E7" w:rsidRDefault="00B626E7">
            <w:pPr>
              <w:rPr>
                <w:rFonts w:ascii="宋体"/>
              </w:rPr>
            </w:pPr>
          </w:p>
        </w:tc>
      </w:tr>
      <w:tr w:rsidR="00B626E7" w14:paraId="20AE29C8" w14:textId="77777777">
        <w:tc>
          <w:tcPr>
            <w:tcW w:w="0" w:type="auto"/>
            <w:gridSpan w:val="3"/>
            <w:tcBorders>
              <w:top w:val="single" w:sz="8" w:space="0" w:color="0071C5"/>
            </w:tcBorders>
            <w:shd w:val="clear" w:color="auto" w:fill="auto"/>
            <w:tcMar>
              <w:top w:w="40" w:type="dxa"/>
              <w:left w:w="20" w:type="dxa"/>
              <w:bottom w:w="40" w:type="dxa"/>
              <w:right w:w="20" w:type="dxa"/>
            </w:tcMar>
            <w:vAlign w:val="center"/>
          </w:tcPr>
          <w:p w14:paraId="20AE29C5" w14:textId="77777777" w:rsidR="00B626E7" w:rsidRDefault="00175C1D">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Viewer10_files/intc-20200627_g36.jpg"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72" wp14:editId="20AE3C73">
                  <wp:extent cx="304800" cy="304800"/>
                  <wp:effectExtent l="0" t="0" r="0" b="0"/>
                  <wp:docPr id="112" name="图片 99"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99" descr="IMG_32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Arial" w:eastAsia="宋体" w:hAnsi="Arial" w:cs="Arial"/>
                <w:color w:val="333333"/>
                <w:sz w:val="16"/>
                <w:szCs w:val="16"/>
              </w:rPr>
              <w:t>MD&amp;A</w:t>
            </w:r>
          </w:p>
        </w:tc>
        <w:tc>
          <w:tcPr>
            <w:tcW w:w="0" w:type="auto"/>
            <w:gridSpan w:val="3"/>
            <w:tcBorders>
              <w:top w:val="single" w:sz="8" w:space="0" w:color="0071C5"/>
            </w:tcBorders>
            <w:shd w:val="clear" w:color="auto" w:fill="auto"/>
            <w:tcMar>
              <w:left w:w="20" w:type="dxa"/>
              <w:right w:w="20" w:type="dxa"/>
            </w:tcMar>
            <w:vAlign w:val="bottom"/>
          </w:tcPr>
          <w:p w14:paraId="20AE29C6"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29C7" w14:textId="77777777" w:rsidR="00B626E7" w:rsidRDefault="00175C1D">
            <w:pPr>
              <w:jc w:val="right"/>
              <w:textAlignment w:val="bottom"/>
            </w:pPr>
            <w:r>
              <w:rPr>
                <w:rFonts w:ascii="Arial" w:eastAsia="宋体" w:hAnsi="Arial" w:cs="Arial"/>
                <w:color w:val="333333"/>
                <w:sz w:val="16"/>
                <w:szCs w:val="16"/>
              </w:rPr>
              <w:t>29</w:t>
            </w:r>
          </w:p>
        </w:tc>
      </w:tr>
    </w:tbl>
    <w:p w14:paraId="20AE29C9" w14:textId="77777777" w:rsidR="00B626E7" w:rsidRDefault="00175C1D">
      <w:r>
        <w:pict w14:anchorId="20AE3C74">
          <v:rect id="_x0000_i1055" style="width:415.3pt;height:1.5pt" o:hralign="center" o:hrstd="t" o:hr="t" fillcolor="#a0a0a0" stroked="f"/>
        </w:pict>
      </w:r>
    </w:p>
    <w:p w14:paraId="20AE29CA" w14:textId="77777777" w:rsidR="00B626E7" w:rsidRDefault="00175C1D">
      <w:pPr>
        <w:spacing w:after="180"/>
        <w:jc w:val="right"/>
      </w:pPr>
      <w:hyperlink r:id="rId56" w:anchor="ib035cc8759904e51927d703ec8414366_7" w:history="1">
        <w:r>
          <w:rPr>
            <w:rStyle w:val="a5"/>
            <w:rFonts w:ascii="Arial" w:eastAsia="宋体" w:hAnsi="Arial" w:cs="Arial"/>
            <w:b/>
            <w:bCs/>
            <w:sz w:val="16"/>
            <w:szCs w:val="16"/>
          </w:rPr>
          <w:t>Table of Contents</w:t>
        </w:r>
      </w:hyperlink>
    </w:p>
    <w:p w14:paraId="20AE29CB" w14:textId="77777777" w:rsidR="00B626E7" w:rsidRDefault="00B626E7">
      <w:pPr>
        <w:spacing w:after="180"/>
        <w:jc w:val="right"/>
      </w:pPr>
    </w:p>
    <w:p w14:paraId="20AE29CC" w14:textId="77777777" w:rsidR="00B626E7" w:rsidRDefault="00175C1D">
      <w:pPr>
        <w:spacing w:after="180"/>
      </w:pPr>
      <w:r>
        <w:rPr>
          <w:rFonts w:ascii="Arial" w:eastAsia="宋体" w:hAnsi="Arial" w:cs="Arial"/>
          <w:b/>
          <w:bCs/>
          <w:color w:val="0071C5"/>
          <w:sz w:val="28"/>
          <w:szCs w:val="28"/>
        </w:rPr>
        <w:t xml:space="preserve">INTERNET OF THINGS </w:t>
      </w:r>
    </w:p>
    <w:p w14:paraId="20AE29CD" w14:textId="77777777" w:rsidR="00B626E7" w:rsidRDefault="00175C1D">
      <w:pPr>
        <w:spacing w:after="180"/>
      </w:pPr>
      <w:r>
        <w:rPr>
          <w:rFonts w:ascii="Arial" w:eastAsia="宋体" w:hAnsi="Arial" w:cs="Arial"/>
          <w:color w:val="333333"/>
          <w:sz w:val="18"/>
          <w:szCs w:val="18"/>
        </w:rPr>
        <w:t xml:space="preserve">As more intelligence is moving to the edge, more industries are </w:t>
      </w:r>
      <w:r>
        <w:rPr>
          <w:rFonts w:ascii="Arial" w:eastAsia="宋体" w:hAnsi="Arial" w:cs="Arial"/>
          <w:color w:val="333333"/>
          <w:sz w:val="18"/>
          <w:szCs w:val="18"/>
        </w:rPr>
        <w:t>harnessing the power of data to create business value, to innovate, and to grow. We are using our architecture, accelerators, and software assets, combined with scale and partners, to develop a growing Internet of Things portfolio. Our Internet of Things p</w:t>
      </w:r>
      <w:r>
        <w:rPr>
          <w:rFonts w:ascii="Arial" w:eastAsia="宋体" w:hAnsi="Arial" w:cs="Arial"/>
          <w:color w:val="333333"/>
          <w:sz w:val="18"/>
          <w:szCs w:val="18"/>
        </w:rPr>
        <w:t>ortfolio is comprised of our IOTG and Mobileye businesses.</w:t>
      </w:r>
    </w:p>
    <w:p w14:paraId="20AE29CE" w14:textId="77777777" w:rsidR="00B626E7" w:rsidRDefault="00175C1D">
      <w:pPr>
        <w:spacing w:after="180"/>
      </w:pPr>
      <w:r>
        <w:rPr>
          <w:rFonts w:ascii="Arial" w:eastAsia="宋体" w:hAnsi="Arial" w:cs="Arial"/>
          <w:color w:val="333333"/>
          <w:sz w:val="18"/>
          <w:szCs w:val="18"/>
        </w:rPr>
        <w:t>IOTG develops high-performance compute for targeted verticals and embedded markets. Our customers include retailers, manufacturers, health care providers, energy companies, automakers, and governme</w:t>
      </w:r>
      <w:r>
        <w:rPr>
          <w:rFonts w:ascii="Arial" w:eastAsia="宋体" w:hAnsi="Arial" w:cs="Arial"/>
          <w:color w:val="333333"/>
          <w:sz w:val="18"/>
          <w:szCs w:val="18"/>
        </w:rPr>
        <w:t xml:space="preserve">nts. We facilitate our customers creating, storing, and processing data generated by connected devices to accelerate business transformations. </w:t>
      </w:r>
    </w:p>
    <w:p w14:paraId="20AE29CF" w14:textId="77777777" w:rsidR="00B626E7" w:rsidRDefault="00175C1D">
      <w:pPr>
        <w:spacing w:after="180"/>
      </w:pPr>
      <w:r>
        <w:rPr>
          <w:rFonts w:ascii="Arial" w:eastAsia="宋体" w:hAnsi="Arial" w:cs="Arial"/>
          <w:color w:val="333333"/>
          <w:sz w:val="18"/>
          <w:szCs w:val="18"/>
        </w:rPr>
        <w:t>Mobileye is the global leader in driving assistance and automation solutions. Our product portfolio employs a br</w:t>
      </w:r>
      <w:r>
        <w:rPr>
          <w:rFonts w:ascii="Arial" w:eastAsia="宋体" w:hAnsi="Arial" w:cs="Arial"/>
          <w:color w:val="333333"/>
          <w:sz w:val="18"/>
          <w:szCs w:val="18"/>
        </w:rPr>
        <w:t>oad set of technologies, covering computer vision and machine learning-based sensing, data analysis, localization, mapping, and driving policy technology for ADAS and autonomous driving. Mobileye’s ADAS products form the building blocks for higher levels o</w:t>
      </w:r>
      <w:r>
        <w:rPr>
          <w:rFonts w:ascii="Arial" w:eastAsia="宋体" w:hAnsi="Arial" w:cs="Arial"/>
          <w:color w:val="333333"/>
          <w:sz w:val="18"/>
          <w:szCs w:val="18"/>
        </w:rPr>
        <w:t>f autonomy. Our customers and strategic partners include major global OEMs and Tier 1 automotive system integrators.</w:t>
      </w:r>
    </w:p>
    <w:tbl>
      <w:tblPr>
        <w:tblW w:w="10830" w:type="dxa"/>
        <w:tblCellMar>
          <w:top w:w="15" w:type="dxa"/>
          <w:left w:w="15" w:type="dxa"/>
          <w:bottom w:w="15" w:type="dxa"/>
          <w:right w:w="15" w:type="dxa"/>
        </w:tblCellMar>
        <w:tblLook w:val="04A0" w:firstRow="1" w:lastRow="0" w:firstColumn="1" w:lastColumn="0" w:noHBand="0" w:noVBand="1"/>
      </w:tblPr>
      <w:tblGrid>
        <w:gridCol w:w="36"/>
        <w:gridCol w:w="79"/>
        <w:gridCol w:w="36"/>
        <w:gridCol w:w="36"/>
        <w:gridCol w:w="5102"/>
        <w:gridCol w:w="36"/>
        <w:gridCol w:w="36"/>
        <w:gridCol w:w="257"/>
        <w:gridCol w:w="36"/>
        <w:gridCol w:w="36"/>
        <w:gridCol w:w="5104"/>
        <w:gridCol w:w="36"/>
      </w:tblGrid>
      <w:tr w:rsidR="00B626E7" w14:paraId="20AE29DC" w14:textId="77777777">
        <w:tc>
          <w:tcPr>
            <w:tcW w:w="20" w:type="dxa"/>
            <w:shd w:val="clear" w:color="auto" w:fill="auto"/>
          </w:tcPr>
          <w:p w14:paraId="20AE29D0" w14:textId="77777777" w:rsidR="00B626E7" w:rsidRDefault="00B626E7">
            <w:pPr>
              <w:rPr>
                <w:rFonts w:ascii="宋体"/>
              </w:rPr>
            </w:pPr>
          </w:p>
        </w:tc>
        <w:tc>
          <w:tcPr>
            <w:tcW w:w="80" w:type="dxa"/>
            <w:shd w:val="clear" w:color="auto" w:fill="auto"/>
          </w:tcPr>
          <w:p w14:paraId="20AE29D1" w14:textId="77777777" w:rsidR="00B626E7" w:rsidRDefault="00B626E7">
            <w:pPr>
              <w:rPr>
                <w:rFonts w:ascii="宋体"/>
              </w:rPr>
            </w:pPr>
          </w:p>
        </w:tc>
        <w:tc>
          <w:tcPr>
            <w:tcW w:w="20" w:type="dxa"/>
            <w:shd w:val="clear" w:color="auto" w:fill="auto"/>
          </w:tcPr>
          <w:p w14:paraId="20AE29D2" w14:textId="77777777" w:rsidR="00B626E7" w:rsidRDefault="00B626E7">
            <w:pPr>
              <w:rPr>
                <w:rFonts w:ascii="宋体"/>
              </w:rPr>
            </w:pPr>
          </w:p>
        </w:tc>
        <w:tc>
          <w:tcPr>
            <w:tcW w:w="20" w:type="dxa"/>
            <w:shd w:val="clear" w:color="auto" w:fill="auto"/>
          </w:tcPr>
          <w:p w14:paraId="20AE29D3" w14:textId="77777777" w:rsidR="00B626E7" w:rsidRDefault="00B626E7">
            <w:pPr>
              <w:rPr>
                <w:rFonts w:ascii="宋体"/>
              </w:rPr>
            </w:pPr>
          </w:p>
        </w:tc>
        <w:tc>
          <w:tcPr>
            <w:tcW w:w="5165" w:type="dxa"/>
            <w:shd w:val="clear" w:color="auto" w:fill="auto"/>
          </w:tcPr>
          <w:p w14:paraId="20AE29D4" w14:textId="77777777" w:rsidR="00B626E7" w:rsidRDefault="00B626E7">
            <w:pPr>
              <w:rPr>
                <w:rFonts w:ascii="宋体"/>
              </w:rPr>
            </w:pPr>
          </w:p>
        </w:tc>
        <w:tc>
          <w:tcPr>
            <w:tcW w:w="20" w:type="dxa"/>
            <w:shd w:val="clear" w:color="auto" w:fill="auto"/>
          </w:tcPr>
          <w:p w14:paraId="20AE29D5" w14:textId="77777777" w:rsidR="00B626E7" w:rsidRDefault="00B626E7">
            <w:pPr>
              <w:rPr>
                <w:rFonts w:ascii="宋体"/>
              </w:rPr>
            </w:pPr>
          </w:p>
        </w:tc>
        <w:tc>
          <w:tcPr>
            <w:tcW w:w="20" w:type="dxa"/>
            <w:shd w:val="clear" w:color="auto" w:fill="auto"/>
          </w:tcPr>
          <w:p w14:paraId="20AE29D6" w14:textId="77777777" w:rsidR="00B626E7" w:rsidRDefault="00B626E7">
            <w:pPr>
              <w:rPr>
                <w:rFonts w:ascii="宋体"/>
              </w:rPr>
            </w:pPr>
          </w:p>
        </w:tc>
        <w:tc>
          <w:tcPr>
            <w:tcW w:w="260" w:type="dxa"/>
            <w:shd w:val="clear" w:color="auto" w:fill="auto"/>
          </w:tcPr>
          <w:p w14:paraId="20AE29D7" w14:textId="77777777" w:rsidR="00B626E7" w:rsidRDefault="00B626E7">
            <w:pPr>
              <w:rPr>
                <w:rFonts w:ascii="宋体"/>
              </w:rPr>
            </w:pPr>
          </w:p>
        </w:tc>
        <w:tc>
          <w:tcPr>
            <w:tcW w:w="20" w:type="dxa"/>
            <w:shd w:val="clear" w:color="auto" w:fill="auto"/>
          </w:tcPr>
          <w:p w14:paraId="20AE29D8" w14:textId="77777777" w:rsidR="00B626E7" w:rsidRDefault="00B626E7">
            <w:pPr>
              <w:rPr>
                <w:rFonts w:ascii="宋体"/>
              </w:rPr>
            </w:pPr>
          </w:p>
        </w:tc>
        <w:tc>
          <w:tcPr>
            <w:tcW w:w="20" w:type="dxa"/>
            <w:shd w:val="clear" w:color="auto" w:fill="auto"/>
          </w:tcPr>
          <w:p w14:paraId="20AE29D9" w14:textId="77777777" w:rsidR="00B626E7" w:rsidRDefault="00B626E7">
            <w:pPr>
              <w:rPr>
                <w:rFonts w:ascii="宋体"/>
              </w:rPr>
            </w:pPr>
          </w:p>
        </w:tc>
        <w:tc>
          <w:tcPr>
            <w:tcW w:w="5165" w:type="dxa"/>
            <w:shd w:val="clear" w:color="auto" w:fill="auto"/>
          </w:tcPr>
          <w:p w14:paraId="20AE29DA" w14:textId="77777777" w:rsidR="00B626E7" w:rsidRDefault="00B626E7">
            <w:pPr>
              <w:rPr>
                <w:rFonts w:ascii="宋体"/>
              </w:rPr>
            </w:pPr>
          </w:p>
        </w:tc>
        <w:tc>
          <w:tcPr>
            <w:tcW w:w="20" w:type="dxa"/>
            <w:shd w:val="clear" w:color="auto" w:fill="auto"/>
          </w:tcPr>
          <w:p w14:paraId="20AE29DB" w14:textId="77777777" w:rsidR="00B626E7" w:rsidRDefault="00B626E7">
            <w:pPr>
              <w:rPr>
                <w:rFonts w:ascii="宋体"/>
              </w:rPr>
            </w:pPr>
          </w:p>
        </w:tc>
      </w:tr>
      <w:tr w:rsidR="00B626E7" w14:paraId="20AE29E1" w14:textId="77777777">
        <w:tc>
          <w:tcPr>
            <w:tcW w:w="0" w:type="auto"/>
            <w:gridSpan w:val="3"/>
            <w:shd w:val="clear" w:color="auto" w:fill="auto"/>
            <w:tcMar>
              <w:left w:w="20" w:type="dxa"/>
              <w:right w:w="20" w:type="dxa"/>
            </w:tcMar>
            <w:vAlign w:val="bottom"/>
          </w:tcPr>
          <w:p w14:paraId="20AE29DD" w14:textId="77777777" w:rsidR="00B626E7" w:rsidRDefault="00B626E7">
            <w:pPr>
              <w:rPr>
                <w:rFonts w:ascii="宋体"/>
              </w:rPr>
            </w:pPr>
          </w:p>
        </w:tc>
        <w:tc>
          <w:tcPr>
            <w:tcW w:w="0" w:type="auto"/>
            <w:gridSpan w:val="3"/>
            <w:tcBorders>
              <w:bottom w:val="single" w:sz="8" w:space="0" w:color="333333"/>
            </w:tcBorders>
            <w:shd w:val="clear" w:color="auto" w:fill="auto"/>
            <w:tcMar>
              <w:top w:w="40" w:type="dxa"/>
              <w:left w:w="20" w:type="dxa"/>
              <w:bottom w:w="40" w:type="dxa"/>
              <w:right w:w="20" w:type="dxa"/>
            </w:tcMar>
            <w:vAlign w:val="bottom"/>
          </w:tcPr>
          <w:p w14:paraId="20AE29DE" w14:textId="77777777" w:rsidR="00B626E7" w:rsidRDefault="00175C1D">
            <w:pPr>
              <w:jc w:val="center"/>
              <w:textAlignment w:val="bottom"/>
            </w:pPr>
            <w:r>
              <w:rPr>
                <w:rFonts w:ascii="Arial" w:eastAsia="宋体" w:hAnsi="Arial" w:cs="Arial"/>
                <w:b/>
                <w:bCs/>
                <w:color w:val="0071C5"/>
                <w:sz w:val="20"/>
                <w:szCs w:val="20"/>
              </w:rPr>
              <w:t>INTERNET OF THINGS REVENUE $B</w:t>
            </w:r>
          </w:p>
        </w:tc>
        <w:tc>
          <w:tcPr>
            <w:tcW w:w="0" w:type="auto"/>
            <w:gridSpan w:val="3"/>
            <w:shd w:val="clear" w:color="auto" w:fill="auto"/>
            <w:tcMar>
              <w:left w:w="20" w:type="dxa"/>
              <w:right w:w="20" w:type="dxa"/>
            </w:tcMar>
            <w:vAlign w:val="bottom"/>
          </w:tcPr>
          <w:p w14:paraId="20AE29DF" w14:textId="77777777" w:rsidR="00B626E7" w:rsidRDefault="00B626E7">
            <w:pPr>
              <w:rPr>
                <w:rFonts w:ascii="宋体"/>
              </w:rPr>
            </w:pPr>
          </w:p>
        </w:tc>
        <w:tc>
          <w:tcPr>
            <w:tcW w:w="0" w:type="auto"/>
            <w:gridSpan w:val="3"/>
            <w:tcBorders>
              <w:bottom w:val="single" w:sz="8" w:space="0" w:color="333333"/>
            </w:tcBorders>
            <w:shd w:val="clear" w:color="auto" w:fill="auto"/>
            <w:tcMar>
              <w:top w:w="40" w:type="dxa"/>
              <w:left w:w="20" w:type="dxa"/>
              <w:bottom w:w="40" w:type="dxa"/>
              <w:right w:w="20" w:type="dxa"/>
            </w:tcMar>
            <w:vAlign w:val="bottom"/>
          </w:tcPr>
          <w:p w14:paraId="20AE29E0" w14:textId="77777777" w:rsidR="00B626E7" w:rsidRDefault="00175C1D">
            <w:pPr>
              <w:jc w:val="center"/>
              <w:textAlignment w:val="bottom"/>
            </w:pPr>
            <w:r>
              <w:rPr>
                <w:rFonts w:ascii="Arial" w:eastAsia="宋体" w:hAnsi="Arial" w:cs="Arial"/>
                <w:b/>
                <w:bCs/>
                <w:color w:val="0071C5"/>
                <w:sz w:val="20"/>
                <w:szCs w:val="20"/>
              </w:rPr>
              <w:t>INTERNET OF THINGS OPERATING INCOME $B</w:t>
            </w:r>
          </w:p>
        </w:tc>
      </w:tr>
    </w:tbl>
    <w:p w14:paraId="20AE29E2" w14:textId="77777777" w:rsidR="00B626E7" w:rsidRDefault="00175C1D">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Viewer10_files/intc-20200627_g37.jpg"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75" wp14:editId="20AE3C76">
            <wp:extent cx="304800" cy="304800"/>
            <wp:effectExtent l="0" t="0" r="0" b="0"/>
            <wp:docPr id="109" name="图片 101"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1" descr="IMG_29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Viewer10_files/intc-202</w:instrText>
      </w:r>
      <w:r>
        <w:rPr>
          <w:rFonts w:ascii="宋体" w:eastAsia="宋体" w:hAnsi="宋体" w:cs="宋体"/>
        </w:rPr>
        <w:instrText xml:space="preserve">00627_g38.jpg"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77" wp14:editId="20AE3C78">
            <wp:extent cx="304800" cy="304800"/>
            <wp:effectExtent l="0" t="0" r="0" b="0"/>
            <wp:docPr id="60" name="图片 102"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02" descr="IMG_29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950" w:type="dxa"/>
        <w:tblCellMar>
          <w:top w:w="15" w:type="dxa"/>
          <w:left w:w="15" w:type="dxa"/>
          <w:bottom w:w="15" w:type="dxa"/>
          <w:right w:w="15" w:type="dxa"/>
        </w:tblCellMar>
        <w:tblLook w:val="04A0" w:firstRow="1" w:lastRow="0" w:firstColumn="1" w:lastColumn="0" w:noHBand="0" w:noVBand="1"/>
      </w:tblPr>
      <w:tblGrid>
        <w:gridCol w:w="37"/>
        <w:gridCol w:w="1490"/>
        <w:gridCol w:w="36"/>
        <w:gridCol w:w="36"/>
        <w:gridCol w:w="1194"/>
        <w:gridCol w:w="36"/>
        <w:gridCol w:w="36"/>
        <w:gridCol w:w="1260"/>
        <w:gridCol w:w="36"/>
        <w:gridCol w:w="36"/>
        <w:gridCol w:w="1359"/>
        <w:gridCol w:w="36"/>
        <w:gridCol w:w="36"/>
        <w:gridCol w:w="1185"/>
        <w:gridCol w:w="36"/>
        <w:gridCol w:w="36"/>
        <w:gridCol w:w="1383"/>
        <w:gridCol w:w="36"/>
        <w:gridCol w:w="36"/>
        <w:gridCol w:w="1274"/>
        <w:gridCol w:w="36"/>
        <w:gridCol w:w="36"/>
        <w:gridCol w:w="1228"/>
        <w:gridCol w:w="36"/>
      </w:tblGrid>
      <w:tr w:rsidR="00B626E7" w14:paraId="20AE29FB" w14:textId="77777777">
        <w:tc>
          <w:tcPr>
            <w:tcW w:w="20" w:type="dxa"/>
            <w:shd w:val="clear" w:color="auto" w:fill="auto"/>
          </w:tcPr>
          <w:p w14:paraId="20AE29E3" w14:textId="77777777" w:rsidR="00B626E7" w:rsidRDefault="00B626E7">
            <w:pPr>
              <w:rPr>
                <w:rFonts w:ascii="宋体"/>
              </w:rPr>
            </w:pPr>
          </w:p>
        </w:tc>
        <w:tc>
          <w:tcPr>
            <w:tcW w:w="1535" w:type="dxa"/>
            <w:shd w:val="clear" w:color="auto" w:fill="auto"/>
          </w:tcPr>
          <w:p w14:paraId="20AE29E4" w14:textId="77777777" w:rsidR="00B626E7" w:rsidRDefault="00B626E7">
            <w:pPr>
              <w:rPr>
                <w:rFonts w:ascii="宋体"/>
              </w:rPr>
            </w:pPr>
          </w:p>
        </w:tc>
        <w:tc>
          <w:tcPr>
            <w:tcW w:w="20" w:type="dxa"/>
            <w:shd w:val="clear" w:color="auto" w:fill="auto"/>
          </w:tcPr>
          <w:p w14:paraId="20AE29E5" w14:textId="77777777" w:rsidR="00B626E7" w:rsidRDefault="00B626E7">
            <w:pPr>
              <w:rPr>
                <w:rFonts w:ascii="宋体"/>
              </w:rPr>
            </w:pPr>
          </w:p>
        </w:tc>
        <w:tc>
          <w:tcPr>
            <w:tcW w:w="20" w:type="dxa"/>
            <w:shd w:val="clear" w:color="auto" w:fill="auto"/>
          </w:tcPr>
          <w:p w14:paraId="20AE29E6" w14:textId="77777777" w:rsidR="00B626E7" w:rsidRDefault="00B626E7">
            <w:pPr>
              <w:rPr>
                <w:rFonts w:ascii="宋体"/>
              </w:rPr>
            </w:pPr>
          </w:p>
        </w:tc>
        <w:tc>
          <w:tcPr>
            <w:tcW w:w="1220" w:type="dxa"/>
            <w:shd w:val="clear" w:color="auto" w:fill="auto"/>
          </w:tcPr>
          <w:p w14:paraId="20AE29E7" w14:textId="77777777" w:rsidR="00B626E7" w:rsidRDefault="00B626E7">
            <w:pPr>
              <w:rPr>
                <w:rFonts w:ascii="宋体"/>
              </w:rPr>
            </w:pPr>
          </w:p>
        </w:tc>
        <w:tc>
          <w:tcPr>
            <w:tcW w:w="20" w:type="dxa"/>
            <w:shd w:val="clear" w:color="auto" w:fill="auto"/>
          </w:tcPr>
          <w:p w14:paraId="20AE29E8" w14:textId="77777777" w:rsidR="00B626E7" w:rsidRDefault="00B626E7">
            <w:pPr>
              <w:rPr>
                <w:rFonts w:ascii="宋体"/>
              </w:rPr>
            </w:pPr>
          </w:p>
        </w:tc>
        <w:tc>
          <w:tcPr>
            <w:tcW w:w="20" w:type="dxa"/>
            <w:shd w:val="clear" w:color="auto" w:fill="auto"/>
          </w:tcPr>
          <w:p w14:paraId="20AE29E9" w14:textId="77777777" w:rsidR="00B626E7" w:rsidRDefault="00B626E7">
            <w:pPr>
              <w:rPr>
                <w:rFonts w:ascii="宋体"/>
              </w:rPr>
            </w:pPr>
          </w:p>
        </w:tc>
        <w:tc>
          <w:tcPr>
            <w:tcW w:w="1280" w:type="dxa"/>
            <w:shd w:val="clear" w:color="auto" w:fill="auto"/>
          </w:tcPr>
          <w:p w14:paraId="20AE29EA" w14:textId="77777777" w:rsidR="00B626E7" w:rsidRDefault="00B626E7">
            <w:pPr>
              <w:rPr>
                <w:rFonts w:ascii="宋体"/>
              </w:rPr>
            </w:pPr>
          </w:p>
        </w:tc>
        <w:tc>
          <w:tcPr>
            <w:tcW w:w="20" w:type="dxa"/>
            <w:shd w:val="clear" w:color="auto" w:fill="auto"/>
          </w:tcPr>
          <w:p w14:paraId="20AE29EB" w14:textId="77777777" w:rsidR="00B626E7" w:rsidRDefault="00B626E7">
            <w:pPr>
              <w:rPr>
                <w:rFonts w:ascii="宋体"/>
              </w:rPr>
            </w:pPr>
          </w:p>
        </w:tc>
        <w:tc>
          <w:tcPr>
            <w:tcW w:w="20" w:type="dxa"/>
            <w:shd w:val="clear" w:color="auto" w:fill="auto"/>
          </w:tcPr>
          <w:p w14:paraId="20AE29EC" w14:textId="77777777" w:rsidR="00B626E7" w:rsidRDefault="00B626E7">
            <w:pPr>
              <w:rPr>
                <w:rFonts w:ascii="宋体"/>
              </w:rPr>
            </w:pPr>
          </w:p>
        </w:tc>
        <w:tc>
          <w:tcPr>
            <w:tcW w:w="1400" w:type="dxa"/>
            <w:shd w:val="clear" w:color="auto" w:fill="auto"/>
          </w:tcPr>
          <w:p w14:paraId="20AE29ED" w14:textId="77777777" w:rsidR="00B626E7" w:rsidRDefault="00B626E7">
            <w:pPr>
              <w:rPr>
                <w:rFonts w:ascii="宋体"/>
              </w:rPr>
            </w:pPr>
          </w:p>
        </w:tc>
        <w:tc>
          <w:tcPr>
            <w:tcW w:w="20" w:type="dxa"/>
            <w:shd w:val="clear" w:color="auto" w:fill="auto"/>
          </w:tcPr>
          <w:p w14:paraId="20AE29EE" w14:textId="77777777" w:rsidR="00B626E7" w:rsidRDefault="00B626E7">
            <w:pPr>
              <w:rPr>
                <w:rFonts w:ascii="宋体"/>
              </w:rPr>
            </w:pPr>
          </w:p>
        </w:tc>
        <w:tc>
          <w:tcPr>
            <w:tcW w:w="20" w:type="dxa"/>
            <w:shd w:val="clear" w:color="auto" w:fill="auto"/>
          </w:tcPr>
          <w:p w14:paraId="20AE29EF" w14:textId="77777777" w:rsidR="00B626E7" w:rsidRDefault="00B626E7">
            <w:pPr>
              <w:rPr>
                <w:rFonts w:ascii="宋体"/>
              </w:rPr>
            </w:pPr>
          </w:p>
        </w:tc>
        <w:tc>
          <w:tcPr>
            <w:tcW w:w="1220" w:type="dxa"/>
            <w:shd w:val="clear" w:color="auto" w:fill="auto"/>
          </w:tcPr>
          <w:p w14:paraId="20AE29F0" w14:textId="77777777" w:rsidR="00B626E7" w:rsidRDefault="00B626E7">
            <w:pPr>
              <w:rPr>
                <w:rFonts w:ascii="宋体"/>
              </w:rPr>
            </w:pPr>
          </w:p>
        </w:tc>
        <w:tc>
          <w:tcPr>
            <w:tcW w:w="20" w:type="dxa"/>
            <w:shd w:val="clear" w:color="auto" w:fill="auto"/>
          </w:tcPr>
          <w:p w14:paraId="20AE29F1" w14:textId="77777777" w:rsidR="00B626E7" w:rsidRDefault="00B626E7">
            <w:pPr>
              <w:rPr>
                <w:rFonts w:ascii="宋体"/>
              </w:rPr>
            </w:pPr>
          </w:p>
        </w:tc>
        <w:tc>
          <w:tcPr>
            <w:tcW w:w="20" w:type="dxa"/>
            <w:shd w:val="clear" w:color="auto" w:fill="auto"/>
          </w:tcPr>
          <w:p w14:paraId="20AE29F2" w14:textId="77777777" w:rsidR="00B626E7" w:rsidRDefault="00B626E7">
            <w:pPr>
              <w:rPr>
                <w:rFonts w:ascii="宋体"/>
              </w:rPr>
            </w:pPr>
          </w:p>
        </w:tc>
        <w:tc>
          <w:tcPr>
            <w:tcW w:w="1415" w:type="dxa"/>
            <w:shd w:val="clear" w:color="auto" w:fill="auto"/>
          </w:tcPr>
          <w:p w14:paraId="20AE29F3" w14:textId="77777777" w:rsidR="00B626E7" w:rsidRDefault="00B626E7">
            <w:pPr>
              <w:rPr>
                <w:rFonts w:ascii="宋体"/>
              </w:rPr>
            </w:pPr>
          </w:p>
        </w:tc>
        <w:tc>
          <w:tcPr>
            <w:tcW w:w="20" w:type="dxa"/>
            <w:shd w:val="clear" w:color="auto" w:fill="auto"/>
          </w:tcPr>
          <w:p w14:paraId="20AE29F4" w14:textId="77777777" w:rsidR="00B626E7" w:rsidRDefault="00B626E7">
            <w:pPr>
              <w:rPr>
                <w:rFonts w:ascii="宋体"/>
              </w:rPr>
            </w:pPr>
          </w:p>
        </w:tc>
        <w:tc>
          <w:tcPr>
            <w:tcW w:w="20" w:type="dxa"/>
            <w:shd w:val="clear" w:color="auto" w:fill="auto"/>
          </w:tcPr>
          <w:p w14:paraId="20AE29F5" w14:textId="77777777" w:rsidR="00B626E7" w:rsidRDefault="00B626E7">
            <w:pPr>
              <w:rPr>
                <w:rFonts w:ascii="宋体"/>
              </w:rPr>
            </w:pPr>
          </w:p>
        </w:tc>
        <w:tc>
          <w:tcPr>
            <w:tcW w:w="1295" w:type="dxa"/>
            <w:shd w:val="clear" w:color="auto" w:fill="auto"/>
          </w:tcPr>
          <w:p w14:paraId="20AE29F6" w14:textId="77777777" w:rsidR="00B626E7" w:rsidRDefault="00B626E7">
            <w:pPr>
              <w:rPr>
                <w:rFonts w:ascii="宋体"/>
              </w:rPr>
            </w:pPr>
          </w:p>
        </w:tc>
        <w:tc>
          <w:tcPr>
            <w:tcW w:w="20" w:type="dxa"/>
            <w:shd w:val="clear" w:color="auto" w:fill="auto"/>
          </w:tcPr>
          <w:p w14:paraId="20AE29F7" w14:textId="77777777" w:rsidR="00B626E7" w:rsidRDefault="00B626E7">
            <w:pPr>
              <w:rPr>
                <w:rFonts w:ascii="宋体"/>
              </w:rPr>
            </w:pPr>
          </w:p>
        </w:tc>
        <w:tc>
          <w:tcPr>
            <w:tcW w:w="20" w:type="dxa"/>
            <w:shd w:val="clear" w:color="auto" w:fill="auto"/>
          </w:tcPr>
          <w:p w14:paraId="20AE29F8" w14:textId="77777777" w:rsidR="00B626E7" w:rsidRDefault="00B626E7">
            <w:pPr>
              <w:rPr>
                <w:rFonts w:ascii="宋体"/>
              </w:rPr>
            </w:pPr>
          </w:p>
        </w:tc>
        <w:tc>
          <w:tcPr>
            <w:tcW w:w="1265" w:type="dxa"/>
            <w:shd w:val="clear" w:color="auto" w:fill="auto"/>
          </w:tcPr>
          <w:p w14:paraId="20AE29F9" w14:textId="77777777" w:rsidR="00B626E7" w:rsidRDefault="00B626E7">
            <w:pPr>
              <w:rPr>
                <w:rFonts w:ascii="宋体"/>
              </w:rPr>
            </w:pPr>
          </w:p>
        </w:tc>
        <w:tc>
          <w:tcPr>
            <w:tcW w:w="20" w:type="dxa"/>
            <w:shd w:val="clear" w:color="auto" w:fill="auto"/>
          </w:tcPr>
          <w:p w14:paraId="20AE29FA" w14:textId="77777777" w:rsidR="00B626E7" w:rsidRDefault="00B626E7">
            <w:pPr>
              <w:rPr>
                <w:rFonts w:ascii="宋体"/>
              </w:rPr>
            </w:pPr>
          </w:p>
        </w:tc>
      </w:tr>
      <w:tr w:rsidR="00B626E7" w14:paraId="20AE2A04" w14:textId="77777777">
        <w:tc>
          <w:tcPr>
            <w:tcW w:w="0" w:type="auto"/>
            <w:gridSpan w:val="3"/>
            <w:shd w:val="clear" w:color="auto" w:fill="auto"/>
            <w:tcMar>
              <w:left w:w="20" w:type="dxa"/>
              <w:right w:w="20" w:type="dxa"/>
            </w:tcMar>
            <w:vAlign w:val="bottom"/>
          </w:tcPr>
          <w:p w14:paraId="20AE29FC"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center"/>
          </w:tcPr>
          <w:p w14:paraId="20AE29FD" w14:textId="77777777" w:rsidR="00B626E7" w:rsidRDefault="00175C1D">
            <w:pPr>
              <w:jc w:val="center"/>
              <w:textAlignment w:val="center"/>
            </w:pPr>
            <w:r>
              <w:rPr>
                <w:rFonts w:ascii="Arial" w:eastAsia="宋体" w:hAnsi="Arial" w:cs="Arial"/>
                <w:color w:val="003C71"/>
                <w:sz w:val="16"/>
                <w:szCs w:val="16"/>
              </w:rPr>
              <w:t>■</w:t>
            </w:r>
            <w:r>
              <w:rPr>
                <w:rFonts w:ascii="Arial" w:eastAsia="宋体" w:hAnsi="Arial" w:cs="Arial"/>
                <w:color w:val="333333"/>
                <w:sz w:val="16"/>
                <w:szCs w:val="16"/>
              </w:rPr>
              <w:t xml:space="preserve"> IOTG </w:t>
            </w:r>
          </w:p>
        </w:tc>
        <w:tc>
          <w:tcPr>
            <w:tcW w:w="0" w:type="auto"/>
            <w:gridSpan w:val="3"/>
            <w:shd w:val="clear" w:color="auto" w:fill="auto"/>
            <w:tcMar>
              <w:top w:w="40" w:type="dxa"/>
              <w:left w:w="20" w:type="dxa"/>
              <w:bottom w:w="40" w:type="dxa"/>
              <w:right w:w="20" w:type="dxa"/>
            </w:tcMar>
            <w:vAlign w:val="center"/>
          </w:tcPr>
          <w:p w14:paraId="20AE29FE" w14:textId="77777777" w:rsidR="00B626E7" w:rsidRDefault="00175C1D">
            <w:pPr>
              <w:textAlignment w:val="center"/>
            </w:pPr>
            <w:r>
              <w:rPr>
                <w:rFonts w:ascii="Arial" w:eastAsia="宋体" w:hAnsi="Arial" w:cs="Arial"/>
                <w:color w:val="0094FF"/>
                <w:sz w:val="16"/>
                <w:szCs w:val="16"/>
              </w:rPr>
              <w:t xml:space="preserve">■ </w:t>
            </w:r>
            <w:r>
              <w:rPr>
                <w:rFonts w:ascii="Arial" w:eastAsia="宋体" w:hAnsi="Arial" w:cs="Arial"/>
                <w:color w:val="333333"/>
                <w:sz w:val="16"/>
                <w:szCs w:val="16"/>
              </w:rPr>
              <w:t>Mobileye</w:t>
            </w:r>
          </w:p>
        </w:tc>
        <w:tc>
          <w:tcPr>
            <w:tcW w:w="0" w:type="auto"/>
            <w:gridSpan w:val="3"/>
            <w:shd w:val="clear" w:color="auto" w:fill="auto"/>
            <w:tcMar>
              <w:left w:w="20" w:type="dxa"/>
              <w:right w:w="20" w:type="dxa"/>
            </w:tcMar>
            <w:vAlign w:val="bottom"/>
          </w:tcPr>
          <w:p w14:paraId="20AE29FF"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A00"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center"/>
          </w:tcPr>
          <w:p w14:paraId="20AE2A01" w14:textId="77777777" w:rsidR="00B626E7" w:rsidRDefault="00175C1D">
            <w:pPr>
              <w:jc w:val="center"/>
              <w:textAlignment w:val="center"/>
            </w:pPr>
            <w:r>
              <w:rPr>
                <w:rFonts w:ascii="Arial" w:eastAsia="宋体" w:hAnsi="Arial" w:cs="Arial"/>
                <w:color w:val="003C71"/>
                <w:sz w:val="16"/>
                <w:szCs w:val="16"/>
              </w:rPr>
              <w:t>■</w:t>
            </w:r>
            <w:r>
              <w:rPr>
                <w:rFonts w:ascii="Arial" w:eastAsia="宋体" w:hAnsi="Arial" w:cs="Arial"/>
                <w:color w:val="333333"/>
                <w:sz w:val="16"/>
                <w:szCs w:val="16"/>
              </w:rPr>
              <w:t xml:space="preserve"> IOTG </w:t>
            </w:r>
          </w:p>
        </w:tc>
        <w:tc>
          <w:tcPr>
            <w:tcW w:w="0" w:type="auto"/>
            <w:gridSpan w:val="3"/>
            <w:shd w:val="clear" w:color="auto" w:fill="auto"/>
            <w:tcMar>
              <w:top w:w="40" w:type="dxa"/>
              <w:left w:w="20" w:type="dxa"/>
              <w:bottom w:w="40" w:type="dxa"/>
              <w:right w:w="20" w:type="dxa"/>
            </w:tcMar>
            <w:vAlign w:val="center"/>
          </w:tcPr>
          <w:p w14:paraId="20AE2A02" w14:textId="77777777" w:rsidR="00B626E7" w:rsidRDefault="00175C1D">
            <w:pPr>
              <w:textAlignment w:val="center"/>
            </w:pPr>
            <w:r>
              <w:rPr>
                <w:rFonts w:ascii="Arial" w:eastAsia="宋体" w:hAnsi="Arial" w:cs="Arial"/>
                <w:color w:val="0094FF"/>
                <w:sz w:val="16"/>
                <w:szCs w:val="16"/>
              </w:rPr>
              <w:t xml:space="preserve">■ </w:t>
            </w:r>
            <w:r>
              <w:rPr>
                <w:rFonts w:ascii="Arial" w:eastAsia="宋体" w:hAnsi="Arial" w:cs="Arial"/>
                <w:color w:val="333333"/>
                <w:sz w:val="16"/>
                <w:szCs w:val="16"/>
              </w:rPr>
              <w:t>Mobileye</w:t>
            </w:r>
          </w:p>
        </w:tc>
        <w:tc>
          <w:tcPr>
            <w:tcW w:w="0" w:type="auto"/>
            <w:gridSpan w:val="3"/>
            <w:shd w:val="clear" w:color="auto" w:fill="auto"/>
            <w:tcMar>
              <w:left w:w="20" w:type="dxa"/>
              <w:right w:w="20" w:type="dxa"/>
            </w:tcMar>
            <w:vAlign w:val="bottom"/>
          </w:tcPr>
          <w:p w14:paraId="20AE2A03" w14:textId="77777777" w:rsidR="00B626E7" w:rsidRDefault="00B626E7">
            <w:pPr>
              <w:rPr>
                <w:rFonts w:ascii="宋体"/>
              </w:rPr>
            </w:pPr>
          </w:p>
        </w:tc>
      </w:tr>
    </w:tbl>
    <w:p w14:paraId="20AE2A05" w14:textId="77777777" w:rsidR="00B626E7" w:rsidRDefault="00B626E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84"/>
        <w:gridCol w:w="8169"/>
        <w:gridCol w:w="83"/>
      </w:tblGrid>
      <w:tr w:rsidR="00B626E7" w14:paraId="20AE2A09" w14:textId="77777777">
        <w:tc>
          <w:tcPr>
            <w:tcW w:w="50" w:type="pct"/>
            <w:shd w:val="clear" w:color="auto" w:fill="auto"/>
          </w:tcPr>
          <w:p w14:paraId="20AE2A06" w14:textId="77777777" w:rsidR="00B626E7" w:rsidRDefault="00B626E7">
            <w:pPr>
              <w:rPr>
                <w:rFonts w:ascii="宋体"/>
              </w:rPr>
            </w:pPr>
          </w:p>
        </w:tc>
        <w:tc>
          <w:tcPr>
            <w:tcW w:w="4900" w:type="pct"/>
            <w:shd w:val="clear" w:color="auto" w:fill="auto"/>
          </w:tcPr>
          <w:p w14:paraId="20AE2A07" w14:textId="77777777" w:rsidR="00B626E7" w:rsidRDefault="00B626E7">
            <w:pPr>
              <w:rPr>
                <w:rFonts w:ascii="宋体"/>
              </w:rPr>
            </w:pPr>
          </w:p>
        </w:tc>
        <w:tc>
          <w:tcPr>
            <w:tcW w:w="50" w:type="pct"/>
            <w:shd w:val="clear" w:color="auto" w:fill="auto"/>
          </w:tcPr>
          <w:p w14:paraId="20AE2A08" w14:textId="77777777" w:rsidR="00B626E7" w:rsidRDefault="00B626E7">
            <w:pPr>
              <w:rPr>
                <w:rFonts w:ascii="宋体"/>
              </w:rPr>
            </w:pPr>
          </w:p>
        </w:tc>
      </w:tr>
      <w:tr w:rsidR="00B626E7" w14:paraId="20AE2A0B" w14:textId="77777777">
        <w:tc>
          <w:tcPr>
            <w:tcW w:w="0" w:type="auto"/>
            <w:gridSpan w:val="3"/>
            <w:tcBorders>
              <w:bottom w:val="single" w:sz="8" w:space="0" w:color="333333"/>
            </w:tcBorders>
            <w:shd w:val="clear" w:color="auto" w:fill="auto"/>
            <w:tcMar>
              <w:top w:w="40" w:type="dxa"/>
              <w:left w:w="20" w:type="dxa"/>
              <w:bottom w:w="40" w:type="dxa"/>
              <w:right w:w="20" w:type="dxa"/>
            </w:tcMar>
            <w:vAlign w:val="bottom"/>
          </w:tcPr>
          <w:p w14:paraId="20AE2A0A" w14:textId="77777777" w:rsidR="00B626E7" w:rsidRDefault="00175C1D">
            <w:pPr>
              <w:textAlignment w:val="bottom"/>
            </w:pPr>
            <w:r>
              <w:rPr>
                <w:rFonts w:ascii="Arial" w:eastAsia="宋体" w:hAnsi="Arial" w:cs="Arial"/>
                <w:b/>
                <w:bCs/>
                <w:color w:val="0071C5"/>
                <w:sz w:val="20"/>
                <w:szCs w:val="20"/>
              </w:rPr>
              <w:t>REVENUE AND OPERATING INCOME SUMMARY</w:t>
            </w:r>
          </w:p>
        </w:tc>
      </w:tr>
    </w:tbl>
    <w:p w14:paraId="20AE2A0C" w14:textId="77777777" w:rsidR="00B626E7" w:rsidRDefault="00B626E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84"/>
        <w:gridCol w:w="8169"/>
        <w:gridCol w:w="83"/>
      </w:tblGrid>
      <w:tr w:rsidR="00B626E7" w14:paraId="20AE2A10" w14:textId="77777777">
        <w:tc>
          <w:tcPr>
            <w:tcW w:w="50" w:type="pct"/>
            <w:shd w:val="clear" w:color="auto" w:fill="auto"/>
          </w:tcPr>
          <w:p w14:paraId="20AE2A0D" w14:textId="77777777" w:rsidR="00B626E7" w:rsidRDefault="00B626E7">
            <w:pPr>
              <w:rPr>
                <w:rFonts w:ascii="宋体"/>
              </w:rPr>
            </w:pPr>
          </w:p>
        </w:tc>
        <w:tc>
          <w:tcPr>
            <w:tcW w:w="4900" w:type="pct"/>
            <w:shd w:val="clear" w:color="auto" w:fill="auto"/>
          </w:tcPr>
          <w:p w14:paraId="20AE2A0E" w14:textId="77777777" w:rsidR="00B626E7" w:rsidRDefault="00B626E7">
            <w:pPr>
              <w:rPr>
                <w:rFonts w:ascii="宋体"/>
              </w:rPr>
            </w:pPr>
          </w:p>
        </w:tc>
        <w:tc>
          <w:tcPr>
            <w:tcW w:w="50" w:type="pct"/>
            <w:shd w:val="clear" w:color="auto" w:fill="auto"/>
          </w:tcPr>
          <w:p w14:paraId="20AE2A0F" w14:textId="77777777" w:rsidR="00B626E7" w:rsidRDefault="00B626E7">
            <w:pPr>
              <w:rPr>
                <w:rFonts w:ascii="宋体"/>
              </w:rPr>
            </w:pPr>
          </w:p>
        </w:tc>
      </w:tr>
      <w:tr w:rsidR="00B626E7" w14:paraId="20AE2A12" w14:textId="77777777">
        <w:tc>
          <w:tcPr>
            <w:tcW w:w="0" w:type="auto"/>
            <w:gridSpan w:val="3"/>
            <w:tcBorders>
              <w:bottom w:val="single" w:sz="8" w:space="0" w:color="333333"/>
            </w:tcBorders>
            <w:shd w:val="clear" w:color="auto" w:fill="auto"/>
            <w:tcMar>
              <w:top w:w="40" w:type="dxa"/>
              <w:left w:w="20" w:type="dxa"/>
              <w:bottom w:w="40" w:type="dxa"/>
              <w:right w:w="20" w:type="dxa"/>
            </w:tcMar>
            <w:vAlign w:val="bottom"/>
          </w:tcPr>
          <w:p w14:paraId="20AE2A11" w14:textId="77777777" w:rsidR="00B626E7" w:rsidRDefault="00175C1D">
            <w:pPr>
              <w:textAlignment w:val="bottom"/>
            </w:pPr>
            <w:r>
              <w:rPr>
                <w:rFonts w:ascii="Arial" w:eastAsia="宋体" w:hAnsi="Arial" w:cs="Arial"/>
                <w:b/>
                <w:bCs/>
                <w:color w:val="333333"/>
                <w:sz w:val="20"/>
                <w:szCs w:val="20"/>
              </w:rPr>
              <w:t>Q2 2020 vs. Q2 2019</w:t>
            </w:r>
          </w:p>
        </w:tc>
      </w:tr>
    </w:tbl>
    <w:p w14:paraId="20AE2A13" w14:textId="77777777" w:rsidR="00B626E7" w:rsidRDefault="00175C1D">
      <w:pPr>
        <w:spacing w:after="180"/>
      </w:pPr>
      <w:r>
        <w:rPr>
          <w:rFonts w:ascii="Arial" w:eastAsia="宋体" w:hAnsi="Arial" w:cs="Arial"/>
          <w:color w:val="333333"/>
          <w:sz w:val="18"/>
          <w:szCs w:val="18"/>
        </w:rPr>
        <w:t>IOTG revenue was $670 million, down $316 million, driven by weaker demand for IOTG platform products in industrial, retail, and vision, primarily due to COVID-19. Demand was also negatively impacted by trade restrictions related to the U.S. government's En</w:t>
      </w:r>
      <w:r>
        <w:rPr>
          <w:rFonts w:ascii="Arial" w:eastAsia="宋体" w:hAnsi="Arial" w:cs="Arial"/>
          <w:color w:val="333333"/>
          <w:sz w:val="18"/>
          <w:szCs w:val="18"/>
        </w:rPr>
        <w:t xml:space="preserve">tity List publication. Operating income was $70 million, down $224 million year over year. </w:t>
      </w:r>
    </w:p>
    <w:p w14:paraId="20AE2A14" w14:textId="77777777" w:rsidR="00B626E7" w:rsidRDefault="00175C1D">
      <w:pPr>
        <w:spacing w:after="180"/>
      </w:pPr>
      <w:r>
        <w:rPr>
          <w:rFonts w:ascii="Arial" w:eastAsia="宋体" w:hAnsi="Arial" w:cs="Arial"/>
          <w:color w:val="333333"/>
          <w:sz w:val="18"/>
          <w:szCs w:val="18"/>
        </w:rPr>
        <w:t xml:space="preserve">Mobileye revenue was $146 million, down $55 million, due to lower demand as a result of significant decline in global vehicle production related to COVID-19. Mobileye had an operating loss of $4 million, down $57 million from an operating income in 2019. </w:t>
      </w:r>
    </w:p>
    <w:tbl>
      <w:tblPr>
        <w:tblW w:w="5000" w:type="pct"/>
        <w:tblCellMar>
          <w:top w:w="15" w:type="dxa"/>
          <w:left w:w="15" w:type="dxa"/>
          <w:bottom w:w="15" w:type="dxa"/>
          <w:right w:w="15" w:type="dxa"/>
        </w:tblCellMar>
        <w:tblLook w:val="04A0" w:firstRow="1" w:lastRow="0" w:firstColumn="1" w:lastColumn="0" w:noHBand="0" w:noVBand="1"/>
      </w:tblPr>
      <w:tblGrid>
        <w:gridCol w:w="84"/>
        <w:gridCol w:w="8169"/>
        <w:gridCol w:w="83"/>
      </w:tblGrid>
      <w:tr w:rsidR="00B626E7" w14:paraId="20AE2A18" w14:textId="77777777">
        <w:tc>
          <w:tcPr>
            <w:tcW w:w="50" w:type="pct"/>
            <w:shd w:val="clear" w:color="auto" w:fill="auto"/>
          </w:tcPr>
          <w:p w14:paraId="20AE2A15" w14:textId="77777777" w:rsidR="00B626E7" w:rsidRDefault="00B626E7">
            <w:pPr>
              <w:rPr>
                <w:rFonts w:ascii="宋体"/>
              </w:rPr>
            </w:pPr>
          </w:p>
        </w:tc>
        <w:tc>
          <w:tcPr>
            <w:tcW w:w="4900" w:type="pct"/>
            <w:shd w:val="clear" w:color="auto" w:fill="auto"/>
          </w:tcPr>
          <w:p w14:paraId="20AE2A16" w14:textId="77777777" w:rsidR="00B626E7" w:rsidRDefault="00B626E7">
            <w:pPr>
              <w:rPr>
                <w:rFonts w:ascii="宋体"/>
              </w:rPr>
            </w:pPr>
          </w:p>
        </w:tc>
        <w:tc>
          <w:tcPr>
            <w:tcW w:w="50" w:type="pct"/>
            <w:shd w:val="clear" w:color="auto" w:fill="auto"/>
          </w:tcPr>
          <w:p w14:paraId="20AE2A17" w14:textId="77777777" w:rsidR="00B626E7" w:rsidRDefault="00B626E7">
            <w:pPr>
              <w:rPr>
                <w:rFonts w:ascii="宋体"/>
              </w:rPr>
            </w:pPr>
          </w:p>
        </w:tc>
      </w:tr>
      <w:tr w:rsidR="00B626E7" w14:paraId="20AE2A1A" w14:textId="77777777">
        <w:tc>
          <w:tcPr>
            <w:tcW w:w="0" w:type="auto"/>
            <w:gridSpan w:val="3"/>
            <w:tcBorders>
              <w:bottom w:val="single" w:sz="8" w:space="0" w:color="333333"/>
            </w:tcBorders>
            <w:shd w:val="clear" w:color="auto" w:fill="auto"/>
            <w:tcMar>
              <w:top w:w="40" w:type="dxa"/>
              <w:left w:w="20" w:type="dxa"/>
              <w:bottom w:w="40" w:type="dxa"/>
              <w:right w:w="20" w:type="dxa"/>
            </w:tcMar>
            <w:vAlign w:val="bottom"/>
          </w:tcPr>
          <w:p w14:paraId="20AE2A19" w14:textId="77777777" w:rsidR="00B626E7" w:rsidRDefault="00175C1D">
            <w:pPr>
              <w:textAlignment w:val="bottom"/>
            </w:pPr>
            <w:r>
              <w:rPr>
                <w:rFonts w:ascii="Arial" w:eastAsia="宋体" w:hAnsi="Arial" w:cs="Arial"/>
                <w:b/>
                <w:bCs/>
                <w:color w:val="333333"/>
                <w:sz w:val="20"/>
                <w:szCs w:val="20"/>
              </w:rPr>
              <w:t>YTD 2020 vs. YTD 2019</w:t>
            </w:r>
          </w:p>
        </w:tc>
      </w:tr>
    </w:tbl>
    <w:p w14:paraId="20AE2A1B" w14:textId="77777777" w:rsidR="00B626E7" w:rsidRDefault="00175C1D">
      <w:pPr>
        <w:spacing w:after="180"/>
      </w:pPr>
      <w:r>
        <w:rPr>
          <w:rFonts w:ascii="Arial" w:eastAsia="宋体" w:hAnsi="Arial" w:cs="Arial"/>
          <w:color w:val="333333"/>
          <w:sz w:val="18"/>
          <w:szCs w:val="18"/>
        </w:rPr>
        <w:t>IOTG revenue was $1.6 billion, down $343 million, driven by weaker demand for IOTG platform products in industrial, retail, and vision due to COVID-19. Demand was also negatively impacted by trade restrictions related to the U.S.</w:t>
      </w:r>
      <w:r>
        <w:rPr>
          <w:rFonts w:ascii="Arial" w:eastAsia="宋体" w:hAnsi="Arial" w:cs="Arial"/>
          <w:color w:val="333333"/>
          <w:sz w:val="18"/>
          <w:szCs w:val="18"/>
        </w:rPr>
        <w:t xml:space="preserve"> government's Entity List publication, the effects of which are expected to continue in the second half of 2020. Operating income was $313 million, down $232 million compared to YTD 2019. </w:t>
      </w:r>
    </w:p>
    <w:p w14:paraId="20AE2A1C" w14:textId="77777777" w:rsidR="00B626E7" w:rsidRDefault="00175C1D">
      <w:pPr>
        <w:spacing w:after="180"/>
      </w:pPr>
      <w:r>
        <w:rPr>
          <w:rFonts w:ascii="Arial" w:eastAsia="宋体" w:hAnsi="Arial" w:cs="Arial"/>
          <w:color w:val="333333"/>
          <w:sz w:val="18"/>
          <w:szCs w:val="18"/>
        </w:rPr>
        <w:t>Mobileye revenue was $400 million, down $10 million, due to lower d</w:t>
      </w:r>
      <w:r>
        <w:rPr>
          <w:rFonts w:ascii="Arial" w:eastAsia="宋体" w:hAnsi="Arial" w:cs="Arial"/>
          <w:color w:val="333333"/>
          <w:sz w:val="18"/>
          <w:szCs w:val="18"/>
        </w:rPr>
        <w:t xml:space="preserve">emand as a result of significant decline in global vehicle production related to COVID-19. Operating income was $84 million, down $37 million. </w:t>
      </w:r>
    </w:p>
    <w:p w14:paraId="20AE2A1D" w14:textId="77777777" w:rsidR="00B626E7" w:rsidRDefault="00175C1D">
      <w:pPr>
        <w:spacing w:after="180"/>
      </w:pPr>
      <w:r>
        <w:rPr>
          <w:rFonts w:ascii="Arial" w:eastAsia="宋体" w:hAnsi="Arial" w:cs="Arial"/>
          <w:color w:val="333333"/>
          <w:sz w:val="18"/>
          <w:szCs w:val="18"/>
        </w:rPr>
        <w:t>We expect continued negative COVID-19 related impacts on demand for our IOT portfolio in the second half of 2020</w:t>
      </w:r>
      <w:r>
        <w:rPr>
          <w:rFonts w:ascii="Arial" w:eastAsia="宋体" w:hAnsi="Arial" w:cs="Arial"/>
          <w:color w:val="333333"/>
          <w:sz w:val="18"/>
          <w:szCs w:val="18"/>
        </w:rPr>
        <w:t>.</w:t>
      </w:r>
    </w:p>
    <w:p w14:paraId="20AE2A1E" w14:textId="77777777" w:rsidR="00B626E7" w:rsidRDefault="00B626E7">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4"/>
        <w:gridCol w:w="2423"/>
        <w:gridCol w:w="84"/>
        <w:gridCol w:w="83"/>
        <w:gridCol w:w="3471"/>
        <w:gridCol w:w="83"/>
        <w:gridCol w:w="83"/>
        <w:gridCol w:w="1942"/>
        <w:gridCol w:w="83"/>
      </w:tblGrid>
      <w:tr w:rsidR="00B626E7" w14:paraId="20AE2A28" w14:textId="77777777">
        <w:tc>
          <w:tcPr>
            <w:tcW w:w="50" w:type="pct"/>
            <w:shd w:val="clear" w:color="auto" w:fill="auto"/>
            <w:vAlign w:val="bottom"/>
          </w:tcPr>
          <w:p w14:paraId="20AE2A1F" w14:textId="77777777" w:rsidR="00B626E7" w:rsidRDefault="00B626E7">
            <w:pPr>
              <w:rPr>
                <w:rFonts w:ascii="宋体"/>
              </w:rPr>
            </w:pPr>
          </w:p>
        </w:tc>
        <w:tc>
          <w:tcPr>
            <w:tcW w:w="1452" w:type="pct"/>
            <w:shd w:val="clear" w:color="auto" w:fill="auto"/>
            <w:vAlign w:val="bottom"/>
          </w:tcPr>
          <w:p w14:paraId="20AE2A20" w14:textId="77777777" w:rsidR="00B626E7" w:rsidRDefault="00B626E7">
            <w:pPr>
              <w:rPr>
                <w:rFonts w:ascii="宋体"/>
              </w:rPr>
            </w:pPr>
          </w:p>
        </w:tc>
        <w:tc>
          <w:tcPr>
            <w:tcW w:w="50" w:type="pct"/>
            <w:shd w:val="clear" w:color="auto" w:fill="auto"/>
            <w:vAlign w:val="bottom"/>
          </w:tcPr>
          <w:p w14:paraId="20AE2A21" w14:textId="77777777" w:rsidR="00B626E7" w:rsidRDefault="00B626E7">
            <w:pPr>
              <w:rPr>
                <w:rFonts w:ascii="宋体"/>
              </w:rPr>
            </w:pPr>
          </w:p>
        </w:tc>
        <w:tc>
          <w:tcPr>
            <w:tcW w:w="50" w:type="pct"/>
            <w:shd w:val="clear" w:color="auto" w:fill="auto"/>
            <w:vAlign w:val="bottom"/>
          </w:tcPr>
          <w:p w14:paraId="20AE2A22" w14:textId="77777777" w:rsidR="00B626E7" w:rsidRDefault="00B626E7">
            <w:pPr>
              <w:rPr>
                <w:rFonts w:ascii="宋体"/>
              </w:rPr>
            </w:pPr>
          </w:p>
        </w:tc>
        <w:tc>
          <w:tcPr>
            <w:tcW w:w="2081" w:type="pct"/>
            <w:shd w:val="clear" w:color="auto" w:fill="auto"/>
            <w:vAlign w:val="bottom"/>
          </w:tcPr>
          <w:p w14:paraId="20AE2A23" w14:textId="77777777" w:rsidR="00B626E7" w:rsidRDefault="00B626E7">
            <w:pPr>
              <w:rPr>
                <w:rFonts w:ascii="宋体"/>
              </w:rPr>
            </w:pPr>
          </w:p>
        </w:tc>
        <w:tc>
          <w:tcPr>
            <w:tcW w:w="50" w:type="pct"/>
            <w:shd w:val="clear" w:color="auto" w:fill="auto"/>
            <w:vAlign w:val="bottom"/>
          </w:tcPr>
          <w:p w14:paraId="20AE2A24" w14:textId="77777777" w:rsidR="00B626E7" w:rsidRDefault="00B626E7">
            <w:pPr>
              <w:rPr>
                <w:rFonts w:ascii="宋体"/>
              </w:rPr>
            </w:pPr>
          </w:p>
        </w:tc>
        <w:tc>
          <w:tcPr>
            <w:tcW w:w="50" w:type="pct"/>
            <w:shd w:val="clear" w:color="auto" w:fill="auto"/>
            <w:vAlign w:val="bottom"/>
          </w:tcPr>
          <w:p w14:paraId="20AE2A25" w14:textId="77777777" w:rsidR="00B626E7" w:rsidRDefault="00B626E7">
            <w:pPr>
              <w:rPr>
                <w:rFonts w:ascii="宋体"/>
              </w:rPr>
            </w:pPr>
          </w:p>
        </w:tc>
        <w:tc>
          <w:tcPr>
            <w:tcW w:w="1165" w:type="pct"/>
            <w:shd w:val="clear" w:color="auto" w:fill="auto"/>
            <w:vAlign w:val="bottom"/>
          </w:tcPr>
          <w:p w14:paraId="20AE2A26" w14:textId="77777777" w:rsidR="00B626E7" w:rsidRDefault="00B626E7">
            <w:pPr>
              <w:rPr>
                <w:rFonts w:ascii="宋体"/>
              </w:rPr>
            </w:pPr>
          </w:p>
        </w:tc>
        <w:tc>
          <w:tcPr>
            <w:tcW w:w="50" w:type="pct"/>
            <w:shd w:val="clear" w:color="auto" w:fill="auto"/>
            <w:vAlign w:val="bottom"/>
          </w:tcPr>
          <w:p w14:paraId="20AE2A27" w14:textId="77777777" w:rsidR="00B626E7" w:rsidRDefault="00B626E7">
            <w:pPr>
              <w:rPr>
                <w:rFonts w:ascii="宋体"/>
              </w:rPr>
            </w:pPr>
          </w:p>
        </w:tc>
      </w:tr>
      <w:tr w:rsidR="00B626E7" w14:paraId="20AE2A2C" w14:textId="77777777">
        <w:tc>
          <w:tcPr>
            <w:tcW w:w="0" w:type="auto"/>
            <w:gridSpan w:val="3"/>
            <w:tcBorders>
              <w:top w:val="single" w:sz="8" w:space="0" w:color="0071C5"/>
            </w:tcBorders>
            <w:shd w:val="clear" w:color="auto" w:fill="auto"/>
            <w:tcMar>
              <w:top w:w="40" w:type="dxa"/>
              <w:left w:w="20" w:type="dxa"/>
              <w:bottom w:w="40" w:type="dxa"/>
              <w:right w:w="20" w:type="dxa"/>
            </w:tcMar>
            <w:vAlign w:val="center"/>
          </w:tcPr>
          <w:p w14:paraId="20AE2A29" w14:textId="77777777" w:rsidR="00B626E7" w:rsidRDefault="00175C1D">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Viewer10_files/intc-20200627_g36.jpg"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79" wp14:editId="20AE3C7A">
                  <wp:extent cx="304800" cy="304800"/>
                  <wp:effectExtent l="0" t="0" r="0" b="0"/>
                  <wp:docPr id="71" name="图片 103"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03" descr="IMG_32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Arial" w:eastAsia="宋体" w:hAnsi="Arial" w:cs="Arial"/>
                <w:color w:val="333333"/>
                <w:sz w:val="16"/>
                <w:szCs w:val="16"/>
              </w:rPr>
              <w:t>MD&amp;A</w:t>
            </w:r>
          </w:p>
        </w:tc>
        <w:tc>
          <w:tcPr>
            <w:tcW w:w="0" w:type="auto"/>
            <w:gridSpan w:val="3"/>
            <w:tcBorders>
              <w:top w:val="single" w:sz="8" w:space="0" w:color="0071C5"/>
            </w:tcBorders>
            <w:shd w:val="clear" w:color="auto" w:fill="auto"/>
            <w:tcMar>
              <w:left w:w="20" w:type="dxa"/>
              <w:right w:w="20" w:type="dxa"/>
            </w:tcMar>
            <w:vAlign w:val="bottom"/>
          </w:tcPr>
          <w:p w14:paraId="20AE2A2A"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2A2B" w14:textId="77777777" w:rsidR="00B626E7" w:rsidRDefault="00175C1D">
            <w:pPr>
              <w:jc w:val="right"/>
              <w:textAlignment w:val="bottom"/>
            </w:pPr>
            <w:r>
              <w:rPr>
                <w:rFonts w:ascii="Arial" w:eastAsia="宋体" w:hAnsi="Arial" w:cs="Arial"/>
                <w:color w:val="333333"/>
                <w:sz w:val="16"/>
                <w:szCs w:val="16"/>
              </w:rPr>
              <w:t>30</w:t>
            </w:r>
          </w:p>
        </w:tc>
      </w:tr>
    </w:tbl>
    <w:p w14:paraId="20AE2A2D" w14:textId="77777777" w:rsidR="00B626E7" w:rsidRDefault="00175C1D">
      <w:r>
        <w:pict w14:anchorId="20AE3C7B">
          <v:rect id="_x0000_i1056" style="width:415.3pt;height:1.5pt" o:hralign="center" o:hrstd="t" o:hr="t" fillcolor="#a0a0a0" stroked="f"/>
        </w:pict>
      </w:r>
    </w:p>
    <w:p w14:paraId="20AE2A2E" w14:textId="77777777" w:rsidR="00B626E7" w:rsidRDefault="00175C1D">
      <w:pPr>
        <w:spacing w:after="180"/>
        <w:jc w:val="right"/>
      </w:pPr>
      <w:hyperlink r:id="rId57" w:anchor="ib035cc8759904e51927d703ec8414366_7" w:history="1">
        <w:r>
          <w:rPr>
            <w:rStyle w:val="a5"/>
            <w:rFonts w:ascii="Arial" w:eastAsia="宋体" w:hAnsi="Arial" w:cs="Arial"/>
            <w:b/>
            <w:bCs/>
            <w:sz w:val="16"/>
            <w:szCs w:val="16"/>
          </w:rPr>
          <w:t>Table of Contents</w:t>
        </w:r>
      </w:hyperlink>
    </w:p>
    <w:p w14:paraId="20AE2A2F" w14:textId="77777777" w:rsidR="00B626E7" w:rsidRDefault="00B626E7">
      <w:pPr>
        <w:spacing w:after="180"/>
        <w:jc w:val="right"/>
      </w:pPr>
    </w:p>
    <w:p w14:paraId="20AE2A30" w14:textId="77777777" w:rsidR="00B626E7" w:rsidRDefault="00175C1D">
      <w:pPr>
        <w:spacing w:after="180"/>
      </w:pPr>
      <w:r>
        <w:rPr>
          <w:rFonts w:ascii="Arial" w:eastAsia="宋体" w:hAnsi="Arial" w:cs="Arial"/>
          <w:b/>
          <w:bCs/>
          <w:color w:val="0071C5"/>
          <w:sz w:val="28"/>
          <w:szCs w:val="28"/>
        </w:rPr>
        <w:t xml:space="preserve">NON-VOLATILE MEMORY SOLUTIONS GROUP </w:t>
      </w:r>
    </w:p>
    <w:p w14:paraId="20AE2A31" w14:textId="77777777" w:rsidR="00B626E7" w:rsidRDefault="00175C1D">
      <w:pPr>
        <w:spacing w:after="180"/>
      </w:pPr>
      <w:r>
        <w:rPr>
          <w:rFonts w:ascii="Arial" w:eastAsia="宋体" w:hAnsi="Arial" w:cs="Arial"/>
          <w:color w:val="333333"/>
          <w:sz w:val="18"/>
          <w:szCs w:val="18"/>
        </w:rPr>
        <w:t xml:space="preserve">NSG is a technology leader in </w:t>
      </w:r>
      <w:r>
        <w:rPr>
          <w:rFonts w:ascii="Arial" w:eastAsia="宋体" w:hAnsi="Arial" w:cs="Arial"/>
          <w:color w:val="333333"/>
          <w:sz w:val="18"/>
          <w:szCs w:val="18"/>
        </w:rPr>
        <w:t>next-generation memory and storage products based on breakthrough Intel</w:t>
      </w:r>
      <w:r>
        <w:rPr>
          <w:rFonts w:ascii="Arial" w:eastAsia="宋体" w:hAnsi="Arial" w:cs="Arial"/>
          <w:color w:val="333333"/>
          <w:sz w:val="11"/>
          <w:szCs w:val="11"/>
        </w:rPr>
        <w:t>®</w:t>
      </w:r>
      <w:r>
        <w:rPr>
          <w:rFonts w:ascii="Arial" w:eastAsia="宋体" w:hAnsi="Arial" w:cs="Arial"/>
          <w:color w:val="333333"/>
          <w:sz w:val="18"/>
          <w:szCs w:val="18"/>
        </w:rPr>
        <w:t xml:space="preserve"> Optane™ technology and Intel</w:t>
      </w:r>
      <w:r>
        <w:rPr>
          <w:rFonts w:ascii="Arial" w:eastAsia="宋体" w:hAnsi="Arial" w:cs="Arial"/>
          <w:color w:val="333333"/>
          <w:sz w:val="11"/>
          <w:szCs w:val="11"/>
        </w:rPr>
        <w:t>®</w:t>
      </w:r>
      <w:r>
        <w:rPr>
          <w:rFonts w:ascii="Arial" w:eastAsia="宋体" w:hAnsi="Arial" w:cs="Arial"/>
          <w:color w:val="333333"/>
          <w:sz w:val="18"/>
          <w:szCs w:val="18"/>
        </w:rPr>
        <w:t xml:space="preserve"> 3D NAND technology. NSG is disrupting the memory and storage hierarchy with new tiers that balance capacity, performance, and cost. We offer 96-layer and</w:t>
      </w:r>
      <w:r>
        <w:rPr>
          <w:rFonts w:ascii="Arial" w:eastAsia="宋体" w:hAnsi="Arial" w:cs="Arial"/>
          <w:color w:val="333333"/>
          <w:sz w:val="18"/>
          <w:szCs w:val="18"/>
        </w:rPr>
        <w:t xml:space="preserve"> 64-layer TLC NAND high-capacity SSDs, and 64-layer QLC NAND high-capacity SSDs. We also provide unparalleled low latency and high performance with Intel</w:t>
      </w:r>
      <w:r>
        <w:rPr>
          <w:rFonts w:ascii="Arial" w:eastAsia="宋体" w:hAnsi="Arial" w:cs="Arial"/>
          <w:color w:val="333333"/>
          <w:sz w:val="11"/>
          <w:szCs w:val="11"/>
        </w:rPr>
        <w:t>®</w:t>
      </w:r>
      <w:r>
        <w:rPr>
          <w:rFonts w:ascii="Arial" w:eastAsia="宋体" w:hAnsi="Arial" w:cs="Arial"/>
          <w:color w:val="333333"/>
          <w:sz w:val="18"/>
          <w:szCs w:val="18"/>
        </w:rPr>
        <w:t xml:space="preserve"> Optane™ technology. Our products are available in innovative new form factors and densities to addres</w:t>
      </w:r>
      <w:r>
        <w:rPr>
          <w:rFonts w:ascii="Arial" w:eastAsia="宋体" w:hAnsi="Arial" w:cs="Arial"/>
          <w:color w:val="333333"/>
          <w:sz w:val="18"/>
          <w:szCs w:val="18"/>
        </w:rPr>
        <w:t xml:space="preserve">s the memory and storage challenges our customers face in a rapidly evolving technological landscape. Our customers include enterprise and cloud-based data centers, and users of business and consumer desktops and laptops. </w:t>
      </w:r>
    </w:p>
    <w:tbl>
      <w:tblPr>
        <w:tblW w:w="10830" w:type="dxa"/>
        <w:tblCellMar>
          <w:top w:w="15" w:type="dxa"/>
          <w:left w:w="15" w:type="dxa"/>
          <w:bottom w:w="15" w:type="dxa"/>
          <w:right w:w="15" w:type="dxa"/>
        </w:tblCellMar>
        <w:tblLook w:val="04A0" w:firstRow="1" w:lastRow="0" w:firstColumn="1" w:lastColumn="0" w:noHBand="0" w:noVBand="1"/>
      </w:tblPr>
      <w:tblGrid>
        <w:gridCol w:w="36"/>
        <w:gridCol w:w="79"/>
        <w:gridCol w:w="36"/>
        <w:gridCol w:w="36"/>
        <w:gridCol w:w="5101"/>
        <w:gridCol w:w="36"/>
        <w:gridCol w:w="36"/>
        <w:gridCol w:w="257"/>
        <w:gridCol w:w="36"/>
        <w:gridCol w:w="36"/>
        <w:gridCol w:w="5105"/>
        <w:gridCol w:w="36"/>
      </w:tblGrid>
      <w:tr w:rsidR="00B626E7" w14:paraId="20AE2A3E" w14:textId="77777777">
        <w:tc>
          <w:tcPr>
            <w:tcW w:w="20" w:type="dxa"/>
            <w:shd w:val="clear" w:color="auto" w:fill="auto"/>
          </w:tcPr>
          <w:p w14:paraId="20AE2A32" w14:textId="77777777" w:rsidR="00B626E7" w:rsidRDefault="00B626E7">
            <w:pPr>
              <w:rPr>
                <w:rFonts w:ascii="宋体"/>
              </w:rPr>
            </w:pPr>
          </w:p>
        </w:tc>
        <w:tc>
          <w:tcPr>
            <w:tcW w:w="80" w:type="dxa"/>
            <w:shd w:val="clear" w:color="auto" w:fill="auto"/>
          </w:tcPr>
          <w:p w14:paraId="20AE2A33" w14:textId="77777777" w:rsidR="00B626E7" w:rsidRDefault="00B626E7">
            <w:pPr>
              <w:rPr>
                <w:rFonts w:ascii="宋体"/>
              </w:rPr>
            </w:pPr>
          </w:p>
        </w:tc>
        <w:tc>
          <w:tcPr>
            <w:tcW w:w="20" w:type="dxa"/>
            <w:shd w:val="clear" w:color="auto" w:fill="auto"/>
          </w:tcPr>
          <w:p w14:paraId="20AE2A34" w14:textId="77777777" w:rsidR="00B626E7" w:rsidRDefault="00B626E7">
            <w:pPr>
              <w:rPr>
                <w:rFonts w:ascii="宋体"/>
              </w:rPr>
            </w:pPr>
          </w:p>
        </w:tc>
        <w:tc>
          <w:tcPr>
            <w:tcW w:w="20" w:type="dxa"/>
            <w:shd w:val="clear" w:color="auto" w:fill="auto"/>
          </w:tcPr>
          <w:p w14:paraId="20AE2A35" w14:textId="77777777" w:rsidR="00B626E7" w:rsidRDefault="00B626E7">
            <w:pPr>
              <w:rPr>
                <w:rFonts w:ascii="宋体"/>
              </w:rPr>
            </w:pPr>
          </w:p>
        </w:tc>
        <w:tc>
          <w:tcPr>
            <w:tcW w:w="5165" w:type="dxa"/>
            <w:shd w:val="clear" w:color="auto" w:fill="auto"/>
          </w:tcPr>
          <w:p w14:paraId="20AE2A36" w14:textId="77777777" w:rsidR="00B626E7" w:rsidRDefault="00B626E7">
            <w:pPr>
              <w:rPr>
                <w:rFonts w:ascii="宋体"/>
              </w:rPr>
            </w:pPr>
          </w:p>
        </w:tc>
        <w:tc>
          <w:tcPr>
            <w:tcW w:w="20" w:type="dxa"/>
            <w:shd w:val="clear" w:color="auto" w:fill="auto"/>
          </w:tcPr>
          <w:p w14:paraId="20AE2A37" w14:textId="77777777" w:rsidR="00B626E7" w:rsidRDefault="00B626E7">
            <w:pPr>
              <w:rPr>
                <w:rFonts w:ascii="宋体"/>
              </w:rPr>
            </w:pPr>
          </w:p>
        </w:tc>
        <w:tc>
          <w:tcPr>
            <w:tcW w:w="20" w:type="dxa"/>
            <w:shd w:val="clear" w:color="auto" w:fill="auto"/>
          </w:tcPr>
          <w:p w14:paraId="20AE2A38" w14:textId="77777777" w:rsidR="00B626E7" w:rsidRDefault="00B626E7">
            <w:pPr>
              <w:rPr>
                <w:rFonts w:ascii="宋体"/>
              </w:rPr>
            </w:pPr>
          </w:p>
        </w:tc>
        <w:tc>
          <w:tcPr>
            <w:tcW w:w="260" w:type="dxa"/>
            <w:shd w:val="clear" w:color="auto" w:fill="auto"/>
          </w:tcPr>
          <w:p w14:paraId="20AE2A39" w14:textId="77777777" w:rsidR="00B626E7" w:rsidRDefault="00B626E7">
            <w:pPr>
              <w:rPr>
                <w:rFonts w:ascii="宋体"/>
              </w:rPr>
            </w:pPr>
          </w:p>
        </w:tc>
        <w:tc>
          <w:tcPr>
            <w:tcW w:w="20" w:type="dxa"/>
            <w:shd w:val="clear" w:color="auto" w:fill="auto"/>
          </w:tcPr>
          <w:p w14:paraId="20AE2A3A" w14:textId="77777777" w:rsidR="00B626E7" w:rsidRDefault="00B626E7">
            <w:pPr>
              <w:rPr>
                <w:rFonts w:ascii="宋体"/>
              </w:rPr>
            </w:pPr>
          </w:p>
        </w:tc>
        <w:tc>
          <w:tcPr>
            <w:tcW w:w="20" w:type="dxa"/>
            <w:shd w:val="clear" w:color="auto" w:fill="auto"/>
          </w:tcPr>
          <w:p w14:paraId="20AE2A3B" w14:textId="77777777" w:rsidR="00B626E7" w:rsidRDefault="00B626E7">
            <w:pPr>
              <w:rPr>
                <w:rFonts w:ascii="宋体"/>
              </w:rPr>
            </w:pPr>
          </w:p>
        </w:tc>
        <w:tc>
          <w:tcPr>
            <w:tcW w:w="5165" w:type="dxa"/>
            <w:shd w:val="clear" w:color="auto" w:fill="auto"/>
          </w:tcPr>
          <w:p w14:paraId="20AE2A3C" w14:textId="77777777" w:rsidR="00B626E7" w:rsidRDefault="00B626E7">
            <w:pPr>
              <w:rPr>
                <w:rFonts w:ascii="宋体"/>
              </w:rPr>
            </w:pPr>
          </w:p>
        </w:tc>
        <w:tc>
          <w:tcPr>
            <w:tcW w:w="20" w:type="dxa"/>
            <w:shd w:val="clear" w:color="auto" w:fill="auto"/>
          </w:tcPr>
          <w:p w14:paraId="20AE2A3D" w14:textId="77777777" w:rsidR="00B626E7" w:rsidRDefault="00B626E7">
            <w:pPr>
              <w:rPr>
                <w:rFonts w:ascii="宋体"/>
              </w:rPr>
            </w:pPr>
          </w:p>
        </w:tc>
      </w:tr>
      <w:tr w:rsidR="00B626E7" w14:paraId="20AE2A43" w14:textId="77777777">
        <w:tc>
          <w:tcPr>
            <w:tcW w:w="0" w:type="auto"/>
            <w:gridSpan w:val="3"/>
            <w:shd w:val="clear" w:color="auto" w:fill="auto"/>
            <w:tcMar>
              <w:left w:w="20" w:type="dxa"/>
              <w:right w:w="20" w:type="dxa"/>
            </w:tcMar>
            <w:vAlign w:val="bottom"/>
          </w:tcPr>
          <w:p w14:paraId="20AE2A3F" w14:textId="77777777" w:rsidR="00B626E7" w:rsidRDefault="00B626E7">
            <w:pPr>
              <w:rPr>
                <w:rFonts w:ascii="宋体"/>
              </w:rPr>
            </w:pPr>
          </w:p>
        </w:tc>
        <w:tc>
          <w:tcPr>
            <w:tcW w:w="0" w:type="auto"/>
            <w:gridSpan w:val="3"/>
            <w:tcBorders>
              <w:bottom w:val="single" w:sz="8" w:space="0" w:color="333333"/>
            </w:tcBorders>
            <w:shd w:val="clear" w:color="auto" w:fill="auto"/>
            <w:tcMar>
              <w:top w:w="40" w:type="dxa"/>
              <w:left w:w="20" w:type="dxa"/>
              <w:bottom w:w="40" w:type="dxa"/>
              <w:right w:w="20" w:type="dxa"/>
            </w:tcMar>
            <w:vAlign w:val="bottom"/>
          </w:tcPr>
          <w:p w14:paraId="20AE2A40" w14:textId="77777777" w:rsidR="00B626E7" w:rsidRDefault="00175C1D">
            <w:pPr>
              <w:jc w:val="center"/>
              <w:textAlignment w:val="bottom"/>
            </w:pPr>
            <w:r>
              <w:rPr>
                <w:rFonts w:ascii="Arial" w:eastAsia="宋体" w:hAnsi="Arial" w:cs="Arial"/>
                <w:b/>
                <w:bCs/>
                <w:color w:val="0071C5"/>
                <w:sz w:val="20"/>
                <w:szCs w:val="20"/>
              </w:rPr>
              <w:t>NSG REVENUE $B</w:t>
            </w:r>
          </w:p>
        </w:tc>
        <w:tc>
          <w:tcPr>
            <w:tcW w:w="0" w:type="auto"/>
            <w:gridSpan w:val="3"/>
            <w:shd w:val="clear" w:color="auto" w:fill="auto"/>
            <w:tcMar>
              <w:left w:w="20" w:type="dxa"/>
              <w:right w:w="20" w:type="dxa"/>
            </w:tcMar>
            <w:vAlign w:val="bottom"/>
          </w:tcPr>
          <w:p w14:paraId="20AE2A41" w14:textId="77777777" w:rsidR="00B626E7" w:rsidRDefault="00B626E7">
            <w:pPr>
              <w:rPr>
                <w:rFonts w:ascii="宋体"/>
              </w:rPr>
            </w:pPr>
          </w:p>
        </w:tc>
        <w:tc>
          <w:tcPr>
            <w:tcW w:w="0" w:type="auto"/>
            <w:gridSpan w:val="3"/>
            <w:tcBorders>
              <w:bottom w:val="single" w:sz="8" w:space="0" w:color="333333"/>
            </w:tcBorders>
            <w:shd w:val="clear" w:color="auto" w:fill="auto"/>
            <w:tcMar>
              <w:top w:w="40" w:type="dxa"/>
              <w:left w:w="20" w:type="dxa"/>
              <w:bottom w:w="40" w:type="dxa"/>
              <w:right w:w="20" w:type="dxa"/>
            </w:tcMar>
            <w:vAlign w:val="bottom"/>
          </w:tcPr>
          <w:p w14:paraId="20AE2A42" w14:textId="77777777" w:rsidR="00B626E7" w:rsidRDefault="00175C1D">
            <w:pPr>
              <w:jc w:val="center"/>
              <w:textAlignment w:val="bottom"/>
            </w:pPr>
            <w:r>
              <w:rPr>
                <w:rFonts w:ascii="Arial" w:eastAsia="宋体" w:hAnsi="Arial" w:cs="Arial"/>
                <w:b/>
                <w:bCs/>
                <w:color w:val="0071C5"/>
                <w:sz w:val="20"/>
                <w:szCs w:val="20"/>
              </w:rPr>
              <w:t>NSG OPERATING INCOME $B</w:t>
            </w:r>
          </w:p>
        </w:tc>
      </w:tr>
    </w:tbl>
    <w:p w14:paraId="20AE2A44" w14:textId="77777777" w:rsidR="00B626E7" w:rsidRDefault="00175C1D">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Viewer10_files/intc-20200627_g40.jpg"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7C" wp14:editId="20AE3C7D">
            <wp:extent cx="304800" cy="304800"/>
            <wp:effectExtent l="0" t="0" r="0" b="0"/>
            <wp:docPr id="113" name="图片 105"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05" descr="IMG_29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w:instrText>
      </w:r>
      <w:r>
        <w:rPr>
          <w:rFonts w:ascii="宋体" w:eastAsia="宋体" w:hAnsi="宋体" w:cs="宋体"/>
        </w:rPr>
        <w:instrText xml:space="preserve">L Viewer10_files/intc-20200627_g41.jpg"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7E" wp14:editId="20AE3C7F">
            <wp:extent cx="304800" cy="304800"/>
            <wp:effectExtent l="0" t="0" r="0" b="0"/>
            <wp:docPr id="114" name="图片 106"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06" descr="IMG_29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000" w:type="pct"/>
        <w:tblCellMar>
          <w:top w:w="15" w:type="dxa"/>
          <w:left w:w="15" w:type="dxa"/>
          <w:bottom w:w="15" w:type="dxa"/>
          <w:right w:w="15" w:type="dxa"/>
        </w:tblCellMar>
        <w:tblLook w:val="04A0" w:firstRow="1" w:lastRow="0" w:firstColumn="1" w:lastColumn="0" w:noHBand="0" w:noVBand="1"/>
      </w:tblPr>
      <w:tblGrid>
        <w:gridCol w:w="84"/>
        <w:gridCol w:w="8169"/>
        <w:gridCol w:w="83"/>
      </w:tblGrid>
      <w:tr w:rsidR="00B626E7" w14:paraId="20AE2A48" w14:textId="77777777">
        <w:tc>
          <w:tcPr>
            <w:tcW w:w="50" w:type="pct"/>
            <w:shd w:val="clear" w:color="auto" w:fill="auto"/>
          </w:tcPr>
          <w:p w14:paraId="20AE2A45" w14:textId="77777777" w:rsidR="00B626E7" w:rsidRDefault="00B626E7">
            <w:pPr>
              <w:rPr>
                <w:rFonts w:ascii="宋体"/>
              </w:rPr>
            </w:pPr>
          </w:p>
        </w:tc>
        <w:tc>
          <w:tcPr>
            <w:tcW w:w="4900" w:type="pct"/>
            <w:shd w:val="clear" w:color="auto" w:fill="auto"/>
          </w:tcPr>
          <w:p w14:paraId="20AE2A46" w14:textId="77777777" w:rsidR="00B626E7" w:rsidRDefault="00B626E7">
            <w:pPr>
              <w:rPr>
                <w:rFonts w:ascii="宋体"/>
              </w:rPr>
            </w:pPr>
          </w:p>
        </w:tc>
        <w:tc>
          <w:tcPr>
            <w:tcW w:w="50" w:type="pct"/>
            <w:shd w:val="clear" w:color="auto" w:fill="auto"/>
          </w:tcPr>
          <w:p w14:paraId="20AE2A47" w14:textId="77777777" w:rsidR="00B626E7" w:rsidRDefault="00B626E7">
            <w:pPr>
              <w:rPr>
                <w:rFonts w:ascii="宋体"/>
              </w:rPr>
            </w:pPr>
          </w:p>
        </w:tc>
      </w:tr>
      <w:tr w:rsidR="00B626E7" w14:paraId="20AE2A4A" w14:textId="77777777">
        <w:tc>
          <w:tcPr>
            <w:tcW w:w="0" w:type="auto"/>
            <w:gridSpan w:val="3"/>
            <w:tcBorders>
              <w:bottom w:val="single" w:sz="8" w:space="0" w:color="333333"/>
            </w:tcBorders>
            <w:shd w:val="clear" w:color="auto" w:fill="auto"/>
            <w:tcMar>
              <w:top w:w="40" w:type="dxa"/>
              <w:left w:w="20" w:type="dxa"/>
              <w:bottom w:w="40" w:type="dxa"/>
              <w:right w:w="20" w:type="dxa"/>
            </w:tcMar>
            <w:vAlign w:val="bottom"/>
          </w:tcPr>
          <w:p w14:paraId="20AE2A49" w14:textId="77777777" w:rsidR="00B626E7" w:rsidRDefault="00175C1D">
            <w:pPr>
              <w:textAlignment w:val="bottom"/>
            </w:pPr>
            <w:r>
              <w:rPr>
                <w:rFonts w:ascii="Arial" w:eastAsia="宋体" w:hAnsi="Arial" w:cs="Arial"/>
                <w:b/>
                <w:bCs/>
                <w:color w:val="0071C5"/>
                <w:sz w:val="20"/>
                <w:szCs w:val="20"/>
              </w:rPr>
              <w:t>REVENUE AND OPERATING INCOME SUMMARY</w:t>
            </w:r>
          </w:p>
        </w:tc>
      </w:tr>
    </w:tbl>
    <w:p w14:paraId="20AE2A4B" w14:textId="77777777" w:rsidR="00B626E7" w:rsidRDefault="00B626E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84"/>
        <w:gridCol w:w="8169"/>
        <w:gridCol w:w="83"/>
      </w:tblGrid>
      <w:tr w:rsidR="00B626E7" w14:paraId="20AE2A4F" w14:textId="77777777">
        <w:tc>
          <w:tcPr>
            <w:tcW w:w="50" w:type="pct"/>
            <w:shd w:val="clear" w:color="auto" w:fill="auto"/>
          </w:tcPr>
          <w:p w14:paraId="20AE2A4C" w14:textId="77777777" w:rsidR="00B626E7" w:rsidRDefault="00B626E7">
            <w:pPr>
              <w:rPr>
                <w:rFonts w:ascii="宋体"/>
              </w:rPr>
            </w:pPr>
          </w:p>
        </w:tc>
        <w:tc>
          <w:tcPr>
            <w:tcW w:w="4900" w:type="pct"/>
            <w:shd w:val="clear" w:color="auto" w:fill="auto"/>
          </w:tcPr>
          <w:p w14:paraId="20AE2A4D" w14:textId="77777777" w:rsidR="00B626E7" w:rsidRDefault="00B626E7">
            <w:pPr>
              <w:rPr>
                <w:rFonts w:ascii="宋体"/>
              </w:rPr>
            </w:pPr>
          </w:p>
        </w:tc>
        <w:tc>
          <w:tcPr>
            <w:tcW w:w="50" w:type="pct"/>
            <w:shd w:val="clear" w:color="auto" w:fill="auto"/>
          </w:tcPr>
          <w:p w14:paraId="20AE2A4E" w14:textId="77777777" w:rsidR="00B626E7" w:rsidRDefault="00B626E7">
            <w:pPr>
              <w:rPr>
                <w:rFonts w:ascii="宋体"/>
              </w:rPr>
            </w:pPr>
          </w:p>
        </w:tc>
      </w:tr>
      <w:tr w:rsidR="00B626E7" w14:paraId="20AE2A51" w14:textId="77777777">
        <w:tc>
          <w:tcPr>
            <w:tcW w:w="0" w:type="auto"/>
            <w:gridSpan w:val="3"/>
            <w:tcBorders>
              <w:bottom w:val="single" w:sz="8" w:space="0" w:color="333333"/>
            </w:tcBorders>
            <w:shd w:val="clear" w:color="auto" w:fill="auto"/>
            <w:tcMar>
              <w:top w:w="40" w:type="dxa"/>
              <w:left w:w="20" w:type="dxa"/>
              <w:bottom w:w="40" w:type="dxa"/>
              <w:right w:w="20" w:type="dxa"/>
            </w:tcMar>
            <w:vAlign w:val="bottom"/>
          </w:tcPr>
          <w:p w14:paraId="20AE2A50" w14:textId="77777777" w:rsidR="00B626E7" w:rsidRDefault="00175C1D">
            <w:pPr>
              <w:textAlignment w:val="bottom"/>
            </w:pPr>
            <w:r>
              <w:rPr>
                <w:rFonts w:ascii="Arial" w:eastAsia="宋体" w:hAnsi="Arial" w:cs="Arial"/>
                <w:b/>
                <w:bCs/>
                <w:color w:val="333333"/>
                <w:sz w:val="20"/>
                <w:szCs w:val="20"/>
              </w:rPr>
              <w:t>Q2 2020 vs. Q2 2019</w:t>
            </w:r>
          </w:p>
        </w:tc>
      </w:tr>
    </w:tbl>
    <w:p w14:paraId="20AE2A52" w14:textId="77777777" w:rsidR="00B626E7" w:rsidRDefault="00175C1D">
      <w:pPr>
        <w:spacing w:after="180"/>
      </w:pPr>
      <w:r>
        <w:rPr>
          <w:rFonts w:ascii="Arial" w:eastAsia="宋体" w:hAnsi="Arial" w:cs="Arial"/>
          <w:color w:val="333333"/>
          <w:sz w:val="18"/>
          <w:szCs w:val="18"/>
        </w:rPr>
        <w:t xml:space="preserve">NSG delivered record revenue of $1.7 billion, up $719 million from Q2 2019, driven by $379 million higher volume due to </w:t>
      </w:r>
      <w:r>
        <w:rPr>
          <w:rFonts w:ascii="Arial" w:eastAsia="宋体" w:hAnsi="Arial" w:cs="Arial"/>
          <w:color w:val="333333"/>
          <w:sz w:val="18"/>
          <w:szCs w:val="18"/>
        </w:rPr>
        <w:t>strong demand for NAND products and $341 million higher ASPs from improved NAND pricing. Operating income was $322 million, up $606 million from an operating loss in Q2 2019, due to continued improvements in unit cost, market pricing recovery, and strong d</w:t>
      </w:r>
      <w:r>
        <w:rPr>
          <w:rFonts w:ascii="Arial" w:eastAsia="宋体" w:hAnsi="Arial" w:cs="Arial"/>
          <w:color w:val="333333"/>
          <w:sz w:val="18"/>
          <w:szCs w:val="18"/>
        </w:rPr>
        <w:t>emand.</w:t>
      </w:r>
    </w:p>
    <w:tbl>
      <w:tblPr>
        <w:tblW w:w="5000" w:type="pct"/>
        <w:tblCellMar>
          <w:top w:w="15" w:type="dxa"/>
          <w:left w:w="15" w:type="dxa"/>
          <w:bottom w:w="15" w:type="dxa"/>
          <w:right w:w="15" w:type="dxa"/>
        </w:tblCellMar>
        <w:tblLook w:val="04A0" w:firstRow="1" w:lastRow="0" w:firstColumn="1" w:lastColumn="0" w:noHBand="0" w:noVBand="1"/>
      </w:tblPr>
      <w:tblGrid>
        <w:gridCol w:w="84"/>
        <w:gridCol w:w="8169"/>
        <w:gridCol w:w="83"/>
      </w:tblGrid>
      <w:tr w:rsidR="00B626E7" w14:paraId="20AE2A56" w14:textId="77777777">
        <w:tc>
          <w:tcPr>
            <w:tcW w:w="50" w:type="pct"/>
            <w:shd w:val="clear" w:color="auto" w:fill="auto"/>
          </w:tcPr>
          <w:p w14:paraId="20AE2A53" w14:textId="77777777" w:rsidR="00B626E7" w:rsidRDefault="00B626E7">
            <w:pPr>
              <w:rPr>
                <w:rFonts w:ascii="宋体"/>
              </w:rPr>
            </w:pPr>
          </w:p>
        </w:tc>
        <w:tc>
          <w:tcPr>
            <w:tcW w:w="4900" w:type="pct"/>
            <w:shd w:val="clear" w:color="auto" w:fill="auto"/>
          </w:tcPr>
          <w:p w14:paraId="20AE2A54" w14:textId="77777777" w:rsidR="00B626E7" w:rsidRDefault="00B626E7">
            <w:pPr>
              <w:rPr>
                <w:rFonts w:ascii="宋体"/>
              </w:rPr>
            </w:pPr>
          </w:p>
        </w:tc>
        <w:tc>
          <w:tcPr>
            <w:tcW w:w="50" w:type="pct"/>
            <w:shd w:val="clear" w:color="auto" w:fill="auto"/>
          </w:tcPr>
          <w:p w14:paraId="20AE2A55" w14:textId="77777777" w:rsidR="00B626E7" w:rsidRDefault="00B626E7">
            <w:pPr>
              <w:rPr>
                <w:rFonts w:ascii="宋体"/>
              </w:rPr>
            </w:pPr>
          </w:p>
        </w:tc>
      </w:tr>
      <w:tr w:rsidR="00B626E7" w14:paraId="20AE2A58" w14:textId="77777777">
        <w:tc>
          <w:tcPr>
            <w:tcW w:w="0" w:type="auto"/>
            <w:gridSpan w:val="3"/>
            <w:tcBorders>
              <w:bottom w:val="single" w:sz="8" w:space="0" w:color="333333"/>
            </w:tcBorders>
            <w:shd w:val="clear" w:color="auto" w:fill="auto"/>
            <w:tcMar>
              <w:top w:w="40" w:type="dxa"/>
              <w:left w:w="20" w:type="dxa"/>
              <w:bottom w:w="40" w:type="dxa"/>
              <w:right w:w="20" w:type="dxa"/>
            </w:tcMar>
            <w:vAlign w:val="bottom"/>
          </w:tcPr>
          <w:p w14:paraId="20AE2A57" w14:textId="77777777" w:rsidR="00B626E7" w:rsidRDefault="00175C1D">
            <w:pPr>
              <w:textAlignment w:val="bottom"/>
            </w:pPr>
            <w:r>
              <w:rPr>
                <w:rFonts w:ascii="Arial" w:eastAsia="宋体" w:hAnsi="Arial" w:cs="Arial"/>
                <w:b/>
                <w:bCs/>
                <w:color w:val="333333"/>
                <w:sz w:val="20"/>
                <w:szCs w:val="20"/>
              </w:rPr>
              <w:t>YTD 2020 vs. YTD 2019</w:t>
            </w:r>
          </w:p>
        </w:tc>
      </w:tr>
    </w:tbl>
    <w:p w14:paraId="20AE2A59" w14:textId="77777777" w:rsidR="00B626E7" w:rsidRDefault="00175C1D">
      <w:pPr>
        <w:spacing w:after="180"/>
      </w:pPr>
      <w:r>
        <w:rPr>
          <w:rFonts w:ascii="Arial" w:eastAsia="宋体" w:hAnsi="Arial" w:cs="Arial"/>
          <w:color w:val="333333"/>
          <w:sz w:val="18"/>
          <w:szCs w:val="18"/>
        </w:rPr>
        <w:t xml:space="preserve">NSG delivered revenue of $3.0 billion, up $1.1 billion from Q2 2019, driven by $738 million higher volume due to strong demand for NAND products and $405 million higher ASP from improved NAND pricing. Operating </w:t>
      </w:r>
      <w:r>
        <w:rPr>
          <w:rFonts w:ascii="Arial" w:eastAsia="宋体" w:hAnsi="Arial" w:cs="Arial"/>
          <w:color w:val="333333"/>
          <w:sz w:val="18"/>
          <w:szCs w:val="18"/>
        </w:rPr>
        <w:t>income was $256 million, up $837 million from an operating loss in YTD 2019, due to continued improvements in unit cost, market pricing recovery, and strong demand.</w:t>
      </w:r>
    </w:p>
    <w:p w14:paraId="20AE2A5A" w14:textId="77777777" w:rsidR="00B626E7" w:rsidRDefault="00B626E7">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4"/>
        <w:gridCol w:w="2423"/>
        <w:gridCol w:w="84"/>
        <w:gridCol w:w="83"/>
        <w:gridCol w:w="3471"/>
        <w:gridCol w:w="83"/>
        <w:gridCol w:w="83"/>
        <w:gridCol w:w="1942"/>
        <w:gridCol w:w="83"/>
      </w:tblGrid>
      <w:tr w:rsidR="00B626E7" w14:paraId="20AE2A64" w14:textId="77777777">
        <w:tc>
          <w:tcPr>
            <w:tcW w:w="50" w:type="pct"/>
            <w:shd w:val="clear" w:color="auto" w:fill="auto"/>
            <w:vAlign w:val="bottom"/>
          </w:tcPr>
          <w:p w14:paraId="20AE2A5B" w14:textId="77777777" w:rsidR="00B626E7" w:rsidRDefault="00B626E7">
            <w:pPr>
              <w:rPr>
                <w:rFonts w:ascii="宋体"/>
              </w:rPr>
            </w:pPr>
          </w:p>
        </w:tc>
        <w:tc>
          <w:tcPr>
            <w:tcW w:w="1452" w:type="pct"/>
            <w:shd w:val="clear" w:color="auto" w:fill="auto"/>
            <w:vAlign w:val="bottom"/>
          </w:tcPr>
          <w:p w14:paraId="20AE2A5C" w14:textId="77777777" w:rsidR="00B626E7" w:rsidRDefault="00B626E7">
            <w:pPr>
              <w:rPr>
                <w:rFonts w:ascii="宋体"/>
              </w:rPr>
            </w:pPr>
          </w:p>
        </w:tc>
        <w:tc>
          <w:tcPr>
            <w:tcW w:w="50" w:type="pct"/>
            <w:shd w:val="clear" w:color="auto" w:fill="auto"/>
            <w:vAlign w:val="bottom"/>
          </w:tcPr>
          <w:p w14:paraId="20AE2A5D" w14:textId="77777777" w:rsidR="00B626E7" w:rsidRDefault="00B626E7">
            <w:pPr>
              <w:rPr>
                <w:rFonts w:ascii="宋体"/>
              </w:rPr>
            </w:pPr>
          </w:p>
        </w:tc>
        <w:tc>
          <w:tcPr>
            <w:tcW w:w="50" w:type="pct"/>
            <w:shd w:val="clear" w:color="auto" w:fill="auto"/>
            <w:vAlign w:val="bottom"/>
          </w:tcPr>
          <w:p w14:paraId="20AE2A5E" w14:textId="77777777" w:rsidR="00B626E7" w:rsidRDefault="00B626E7">
            <w:pPr>
              <w:rPr>
                <w:rFonts w:ascii="宋体"/>
              </w:rPr>
            </w:pPr>
          </w:p>
        </w:tc>
        <w:tc>
          <w:tcPr>
            <w:tcW w:w="2081" w:type="pct"/>
            <w:shd w:val="clear" w:color="auto" w:fill="auto"/>
            <w:vAlign w:val="bottom"/>
          </w:tcPr>
          <w:p w14:paraId="20AE2A5F" w14:textId="77777777" w:rsidR="00B626E7" w:rsidRDefault="00B626E7">
            <w:pPr>
              <w:rPr>
                <w:rFonts w:ascii="宋体"/>
              </w:rPr>
            </w:pPr>
          </w:p>
        </w:tc>
        <w:tc>
          <w:tcPr>
            <w:tcW w:w="50" w:type="pct"/>
            <w:shd w:val="clear" w:color="auto" w:fill="auto"/>
            <w:vAlign w:val="bottom"/>
          </w:tcPr>
          <w:p w14:paraId="20AE2A60" w14:textId="77777777" w:rsidR="00B626E7" w:rsidRDefault="00B626E7">
            <w:pPr>
              <w:rPr>
                <w:rFonts w:ascii="宋体"/>
              </w:rPr>
            </w:pPr>
          </w:p>
        </w:tc>
        <w:tc>
          <w:tcPr>
            <w:tcW w:w="50" w:type="pct"/>
            <w:shd w:val="clear" w:color="auto" w:fill="auto"/>
            <w:vAlign w:val="bottom"/>
          </w:tcPr>
          <w:p w14:paraId="20AE2A61" w14:textId="77777777" w:rsidR="00B626E7" w:rsidRDefault="00B626E7">
            <w:pPr>
              <w:rPr>
                <w:rFonts w:ascii="宋体"/>
              </w:rPr>
            </w:pPr>
          </w:p>
        </w:tc>
        <w:tc>
          <w:tcPr>
            <w:tcW w:w="1165" w:type="pct"/>
            <w:shd w:val="clear" w:color="auto" w:fill="auto"/>
            <w:vAlign w:val="bottom"/>
          </w:tcPr>
          <w:p w14:paraId="20AE2A62" w14:textId="77777777" w:rsidR="00B626E7" w:rsidRDefault="00B626E7">
            <w:pPr>
              <w:rPr>
                <w:rFonts w:ascii="宋体"/>
              </w:rPr>
            </w:pPr>
          </w:p>
        </w:tc>
        <w:tc>
          <w:tcPr>
            <w:tcW w:w="50" w:type="pct"/>
            <w:shd w:val="clear" w:color="auto" w:fill="auto"/>
            <w:vAlign w:val="bottom"/>
          </w:tcPr>
          <w:p w14:paraId="20AE2A63" w14:textId="77777777" w:rsidR="00B626E7" w:rsidRDefault="00B626E7">
            <w:pPr>
              <w:rPr>
                <w:rFonts w:ascii="宋体"/>
              </w:rPr>
            </w:pPr>
          </w:p>
        </w:tc>
      </w:tr>
      <w:tr w:rsidR="00B626E7" w14:paraId="20AE2A68" w14:textId="77777777">
        <w:tc>
          <w:tcPr>
            <w:tcW w:w="0" w:type="auto"/>
            <w:gridSpan w:val="3"/>
            <w:tcBorders>
              <w:top w:val="single" w:sz="8" w:space="0" w:color="0071C5"/>
            </w:tcBorders>
            <w:shd w:val="clear" w:color="auto" w:fill="auto"/>
            <w:tcMar>
              <w:top w:w="40" w:type="dxa"/>
              <w:left w:w="20" w:type="dxa"/>
              <w:bottom w:w="40" w:type="dxa"/>
              <w:right w:w="20" w:type="dxa"/>
            </w:tcMar>
            <w:vAlign w:val="center"/>
          </w:tcPr>
          <w:p w14:paraId="20AE2A65" w14:textId="77777777" w:rsidR="00B626E7" w:rsidRDefault="00175C1D">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Viewer10_files/intc-20200627_g36.jpg"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80" wp14:editId="20AE3C81">
                  <wp:extent cx="304800" cy="304800"/>
                  <wp:effectExtent l="0" t="0" r="0" b="0"/>
                  <wp:docPr id="63" name="图片 107"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07" descr="IMG_32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Arial" w:eastAsia="宋体" w:hAnsi="Arial" w:cs="Arial"/>
                <w:color w:val="333333"/>
                <w:sz w:val="16"/>
                <w:szCs w:val="16"/>
              </w:rPr>
              <w:t>MD&amp;A</w:t>
            </w:r>
          </w:p>
        </w:tc>
        <w:tc>
          <w:tcPr>
            <w:tcW w:w="0" w:type="auto"/>
            <w:gridSpan w:val="3"/>
            <w:tcBorders>
              <w:top w:val="single" w:sz="8" w:space="0" w:color="0071C5"/>
            </w:tcBorders>
            <w:shd w:val="clear" w:color="auto" w:fill="auto"/>
            <w:tcMar>
              <w:left w:w="20" w:type="dxa"/>
              <w:right w:w="20" w:type="dxa"/>
            </w:tcMar>
            <w:vAlign w:val="bottom"/>
          </w:tcPr>
          <w:p w14:paraId="20AE2A66"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2A67" w14:textId="77777777" w:rsidR="00B626E7" w:rsidRDefault="00175C1D">
            <w:pPr>
              <w:jc w:val="right"/>
              <w:textAlignment w:val="bottom"/>
            </w:pPr>
            <w:r>
              <w:rPr>
                <w:rFonts w:ascii="Arial" w:eastAsia="宋体" w:hAnsi="Arial" w:cs="Arial"/>
                <w:color w:val="333333"/>
                <w:sz w:val="16"/>
                <w:szCs w:val="16"/>
              </w:rPr>
              <w:t>31</w:t>
            </w:r>
          </w:p>
        </w:tc>
      </w:tr>
    </w:tbl>
    <w:p w14:paraId="20AE2A69" w14:textId="77777777" w:rsidR="00B626E7" w:rsidRDefault="00175C1D">
      <w:r>
        <w:pict w14:anchorId="20AE3C82">
          <v:rect id="_x0000_i1057" style="width:415.3pt;height:1.5pt" o:hralign="center" o:hrstd="t" o:hr="t" fillcolor="#a0a0a0" stroked="f"/>
        </w:pict>
      </w:r>
    </w:p>
    <w:p w14:paraId="20AE2A6A" w14:textId="77777777" w:rsidR="00B626E7" w:rsidRDefault="00175C1D">
      <w:pPr>
        <w:spacing w:after="180"/>
        <w:jc w:val="right"/>
      </w:pPr>
      <w:hyperlink r:id="rId58" w:anchor="ib035cc8759904e51927d703ec8414366_7" w:history="1">
        <w:r>
          <w:rPr>
            <w:rStyle w:val="a5"/>
            <w:rFonts w:ascii="Arial" w:eastAsia="宋体" w:hAnsi="Arial" w:cs="Arial"/>
            <w:b/>
            <w:bCs/>
            <w:sz w:val="16"/>
            <w:szCs w:val="16"/>
          </w:rPr>
          <w:t>Table of Contents</w:t>
        </w:r>
      </w:hyperlink>
    </w:p>
    <w:p w14:paraId="20AE2A6B" w14:textId="77777777" w:rsidR="00B626E7" w:rsidRDefault="00B626E7">
      <w:pPr>
        <w:spacing w:after="180"/>
        <w:jc w:val="right"/>
      </w:pPr>
    </w:p>
    <w:p w14:paraId="20AE2A6C" w14:textId="77777777" w:rsidR="00B626E7" w:rsidRDefault="00175C1D">
      <w:pPr>
        <w:spacing w:after="180"/>
      </w:pPr>
      <w:r>
        <w:rPr>
          <w:rFonts w:ascii="Arial" w:eastAsia="宋体" w:hAnsi="Arial" w:cs="Arial"/>
          <w:b/>
          <w:bCs/>
          <w:color w:val="0071C5"/>
          <w:sz w:val="28"/>
          <w:szCs w:val="28"/>
        </w:rPr>
        <w:t xml:space="preserve">PROGRAMMABLE SOLUTIONS GROUP </w:t>
      </w:r>
    </w:p>
    <w:p w14:paraId="20AE2A6D" w14:textId="77777777" w:rsidR="00B626E7" w:rsidRDefault="00175C1D">
      <w:pPr>
        <w:spacing w:after="180"/>
      </w:pPr>
      <w:r>
        <w:rPr>
          <w:rFonts w:ascii="Arial" w:eastAsia="宋体" w:hAnsi="Arial" w:cs="Arial"/>
          <w:color w:val="333333"/>
          <w:sz w:val="18"/>
          <w:szCs w:val="18"/>
        </w:rPr>
        <w:t xml:space="preserve">PSG offers programmable semiconductors, </w:t>
      </w:r>
      <w:r>
        <w:rPr>
          <w:rFonts w:ascii="Arial" w:eastAsia="宋体" w:hAnsi="Arial" w:cs="Arial"/>
          <w:color w:val="333333"/>
          <w:sz w:val="18"/>
          <w:szCs w:val="18"/>
        </w:rPr>
        <w:t>primarily FPGAs, structured ASICs, and related products, for a broad range of market segments, including communications, data center, industrial, and military. The PSG product portfolio delivers FPGA acceleration in tandem with Intel microprocessors and en</w:t>
      </w:r>
      <w:r>
        <w:rPr>
          <w:rFonts w:ascii="Arial" w:eastAsia="宋体" w:hAnsi="Arial" w:cs="Arial"/>
          <w:color w:val="333333"/>
          <w:sz w:val="18"/>
          <w:szCs w:val="18"/>
        </w:rPr>
        <w:t>ables Intel to combine the benefits of its broad portfolio of technologies to allow more flexibility for systems to operate with increased efficiency and higher performance.</w:t>
      </w:r>
    </w:p>
    <w:tbl>
      <w:tblPr>
        <w:tblW w:w="10830" w:type="dxa"/>
        <w:tblCellMar>
          <w:top w:w="15" w:type="dxa"/>
          <w:left w:w="15" w:type="dxa"/>
          <w:bottom w:w="15" w:type="dxa"/>
          <w:right w:w="15" w:type="dxa"/>
        </w:tblCellMar>
        <w:tblLook w:val="04A0" w:firstRow="1" w:lastRow="0" w:firstColumn="1" w:lastColumn="0" w:noHBand="0" w:noVBand="1"/>
      </w:tblPr>
      <w:tblGrid>
        <w:gridCol w:w="36"/>
        <w:gridCol w:w="79"/>
        <w:gridCol w:w="36"/>
        <w:gridCol w:w="36"/>
        <w:gridCol w:w="5101"/>
        <w:gridCol w:w="36"/>
        <w:gridCol w:w="36"/>
        <w:gridCol w:w="257"/>
        <w:gridCol w:w="36"/>
        <w:gridCol w:w="36"/>
        <w:gridCol w:w="5105"/>
        <w:gridCol w:w="36"/>
      </w:tblGrid>
      <w:tr w:rsidR="00B626E7" w14:paraId="20AE2A7A" w14:textId="77777777">
        <w:tc>
          <w:tcPr>
            <w:tcW w:w="20" w:type="dxa"/>
            <w:shd w:val="clear" w:color="auto" w:fill="auto"/>
          </w:tcPr>
          <w:p w14:paraId="20AE2A6E" w14:textId="77777777" w:rsidR="00B626E7" w:rsidRDefault="00B626E7">
            <w:pPr>
              <w:rPr>
                <w:rFonts w:ascii="宋体"/>
              </w:rPr>
            </w:pPr>
          </w:p>
        </w:tc>
        <w:tc>
          <w:tcPr>
            <w:tcW w:w="80" w:type="dxa"/>
            <w:shd w:val="clear" w:color="auto" w:fill="auto"/>
          </w:tcPr>
          <w:p w14:paraId="20AE2A6F" w14:textId="77777777" w:rsidR="00B626E7" w:rsidRDefault="00B626E7">
            <w:pPr>
              <w:rPr>
                <w:rFonts w:ascii="宋体"/>
              </w:rPr>
            </w:pPr>
          </w:p>
        </w:tc>
        <w:tc>
          <w:tcPr>
            <w:tcW w:w="20" w:type="dxa"/>
            <w:shd w:val="clear" w:color="auto" w:fill="auto"/>
          </w:tcPr>
          <w:p w14:paraId="20AE2A70" w14:textId="77777777" w:rsidR="00B626E7" w:rsidRDefault="00B626E7">
            <w:pPr>
              <w:rPr>
                <w:rFonts w:ascii="宋体"/>
              </w:rPr>
            </w:pPr>
          </w:p>
        </w:tc>
        <w:tc>
          <w:tcPr>
            <w:tcW w:w="20" w:type="dxa"/>
            <w:shd w:val="clear" w:color="auto" w:fill="auto"/>
          </w:tcPr>
          <w:p w14:paraId="20AE2A71" w14:textId="77777777" w:rsidR="00B626E7" w:rsidRDefault="00B626E7">
            <w:pPr>
              <w:rPr>
                <w:rFonts w:ascii="宋体"/>
              </w:rPr>
            </w:pPr>
          </w:p>
        </w:tc>
        <w:tc>
          <w:tcPr>
            <w:tcW w:w="5165" w:type="dxa"/>
            <w:shd w:val="clear" w:color="auto" w:fill="auto"/>
          </w:tcPr>
          <w:p w14:paraId="20AE2A72" w14:textId="77777777" w:rsidR="00B626E7" w:rsidRDefault="00B626E7">
            <w:pPr>
              <w:rPr>
                <w:rFonts w:ascii="宋体"/>
              </w:rPr>
            </w:pPr>
          </w:p>
        </w:tc>
        <w:tc>
          <w:tcPr>
            <w:tcW w:w="20" w:type="dxa"/>
            <w:shd w:val="clear" w:color="auto" w:fill="auto"/>
          </w:tcPr>
          <w:p w14:paraId="20AE2A73" w14:textId="77777777" w:rsidR="00B626E7" w:rsidRDefault="00B626E7">
            <w:pPr>
              <w:rPr>
                <w:rFonts w:ascii="宋体"/>
              </w:rPr>
            </w:pPr>
          </w:p>
        </w:tc>
        <w:tc>
          <w:tcPr>
            <w:tcW w:w="20" w:type="dxa"/>
            <w:shd w:val="clear" w:color="auto" w:fill="auto"/>
          </w:tcPr>
          <w:p w14:paraId="20AE2A74" w14:textId="77777777" w:rsidR="00B626E7" w:rsidRDefault="00B626E7">
            <w:pPr>
              <w:rPr>
                <w:rFonts w:ascii="宋体"/>
              </w:rPr>
            </w:pPr>
          </w:p>
        </w:tc>
        <w:tc>
          <w:tcPr>
            <w:tcW w:w="260" w:type="dxa"/>
            <w:shd w:val="clear" w:color="auto" w:fill="auto"/>
          </w:tcPr>
          <w:p w14:paraId="20AE2A75" w14:textId="77777777" w:rsidR="00B626E7" w:rsidRDefault="00B626E7">
            <w:pPr>
              <w:rPr>
                <w:rFonts w:ascii="宋体"/>
              </w:rPr>
            </w:pPr>
          </w:p>
        </w:tc>
        <w:tc>
          <w:tcPr>
            <w:tcW w:w="20" w:type="dxa"/>
            <w:shd w:val="clear" w:color="auto" w:fill="auto"/>
          </w:tcPr>
          <w:p w14:paraId="20AE2A76" w14:textId="77777777" w:rsidR="00B626E7" w:rsidRDefault="00B626E7">
            <w:pPr>
              <w:rPr>
                <w:rFonts w:ascii="宋体"/>
              </w:rPr>
            </w:pPr>
          </w:p>
        </w:tc>
        <w:tc>
          <w:tcPr>
            <w:tcW w:w="20" w:type="dxa"/>
            <w:shd w:val="clear" w:color="auto" w:fill="auto"/>
          </w:tcPr>
          <w:p w14:paraId="20AE2A77" w14:textId="77777777" w:rsidR="00B626E7" w:rsidRDefault="00B626E7">
            <w:pPr>
              <w:rPr>
                <w:rFonts w:ascii="宋体"/>
              </w:rPr>
            </w:pPr>
          </w:p>
        </w:tc>
        <w:tc>
          <w:tcPr>
            <w:tcW w:w="5165" w:type="dxa"/>
            <w:shd w:val="clear" w:color="auto" w:fill="auto"/>
          </w:tcPr>
          <w:p w14:paraId="20AE2A78" w14:textId="77777777" w:rsidR="00B626E7" w:rsidRDefault="00B626E7">
            <w:pPr>
              <w:rPr>
                <w:rFonts w:ascii="宋体"/>
              </w:rPr>
            </w:pPr>
          </w:p>
        </w:tc>
        <w:tc>
          <w:tcPr>
            <w:tcW w:w="20" w:type="dxa"/>
            <w:shd w:val="clear" w:color="auto" w:fill="auto"/>
          </w:tcPr>
          <w:p w14:paraId="20AE2A79" w14:textId="77777777" w:rsidR="00B626E7" w:rsidRDefault="00B626E7">
            <w:pPr>
              <w:rPr>
                <w:rFonts w:ascii="宋体"/>
              </w:rPr>
            </w:pPr>
          </w:p>
        </w:tc>
      </w:tr>
      <w:tr w:rsidR="00B626E7" w14:paraId="20AE2A7F" w14:textId="77777777">
        <w:tc>
          <w:tcPr>
            <w:tcW w:w="0" w:type="auto"/>
            <w:gridSpan w:val="3"/>
            <w:shd w:val="clear" w:color="auto" w:fill="auto"/>
            <w:tcMar>
              <w:left w:w="20" w:type="dxa"/>
              <w:right w:w="20" w:type="dxa"/>
            </w:tcMar>
            <w:vAlign w:val="bottom"/>
          </w:tcPr>
          <w:p w14:paraId="20AE2A7B" w14:textId="77777777" w:rsidR="00B626E7" w:rsidRDefault="00B626E7">
            <w:pPr>
              <w:rPr>
                <w:rFonts w:ascii="宋体"/>
              </w:rPr>
            </w:pPr>
          </w:p>
        </w:tc>
        <w:tc>
          <w:tcPr>
            <w:tcW w:w="0" w:type="auto"/>
            <w:gridSpan w:val="3"/>
            <w:tcBorders>
              <w:bottom w:val="single" w:sz="8" w:space="0" w:color="333333"/>
            </w:tcBorders>
            <w:shd w:val="clear" w:color="auto" w:fill="auto"/>
            <w:tcMar>
              <w:top w:w="40" w:type="dxa"/>
              <w:left w:w="20" w:type="dxa"/>
              <w:bottom w:w="40" w:type="dxa"/>
              <w:right w:w="20" w:type="dxa"/>
            </w:tcMar>
            <w:vAlign w:val="bottom"/>
          </w:tcPr>
          <w:p w14:paraId="20AE2A7C" w14:textId="77777777" w:rsidR="00B626E7" w:rsidRDefault="00175C1D">
            <w:pPr>
              <w:jc w:val="center"/>
              <w:textAlignment w:val="bottom"/>
            </w:pPr>
            <w:r>
              <w:rPr>
                <w:rFonts w:ascii="Arial" w:eastAsia="宋体" w:hAnsi="Arial" w:cs="Arial"/>
                <w:b/>
                <w:bCs/>
                <w:color w:val="0071C5"/>
                <w:sz w:val="20"/>
                <w:szCs w:val="20"/>
              </w:rPr>
              <w:t>PSG REVENUE $B</w:t>
            </w:r>
          </w:p>
        </w:tc>
        <w:tc>
          <w:tcPr>
            <w:tcW w:w="0" w:type="auto"/>
            <w:gridSpan w:val="3"/>
            <w:shd w:val="clear" w:color="auto" w:fill="auto"/>
            <w:tcMar>
              <w:left w:w="20" w:type="dxa"/>
              <w:right w:w="20" w:type="dxa"/>
            </w:tcMar>
            <w:vAlign w:val="bottom"/>
          </w:tcPr>
          <w:p w14:paraId="20AE2A7D" w14:textId="77777777" w:rsidR="00B626E7" w:rsidRDefault="00B626E7">
            <w:pPr>
              <w:rPr>
                <w:rFonts w:ascii="宋体"/>
              </w:rPr>
            </w:pPr>
          </w:p>
        </w:tc>
        <w:tc>
          <w:tcPr>
            <w:tcW w:w="0" w:type="auto"/>
            <w:gridSpan w:val="3"/>
            <w:tcBorders>
              <w:bottom w:val="single" w:sz="8" w:space="0" w:color="333333"/>
            </w:tcBorders>
            <w:shd w:val="clear" w:color="auto" w:fill="auto"/>
            <w:tcMar>
              <w:top w:w="40" w:type="dxa"/>
              <w:left w:w="20" w:type="dxa"/>
              <w:bottom w:w="40" w:type="dxa"/>
              <w:right w:w="20" w:type="dxa"/>
            </w:tcMar>
            <w:vAlign w:val="bottom"/>
          </w:tcPr>
          <w:p w14:paraId="20AE2A7E" w14:textId="77777777" w:rsidR="00B626E7" w:rsidRDefault="00175C1D">
            <w:pPr>
              <w:jc w:val="center"/>
              <w:textAlignment w:val="bottom"/>
            </w:pPr>
            <w:r>
              <w:rPr>
                <w:rFonts w:ascii="Arial" w:eastAsia="宋体" w:hAnsi="Arial" w:cs="Arial"/>
                <w:b/>
                <w:bCs/>
                <w:color w:val="0071C5"/>
                <w:sz w:val="20"/>
                <w:szCs w:val="20"/>
              </w:rPr>
              <w:t>PSG OPERATING INCOME $B</w:t>
            </w:r>
          </w:p>
        </w:tc>
      </w:tr>
    </w:tbl>
    <w:p w14:paraId="20AE2A80" w14:textId="77777777" w:rsidR="00B626E7" w:rsidRDefault="00175C1D">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Viewer10_files/intc-20200627_g43.jpg"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83" wp14:editId="20AE3C84">
            <wp:extent cx="304800" cy="304800"/>
            <wp:effectExtent l="0" t="0" r="0" b="0"/>
            <wp:docPr id="64" name="图片 109"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09" descr="IMG_29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Viewer10_files/intc-202</w:instrText>
      </w:r>
      <w:r>
        <w:rPr>
          <w:rFonts w:ascii="宋体" w:eastAsia="宋体" w:hAnsi="宋体" w:cs="宋体"/>
        </w:rPr>
        <w:instrText xml:space="preserve">00627_g44.jpg"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85" wp14:editId="20AE3C86">
            <wp:extent cx="304800" cy="304800"/>
            <wp:effectExtent l="0" t="0" r="0" b="0"/>
            <wp:docPr id="65" name="图片 110"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10" descr="IMG_29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000" w:type="pct"/>
        <w:tblCellMar>
          <w:top w:w="15" w:type="dxa"/>
          <w:left w:w="15" w:type="dxa"/>
          <w:bottom w:w="15" w:type="dxa"/>
          <w:right w:w="15" w:type="dxa"/>
        </w:tblCellMar>
        <w:tblLook w:val="04A0" w:firstRow="1" w:lastRow="0" w:firstColumn="1" w:lastColumn="0" w:noHBand="0" w:noVBand="1"/>
      </w:tblPr>
      <w:tblGrid>
        <w:gridCol w:w="84"/>
        <w:gridCol w:w="8169"/>
        <w:gridCol w:w="83"/>
      </w:tblGrid>
      <w:tr w:rsidR="00B626E7" w14:paraId="20AE2A84" w14:textId="77777777">
        <w:tc>
          <w:tcPr>
            <w:tcW w:w="50" w:type="pct"/>
            <w:shd w:val="clear" w:color="auto" w:fill="auto"/>
          </w:tcPr>
          <w:p w14:paraId="20AE2A81" w14:textId="77777777" w:rsidR="00B626E7" w:rsidRDefault="00B626E7">
            <w:pPr>
              <w:rPr>
                <w:rFonts w:ascii="宋体"/>
              </w:rPr>
            </w:pPr>
          </w:p>
        </w:tc>
        <w:tc>
          <w:tcPr>
            <w:tcW w:w="4900" w:type="pct"/>
            <w:shd w:val="clear" w:color="auto" w:fill="auto"/>
          </w:tcPr>
          <w:p w14:paraId="20AE2A82" w14:textId="77777777" w:rsidR="00B626E7" w:rsidRDefault="00B626E7">
            <w:pPr>
              <w:rPr>
                <w:rFonts w:ascii="宋体"/>
              </w:rPr>
            </w:pPr>
          </w:p>
        </w:tc>
        <w:tc>
          <w:tcPr>
            <w:tcW w:w="50" w:type="pct"/>
            <w:shd w:val="clear" w:color="auto" w:fill="auto"/>
          </w:tcPr>
          <w:p w14:paraId="20AE2A83" w14:textId="77777777" w:rsidR="00B626E7" w:rsidRDefault="00B626E7">
            <w:pPr>
              <w:rPr>
                <w:rFonts w:ascii="宋体"/>
              </w:rPr>
            </w:pPr>
          </w:p>
        </w:tc>
      </w:tr>
      <w:tr w:rsidR="00B626E7" w14:paraId="20AE2A86" w14:textId="77777777">
        <w:tc>
          <w:tcPr>
            <w:tcW w:w="0" w:type="auto"/>
            <w:gridSpan w:val="3"/>
            <w:tcBorders>
              <w:bottom w:val="single" w:sz="8" w:space="0" w:color="333333"/>
            </w:tcBorders>
            <w:shd w:val="clear" w:color="auto" w:fill="auto"/>
            <w:tcMar>
              <w:top w:w="40" w:type="dxa"/>
              <w:left w:w="20" w:type="dxa"/>
              <w:bottom w:w="40" w:type="dxa"/>
              <w:right w:w="20" w:type="dxa"/>
            </w:tcMar>
            <w:vAlign w:val="bottom"/>
          </w:tcPr>
          <w:p w14:paraId="20AE2A85" w14:textId="77777777" w:rsidR="00B626E7" w:rsidRDefault="00175C1D">
            <w:pPr>
              <w:textAlignment w:val="bottom"/>
            </w:pPr>
            <w:r>
              <w:rPr>
                <w:rFonts w:ascii="Arial" w:eastAsia="宋体" w:hAnsi="Arial" w:cs="Arial"/>
                <w:b/>
                <w:bCs/>
                <w:color w:val="0071C5"/>
                <w:sz w:val="20"/>
                <w:szCs w:val="20"/>
              </w:rPr>
              <w:t>REVENUE AND OPERATING INCOME SUMMARY</w:t>
            </w:r>
          </w:p>
        </w:tc>
      </w:tr>
    </w:tbl>
    <w:p w14:paraId="20AE2A87" w14:textId="77777777" w:rsidR="00B626E7" w:rsidRDefault="00B626E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84"/>
        <w:gridCol w:w="8169"/>
        <w:gridCol w:w="83"/>
      </w:tblGrid>
      <w:tr w:rsidR="00B626E7" w14:paraId="20AE2A8B" w14:textId="77777777">
        <w:tc>
          <w:tcPr>
            <w:tcW w:w="50" w:type="pct"/>
            <w:shd w:val="clear" w:color="auto" w:fill="auto"/>
          </w:tcPr>
          <w:p w14:paraId="20AE2A88" w14:textId="77777777" w:rsidR="00B626E7" w:rsidRDefault="00B626E7">
            <w:pPr>
              <w:rPr>
                <w:rFonts w:ascii="宋体"/>
              </w:rPr>
            </w:pPr>
          </w:p>
        </w:tc>
        <w:tc>
          <w:tcPr>
            <w:tcW w:w="4900" w:type="pct"/>
            <w:shd w:val="clear" w:color="auto" w:fill="auto"/>
          </w:tcPr>
          <w:p w14:paraId="20AE2A89" w14:textId="77777777" w:rsidR="00B626E7" w:rsidRDefault="00B626E7">
            <w:pPr>
              <w:rPr>
                <w:rFonts w:ascii="宋体"/>
              </w:rPr>
            </w:pPr>
          </w:p>
        </w:tc>
        <w:tc>
          <w:tcPr>
            <w:tcW w:w="50" w:type="pct"/>
            <w:shd w:val="clear" w:color="auto" w:fill="auto"/>
          </w:tcPr>
          <w:p w14:paraId="20AE2A8A" w14:textId="77777777" w:rsidR="00B626E7" w:rsidRDefault="00B626E7">
            <w:pPr>
              <w:rPr>
                <w:rFonts w:ascii="宋体"/>
              </w:rPr>
            </w:pPr>
          </w:p>
        </w:tc>
      </w:tr>
      <w:tr w:rsidR="00B626E7" w14:paraId="20AE2A8D" w14:textId="77777777">
        <w:tc>
          <w:tcPr>
            <w:tcW w:w="0" w:type="auto"/>
            <w:gridSpan w:val="3"/>
            <w:tcBorders>
              <w:bottom w:val="single" w:sz="8" w:space="0" w:color="333333"/>
            </w:tcBorders>
            <w:shd w:val="clear" w:color="auto" w:fill="auto"/>
            <w:tcMar>
              <w:top w:w="40" w:type="dxa"/>
              <w:left w:w="20" w:type="dxa"/>
              <w:bottom w:w="40" w:type="dxa"/>
              <w:right w:w="20" w:type="dxa"/>
            </w:tcMar>
            <w:vAlign w:val="bottom"/>
          </w:tcPr>
          <w:p w14:paraId="20AE2A8C" w14:textId="77777777" w:rsidR="00B626E7" w:rsidRDefault="00175C1D">
            <w:pPr>
              <w:textAlignment w:val="bottom"/>
            </w:pPr>
            <w:r>
              <w:rPr>
                <w:rFonts w:ascii="Arial" w:eastAsia="宋体" w:hAnsi="Arial" w:cs="Arial"/>
                <w:b/>
                <w:bCs/>
                <w:color w:val="333333"/>
                <w:sz w:val="20"/>
                <w:szCs w:val="20"/>
              </w:rPr>
              <w:t>Q2 2020 vs. Q2 2019</w:t>
            </w:r>
          </w:p>
        </w:tc>
      </w:tr>
    </w:tbl>
    <w:p w14:paraId="20AE2A8E" w14:textId="77777777" w:rsidR="00B626E7" w:rsidRDefault="00175C1D">
      <w:pPr>
        <w:spacing w:after="180"/>
      </w:pPr>
      <w:r>
        <w:rPr>
          <w:rFonts w:ascii="Arial" w:eastAsia="宋体" w:hAnsi="Arial" w:cs="Arial"/>
          <w:color w:val="333333"/>
          <w:sz w:val="18"/>
          <w:szCs w:val="18"/>
        </w:rPr>
        <w:t>Revenue was $501 million, up $12 million due to growth in the cloud and enterprise market segment, partially offset by weakness in the embedded and communications market segments. PSG experienced growth in advanced products. Operating income was $80 millio</w:t>
      </w:r>
      <w:r>
        <w:rPr>
          <w:rFonts w:ascii="Arial" w:eastAsia="宋体" w:hAnsi="Arial" w:cs="Arial"/>
          <w:color w:val="333333"/>
          <w:sz w:val="18"/>
          <w:szCs w:val="18"/>
        </w:rPr>
        <w:t xml:space="preserve">n, up $28 million. </w:t>
      </w:r>
    </w:p>
    <w:tbl>
      <w:tblPr>
        <w:tblW w:w="5000" w:type="pct"/>
        <w:tblCellMar>
          <w:top w:w="15" w:type="dxa"/>
          <w:left w:w="15" w:type="dxa"/>
          <w:bottom w:w="15" w:type="dxa"/>
          <w:right w:w="15" w:type="dxa"/>
        </w:tblCellMar>
        <w:tblLook w:val="04A0" w:firstRow="1" w:lastRow="0" w:firstColumn="1" w:lastColumn="0" w:noHBand="0" w:noVBand="1"/>
      </w:tblPr>
      <w:tblGrid>
        <w:gridCol w:w="84"/>
        <w:gridCol w:w="8169"/>
        <w:gridCol w:w="83"/>
      </w:tblGrid>
      <w:tr w:rsidR="00B626E7" w14:paraId="20AE2A92" w14:textId="77777777">
        <w:tc>
          <w:tcPr>
            <w:tcW w:w="50" w:type="pct"/>
            <w:shd w:val="clear" w:color="auto" w:fill="auto"/>
          </w:tcPr>
          <w:p w14:paraId="20AE2A8F" w14:textId="77777777" w:rsidR="00B626E7" w:rsidRDefault="00B626E7">
            <w:pPr>
              <w:rPr>
                <w:rFonts w:ascii="宋体"/>
              </w:rPr>
            </w:pPr>
          </w:p>
        </w:tc>
        <w:tc>
          <w:tcPr>
            <w:tcW w:w="4900" w:type="pct"/>
            <w:shd w:val="clear" w:color="auto" w:fill="auto"/>
          </w:tcPr>
          <w:p w14:paraId="20AE2A90" w14:textId="77777777" w:rsidR="00B626E7" w:rsidRDefault="00B626E7">
            <w:pPr>
              <w:rPr>
                <w:rFonts w:ascii="宋体"/>
              </w:rPr>
            </w:pPr>
          </w:p>
        </w:tc>
        <w:tc>
          <w:tcPr>
            <w:tcW w:w="50" w:type="pct"/>
            <w:shd w:val="clear" w:color="auto" w:fill="auto"/>
          </w:tcPr>
          <w:p w14:paraId="20AE2A91" w14:textId="77777777" w:rsidR="00B626E7" w:rsidRDefault="00B626E7">
            <w:pPr>
              <w:rPr>
                <w:rFonts w:ascii="宋体"/>
              </w:rPr>
            </w:pPr>
          </w:p>
        </w:tc>
      </w:tr>
      <w:tr w:rsidR="00B626E7" w14:paraId="20AE2A94" w14:textId="77777777">
        <w:tc>
          <w:tcPr>
            <w:tcW w:w="0" w:type="auto"/>
            <w:gridSpan w:val="3"/>
            <w:tcBorders>
              <w:bottom w:val="single" w:sz="8" w:space="0" w:color="333333"/>
            </w:tcBorders>
            <w:shd w:val="clear" w:color="auto" w:fill="auto"/>
            <w:tcMar>
              <w:top w:w="40" w:type="dxa"/>
              <w:left w:w="20" w:type="dxa"/>
              <w:bottom w:w="40" w:type="dxa"/>
              <w:right w:w="20" w:type="dxa"/>
            </w:tcMar>
            <w:vAlign w:val="bottom"/>
          </w:tcPr>
          <w:p w14:paraId="20AE2A93" w14:textId="77777777" w:rsidR="00B626E7" w:rsidRDefault="00175C1D">
            <w:pPr>
              <w:textAlignment w:val="bottom"/>
            </w:pPr>
            <w:r>
              <w:rPr>
                <w:rFonts w:ascii="Arial" w:eastAsia="宋体" w:hAnsi="Arial" w:cs="Arial"/>
                <w:b/>
                <w:bCs/>
                <w:color w:val="333333"/>
                <w:sz w:val="20"/>
                <w:szCs w:val="20"/>
              </w:rPr>
              <w:t>YTD 2020 vs. YTD 2019</w:t>
            </w:r>
          </w:p>
        </w:tc>
      </w:tr>
    </w:tbl>
    <w:p w14:paraId="20AE2A95" w14:textId="77777777" w:rsidR="00B626E7" w:rsidRDefault="00175C1D">
      <w:pPr>
        <w:spacing w:after="180"/>
      </w:pPr>
      <w:r>
        <w:rPr>
          <w:rFonts w:ascii="Arial" w:eastAsia="宋体" w:hAnsi="Arial" w:cs="Arial"/>
          <w:color w:val="333333"/>
          <w:sz w:val="18"/>
          <w:szCs w:val="18"/>
        </w:rPr>
        <w:t xml:space="preserve">Revenue was $1.0 billion, up $45 million due to growth in the cloud and enterprise market segment, partially offset by weakness in the embedded and communications market segments. Operating income was $177 million, up $36 million. </w:t>
      </w:r>
    </w:p>
    <w:p w14:paraId="20AE2A96" w14:textId="77777777" w:rsidR="00B626E7" w:rsidRDefault="00B626E7">
      <w:pPr>
        <w:spacing w:after="180"/>
      </w:pPr>
    </w:p>
    <w:p w14:paraId="20AE2A97" w14:textId="77777777" w:rsidR="00B626E7" w:rsidRDefault="00B626E7">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4"/>
        <w:gridCol w:w="2423"/>
        <w:gridCol w:w="84"/>
        <w:gridCol w:w="83"/>
        <w:gridCol w:w="3471"/>
        <w:gridCol w:w="83"/>
        <w:gridCol w:w="83"/>
        <w:gridCol w:w="1942"/>
        <w:gridCol w:w="83"/>
      </w:tblGrid>
      <w:tr w:rsidR="00B626E7" w14:paraId="20AE2AA1" w14:textId="77777777">
        <w:tc>
          <w:tcPr>
            <w:tcW w:w="50" w:type="pct"/>
            <w:shd w:val="clear" w:color="auto" w:fill="auto"/>
            <w:vAlign w:val="bottom"/>
          </w:tcPr>
          <w:p w14:paraId="20AE2A98" w14:textId="77777777" w:rsidR="00B626E7" w:rsidRDefault="00B626E7">
            <w:pPr>
              <w:rPr>
                <w:rFonts w:ascii="宋体"/>
              </w:rPr>
            </w:pPr>
          </w:p>
        </w:tc>
        <w:tc>
          <w:tcPr>
            <w:tcW w:w="1452" w:type="pct"/>
            <w:shd w:val="clear" w:color="auto" w:fill="auto"/>
            <w:vAlign w:val="bottom"/>
          </w:tcPr>
          <w:p w14:paraId="20AE2A99" w14:textId="77777777" w:rsidR="00B626E7" w:rsidRDefault="00B626E7">
            <w:pPr>
              <w:rPr>
                <w:rFonts w:ascii="宋体"/>
              </w:rPr>
            </w:pPr>
          </w:p>
        </w:tc>
        <w:tc>
          <w:tcPr>
            <w:tcW w:w="50" w:type="pct"/>
            <w:shd w:val="clear" w:color="auto" w:fill="auto"/>
            <w:vAlign w:val="bottom"/>
          </w:tcPr>
          <w:p w14:paraId="20AE2A9A" w14:textId="77777777" w:rsidR="00B626E7" w:rsidRDefault="00B626E7">
            <w:pPr>
              <w:rPr>
                <w:rFonts w:ascii="宋体"/>
              </w:rPr>
            </w:pPr>
          </w:p>
        </w:tc>
        <w:tc>
          <w:tcPr>
            <w:tcW w:w="50" w:type="pct"/>
            <w:shd w:val="clear" w:color="auto" w:fill="auto"/>
            <w:vAlign w:val="bottom"/>
          </w:tcPr>
          <w:p w14:paraId="20AE2A9B" w14:textId="77777777" w:rsidR="00B626E7" w:rsidRDefault="00B626E7">
            <w:pPr>
              <w:rPr>
                <w:rFonts w:ascii="宋体"/>
              </w:rPr>
            </w:pPr>
          </w:p>
        </w:tc>
        <w:tc>
          <w:tcPr>
            <w:tcW w:w="2081" w:type="pct"/>
            <w:shd w:val="clear" w:color="auto" w:fill="auto"/>
            <w:vAlign w:val="bottom"/>
          </w:tcPr>
          <w:p w14:paraId="20AE2A9C" w14:textId="77777777" w:rsidR="00B626E7" w:rsidRDefault="00B626E7">
            <w:pPr>
              <w:rPr>
                <w:rFonts w:ascii="宋体"/>
              </w:rPr>
            </w:pPr>
          </w:p>
        </w:tc>
        <w:tc>
          <w:tcPr>
            <w:tcW w:w="50" w:type="pct"/>
            <w:shd w:val="clear" w:color="auto" w:fill="auto"/>
            <w:vAlign w:val="bottom"/>
          </w:tcPr>
          <w:p w14:paraId="20AE2A9D" w14:textId="77777777" w:rsidR="00B626E7" w:rsidRDefault="00B626E7">
            <w:pPr>
              <w:rPr>
                <w:rFonts w:ascii="宋体"/>
              </w:rPr>
            </w:pPr>
          </w:p>
        </w:tc>
        <w:tc>
          <w:tcPr>
            <w:tcW w:w="50" w:type="pct"/>
            <w:shd w:val="clear" w:color="auto" w:fill="auto"/>
            <w:vAlign w:val="bottom"/>
          </w:tcPr>
          <w:p w14:paraId="20AE2A9E" w14:textId="77777777" w:rsidR="00B626E7" w:rsidRDefault="00B626E7">
            <w:pPr>
              <w:rPr>
                <w:rFonts w:ascii="宋体"/>
              </w:rPr>
            </w:pPr>
          </w:p>
        </w:tc>
        <w:tc>
          <w:tcPr>
            <w:tcW w:w="1165" w:type="pct"/>
            <w:shd w:val="clear" w:color="auto" w:fill="auto"/>
            <w:vAlign w:val="bottom"/>
          </w:tcPr>
          <w:p w14:paraId="20AE2A9F" w14:textId="77777777" w:rsidR="00B626E7" w:rsidRDefault="00B626E7">
            <w:pPr>
              <w:rPr>
                <w:rFonts w:ascii="宋体"/>
              </w:rPr>
            </w:pPr>
          </w:p>
        </w:tc>
        <w:tc>
          <w:tcPr>
            <w:tcW w:w="50" w:type="pct"/>
            <w:shd w:val="clear" w:color="auto" w:fill="auto"/>
            <w:vAlign w:val="bottom"/>
          </w:tcPr>
          <w:p w14:paraId="20AE2AA0" w14:textId="77777777" w:rsidR="00B626E7" w:rsidRDefault="00B626E7">
            <w:pPr>
              <w:rPr>
                <w:rFonts w:ascii="宋体"/>
              </w:rPr>
            </w:pPr>
          </w:p>
        </w:tc>
      </w:tr>
      <w:tr w:rsidR="00B626E7" w14:paraId="20AE2AA5" w14:textId="77777777">
        <w:tc>
          <w:tcPr>
            <w:tcW w:w="0" w:type="auto"/>
            <w:gridSpan w:val="3"/>
            <w:tcBorders>
              <w:top w:val="single" w:sz="8" w:space="0" w:color="0071C5"/>
            </w:tcBorders>
            <w:shd w:val="clear" w:color="auto" w:fill="auto"/>
            <w:tcMar>
              <w:top w:w="40" w:type="dxa"/>
              <w:left w:w="20" w:type="dxa"/>
              <w:bottom w:w="40" w:type="dxa"/>
              <w:right w:w="20" w:type="dxa"/>
            </w:tcMar>
            <w:vAlign w:val="center"/>
          </w:tcPr>
          <w:p w14:paraId="20AE2AA2" w14:textId="77777777" w:rsidR="00B626E7" w:rsidRDefault="00175C1D">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Viewer10_files/intc-20200627_g36.jpg"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87" wp14:editId="20AE3C88">
                  <wp:extent cx="304800" cy="304800"/>
                  <wp:effectExtent l="0" t="0" r="0" b="0"/>
                  <wp:docPr id="69" name="图片 111"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11" descr="IMG_32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Arial" w:eastAsia="宋体" w:hAnsi="Arial" w:cs="Arial"/>
                <w:color w:val="333333"/>
                <w:sz w:val="16"/>
                <w:szCs w:val="16"/>
              </w:rPr>
              <w:t>MD&amp;A</w:t>
            </w:r>
          </w:p>
        </w:tc>
        <w:tc>
          <w:tcPr>
            <w:tcW w:w="0" w:type="auto"/>
            <w:gridSpan w:val="3"/>
            <w:tcBorders>
              <w:top w:val="single" w:sz="8" w:space="0" w:color="0071C5"/>
            </w:tcBorders>
            <w:shd w:val="clear" w:color="auto" w:fill="auto"/>
            <w:tcMar>
              <w:left w:w="20" w:type="dxa"/>
              <w:right w:w="20" w:type="dxa"/>
            </w:tcMar>
            <w:vAlign w:val="bottom"/>
          </w:tcPr>
          <w:p w14:paraId="20AE2AA3"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2AA4" w14:textId="77777777" w:rsidR="00B626E7" w:rsidRDefault="00175C1D">
            <w:pPr>
              <w:jc w:val="right"/>
              <w:textAlignment w:val="bottom"/>
            </w:pPr>
            <w:r>
              <w:rPr>
                <w:rFonts w:ascii="Arial" w:eastAsia="宋体" w:hAnsi="Arial" w:cs="Arial"/>
                <w:color w:val="333333"/>
                <w:sz w:val="16"/>
                <w:szCs w:val="16"/>
              </w:rPr>
              <w:t>32</w:t>
            </w:r>
          </w:p>
        </w:tc>
      </w:tr>
    </w:tbl>
    <w:p w14:paraId="20AE2AA6" w14:textId="77777777" w:rsidR="00B626E7" w:rsidRDefault="00175C1D">
      <w:r>
        <w:pict w14:anchorId="20AE3C89">
          <v:rect id="_x0000_i1058" style="width:415.3pt;height:1.5pt" o:hralign="center" o:hrstd="t" o:hr="t" fillcolor="#a0a0a0" stroked="f"/>
        </w:pict>
      </w:r>
    </w:p>
    <w:p w14:paraId="20AE2AA7" w14:textId="77777777" w:rsidR="00B626E7" w:rsidRDefault="00175C1D">
      <w:pPr>
        <w:spacing w:after="180"/>
        <w:jc w:val="right"/>
      </w:pPr>
      <w:hyperlink r:id="rId59" w:anchor="ib035cc8759904e51927d703ec8414366_7" w:history="1">
        <w:r>
          <w:rPr>
            <w:rStyle w:val="a5"/>
            <w:rFonts w:ascii="Arial" w:eastAsia="宋体" w:hAnsi="Arial" w:cs="Arial"/>
            <w:b/>
            <w:bCs/>
            <w:sz w:val="16"/>
            <w:szCs w:val="16"/>
          </w:rPr>
          <w:t>Table of Contents</w:t>
        </w:r>
      </w:hyperlink>
    </w:p>
    <w:p w14:paraId="20AE2AA8" w14:textId="77777777" w:rsidR="00B626E7" w:rsidRDefault="00B626E7">
      <w:pPr>
        <w:spacing w:after="180"/>
        <w:jc w:val="right"/>
      </w:pPr>
    </w:p>
    <w:p w14:paraId="20AE2AA9" w14:textId="77777777" w:rsidR="00B626E7" w:rsidRDefault="00175C1D">
      <w:pPr>
        <w:spacing w:after="180"/>
      </w:pPr>
      <w:r>
        <w:rPr>
          <w:rFonts w:ascii="Arial" w:eastAsia="宋体" w:hAnsi="Arial" w:cs="Arial"/>
          <w:b/>
          <w:bCs/>
          <w:color w:val="0071C5"/>
          <w:sz w:val="28"/>
          <w:szCs w:val="28"/>
        </w:rPr>
        <w:t xml:space="preserve">CLIENT COMPUTING GROUP </w:t>
      </w:r>
    </w:p>
    <w:p w14:paraId="20AE2AAA" w14:textId="77777777" w:rsidR="00B626E7" w:rsidRDefault="00175C1D">
      <w:pPr>
        <w:spacing w:after="180"/>
      </w:pPr>
      <w:r>
        <w:rPr>
          <w:rFonts w:ascii="Arial" w:eastAsia="宋体" w:hAnsi="Arial" w:cs="Arial"/>
          <w:color w:val="333333"/>
          <w:sz w:val="18"/>
          <w:szCs w:val="18"/>
        </w:rPr>
        <w:t xml:space="preserve">As we evolve to deliver leading end-to-end products </w:t>
      </w:r>
      <w:r>
        <w:rPr>
          <w:rFonts w:ascii="Arial" w:eastAsia="宋体" w:hAnsi="Arial" w:cs="Arial"/>
          <w:color w:val="333333"/>
          <w:sz w:val="18"/>
          <w:szCs w:val="18"/>
        </w:rPr>
        <w:t>across architectures and workloads for the data explosion, CCG’s contribution is the human touchpoint of this new data-centric era—the PC. As the largest business unit at Intel, CCG deploys platforms that connect people to data, allowing each person to foc</w:t>
      </w:r>
      <w:r>
        <w:rPr>
          <w:rFonts w:ascii="Arial" w:eastAsia="宋体" w:hAnsi="Arial" w:cs="Arial"/>
          <w:color w:val="333333"/>
          <w:sz w:val="18"/>
          <w:szCs w:val="18"/>
        </w:rPr>
        <w:t>us, create, and engage in ways that unlock their individual potential. The PC market remains a critical facet of our business, providing an important source of IP, scale, and cash flow. Our mission is to continue to deliver leadership products in our PC bu</w:t>
      </w:r>
      <w:r>
        <w:rPr>
          <w:rFonts w:ascii="Arial" w:eastAsia="宋体" w:hAnsi="Arial" w:cs="Arial"/>
          <w:color w:val="333333"/>
          <w:sz w:val="18"/>
          <w:szCs w:val="18"/>
        </w:rPr>
        <w:t>siness as well as our adjacent businesses. The PC is more essential than ever before with more people working and learning from home due to COVID-19-related impacts. We are dedicated to helping people around the world overcome this crisis.</w:t>
      </w:r>
    </w:p>
    <w:tbl>
      <w:tblPr>
        <w:tblW w:w="10830" w:type="dxa"/>
        <w:tblCellMar>
          <w:top w:w="15" w:type="dxa"/>
          <w:left w:w="15" w:type="dxa"/>
          <w:bottom w:w="15" w:type="dxa"/>
          <w:right w:w="15" w:type="dxa"/>
        </w:tblCellMar>
        <w:tblLook w:val="04A0" w:firstRow="1" w:lastRow="0" w:firstColumn="1" w:lastColumn="0" w:noHBand="0" w:noVBand="1"/>
      </w:tblPr>
      <w:tblGrid>
        <w:gridCol w:w="36"/>
        <w:gridCol w:w="79"/>
        <w:gridCol w:w="36"/>
        <w:gridCol w:w="36"/>
        <w:gridCol w:w="5101"/>
        <w:gridCol w:w="36"/>
        <w:gridCol w:w="36"/>
        <w:gridCol w:w="257"/>
        <w:gridCol w:w="36"/>
        <w:gridCol w:w="36"/>
        <w:gridCol w:w="5105"/>
        <w:gridCol w:w="36"/>
      </w:tblGrid>
      <w:tr w:rsidR="00B626E7" w14:paraId="20AE2AB7" w14:textId="77777777">
        <w:tc>
          <w:tcPr>
            <w:tcW w:w="20" w:type="dxa"/>
            <w:shd w:val="clear" w:color="auto" w:fill="auto"/>
          </w:tcPr>
          <w:p w14:paraId="20AE2AAB" w14:textId="77777777" w:rsidR="00B626E7" w:rsidRDefault="00B626E7">
            <w:pPr>
              <w:rPr>
                <w:rFonts w:ascii="宋体"/>
              </w:rPr>
            </w:pPr>
          </w:p>
        </w:tc>
        <w:tc>
          <w:tcPr>
            <w:tcW w:w="80" w:type="dxa"/>
            <w:shd w:val="clear" w:color="auto" w:fill="auto"/>
          </w:tcPr>
          <w:p w14:paraId="20AE2AAC" w14:textId="77777777" w:rsidR="00B626E7" w:rsidRDefault="00B626E7">
            <w:pPr>
              <w:rPr>
                <w:rFonts w:ascii="宋体"/>
              </w:rPr>
            </w:pPr>
          </w:p>
        </w:tc>
        <w:tc>
          <w:tcPr>
            <w:tcW w:w="20" w:type="dxa"/>
            <w:shd w:val="clear" w:color="auto" w:fill="auto"/>
          </w:tcPr>
          <w:p w14:paraId="20AE2AAD" w14:textId="77777777" w:rsidR="00B626E7" w:rsidRDefault="00B626E7">
            <w:pPr>
              <w:rPr>
                <w:rFonts w:ascii="宋体"/>
              </w:rPr>
            </w:pPr>
          </w:p>
        </w:tc>
        <w:tc>
          <w:tcPr>
            <w:tcW w:w="20" w:type="dxa"/>
            <w:shd w:val="clear" w:color="auto" w:fill="auto"/>
          </w:tcPr>
          <w:p w14:paraId="20AE2AAE" w14:textId="77777777" w:rsidR="00B626E7" w:rsidRDefault="00B626E7">
            <w:pPr>
              <w:rPr>
                <w:rFonts w:ascii="宋体"/>
              </w:rPr>
            </w:pPr>
          </w:p>
        </w:tc>
        <w:tc>
          <w:tcPr>
            <w:tcW w:w="5165" w:type="dxa"/>
            <w:shd w:val="clear" w:color="auto" w:fill="auto"/>
          </w:tcPr>
          <w:p w14:paraId="20AE2AAF" w14:textId="77777777" w:rsidR="00B626E7" w:rsidRDefault="00B626E7">
            <w:pPr>
              <w:rPr>
                <w:rFonts w:ascii="宋体"/>
              </w:rPr>
            </w:pPr>
          </w:p>
        </w:tc>
        <w:tc>
          <w:tcPr>
            <w:tcW w:w="20" w:type="dxa"/>
            <w:shd w:val="clear" w:color="auto" w:fill="auto"/>
          </w:tcPr>
          <w:p w14:paraId="20AE2AB0" w14:textId="77777777" w:rsidR="00B626E7" w:rsidRDefault="00B626E7">
            <w:pPr>
              <w:rPr>
                <w:rFonts w:ascii="宋体"/>
              </w:rPr>
            </w:pPr>
          </w:p>
        </w:tc>
        <w:tc>
          <w:tcPr>
            <w:tcW w:w="20" w:type="dxa"/>
            <w:shd w:val="clear" w:color="auto" w:fill="auto"/>
          </w:tcPr>
          <w:p w14:paraId="20AE2AB1" w14:textId="77777777" w:rsidR="00B626E7" w:rsidRDefault="00B626E7">
            <w:pPr>
              <w:rPr>
                <w:rFonts w:ascii="宋体"/>
              </w:rPr>
            </w:pPr>
          </w:p>
        </w:tc>
        <w:tc>
          <w:tcPr>
            <w:tcW w:w="260" w:type="dxa"/>
            <w:shd w:val="clear" w:color="auto" w:fill="auto"/>
          </w:tcPr>
          <w:p w14:paraId="20AE2AB2" w14:textId="77777777" w:rsidR="00B626E7" w:rsidRDefault="00B626E7">
            <w:pPr>
              <w:rPr>
                <w:rFonts w:ascii="宋体"/>
              </w:rPr>
            </w:pPr>
          </w:p>
        </w:tc>
        <w:tc>
          <w:tcPr>
            <w:tcW w:w="20" w:type="dxa"/>
            <w:shd w:val="clear" w:color="auto" w:fill="auto"/>
          </w:tcPr>
          <w:p w14:paraId="20AE2AB3" w14:textId="77777777" w:rsidR="00B626E7" w:rsidRDefault="00B626E7">
            <w:pPr>
              <w:rPr>
                <w:rFonts w:ascii="宋体"/>
              </w:rPr>
            </w:pPr>
          </w:p>
        </w:tc>
        <w:tc>
          <w:tcPr>
            <w:tcW w:w="20" w:type="dxa"/>
            <w:shd w:val="clear" w:color="auto" w:fill="auto"/>
          </w:tcPr>
          <w:p w14:paraId="20AE2AB4" w14:textId="77777777" w:rsidR="00B626E7" w:rsidRDefault="00B626E7">
            <w:pPr>
              <w:rPr>
                <w:rFonts w:ascii="宋体"/>
              </w:rPr>
            </w:pPr>
          </w:p>
        </w:tc>
        <w:tc>
          <w:tcPr>
            <w:tcW w:w="5165" w:type="dxa"/>
            <w:shd w:val="clear" w:color="auto" w:fill="auto"/>
          </w:tcPr>
          <w:p w14:paraId="20AE2AB5" w14:textId="77777777" w:rsidR="00B626E7" w:rsidRDefault="00B626E7">
            <w:pPr>
              <w:rPr>
                <w:rFonts w:ascii="宋体"/>
              </w:rPr>
            </w:pPr>
          </w:p>
        </w:tc>
        <w:tc>
          <w:tcPr>
            <w:tcW w:w="20" w:type="dxa"/>
            <w:shd w:val="clear" w:color="auto" w:fill="auto"/>
          </w:tcPr>
          <w:p w14:paraId="20AE2AB6" w14:textId="77777777" w:rsidR="00B626E7" w:rsidRDefault="00B626E7">
            <w:pPr>
              <w:rPr>
                <w:rFonts w:ascii="宋体"/>
              </w:rPr>
            </w:pPr>
          </w:p>
        </w:tc>
      </w:tr>
      <w:tr w:rsidR="00B626E7" w14:paraId="20AE2ABC" w14:textId="77777777">
        <w:tc>
          <w:tcPr>
            <w:tcW w:w="0" w:type="auto"/>
            <w:gridSpan w:val="3"/>
            <w:shd w:val="clear" w:color="auto" w:fill="auto"/>
            <w:tcMar>
              <w:left w:w="20" w:type="dxa"/>
              <w:right w:w="20" w:type="dxa"/>
            </w:tcMar>
            <w:vAlign w:val="bottom"/>
          </w:tcPr>
          <w:p w14:paraId="20AE2AB8" w14:textId="77777777" w:rsidR="00B626E7" w:rsidRDefault="00B626E7">
            <w:pPr>
              <w:rPr>
                <w:rFonts w:ascii="宋体"/>
              </w:rPr>
            </w:pPr>
          </w:p>
        </w:tc>
        <w:tc>
          <w:tcPr>
            <w:tcW w:w="0" w:type="auto"/>
            <w:gridSpan w:val="3"/>
            <w:tcBorders>
              <w:bottom w:val="single" w:sz="8" w:space="0" w:color="333333"/>
            </w:tcBorders>
            <w:shd w:val="clear" w:color="auto" w:fill="auto"/>
            <w:tcMar>
              <w:top w:w="40" w:type="dxa"/>
              <w:left w:w="20" w:type="dxa"/>
              <w:bottom w:w="40" w:type="dxa"/>
              <w:right w:w="20" w:type="dxa"/>
            </w:tcMar>
            <w:vAlign w:val="bottom"/>
          </w:tcPr>
          <w:p w14:paraId="20AE2AB9" w14:textId="77777777" w:rsidR="00B626E7" w:rsidRDefault="00175C1D">
            <w:pPr>
              <w:jc w:val="center"/>
              <w:textAlignment w:val="bottom"/>
            </w:pPr>
            <w:r>
              <w:rPr>
                <w:rFonts w:ascii="Arial" w:eastAsia="宋体" w:hAnsi="Arial" w:cs="Arial"/>
                <w:b/>
                <w:bCs/>
                <w:color w:val="0071C5"/>
                <w:sz w:val="20"/>
                <w:szCs w:val="20"/>
              </w:rPr>
              <w:t>CCG REVENUE $B</w:t>
            </w:r>
          </w:p>
        </w:tc>
        <w:tc>
          <w:tcPr>
            <w:tcW w:w="0" w:type="auto"/>
            <w:gridSpan w:val="3"/>
            <w:shd w:val="clear" w:color="auto" w:fill="auto"/>
            <w:tcMar>
              <w:left w:w="20" w:type="dxa"/>
              <w:right w:w="20" w:type="dxa"/>
            </w:tcMar>
            <w:vAlign w:val="bottom"/>
          </w:tcPr>
          <w:p w14:paraId="20AE2ABA" w14:textId="77777777" w:rsidR="00B626E7" w:rsidRDefault="00B626E7">
            <w:pPr>
              <w:rPr>
                <w:rFonts w:ascii="宋体"/>
              </w:rPr>
            </w:pPr>
          </w:p>
        </w:tc>
        <w:tc>
          <w:tcPr>
            <w:tcW w:w="0" w:type="auto"/>
            <w:gridSpan w:val="3"/>
            <w:tcBorders>
              <w:bottom w:val="single" w:sz="8" w:space="0" w:color="333333"/>
            </w:tcBorders>
            <w:shd w:val="clear" w:color="auto" w:fill="auto"/>
            <w:tcMar>
              <w:top w:w="40" w:type="dxa"/>
              <w:left w:w="20" w:type="dxa"/>
              <w:bottom w:w="40" w:type="dxa"/>
              <w:right w:w="20" w:type="dxa"/>
            </w:tcMar>
            <w:vAlign w:val="bottom"/>
          </w:tcPr>
          <w:p w14:paraId="20AE2ABB" w14:textId="77777777" w:rsidR="00B626E7" w:rsidRDefault="00175C1D">
            <w:pPr>
              <w:jc w:val="center"/>
              <w:textAlignment w:val="bottom"/>
            </w:pPr>
            <w:r>
              <w:rPr>
                <w:rFonts w:ascii="Arial" w:eastAsia="宋体" w:hAnsi="Arial" w:cs="Arial"/>
                <w:b/>
                <w:bCs/>
                <w:color w:val="0071C5"/>
                <w:sz w:val="20"/>
                <w:szCs w:val="20"/>
              </w:rPr>
              <w:t>CCG OPERATING INCOME $B</w:t>
            </w:r>
          </w:p>
        </w:tc>
      </w:tr>
    </w:tbl>
    <w:p w14:paraId="20AE2ABD" w14:textId="77777777" w:rsidR="00B626E7" w:rsidRDefault="00175C1D">
      <w:pPr>
        <w:spacing w:after="12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Viewer10_files/intc-20200627_g46.jpg"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8A" wp14:editId="20AE3C8B">
            <wp:extent cx="304800" cy="304800"/>
            <wp:effectExtent l="0" t="0" r="0" b="0"/>
            <wp:docPr id="61" name="图片 113"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13" descr="IMG_30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Viewer10_files/intc-202</w:instrText>
      </w:r>
      <w:r>
        <w:rPr>
          <w:rFonts w:ascii="宋体" w:eastAsia="宋体" w:hAnsi="宋体" w:cs="宋体"/>
        </w:rPr>
        <w:instrText xml:space="preserve">00627_g47.jpg"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8C" wp14:editId="20AE3C8D">
            <wp:extent cx="304800" cy="304800"/>
            <wp:effectExtent l="0" t="0" r="0" b="0"/>
            <wp:docPr id="70" name="图片 114"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14" descr="IMG_30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980" w:type="dxa"/>
        <w:tblCellMar>
          <w:top w:w="15" w:type="dxa"/>
          <w:left w:w="15" w:type="dxa"/>
          <w:bottom w:w="15" w:type="dxa"/>
          <w:right w:w="15" w:type="dxa"/>
        </w:tblCellMar>
        <w:tblLook w:val="04A0" w:firstRow="1" w:lastRow="0" w:firstColumn="1" w:lastColumn="0" w:noHBand="0" w:noVBand="1"/>
      </w:tblPr>
      <w:tblGrid>
        <w:gridCol w:w="36"/>
        <w:gridCol w:w="1490"/>
        <w:gridCol w:w="36"/>
        <w:gridCol w:w="36"/>
        <w:gridCol w:w="1110"/>
        <w:gridCol w:w="36"/>
        <w:gridCol w:w="36"/>
        <w:gridCol w:w="8164"/>
        <w:gridCol w:w="36"/>
      </w:tblGrid>
      <w:tr w:rsidR="00B626E7" w14:paraId="20AE2AC7" w14:textId="77777777">
        <w:tc>
          <w:tcPr>
            <w:tcW w:w="20" w:type="dxa"/>
            <w:shd w:val="clear" w:color="auto" w:fill="auto"/>
          </w:tcPr>
          <w:p w14:paraId="20AE2ABE" w14:textId="77777777" w:rsidR="00B626E7" w:rsidRDefault="00B626E7">
            <w:pPr>
              <w:rPr>
                <w:rFonts w:ascii="宋体"/>
              </w:rPr>
            </w:pPr>
          </w:p>
        </w:tc>
        <w:tc>
          <w:tcPr>
            <w:tcW w:w="1505" w:type="dxa"/>
            <w:shd w:val="clear" w:color="auto" w:fill="auto"/>
          </w:tcPr>
          <w:p w14:paraId="20AE2ABF" w14:textId="77777777" w:rsidR="00B626E7" w:rsidRDefault="00B626E7">
            <w:pPr>
              <w:rPr>
                <w:rFonts w:ascii="宋体"/>
              </w:rPr>
            </w:pPr>
          </w:p>
        </w:tc>
        <w:tc>
          <w:tcPr>
            <w:tcW w:w="20" w:type="dxa"/>
            <w:shd w:val="clear" w:color="auto" w:fill="auto"/>
          </w:tcPr>
          <w:p w14:paraId="20AE2AC0" w14:textId="77777777" w:rsidR="00B626E7" w:rsidRDefault="00B626E7">
            <w:pPr>
              <w:rPr>
                <w:rFonts w:ascii="宋体"/>
              </w:rPr>
            </w:pPr>
          </w:p>
        </w:tc>
        <w:tc>
          <w:tcPr>
            <w:tcW w:w="20" w:type="dxa"/>
            <w:shd w:val="clear" w:color="auto" w:fill="auto"/>
          </w:tcPr>
          <w:p w14:paraId="20AE2AC1" w14:textId="77777777" w:rsidR="00B626E7" w:rsidRDefault="00B626E7">
            <w:pPr>
              <w:rPr>
                <w:rFonts w:ascii="宋体"/>
              </w:rPr>
            </w:pPr>
          </w:p>
        </w:tc>
        <w:tc>
          <w:tcPr>
            <w:tcW w:w="1115" w:type="dxa"/>
            <w:shd w:val="clear" w:color="auto" w:fill="auto"/>
          </w:tcPr>
          <w:p w14:paraId="20AE2AC2" w14:textId="77777777" w:rsidR="00B626E7" w:rsidRDefault="00B626E7">
            <w:pPr>
              <w:rPr>
                <w:rFonts w:ascii="宋体"/>
              </w:rPr>
            </w:pPr>
          </w:p>
        </w:tc>
        <w:tc>
          <w:tcPr>
            <w:tcW w:w="20" w:type="dxa"/>
            <w:shd w:val="clear" w:color="auto" w:fill="auto"/>
          </w:tcPr>
          <w:p w14:paraId="20AE2AC3" w14:textId="77777777" w:rsidR="00B626E7" w:rsidRDefault="00B626E7">
            <w:pPr>
              <w:rPr>
                <w:rFonts w:ascii="宋体"/>
              </w:rPr>
            </w:pPr>
          </w:p>
        </w:tc>
        <w:tc>
          <w:tcPr>
            <w:tcW w:w="20" w:type="dxa"/>
            <w:shd w:val="clear" w:color="auto" w:fill="auto"/>
          </w:tcPr>
          <w:p w14:paraId="20AE2AC4" w14:textId="77777777" w:rsidR="00B626E7" w:rsidRDefault="00B626E7">
            <w:pPr>
              <w:rPr>
                <w:rFonts w:ascii="宋体"/>
              </w:rPr>
            </w:pPr>
          </w:p>
        </w:tc>
        <w:tc>
          <w:tcPr>
            <w:tcW w:w="8240" w:type="dxa"/>
            <w:shd w:val="clear" w:color="auto" w:fill="auto"/>
          </w:tcPr>
          <w:p w14:paraId="20AE2AC5" w14:textId="77777777" w:rsidR="00B626E7" w:rsidRDefault="00B626E7">
            <w:pPr>
              <w:rPr>
                <w:rFonts w:ascii="宋体"/>
              </w:rPr>
            </w:pPr>
          </w:p>
        </w:tc>
        <w:tc>
          <w:tcPr>
            <w:tcW w:w="20" w:type="dxa"/>
            <w:shd w:val="clear" w:color="auto" w:fill="auto"/>
          </w:tcPr>
          <w:p w14:paraId="20AE2AC6" w14:textId="77777777" w:rsidR="00B626E7" w:rsidRDefault="00B626E7">
            <w:pPr>
              <w:rPr>
                <w:rFonts w:ascii="宋体"/>
              </w:rPr>
            </w:pPr>
          </w:p>
        </w:tc>
      </w:tr>
      <w:tr w:rsidR="00B626E7" w14:paraId="20AE2ACB" w14:textId="77777777">
        <w:tc>
          <w:tcPr>
            <w:tcW w:w="0" w:type="auto"/>
            <w:gridSpan w:val="3"/>
            <w:shd w:val="clear" w:color="auto" w:fill="auto"/>
            <w:tcMar>
              <w:left w:w="20" w:type="dxa"/>
              <w:right w:w="20" w:type="dxa"/>
            </w:tcMar>
            <w:vAlign w:val="bottom"/>
          </w:tcPr>
          <w:p w14:paraId="20AE2AC8"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center"/>
          </w:tcPr>
          <w:p w14:paraId="20AE2AC9" w14:textId="77777777" w:rsidR="00B626E7" w:rsidRDefault="00175C1D">
            <w:pPr>
              <w:textAlignment w:val="center"/>
            </w:pPr>
            <w:r>
              <w:rPr>
                <w:rFonts w:ascii="Arial" w:eastAsia="宋体" w:hAnsi="Arial" w:cs="Arial"/>
                <w:color w:val="003C71"/>
                <w:sz w:val="18"/>
                <w:szCs w:val="18"/>
              </w:rPr>
              <w:t>■</w:t>
            </w:r>
            <w:r>
              <w:rPr>
                <w:rFonts w:ascii="Arial" w:eastAsia="宋体" w:hAnsi="Arial" w:cs="Arial"/>
                <w:color w:val="333333"/>
                <w:sz w:val="18"/>
                <w:szCs w:val="18"/>
              </w:rPr>
              <w:t xml:space="preserve"> </w:t>
            </w:r>
            <w:r>
              <w:rPr>
                <w:rFonts w:ascii="Arial" w:eastAsia="宋体" w:hAnsi="Arial" w:cs="Arial"/>
                <w:color w:val="333333"/>
                <w:sz w:val="16"/>
                <w:szCs w:val="16"/>
              </w:rPr>
              <w:t>Platform</w:t>
            </w:r>
          </w:p>
        </w:tc>
        <w:tc>
          <w:tcPr>
            <w:tcW w:w="0" w:type="auto"/>
            <w:gridSpan w:val="3"/>
            <w:shd w:val="clear" w:color="auto" w:fill="auto"/>
            <w:tcMar>
              <w:top w:w="40" w:type="dxa"/>
              <w:left w:w="20" w:type="dxa"/>
              <w:bottom w:w="40" w:type="dxa"/>
              <w:right w:w="20" w:type="dxa"/>
            </w:tcMar>
            <w:vAlign w:val="center"/>
          </w:tcPr>
          <w:p w14:paraId="20AE2ACA" w14:textId="77777777" w:rsidR="00B626E7" w:rsidRDefault="00175C1D">
            <w:pPr>
              <w:textAlignment w:val="center"/>
            </w:pPr>
            <w:r>
              <w:rPr>
                <w:rFonts w:ascii="Arial" w:eastAsia="宋体" w:hAnsi="Arial" w:cs="Arial"/>
                <w:color w:val="FFA300"/>
                <w:sz w:val="18"/>
                <w:szCs w:val="18"/>
              </w:rPr>
              <w:t>■</w:t>
            </w:r>
            <w:r>
              <w:rPr>
                <w:rFonts w:ascii="Arial" w:eastAsia="宋体" w:hAnsi="Arial" w:cs="Arial"/>
                <w:color w:val="333333"/>
                <w:sz w:val="18"/>
                <w:szCs w:val="18"/>
              </w:rPr>
              <w:t xml:space="preserve"> </w:t>
            </w:r>
            <w:r>
              <w:rPr>
                <w:rFonts w:ascii="Arial" w:eastAsia="宋体" w:hAnsi="Arial" w:cs="Arial"/>
                <w:color w:val="333333"/>
                <w:sz w:val="16"/>
                <w:szCs w:val="16"/>
              </w:rPr>
              <w:t>Adjacent</w:t>
            </w:r>
          </w:p>
        </w:tc>
      </w:tr>
    </w:tbl>
    <w:p w14:paraId="20AE2ACC" w14:textId="77777777" w:rsidR="00B626E7" w:rsidRDefault="00B626E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84"/>
        <w:gridCol w:w="8169"/>
        <w:gridCol w:w="83"/>
      </w:tblGrid>
      <w:tr w:rsidR="00B626E7" w14:paraId="20AE2AD0" w14:textId="77777777">
        <w:tc>
          <w:tcPr>
            <w:tcW w:w="50" w:type="pct"/>
            <w:shd w:val="clear" w:color="auto" w:fill="auto"/>
          </w:tcPr>
          <w:p w14:paraId="20AE2ACD" w14:textId="77777777" w:rsidR="00B626E7" w:rsidRDefault="00B626E7">
            <w:pPr>
              <w:rPr>
                <w:rFonts w:ascii="宋体"/>
              </w:rPr>
            </w:pPr>
          </w:p>
        </w:tc>
        <w:tc>
          <w:tcPr>
            <w:tcW w:w="4900" w:type="pct"/>
            <w:shd w:val="clear" w:color="auto" w:fill="auto"/>
          </w:tcPr>
          <w:p w14:paraId="20AE2ACE" w14:textId="77777777" w:rsidR="00B626E7" w:rsidRDefault="00B626E7">
            <w:pPr>
              <w:rPr>
                <w:rFonts w:ascii="宋体"/>
              </w:rPr>
            </w:pPr>
          </w:p>
        </w:tc>
        <w:tc>
          <w:tcPr>
            <w:tcW w:w="50" w:type="pct"/>
            <w:shd w:val="clear" w:color="auto" w:fill="auto"/>
          </w:tcPr>
          <w:p w14:paraId="20AE2ACF" w14:textId="77777777" w:rsidR="00B626E7" w:rsidRDefault="00B626E7">
            <w:pPr>
              <w:rPr>
                <w:rFonts w:ascii="宋体"/>
              </w:rPr>
            </w:pPr>
          </w:p>
        </w:tc>
      </w:tr>
      <w:tr w:rsidR="00B626E7" w14:paraId="20AE2AD2" w14:textId="77777777">
        <w:tc>
          <w:tcPr>
            <w:tcW w:w="0" w:type="auto"/>
            <w:gridSpan w:val="3"/>
            <w:tcBorders>
              <w:bottom w:val="single" w:sz="8" w:space="0" w:color="333333"/>
            </w:tcBorders>
            <w:shd w:val="clear" w:color="auto" w:fill="auto"/>
            <w:tcMar>
              <w:top w:w="40" w:type="dxa"/>
              <w:left w:w="20" w:type="dxa"/>
              <w:bottom w:w="40" w:type="dxa"/>
              <w:right w:w="20" w:type="dxa"/>
            </w:tcMar>
            <w:vAlign w:val="bottom"/>
          </w:tcPr>
          <w:p w14:paraId="20AE2AD1" w14:textId="77777777" w:rsidR="00B626E7" w:rsidRDefault="00175C1D">
            <w:pPr>
              <w:spacing w:after="180"/>
              <w:textAlignment w:val="bottom"/>
            </w:pPr>
            <w:r>
              <w:rPr>
                <w:rFonts w:ascii="Arial" w:eastAsia="宋体" w:hAnsi="Arial" w:cs="Arial"/>
                <w:b/>
                <w:bCs/>
                <w:color w:val="0071C5"/>
                <w:sz w:val="20"/>
                <w:szCs w:val="20"/>
              </w:rPr>
              <w:t>REVENUE SUMMARY</w:t>
            </w:r>
          </w:p>
        </w:tc>
      </w:tr>
    </w:tbl>
    <w:p w14:paraId="20AE2AD3" w14:textId="77777777" w:rsidR="00B626E7" w:rsidRDefault="00175C1D">
      <w:pPr>
        <w:spacing w:after="180"/>
      </w:pPr>
      <w:r>
        <w:rPr>
          <w:rFonts w:ascii="Arial" w:eastAsia="宋体" w:hAnsi="Arial" w:cs="Arial"/>
          <w:color w:val="333333"/>
          <w:sz w:val="18"/>
          <w:szCs w:val="18"/>
        </w:rPr>
        <w:t>Revenue in Q2 2020 was up 7% compared to Q2 2019, driven by strength in notebook platform demand, strong ASP and higher LTE modem and Wi-Fi sales, partially offset by desktop demand. YTD 2020 up 11% compared to YTD 2019, driven by strong demand for noteboo</w:t>
      </w:r>
      <w:r>
        <w:rPr>
          <w:rFonts w:ascii="Arial" w:eastAsia="宋体" w:hAnsi="Arial" w:cs="Arial"/>
          <w:color w:val="333333"/>
          <w:sz w:val="18"/>
          <w:szCs w:val="18"/>
        </w:rPr>
        <w:t xml:space="preserve">k platform products and higher LTE modem and Wi-Fi sales. Strength in notebook platform products reflects the increased reliance on PCs as more people are working and learning from home due to COVID-19. </w:t>
      </w:r>
    </w:p>
    <w:p w14:paraId="20AE2AD4" w14:textId="77777777" w:rsidR="00B626E7" w:rsidRDefault="00175C1D">
      <w:pPr>
        <w:spacing w:before="180" w:after="180"/>
      </w:pPr>
      <w:r>
        <w:rPr>
          <w:rFonts w:ascii="Arial" w:eastAsia="宋体" w:hAnsi="Arial" w:cs="Arial"/>
          <w:color w:val="333333"/>
          <w:sz w:val="18"/>
          <w:szCs w:val="18"/>
        </w:rPr>
        <w:t>While we expect notebook strength in Q3 2020, deskto</w:t>
      </w:r>
      <w:r>
        <w:rPr>
          <w:rFonts w:ascii="Arial" w:eastAsia="宋体" w:hAnsi="Arial" w:cs="Arial"/>
          <w:color w:val="333333"/>
          <w:sz w:val="18"/>
          <w:szCs w:val="18"/>
        </w:rPr>
        <w:t>p demand is expected to remain weak in the second half of 2020 as a result of weaker global economic conditions due to COVID-19.</w:t>
      </w:r>
    </w:p>
    <w:tbl>
      <w:tblPr>
        <w:tblW w:w="10980" w:type="dxa"/>
        <w:tblCellMar>
          <w:top w:w="15" w:type="dxa"/>
          <w:left w:w="15" w:type="dxa"/>
          <w:bottom w:w="15" w:type="dxa"/>
          <w:right w:w="15" w:type="dxa"/>
        </w:tblCellMar>
        <w:tblLook w:val="04A0" w:firstRow="1" w:lastRow="0" w:firstColumn="1" w:lastColumn="0" w:noHBand="0" w:noVBand="1"/>
      </w:tblPr>
      <w:tblGrid>
        <w:gridCol w:w="36"/>
        <w:gridCol w:w="3622"/>
        <w:gridCol w:w="36"/>
        <w:gridCol w:w="36"/>
        <w:gridCol w:w="36"/>
        <w:gridCol w:w="36"/>
        <w:gridCol w:w="36"/>
        <w:gridCol w:w="535"/>
        <w:gridCol w:w="36"/>
        <w:gridCol w:w="36"/>
        <w:gridCol w:w="545"/>
        <w:gridCol w:w="36"/>
        <w:gridCol w:w="36"/>
        <w:gridCol w:w="36"/>
        <w:gridCol w:w="36"/>
        <w:gridCol w:w="136"/>
        <w:gridCol w:w="947"/>
        <w:gridCol w:w="86"/>
        <w:gridCol w:w="257"/>
        <w:gridCol w:w="257"/>
        <w:gridCol w:w="257"/>
        <w:gridCol w:w="36"/>
        <w:gridCol w:w="535"/>
        <w:gridCol w:w="36"/>
        <w:gridCol w:w="36"/>
        <w:gridCol w:w="507"/>
        <w:gridCol w:w="36"/>
        <w:gridCol w:w="36"/>
        <w:gridCol w:w="36"/>
        <w:gridCol w:w="36"/>
        <w:gridCol w:w="145"/>
        <w:gridCol w:w="1064"/>
        <w:gridCol w:w="92"/>
        <w:gridCol w:w="36"/>
        <w:gridCol w:w="36"/>
        <w:gridCol w:w="36"/>
        <w:gridCol w:w="257"/>
        <w:gridCol w:w="257"/>
        <w:gridCol w:w="257"/>
        <w:gridCol w:w="36"/>
        <w:gridCol w:w="36"/>
        <w:gridCol w:w="36"/>
        <w:gridCol w:w="36"/>
        <w:gridCol w:w="36"/>
        <w:gridCol w:w="36"/>
        <w:gridCol w:w="36"/>
        <w:gridCol w:w="36"/>
        <w:gridCol w:w="36"/>
        <w:gridCol w:w="36"/>
        <w:gridCol w:w="36"/>
        <w:gridCol w:w="36"/>
      </w:tblGrid>
      <w:tr w:rsidR="00B626E7" w14:paraId="20AE2AF6" w14:textId="77777777">
        <w:trPr>
          <w:gridAfter w:val="18"/>
        </w:trPr>
        <w:tc>
          <w:tcPr>
            <w:tcW w:w="20" w:type="dxa"/>
            <w:shd w:val="clear" w:color="auto" w:fill="auto"/>
          </w:tcPr>
          <w:p w14:paraId="20AE2AD5" w14:textId="77777777" w:rsidR="00B626E7" w:rsidRDefault="00B626E7">
            <w:pPr>
              <w:rPr>
                <w:rFonts w:ascii="宋体"/>
              </w:rPr>
            </w:pPr>
          </w:p>
        </w:tc>
        <w:tc>
          <w:tcPr>
            <w:tcW w:w="5420" w:type="dxa"/>
            <w:shd w:val="clear" w:color="auto" w:fill="auto"/>
          </w:tcPr>
          <w:p w14:paraId="20AE2AD6" w14:textId="77777777" w:rsidR="00B626E7" w:rsidRDefault="00B626E7">
            <w:pPr>
              <w:rPr>
                <w:rFonts w:ascii="宋体"/>
              </w:rPr>
            </w:pPr>
          </w:p>
        </w:tc>
        <w:tc>
          <w:tcPr>
            <w:tcW w:w="20" w:type="dxa"/>
            <w:shd w:val="clear" w:color="auto" w:fill="auto"/>
          </w:tcPr>
          <w:p w14:paraId="20AE2AD7" w14:textId="77777777" w:rsidR="00B626E7" w:rsidRDefault="00B626E7">
            <w:pPr>
              <w:rPr>
                <w:rFonts w:ascii="宋体"/>
              </w:rPr>
            </w:pPr>
          </w:p>
        </w:tc>
        <w:tc>
          <w:tcPr>
            <w:tcW w:w="20" w:type="dxa"/>
            <w:shd w:val="clear" w:color="auto" w:fill="auto"/>
          </w:tcPr>
          <w:p w14:paraId="20AE2AD8" w14:textId="77777777" w:rsidR="00B626E7" w:rsidRDefault="00B626E7">
            <w:pPr>
              <w:rPr>
                <w:rFonts w:ascii="宋体"/>
              </w:rPr>
            </w:pPr>
          </w:p>
        </w:tc>
        <w:tc>
          <w:tcPr>
            <w:tcW w:w="35" w:type="dxa"/>
            <w:shd w:val="clear" w:color="auto" w:fill="auto"/>
          </w:tcPr>
          <w:p w14:paraId="20AE2AD9" w14:textId="77777777" w:rsidR="00B626E7" w:rsidRDefault="00B626E7">
            <w:pPr>
              <w:rPr>
                <w:rFonts w:ascii="宋体"/>
              </w:rPr>
            </w:pPr>
          </w:p>
        </w:tc>
        <w:tc>
          <w:tcPr>
            <w:tcW w:w="20" w:type="dxa"/>
            <w:shd w:val="clear" w:color="auto" w:fill="auto"/>
          </w:tcPr>
          <w:p w14:paraId="20AE2ADA" w14:textId="77777777" w:rsidR="00B626E7" w:rsidRDefault="00B626E7">
            <w:pPr>
              <w:rPr>
                <w:rFonts w:ascii="宋体"/>
              </w:rPr>
            </w:pPr>
          </w:p>
        </w:tc>
        <w:tc>
          <w:tcPr>
            <w:tcW w:w="20" w:type="dxa"/>
            <w:shd w:val="clear" w:color="auto" w:fill="auto"/>
          </w:tcPr>
          <w:p w14:paraId="20AE2ADB" w14:textId="77777777" w:rsidR="00B626E7" w:rsidRDefault="00B626E7">
            <w:pPr>
              <w:rPr>
                <w:rFonts w:ascii="宋体"/>
              </w:rPr>
            </w:pPr>
          </w:p>
        </w:tc>
        <w:tc>
          <w:tcPr>
            <w:tcW w:w="620" w:type="dxa"/>
            <w:shd w:val="clear" w:color="auto" w:fill="auto"/>
          </w:tcPr>
          <w:p w14:paraId="20AE2ADC" w14:textId="77777777" w:rsidR="00B626E7" w:rsidRDefault="00B626E7">
            <w:pPr>
              <w:rPr>
                <w:rFonts w:ascii="宋体"/>
              </w:rPr>
            </w:pPr>
          </w:p>
        </w:tc>
        <w:tc>
          <w:tcPr>
            <w:tcW w:w="20" w:type="dxa"/>
            <w:shd w:val="clear" w:color="auto" w:fill="auto"/>
          </w:tcPr>
          <w:p w14:paraId="20AE2ADD" w14:textId="77777777" w:rsidR="00B626E7" w:rsidRDefault="00B626E7">
            <w:pPr>
              <w:rPr>
                <w:rFonts w:ascii="宋体"/>
              </w:rPr>
            </w:pPr>
          </w:p>
        </w:tc>
        <w:tc>
          <w:tcPr>
            <w:tcW w:w="20" w:type="dxa"/>
            <w:shd w:val="clear" w:color="auto" w:fill="auto"/>
          </w:tcPr>
          <w:p w14:paraId="20AE2ADE" w14:textId="77777777" w:rsidR="00B626E7" w:rsidRDefault="00B626E7">
            <w:pPr>
              <w:rPr>
                <w:rFonts w:ascii="宋体"/>
              </w:rPr>
            </w:pPr>
          </w:p>
        </w:tc>
        <w:tc>
          <w:tcPr>
            <w:tcW w:w="605" w:type="dxa"/>
            <w:shd w:val="clear" w:color="auto" w:fill="auto"/>
          </w:tcPr>
          <w:p w14:paraId="20AE2ADF" w14:textId="77777777" w:rsidR="00B626E7" w:rsidRDefault="00B626E7">
            <w:pPr>
              <w:rPr>
                <w:rFonts w:ascii="宋体"/>
              </w:rPr>
            </w:pPr>
          </w:p>
        </w:tc>
        <w:tc>
          <w:tcPr>
            <w:tcW w:w="20" w:type="dxa"/>
            <w:shd w:val="clear" w:color="auto" w:fill="auto"/>
          </w:tcPr>
          <w:p w14:paraId="20AE2AE0" w14:textId="77777777" w:rsidR="00B626E7" w:rsidRDefault="00B626E7">
            <w:pPr>
              <w:rPr>
                <w:rFonts w:ascii="宋体"/>
              </w:rPr>
            </w:pPr>
          </w:p>
        </w:tc>
        <w:tc>
          <w:tcPr>
            <w:tcW w:w="20" w:type="dxa"/>
            <w:shd w:val="clear" w:color="auto" w:fill="auto"/>
          </w:tcPr>
          <w:p w14:paraId="20AE2AE1" w14:textId="77777777" w:rsidR="00B626E7" w:rsidRDefault="00B626E7">
            <w:pPr>
              <w:rPr>
                <w:rFonts w:ascii="宋体"/>
              </w:rPr>
            </w:pPr>
          </w:p>
        </w:tc>
        <w:tc>
          <w:tcPr>
            <w:tcW w:w="35" w:type="dxa"/>
            <w:shd w:val="clear" w:color="auto" w:fill="auto"/>
          </w:tcPr>
          <w:p w14:paraId="20AE2AE2" w14:textId="77777777" w:rsidR="00B626E7" w:rsidRDefault="00B626E7">
            <w:pPr>
              <w:rPr>
                <w:rFonts w:ascii="宋体"/>
              </w:rPr>
            </w:pPr>
          </w:p>
        </w:tc>
        <w:tc>
          <w:tcPr>
            <w:tcW w:w="20" w:type="dxa"/>
            <w:shd w:val="clear" w:color="auto" w:fill="auto"/>
          </w:tcPr>
          <w:p w14:paraId="20AE2AE3" w14:textId="77777777" w:rsidR="00B626E7" w:rsidRDefault="00B626E7">
            <w:pPr>
              <w:rPr>
                <w:rFonts w:ascii="宋体"/>
              </w:rPr>
            </w:pPr>
          </w:p>
        </w:tc>
        <w:tc>
          <w:tcPr>
            <w:tcW w:w="20" w:type="dxa"/>
            <w:shd w:val="clear" w:color="auto" w:fill="auto"/>
          </w:tcPr>
          <w:p w14:paraId="20AE2AE4" w14:textId="77777777" w:rsidR="00B626E7" w:rsidRDefault="00B626E7">
            <w:pPr>
              <w:rPr>
                <w:rFonts w:ascii="宋体"/>
              </w:rPr>
            </w:pPr>
          </w:p>
        </w:tc>
        <w:tc>
          <w:tcPr>
            <w:tcW w:w="1265" w:type="dxa"/>
            <w:shd w:val="clear" w:color="auto" w:fill="auto"/>
          </w:tcPr>
          <w:p w14:paraId="20AE2AE5" w14:textId="77777777" w:rsidR="00B626E7" w:rsidRDefault="00B626E7">
            <w:pPr>
              <w:rPr>
                <w:rFonts w:ascii="宋体"/>
              </w:rPr>
            </w:pPr>
          </w:p>
        </w:tc>
        <w:tc>
          <w:tcPr>
            <w:tcW w:w="20" w:type="dxa"/>
            <w:shd w:val="clear" w:color="auto" w:fill="auto"/>
          </w:tcPr>
          <w:p w14:paraId="20AE2AE6" w14:textId="77777777" w:rsidR="00B626E7" w:rsidRDefault="00B626E7">
            <w:pPr>
              <w:rPr>
                <w:rFonts w:ascii="宋体"/>
              </w:rPr>
            </w:pPr>
          </w:p>
        </w:tc>
        <w:tc>
          <w:tcPr>
            <w:tcW w:w="20" w:type="dxa"/>
            <w:shd w:val="clear" w:color="auto" w:fill="auto"/>
          </w:tcPr>
          <w:p w14:paraId="20AE2AE7" w14:textId="77777777" w:rsidR="00B626E7" w:rsidRDefault="00B626E7">
            <w:pPr>
              <w:rPr>
                <w:rFonts w:ascii="宋体"/>
              </w:rPr>
            </w:pPr>
          </w:p>
        </w:tc>
        <w:tc>
          <w:tcPr>
            <w:tcW w:w="35" w:type="dxa"/>
            <w:shd w:val="clear" w:color="auto" w:fill="auto"/>
          </w:tcPr>
          <w:p w14:paraId="20AE2AE8" w14:textId="77777777" w:rsidR="00B626E7" w:rsidRDefault="00B626E7">
            <w:pPr>
              <w:rPr>
                <w:rFonts w:ascii="宋体"/>
              </w:rPr>
            </w:pPr>
          </w:p>
        </w:tc>
        <w:tc>
          <w:tcPr>
            <w:tcW w:w="20" w:type="dxa"/>
            <w:shd w:val="clear" w:color="auto" w:fill="auto"/>
          </w:tcPr>
          <w:p w14:paraId="20AE2AE9" w14:textId="77777777" w:rsidR="00B626E7" w:rsidRDefault="00B626E7">
            <w:pPr>
              <w:rPr>
                <w:rFonts w:ascii="宋体"/>
              </w:rPr>
            </w:pPr>
          </w:p>
        </w:tc>
        <w:tc>
          <w:tcPr>
            <w:tcW w:w="20" w:type="dxa"/>
            <w:shd w:val="clear" w:color="auto" w:fill="auto"/>
          </w:tcPr>
          <w:p w14:paraId="20AE2AEA" w14:textId="77777777" w:rsidR="00B626E7" w:rsidRDefault="00B626E7">
            <w:pPr>
              <w:rPr>
                <w:rFonts w:ascii="宋体"/>
              </w:rPr>
            </w:pPr>
          </w:p>
        </w:tc>
        <w:tc>
          <w:tcPr>
            <w:tcW w:w="620" w:type="dxa"/>
            <w:shd w:val="clear" w:color="auto" w:fill="auto"/>
          </w:tcPr>
          <w:p w14:paraId="20AE2AEB" w14:textId="77777777" w:rsidR="00B626E7" w:rsidRDefault="00B626E7">
            <w:pPr>
              <w:rPr>
                <w:rFonts w:ascii="宋体"/>
              </w:rPr>
            </w:pPr>
          </w:p>
        </w:tc>
        <w:tc>
          <w:tcPr>
            <w:tcW w:w="20" w:type="dxa"/>
            <w:shd w:val="clear" w:color="auto" w:fill="auto"/>
          </w:tcPr>
          <w:p w14:paraId="20AE2AEC" w14:textId="77777777" w:rsidR="00B626E7" w:rsidRDefault="00B626E7">
            <w:pPr>
              <w:rPr>
                <w:rFonts w:ascii="宋体"/>
              </w:rPr>
            </w:pPr>
          </w:p>
        </w:tc>
        <w:tc>
          <w:tcPr>
            <w:tcW w:w="20" w:type="dxa"/>
            <w:shd w:val="clear" w:color="auto" w:fill="auto"/>
          </w:tcPr>
          <w:p w14:paraId="20AE2AED" w14:textId="77777777" w:rsidR="00B626E7" w:rsidRDefault="00B626E7">
            <w:pPr>
              <w:rPr>
                <w:rFonts w:ascii="宋体"/>
              </w:rPr>
            </w:pPr>
          </w:p>
        </w:tc>
        <w:tc>
          <w:tcPr>
            <w:tcW w:w="605" w:type="dxa"/>
            <w:shd w:val="clear" w:color="auto" w:fill="auto"/>
          </w:tcPr>
          <w:p w14:paraId="20AE2AEE" w14:textId="77777777" w:rsidR="00B626E7" w:rsidRDefault="00B626E7">
            <w:pPr>
              <w:rPr>
                <w:rFonts w:ascii="宋体"/>
              </w:rPr>
            </w:pPr>
          </w:p>
        </w:tc>
        <w:tc>
          <w:tcPr>
            <w:tcW w:w="20" w:type="dxa"/>
            <w:shd w:val="clear" w:color="auto" w:fill="auto"/>
          </w:tcPr>
          <w:p w14:paraId="20AE2AEF" w14:textId="77777777" w:rsidR="00B626E7" w:rsidRDefault="00B626E7">
            <w:pPr>
              <w:rPr>
                <w:rFonts w:ascii="宋体"/>
              </w:rPr>
            </w:pPr>
          </w:p>
        </w:tc>
        <w:tc>
          <w:tcPr>
            <w:tcW w:w="20" w:type="dxa"/>
            <w:shd w:val="clear" w:color="auto" w:fill="auto"/>
          </w:tcPr>
          <w:p w14:paraId="20AE2AF0" w14:textId="77777777" w:rsidR="00B626E7" w:rsidRDefault="00B626E7">
            <w:pPr>
              <w:rPr>
                <w:rFonts w:ascii="宋体"/>
              </w:rPr>
            </w:pPr>
          </w:p>
        </w:tc>
        <w:tc>
          <w:tcPr>
            <w:tcW w:w="35" w:type="dxa"/>
            <w:shd w:val="clear" w:color="auto" w:fill="auto"/>
          </w:tcPr>
          <w:p w14:paraId="20AE2AF1" w14:textId="77777777" w:rsidR="00B626E7" w:rsidRDefault="00B626E7">
            <w:pPr>
              <w:rPr>
                <w:rFonts w:ascii="宋体"/>
              </w:rPr>
            </w:pPr>
          </w:p>
        </w:tc>
        <w:tc>
          <w:tcPr>
            <w:tcW w:w="20" w:type="dxa"/>
            <w:shd w:val="clear" w:color="auto" w:fill="auto"/>
          </w:tcPr>
          <w:p w14:paraId="20AE2AF2" w14:textId="77777777" w:rsidR="00B626E7" w:rsidRDefault="00B626E7">
            <w:pPr>
              <w:rPr>
                <w:rFonts w:ascii="宋体"/>
              </w:rPr>
            </w:pPr>
          </w:p>
        </w:tc>
        <w:tc>
          <w:tcPr>
            <w:tcW w:w="20" w:type="dxa"/>
            <w:shd w:val="clear" w:color="auto" w:fill="auto"/>
          </w:tcPr>
          <w:p w14:paraId="20AE2AF3" w14:textId="77777777" w:rsidR="00B626E7" w:rsidRDefault="00B626E7">
            <w:pPr>
              <w:rPr>
                <w:rFonts w:ascii="宋体"/>
              </w:rPr>
            </w:pPr>
          </w:p>
        </w:tc>
        <w:tc>
          <w:tcPr>
            <w:tcW w:w="1265" w:type="dxa"/>
            <w:shd w:val="clear" w:color="auto" w:fill="auto"/>
          </w:tcPr>
          <w:p w14:paraId="20AE2AF4" w14:textId="77777777" w:rsidR="00B626E7" w:rsidRDefault="00B626E7">
            <w:pPr>
              <w:rPr>
                <w:rFonts w:ascii="宋体"/>
              </w:rPr>
            </w:pPr>
          </w:p>
        </w:tc>
        <w:tc>
          <w:tcPr>
            <w:tcW w:w="20" w:type="dxa"/>
            <w:shd w:val="clear" w:color="auto" w:fill="auto"/>
          </w:tcPr>
          <w:p w14:paraId="20AE2AF5" w14:textId="77777777" w:rsidR="00B626E7" w:rsidRDefault="00B626E7">
            <w:pPr>
              <w:rPr>
                <w:rFonts w:ascii="宋体"/>
              </w:rPr>
            </w:pPr>
          </w:p>
        </w:tc>
      </w:tr>
      <w:tr w:rsidR="00B626E7" w14:paraId="20AE2B02" w14:textId="77777777">
        <w:tc>
          <w:tcPr>
            <w:tcW w:w="0" w:type="auto"/>
            <w:gridSpan w:val="3"/>
            <w:shd w:val="clear" w:color="auto" w:fill="auto"/>
            <w:tcMar>
              <w:left w:w="20" w:type="dxa"/>
              <w:right w:w="20" w:type="dxa"/>
            </w:tcMar>
            <w:vAlign w:val="bottom"/>
          </w:tcPr>
          <w:p w14:paraId="20AE2AF7"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AF8" w14:textId="77777777" w:rsidR="00B626E7" w:rsidRDefault="00B626E7">
            <w:pPr>
              <w:rPr>
                <w:rFonts w:ascii="宋体"/>
              </w:rPr>
            </w:pPr>
          </w:p>
        </w:tc>
        <w:tc>
          <w:tcPr>
            <w:tcW w:w="0" w:type="auto"/>
            <w:gridSpan w:val="12"/>
            <w:shd w:val="clear" w:color="auto" w:fill="auto"/>
            <w:tcMar>
              <w:top w:w="40" w:type="dxa"/>
              <w:left w:w="20" w:type="dxa"/>
              <w:bottom w:w="40" w:type="dxa"/>
              <w:right w:w="20" w:type="dxa"/>
            </w:tcMar>
            <w:vAlign w:val="bottom"/>
          </w:tcPr>
          <w:p w14:paraId="20AE2AF9" w14:textId="77777777" w:rsidR="00B626E7" w:rsidRDefault="00175C1D">
            <w:pPr>
              <w:jc w:val="center"/>
              <w:textAlignment w:val="bottom"/>
            </w:pPr>
            <w:r>
              <w:rPr>
                <w:rFonts w:ascii="Arial" w:eastAsia="宋体" w:hAnsi="Arial" w:cs="Arial"/>
                <w:b/>
                <w:bCs/>
                <w:color w:val="333333"/>
                <w:sz w:val="18"/>
                <w:szCs w:val="18"/>
              </w:rPr>
              <w:t>Q2 2020 vs. Q2 2019</w:t>
            </w:r>
          </w:p>
        </w:tc>
        <w:tc>
          <w:tcPr>
            <w:tcW w:w="0" w:type="auto"/>
            <w:gridSpan w:val="3"/>
            <w:shd w:val="clear" w:color="auto" w:fill="auto"/>
          </w:tcPr>
          <w:p w14:paraId="20AE2AFA" w14:textId="77777777" w:rsidR="00B626E7" w:rsidRDefault="00B626E7">
            <w:pPr>
              <w:rPr>
                <w:rFonts w:ascii="宋体"/>
                <w:vanish/>
              </w:rPr>
            </w:pPr>
          </w:p>
        </w:tc>
        <w:tc>
          <w:tcPr>
            <w:tcW w:w="0" w:type="auto"/>
            <w:gridSpan w:val="3"/>
            <w:shd w:val="clear" w:color="auto" w:fill="auto"/>
          </w:tcPr>
          <w:p w14:paraId="20AE2AFB" w14:textId="77777777" w:rsidR="00B626E7" w:rsidRDefault="00B626E7">
            <w:pPr>
              <w:rPr>
                <w:rFonts w:ascii="宋体"/>
                <w:vanish/>
              </w:rPr>
            </w:pPr>
          </w:p>
        </w:tc>
        <w:tc>
          <w:tcPr>
            <w:tcW w:w="0" w:type="auto"/>
            <w:gridSpan w:val="3"/>
            <w:shd w:val="clear" w:color="auto" w:fill="auto"/>
          </w:tcPr>
          <w:p w14:paraId="20AE2AFC" w14:textId="77777777" w:rsidR="00B626E7" w:rsidRDefault="00B626E7">
            <w:pPr>
              <w:rPr>
                <w:rFonts w:ascii="宋体"/>
                <w:vanish/>
              </w:rPr>
            </w:pPr>
          </w:p>
        </w:tc>
        <w:tc>
          <w:tcPr>
            <w:tcW w:w="0" w:type="auto"/>
            <w:gridSpan w:val="3"/>
            <w:shd w:val="clear" w:color="auto" w:fill="auto"/>
            <w:tcMar>
              <w:left w:w="20" w:type="dxa"/>
              <w:right w:w="20" w:type="dxa"/>
            </w:tcMar>
            <w:vAlign w:val="bottom"/>
          </w:tcPr>
          <w:p w14:paraId="20AE2AFD" w14:textId="77777777" w:rsidR="00B626E7" w:rsidRDefault="00B626E7">
            <w:pPr>
              <w:rPr>
                <w:rFonts w:ascii="宋体"/>
              </w:rPr>
            </w:pPr>
          </w:p>
        </w:tc>
        <w:tc>
          <w:tcPr>
            <w:tcW w:w="0" w:type="auto"/>
            <w:gridSpan w:val="12"/>
            <w:shd w:val="clear" w:color="auto" w:fill="auto"/>
            <w:tcMar>
              <w:top w:w="40" w:type="dxa"/>
              <w:left w:w="20" w:type="dxa"/>
              <w:bottom w:w="40" w:type="dxa"/>
              <w:right w:w="20" w:type="dxa"/>
            </w:tcMar>
            <w:vAlign w:val="bottom"/>
          </w:tcPr>
          <w:p w14:paraId="20AE2AFE" w14:textId="77777777" w:rsidR="00B626E7" w:rsidRDefault="00175C1D">
            <w:pPr>
              <w:jc w:val="center"/>
              <w:textAlignment w:val="bottom"/>
            </w:pPr>
            <w:r>
              <w:rPr>
                <w:rFonts w:ascii="Arial" w:eastAsia="宋体" w:hAnsi="Arial" w:cs="Arial"/>
                <w:b/>
                <w:bCs/>
                <w:color w:val="333333"/>
                <w:sz w:val="18"/>
                <w:szCs w:val="18"/>
              </w:rPr>
              <w:t>YTD 2020 vs. YTD 2019</w:t>
            </w:r>
          </w:p>
        </w:tc>
        <w:tc>
          <w:tcPr>
            <w:tcW w:w="0" w:type="auto"/>
            <w:gridSpan w:val="3"/>
            <w:shd w:val="clear" w:color="auto" w:fill="auto"/>
          </w:tcPr>
          <w:p w14:paraId="20AE2AFF" w14:textId="77777777" w:rsidR="00B626E7" w:rsidRDefault="00B626E7">
            <w:pPr>
              <w:rPr>
                <w:rFonts w:ascii="宋体"/>
                <w:vanish/>
              </w:rPr>
            </w:pPr>
          </w:p>
        </w:tc>
        <w:tc>
          <w:tcPr>
            <w:tcW w:w="0" w:type="auto"/>
            <w:gridSpan w:val="3"/>
            <w:shd w:val="clear" w:color="auto" w:fill="auto"/>
          </w:tcPr>
          <w:p w14:paraId="20AE2B00" w14:textId="77777777" w:rsidR="00B626E7" w:rsidRDefault="00B626E7">
            <w:pPr>
              <w:rPr>
                <w:rFonts w:ascii="宋体"/>
                <w:vanish/>
              </w:rPr>
            </w:pPr>
          </w:p>
        </w:tc>
        <w:tc>
          <w:tcPr>
            <w:tcW w:w="0" w:type="auto"/>
            <w:gridSpan w:val="3"/>
            <w:shd w:val="clear" w:color="auto" w:fill="auto"/>
          </w:tcPr>
          <w:p w14:paraId="20AE2B01" w14:textId="77777777" w:rsidR="00B626E7" w:rsidRDefault="00B626E7">
            <w:pPr>
              <w:rPr>
                <w:rFonts w:ascii="宋体"/>
                <w:vanish/>
              </w:rPr>
            </w:pPr>
          </w:p>
        </w:tc>
      </w:tr>
      <w:tr w:rsidR="00B626E7" w14:paraId="20AE2B1A" w14:textId="77777777">
        <w:tc>
          <w:tcPr>
            <w:tcW w:w="0" w:type="auto"/>
            <w:gridSpan w:val="3"/>
            <w:shd w:val="clear" w:color="auto" w:fill="auto"/>
            <w:tcMar>
              <w:top w:w="40" w:type="dxa"/>
              <w:left w:w="20" w:type="dxa"/>
              <w:bottom w:w="40" w:type="dxa"/>
              <w:right w:w="20" w:type="dxa"/>
            </w:tcMar>
            <w:vAlign w:val="bottom"/>
          </w:tcPr>
          <w:p w14:paraId="20AE2B03" w14:textId="77777777" w:rsidR="00B626E7" w:rsidRDefault="00175C1D">
            <w:pPr>
              <w:textAlignment w:val="bottom"/>
            </w:pPr>
            <w:r>
              <w:rPr>
                <w:rFonts w:ascii="Arial" w:eastAsia="宋体" w:hAnsi="Arial" w:cs="Arial"/>
                <w:b/>
                <w:bCs/>
                <w:color w:val="333333"/>
                <w:sz w:val="18"/>
                <w:szCs w:val="18"/>
              </w:rPr>
              <w:t>(In Millions)</w:t>
            </w:r>
          </w:p>
        </w:tc>
        <w:tc>
          <w:tcPr>
            <w:tcW w:w="0" w:type="auto"/>
            <w:gridSpan w:val="3"/>
            <w:shd w:val="clear" w:color="auto" w:fill="auto"/>
            <w:tcMar>
              <w:left w:w="20" w:type="dxa"/>
              <w:right w:w="20" w:type="dxa"/>
            </w:tcMar>
            <w:vAlign w:val="bottom"/>
          </w:tcPr>
          <w:p w14:paraId="20AE2B04" w14:textId="77777777" w:rsidR="00B626E7" w:rsidRDefault="00B626E7">
            <w:pPr>
              <w:rPr>
                <w:rFonts w:ascii="宋体"/>
              </w:rPr>
            </w:pPr>
          </w:p>
        </w:tc>
        <w:tc>
          <w:tcPr>
            <w:tcW w:w="0" w:type="auto"/>
            <w:gridSpan w:val="6"/>
            <w:tcBorders>
              <w:top w:val="single" w:sz="8" w:space="0" w:color="0071C5"/>
            </w:tcBorders>
            <w:shd w:val="clear" w:color="auto" w:fill="auto"/>
            <w:tcMar>
              <w:top w:w="40" w:type="dxa"/>
              <w:left w:w="20" w:type="dxa"/>
              <w:bottom w:w="40" w:type="dxa"/>
              <w:right w:w="20" w:type="dxa"/>
            </w:tcMar>
            <w:vAlign w:val="bottom"/>
          </w:tcPr>
          <w:p w14:paraId="20AE2B05" w14:textId="77777777" w:rsidR="00B626E7" w:rsidRDefault="00175C1D">
            <w:pPr>
              <w:jc w:val="center"/>
              <w:textAlignment w:val="bottom"/>
            </w:pPr>
            <w:r>
              <w:rPr>
                <w:rFonts w:ascii="Arial" w:eastAsia="宋体" w:hAnsi="Arial" w:cs="Arial"/>
                <w:b/>
                <w:bCs/>
                <w:color w:val="333333"/>
                <w:sz w:val="18"/>
                <w:szCs w:val="18"/>
              </w:rPr>
              <w:t>%</w:t>
            </w:r>
          </w:p>
        </w:tc>
        <w:tc>
          <w:tcPr>
            <w:tcW w:w="0" w:type="auto"/>
            <w:gridSpan w:val="3"/>
            <w:shd w:val="clear" w:color="auto" w:fill="auto"/>
          </w:tcPr>
          <w:p w14:paraId="20AE2B06" w14:textId="77777777" w:rsidR="00B626E7" w:rsidRDefault="00B626E7">
            <w:pPr>
              <w:rPr>
                <w:rFonts w:ascii="宋体"/>
                <w:vanish/>
              </w:rPr>
            </w:pPr>
          </w:p>
        </w:tc>
        <w:tc>
          <w:tcPr>
            <w:tcW w:w="0" w:type="auto"/>
            <w:gridSpan w:val="3"/>
            <w:tcBorders>
              <w:top w:val="single" w:sz="8" w:space="0" w:color="0071C5"/>
            </w:tcBorders>
            <w:shd w:val="clear" w:color="auto" w:fill="auto"/>
            <w:tcMar>
              <w:left w:w="20" w:type="dxa"/>
              <w:right w:w="20" w:type="dxa"/>
            </w:tcMar>
            <w:vAlign w:val="bottom"/>
          </w:tcPr>
          <w:p w14:paraId="20AE2B07"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2B08" w14:textId="77777777" w:rsidR="00B626E7" w:rsidRDefault="00175C1D">
            <w:pPr>
              <w:jc w:val="center"/>
              <w:textAlignment w:val="bottom"/>
            </w:pPr>
            <w:r>
              <w:rPr>
                <w:rFonts w:ascii="Arial" w:eastAsia="宋体" w:hAnsi="Arial" w:cs="Arial"/>
                <w:b/>
                <w:bCs/>
                <w:color w:val="333333"/>
                <w:sz w:val="18"/>
                <w:szCs w:val="18"/>
              </w:rPr>
              <w:t>$ Impact</w:t>
            </w:r>
          </w:p>
        </w:tc>
        <w:tc>
          <w:tcPr>
            <w:tcW w:w="0" w:type="auto"/>
            <w:gridSpan w:val="3"/>
            <w:shd w:val="clear" w:color="auto" w:fill="auto"/>
            <w:tcMar>
              <w:left w:w="20" w:type="dxa"/>
              <w:right w:w="20" w:type="dxa"/>
            </w:tcMar>
            <w:vAlign w:val="bottom"/>
          </w:tcPr>
          <w:p w14:paraId="20AE2B09" w14:textId="77777777" w:rsidR="00B626E7" w:rsidRDefault="00B626E7">
            <w:pPr>
              <w:rPr>
                <w:rFonts w:ascii="宋体"/>
              </w:rPr>
            </w:pPr>
          </w:p>
        </w:tc>
        <w:tc>
          <w:tcPr>
            <w:tcW w:w="0" w:type="auto"/>
            <w:gridSpan w:val="6"/>
            <w:tcBorders>
              <w:top w:val="single" w:sz="8" w:space="0" w:color="0071C5"/>
            </w:tcBorders>
            <w:shd w:val="clear" w:color="auto" w:fill="auto"/>
            <w:tcMar>
              <w:top w:w="40" w:type="dxa"/>
              <w:left w:w="20" w:type="dxa"/>
              <w:bottom w:w="40" w:type="dxa"/>
              <w:right w:w="20" w:type="dxa"/>
            </w:tcMar>
            <w:vAlign w:val="bottom"/>
          </w:tcPr>
          <w:p w14:paraId="20AE2B0A" w14:textId="77777777" w:rsidR="00B626E7" w:rsidRDefault="00175C1D">
            <w:pPr>
              <w:jc w:val="center"/>
              <w:textAlignment w:val="bottom"/>
            </w:pPr>
            <w:r>
              <w:rPr>
                <w:rFonts w:ascii="Arial" w:eastAsia="宋体" w:hAnsi="Arial" w:cs="Arial"/>
                <w:b/>
                <w:bCs/>
                <w:color w:val="333333"/>
                <w:sz w:val="18"/>
                <w:szCs w:val="18"/>
              </w:rPr>
              <w:t>%</w:t>
            </w:r>
          </w:p>
        </w:tc>
        <w:tc>
          <w:tcPr>
            <w:tcW w:w="0" w:type="auto"/>
            <w:gridSpan w:val="3"/>
            <w:shd w:val="clear" w:color="auto" w:fill="auto"/>
          </w:tcPr>
          <w:p w14:paraId="20AE2B0B" w14:textId="77777777" w:rsidR="00B626E7" w:rsidRDefault="00B626E7">
            <w:pPr>
              <w:rPr>
                <w:rFonts w:ascii="宋体"/>
                <w:vanish/>
              </w:rPr>
            </w:pPr>
          </w:p>
        </w:tc>
        <w:tc>
          <w:tcPr>
            <w:tcW w:w="0" w:type="auto"/>
            <w:gridSpan w:val="3"/>
            <w:tcBorders>
              <w:top w:val="single" w:sz="8" w:space="0" w:color="0071C5"/>
            </w:tcBorders>
            <w:shd w:val="clear" w:color="auto" w:fill="auto"/>
            <w:tcMar>
              <w:left w:w="20" w:type="dxa"/>
              <w:right w:w="20" w:type="dxa"/>
            </w:tcMar>
            <w:vAlign w:val="bottom"/>
          </w:tcPr>
          <w:p w14:paraId="20AE2B0C"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2B0D" w14:textId="77777777" w:rsidR="00B626E7" w:rsidRDefault="00175C1D">
            <w:pPr>
              <w:jc w:val="center"/>
              <w:textAlignment w:val="bottom"/>
            </w:pPr>
            <w:r>
              <w:rPr>
                <w:rFonts w:ascii="Arial" w:eastAsia="宋体" w:hAnsi="Arial" w:cs="Arial"/>
                <w:b/>
                <w:bCs/>
                <w:color w:val="333333"/>
                <w:sz w:val="18"/>
                <w:szCs w:val="18"/>
              </w:rPr>
              <w:t>$ Impact</w:t>
            </w:r>
          </w:p>
        </w:tc>
        <w:tc>
          <w:tcPr>
            <w:tcW w:w="0" w:type="auto"/>
            <w:shd w:val="clear" w:color="auto" w:fill="auto"/>
          </w:tcPr>
          <w:p w14:paraId="20AE2B0E" w14:textId="77777777" w:rsidR="00B626E7" w:rsidRDefault="00B626E7">
            <w:pPr>
              <w:rPr>
                <w:rFonts w:ascii="宋体"/>
              </w:rPr>
            </w:pPr>
          </w:p>
        </w:tc>
        <w:tc>
          <w:tcPr>
            <w:tcW w:w="0" w:type="auto"/>
            <w:shd w:val="clear" w:color="auto" w:fill="auto"/>
          </w:tcPr>
          <w:p w14:paraId="20AE2B0F" w14:textId="77777777" w:rsidR="00B626E7" w:rsidRDefault="00B626E7">
            <w:pPr>
              <w:rPr>
                <w:rFonts w:ascii="宋体"/>
              </w:rPr>
            </w:pPr>
          </w:p>
        </w:tc>
        <w:tc>
          <w:tcPr>
            <w:tcW w:w="0" w:type="auto"/>
            <w:shd w:val="clear" w:color="auto" w:fill="auto"/>
          </w:tcPr>
          <w:p w14:paraId="20AE2B10" w14:textId="77777777" w:rsidR="00B626E7" w:rsidRDefault="00B626E7">
            <w:pPr>
              <w:rPr>
                <w:rFonts w:ascii="宋体"/>
              </w:rPr>
            </w:pPr>
          </w:p>
        </w:tc>
        <w:tc>
          <w:tcPr>
            <w:tcW w:w="0" w:type="auto"/>
            <w:shd w:val="clear" w:color="auto" w:fill="auto"/>
          </w:tcPr>
          <w:p w14:paraId="20AE2B11" w14:textId="77777777" w:rsidR="00B626E7" w:rsidRDefault="00B626E7">
            <w:pPr>
              <w:rPr>
                <w:rFonts w:ascii="宋体"/>
              </w:rPr>
            </w:pPr>
          </w:p>
        </w:tc>
        <w:tc>
          <w:tcPr>
            <w:tcW w:w="0" w:type="auto"/>
            <w:shd w:val="clear" w:color="auto" w:fill="auto"/>
          </w:tcPr>
          <w:p w14:paraId="20AE2B12" w14:textId="77777777" w:rsidR="00B626E7" w:rsidRDefault="00B626E7">
            <w:pPr>
              <w:rPr>
                <w:rFonts w:ascii="宋体"/>
              </w:rPr>
            </w:pPr>
          </w:p>
        </w:tc>
        <w:tc>
          <w:tcPr>
            <w:tcW w:w="0" w:type="auto"/>
            <w:shd w:val="clear" w:color="auto" w:fill="auto"/>
          </w:tcPr>
          <w:p w14:paraId="20AE2B13" w14:textId="77777777" w:rsidR="00B626E7" w:rsidRDefault="00B626E7">
            <w:pPr>
              <w:rPr>
                <w:rFonts w:ascii="宋体"/>
              </w:rPr>
            </w:pPr>
          </w:p>
        </w:tc>
        <w:tc>
          <w:tcPr>
            <w:tcW w:w="0" w:type="auto"/>
            <w:shd w:val="clear" w:color="auto" w:fill="auto"/>
          </w:tcPr>
          <w:p w14:paraId="20AE2B14" w14:textId="77777777" w:rsidR="00B626E7" w:rsidRDefault="00B626E7">
            <w:pPr>
              <w:rPr>
                <w:rFonts w:ascii="宋体"/>
              </w:rPr>
            </w:pPr>
          </w:p>
        </w:tc>
        <w:tc>
          <w:tcPr>
            <w:tcW w:w="0" w:type="auto"/>
            <w:shd w:val="clear" w:color="auto" w:fill="auto"/>
          </w:tcPr>
          <w:p w14:paraId="20AE2B15" w14:textId="77777777" w:rsidR="00B626E7" w:rsidRDefault="00B626E7">
            <w:pPr>
              <w:rPr>
                <w:rFonts w:ascii="宋体"/>
              </w:rPr>
            </w:pPr>
          </w:p>
        </w:tc>
        <w:tc>
          <w:tcPr>
            <w:tcW w:w="0" w:type="auto"/>
            <w:shd w:val="clear" w:color="auto" w:fill="auto"/>
          </w:tcPr>
          <w:p w14:paraId="20AE2B16" w14:textId="77777777" w:rsidR="00B626E7" w:rsidRDefault="00B626E7">
            <w:pPr>
              <w:rPr>
                <w:rFonts w:ascii="宋体"/>
              </w:rPr>
            </w:pPr>
          </w:p>
        </w:tc>
        <w:tc>
          <w:tcPr>
            <w:tcW w:w="0" w:type="auto"/>
            <w:shd w:val="clear" w:color="auto" w:fill="auto"/>
          </w:tcPr>
          <w:p w14:paraId="20AE2B17" w14:textId="77777777" w:rsidR="00B626E7" w:rsidRDefault="00B626E7">
            <w:pPr>
              <w:rPr>
                <w:rFonts w:ascii="宋体"/>
              </w:rPr>
            </w:pPr>
          </w:p>
        </w:tc>
        <w:tc>
          <w:tcPr>
            <w:tcW w:w="0" w:type="auto"/>
            <w:shd w:val="clear" w:color="auto" w:fill="auto"/>
          </w:tcPr>
          <w:p w14:paraId="20AE2B18" w14:textId="77777777" w:rsidR="00B626E7" w:rsidRDefault="00B626E7">
            <w:pPr>
              <w:rPr>
                <w:rFonts w:ascii="宋体"/>
              </w:rPr>
            </w:pPr>
          </w:p>
        </w:tc>
        <w:tc>
          <w:tcPr>
            <w:tcW w:w="0" w:type="auto"/>
            <w:shd w:val="clear" w:color="auto" w:fill="auto"/>
          </w:tcPr>
          <w:p w14:paraId="20AE2B19" w14:textId="77777777" w:rsidR="00B626E7" w:rsidRDefault="00B626E7">
            <w:pPr>
              <w:rPr>
                <w:rFonts w:ascii="宋体"/>
              </w:rPr>
            </w:pPr>
          </w:p>
        </w:tc>
      </w:tr>
      <w:tr w:rsidR="00B626E7" w14:paraId="20AE2B38" w14:textId="77777777">
        <w:trPr>
          <w:trHeight w:val="60"/>
        </w:trPr>
        <w:tc>
          <w:tcPr>
            <w:tcW w:w="0" w:type="auto"/>
            <w:gridSpan w:val="3"/>
            <w:tcBorders>
              <w:top w:val="single" w:sz="8" w:space="0" w:color="0071C5"/>
            </w:tcBorders>
            <w:shd w:val="clear" w:color="auto" w:fill="auto"/>
            <w:tcMar>
              <w:left w:w="20" w:type="dxa"/>
              <w:right w:w="20" w:type="dxa"/>
            </w:tcMar>
            <w:vAlign w:val="bottom"/>
          </w:tcPr>
          <w:p w14:paraId="20AE2B1B"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B1C"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2B1D"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2B1E"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B1F"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2B20"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B21"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2B22"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2B23"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B24"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2B25" w14:textId="77777777" w:rsidR="00B626E7" w:rsidRDefault="00B626E7">
            <w:pPr>
              <w:rPr>
                <w:rFonts w:ascii="宋体"/>
              </w:rPr>
            </w:pPr>
          </w:p>
        </w:tc>
        <w:tc>
          <w:tcPr>
            <w:tcW w:w="0" w:type="auto"/>
            <w:shd w:val="clear" w:color="auto" w:fill="auto"/>
          </w:tcPr>
          <w:p w14:paraId="20AE2B26" w14:textId="77777777" w:rsidR="00B626E7" w:rsidRDefault="00B626E7">
            <w:pPr>
              <w:rPr>
                <w:rFonts w:ascii="宋体"/>
              </w:rPr>
            </w:pPr>
          </w:p>
        </w:tc>
        <w:tc>
          <w:tcPr>
            <w:tcW w:w="0" w:type="auto"/>
            <w:shd w:val="clear" w:color="auto" w:fill="auto"/>
          </w:tcPr>
          <w:p w14:paraId="20AE2B27" w14:textId="77777777" w:rsidR="00B626E7" w:rsidRDefault="00B626E7">
            <w:pPr>
              <w:rPr>
                <w:rFonts w:ascii="宋体"/>
              </w:rPr>
            </w:pPr>
          </w:p>
        </w:tc>
        <w:tc>
          <w:tcPr>
            <w:tcW w:w="0" w:type="auto"/>
            <w:shd w:val="clear" w:color="auto" w:fill="auto"/>
          </w:tcPr>
          <w:p w14:paraId="20AE2B28" w14:textId="77777777" w:rsidR="00B626E7" w:rsidRDefault="00B626E7">
            <w:pPr>
              <w:rPr>
                <w:rFonts w:ascii="宋体"/>
              </w:rPr>
            </w:pPr>
          </w:p>
        </w:tc>
        <w:tc>
          <w:tcPr>
            <w:tcW w:w="0" w:type="auto"/>
            <w:shd w:val="clear" w:color="auto" w:fill="auto"/>
          </w:tcPr>
          <w:p w14:paraId="20AE2B29" w14:textId="77777777" w:rsidR="00B626E7" w:rsidRDefault="00B626E7">
            <w:pPr>
              <w:rPr>
                <w:rFonts w:ascii="宋体"/>
              </w:rPr>
            </w:pPr>
          </w:p>
        </w:tc>
        <w:tc>
          <w:tcPr>
            <w:tcW w:w="0" w:type="auto"/>
            <w:shd w:val="clear" w:color="auto" w:fill="auto"/>
          </w:tcPr>
          <w:p w14:paraId="20AE2B2A" w14:textId="77777777" w:rsidR="00B626E7" w:rsidRDefault="00B626E7">
            <w:pPr>
              <w:rPr>
                <w:rFonts w:ascii="宋体"/>
              </w:rPr>
            </w:pPr>
          </w:p>
        </w:tc>
        <w:tc>
          <w:tcPr>
            <w:tcW w:w="0" w:type="auto"/>
            <w:shd w:val="clear" w:color="auto" w:fill="auto"/>
          </w:tcPr>
          <w:p w14:paraId="20AE2B2B" w14:textId="77777777" w:rsidR="00B626E7" w:rsidRDefault="00B626E7">
            <w:pPr>
              <w:rPr>
                <w:rFonts w:ascii="宋体"/>
              </w:rPr>
            </w:pPr>
          </w:p>
        </w:tc>
        <w:tc>
          <w:tcPr>
            <w:tcW w:w="0" w:type="auto"/>
            <w:shd w:val="clear" w:color="auto" w:fill="auto"/>
          </w:tcPr>
          <w:p w14:paraId="20AE2B2C" w14:textId="77777777" w:rsidR="00B626E7" w:rsidRDefault="00B626E7">
            <w:pPr>
              <w:rPr>
                <w:rFonts w:ascii="宋体"/>
              </w:rPr>
            </w:pPr>
          </w:p>
        </w:tc>
        <w:tc>
          <w:tcPr>
            <w:tcW w:w="0" w:type="auto"/>
            <w:shd w:val="clear" w:color="auto" w:fill="auto"/>
          </w:tcPr>
          <w:p w14:paraId="20AE2B2D" w14:textId="77777777" w:rsidR="00B626E7" w:rsidRDefault="00B626E7">
            <w:pPr>
              <w:rPr>
                <w:rFonts w:ascii="宋体"/>
              </w:rPr>
            </w:pPr>
          </w:p>
        </w:tc>
        <w:tc>
          <w:tcPr>
            <w:tcW w:w="0" w:type="auto"/>
            <w:shd w:val="clear" w:color="auto" w:fill="auto"/>
          </w:tcPr>
          <w:p w14:paraId="20AE2B2E" w14:textId="77777777" w:rsidR="00B626E7" w:rsidRDefault="00B626E7">
            <w:pPr>
              <w:rPr>
                <w:rFonts w:ascii="宋体"/>
              </w:rPr>
            </w:pPr>
          </w:p>
        </w:tc>
        <w:tc>
          <w:tcPr>
            <w:tcW w:w="0" w:type="auto"/>
            <w:shd w:val="clear" w:color="auto" w:fill="auto"/>
          </w:tcPr>
          <w:p w14:paraId="20AE2B2F" w14:textId="77777777" w:rsidR="00B626E7" w:rsidRDefault="00B626E7">
            <w:pPr>
              <w:rPr>
                <w:rFonts w:ascii="宋体"/>
              </w:rPr>
            </w:pPr>
          </w:p>
        </w:tc>
        <w:tc>
          <w:tcPr>
            <w:tcW w:w="0" w:type="auto"/>
            <w:shd w:val="clear" w:color="auto" w:fill="auto"/>
          </w:tcPr>
          <w:p w14:paraId="20AE2B30" w14:textId="77777777" w:rsidR="00B626E7" w:rsidRDefault="00B626E7">
            <w:pPr>
              <w:rPr>
                <w:rFonts w:ascii="宋体"/>
              </w:rPr>
            </w:pPr>
          </w:p>
        </w:tc>
        <w:tc>
          <w:tcPr>
            <w:tcW w:w="0" w:type="auto"/>
            <w:shd w:val="clear" w:color="auto" w:fill="auto"/>
          </w:tcPr>
          <w:p w14:paraId="20AE2B31" w14:textId="77777777" w:rsidR="00B626E7" w:rsidRDefault="00B626E7">
            <w:pPr>
              <w:rPr>
                <w:rFonts w:ascii="宋体"/>
              </w:rPr>
            </w:pPr>
          </w:p>
        </w:tc>
        <w:tc>
          <w:tcPr>
            <w:tcW w:w="0" w:type="auto"/>
            <w:shd w:val="clear" w:color="auto" w:fill="auto"/>
          </w:tcPr>
          <w:p w14:paraId="20AE2B32" w14:textId="77777777" w:rsidR="00B626E7" w:rsidRDefault="00B626E7">
            <w:pPr>
              <w:rPr>
                <w:rFonts w:ascii="宋体"/>
              </w:rPr>
            </w:pPr>
          </w:p>
        </w:tc>
        <w:tc>
          <w:tcPr>
            <w:tcW w:w="0" w:type="auto"/>
            <w:shd w:val="clear" w:color="auto" w:fill="auto"/>
          </w:tcPr>
          <w:p w14:paraId="20AE2B33" w14:textId="77777777" w:rsidR="00B626E7" w:rsidRDefault="00B626E7">
            <w:pPr>
              <w:rPr>
                <w:rFonts w:ascii="宋体"/>
              </w:rPr>
            </w:pPr>
          </w:p>
        </w:tc>
        <w:tc>
          <w:tcPr>
            <w:tcW w:w="0" w:type="auto"/>
            <w:shd w:val="clear" w:color="auto" w:fill="auto"/>
          </w:tcPr>
          <w:p w14:paraId="20AE2B34" w14:textId="77777777" w:rsidR="00B626E7" w:rsidRDefault="00B626E7">
            <w:pPr>
              <w:rPr>
                <w:rFonts w:ascii="宋体"/>
              </w:rPr>
            </w:pPr>
          </w:p>
        </w:tc>
        <w:tc>
          <w:tcPr>
            <w:tcW w:w="0" w:type="auto"/>
            <w:shd w:val="clear" w:color="auto" w:fill="auto"/>
          </w:tcPr>
          <w:p w14:paraId="20AE2B35" w14:textId="77777777" w:rsidR="00B626E7" w:rsidRDefault="00B626E7">
            <w:pPr>
              <w:rPr>
                <w:rFonts w:ascii="宋体"/>
              </w:rPr>
            </w:pPr>
          </w:p>
        </w:tc>
        <w:tc>
          <w:tcPr>
            <w:tcW w:w="0" w:type="auto"/>
            <w:shd w:val="clear" w:color="auto" w:fill="auto"/>
          </w:tcPr>
          <w:p w14:paraId="20AE2B36" w14:textId="77777777" w:rsidR="00B626E7" w:rsidRDefault="00B626E7">
            <w:pPr>
              <w:rPr>
                <w:rFonts w:ascii="宋体"/>
              </w:rPr>
            </w:pPr>
          </w:p>
        </w:tc>
        <w:tc>
          <w:tcPr>
            <w:tcW w:w="0" w:type="auto"/>
            <w:shd w:val="clear" w:color="auto" w:fill="auto"/>
          </w:tcPr>
          <w:p w14:paraId="20AE2B37" w14:textId="77777777" w:rsidR="00B626E7" w:rsidRDefault="00B626E7">
            <w:pPr>
              <w:rPr>
                <w:rFonts w:ascii="宋体"/>
              </w:rPr>
            </w:pPr>
          </w:p>
        </w:tc>
      </w:tr>
      <w:tr w:rsidR="00B626E7" w14:paraId="20AE2B5A" w14:textId="77777777">
        <w:tc>
          <w:tcPr>
            <w:tcW w:w="0" w:type="auto"/>
            <w:gridSpan w:val="3"/>
            <w:shd w:val="clear" w:color="auto" w:fill="auto"/>
            <w:tcMar>
              <w:top w:w="40" w:type="dxa"/>
              <w:left w:w="20" w:type="dxa"/>
              <w:bottom w:w="40" w:type="dxa"/>
              <w:right w:w="20" w:type="dxa"/>
            </w:tcMar>
            <w:vAlign w:val="center"/>
          </w:tcPr>
          <w:p w14:paraId="20AE2B39" w14:textId="77777777" w:rsidR="00B626E7" w:rsidRDefault="00175C1D">
            <w:pPr>
              <w:textAlignment w:val="center"/>
            </w:pPr>
            <w:r>
              <w:rPr>
                <w:rFonts w:ascii="Arial" w:eastAsia="宋体" w:hAnsi="Arial" w:cs="Arial"/>
                <w:color w:val="333333"/>
                <w:sz w:val="18"/>
                <w:szCs w:val="18"/>
              </w:rPr>
              <w:t>Desktop platform volume</w:t>
            </w:r>
          </w:p>
        </w:tc>
        <w:tc>
          <w:tcPr>
            <w:tcW w:w="0" w:type="auto"/>
            <w:gridSpan w:val="3"/>
            <w:shd w:val="clear" w:color="auto" w:fill="auto"/>
            <w:tcMar>
              <w:left w:w="20" w:type="dxa"/>
              <w:right w:w="20" w:type="dxa"/>
            </w:tcMar>
            <w:vAlign w:val="bottom"/>
          </w:tcPr>
          <w:p w14:paraId="20AE2B3A"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center"/>
          </w:tcPr>
          <w:p w14:paraId="20AE2B3B" w14:textId="77777777" w:rsidR="00B626E7" w:rsidRDefault="00175C1D">
            <w:pPr>
              <w:jc w:val="right"/>
              <w:textAlignment w:val="center"/>
            </w:pPr>
            <w:r>
              <w:rPr>
                <w:rFonts w:ascii="Arial" w:eastAsia="宋体" w:hAnsi="Arial" w:cs="Arial"/>
                <w:color w:val="0071C5"/>
                <w:sz w:val="18"/>
                <w:szCs w:val="18"/>
              </w:rPr>
              <w:t>down</w:t>
            </w:r>
          </w:p>
        </w:tc>
        <w:tc>
          <w:tcPr>
            <w:tcW w:w="0" w:type="auto"/>
            <w:gridSpan w:val="3"/>
            <w:shd w:val="clear" w:color="auto" w:fill="auto"/>
            <w:tcMar>
              <w:top w:w="40" w:type="dxa"/>
              <w:left w:w="20" w:type="dxa"/>
              <w:bottom w:w="40" w:type="dxa"/>
              <w:right w:w="20" w:type="dxa"/>
            </w:tcMar>
            <w:vAlign w:val="center"/>
          </w:tcPr>
          <w:p w14:paraId="20AE2B3C" w14:textId="77777777" w:rsidR="00B626E7" w:rsidRDefault="00175C1D">
            <w:pPr>
              <w:textAlignment w:val="center"/>
            </w:pPr>
            <w:r>
              <w:rPr>
                <w:rFonts w:ascii="Arial" w:eastAsia="宋体" w:hAnsi="Arial" w:cs="Arial"/>
                <w:color w:val="0071C5"/>
                <w:sz w:val="18"/>
                <w:szCs w:val="18"/>
              </w:rPr>
              <w:t>(14)%</w:t>
            </w:r>
          </w:p>
        </w:tc>
        <w:tc>
          <w:tcPr>
            <w:tcW w:w="0" w:type="auto"/>
            <w:gridSpan w:val="3"/>
            <w:shd w:val="clear" w:color="auto" w:fill="auto"/>
            <w:tcMar>
              <w:left w:w="20" w:type="dxa"/>
              <w:right w:w="20" w:type="dxa"/>
            </w:tcMar>
            <w:vAlign w:val="bottom"/>
          </w:tcPr>
          <w:p w14:paraId="20AE2B3D" w14:textId="77777777" w:rsidR="00B626E7" w:rsidRDefault="00B626E7">
            <w:pPr>
              <w:rPr>
                <w:rFonts w:ascii="宋体"/>
              </w:rPr>
            </w:pPr>
          </w:p>
        </w:tc>
        <w:tc>
          <w:tcPr>
            <w:tcW w:w="0" w:type="auto"/>
            <w:shd w:val="clear" w:color="auto" w:fill="auto"/>
            <w:tcMar>
              <w:top w:w="40" w:type="dxa"/>
              <w:left w:w="20" w:type="dxa"/>
              <w:bottom w:w="40" w:type="dxa"/>
            </w:tcMar>
            <w:vAlign w:val="center"/>
          </w:tcPr>
          <w:p w14:paraId="20AE2B3E" w14:textId="77777777" w:rsidR="00B626E7" w:rsidRDefault="00175C1D">
            <w:pPr>
              <w:textAlignment w:val="center"/>
            </w:pPr>
            <w:r>
              <w:rPr>
                <w:rFonts w:ascii="Arial" w:eastAsia="宋体" w:hAnsi="Arial" w:cs="Arial"/>
                <w:color w:val="0071C5"/>
                <w:sz w:val="18"/>
                <w:szCs w:val="18"/>
              </w:rPr>
              <w:t>$</w:t>
            </w:r>
          </w:p>
        </w:tc>
        <w:tc>
          <w:tcPr>
            <w:tcW w:w="0" w:type="auto"/>
            <w:shd w:val="clear" w:color="auto" w:fill="auto"/>
            <w:tcMar>
              <w:top w:w="40" w:type="dxa"/>
              <w:bottom w:w="40" w:type="dxa"/>
              <w:right w:w="0" w:type="dxa"/>
            </w:tcMar>
            <w:vAlign w:val="center"/>
          </w:tcPr>
          <w:p w14:paraId="20AE2B3F" w14:textId="77777777" w:rsidR="00B626E7" w:rsidRDefault="00175C1D">
            <w:pPr>
              <w:jc w:val="right"/>
              <w:textAlignment w:val="center"/>
            </w:pPr>
            <w:r>
              <w:rPr>
                <w:rFonts w:ascii="Arial" w:eastAsia="宋体" w:hAnsi="Arial" w:cs="Arial"/>
                <w:color w:val="0071C5"/>
                <w:sz w:val="18"/>
                <w:szCs w:val="18"/>
              </w:rPr>
              <w:t>(460)</w:t>
            </w:r>
          </w:p>
        </w:tc>
        <w:tc>
          <w:tcPr>
            <w:tcW w:w="0" w:type="auto"/>
            <w:shd w:val="clear" w:color="auto" w:fill="auto"/>
            <w:tcMar>
              <w:top w:w="40" w:type="dxa"/>
              <w:bottom w:w="40" w:type="dxa"/>
              <w:right w:w="20" w:type="dxa"/>
            </w:tcMar>
            <w:vAlign w:val="center"/>
          </w:tcPr>
          <w:p w14:paraId="20AE2B40" w14:textId="77777777" w:rsidR="00B626E7" w:rsidRDefault="00175C1D">
            <w:pPr>
              <w:jc w:val="right"/>
              <w:textAlignment w:val="center"/>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2B41"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center"/>
          </w:tcPr>
          <w:p w14:paraId="20AE2B42" w14:textId="77777777" w:rsidR="00B626E7" w:rsidRDefault="00175C1D">
            <w:pPr>
              <w:jc w:val="right"/>
              <w:textAlignment w:val="center"/>
            </w:pPr>
            <w:r>
              <w:rPr>
                <w:rFonts w:ascii="Arial" w:eastAsia="宋体" w:hAnsi="Arial" w:cs="Arial"/>
                <w:color w:val="0071C5"/>
                <w:sz w:val="18"/>
                <w:szCs w:val="18"/>
              </w:rPr>
              <w:t>down</w:t>
            </w:r>
          </w:p>
        </w:tc>
        <w:tc>
          <w:tcPr>
            <w:tcW w:w="0" w:type="auto"/>
            <w:gridSpan w:val="3"/>
            <w:shd w:val="clear" w:color="auto" w:fill="auto"/>
            <w:tcMar>
              <w:top w:w="40" w:type="dxa"/>
              <w:left w:w="20" w:type="dxa"/>
              <w:bottom w:w="40" w:type="dxa"/>
              <w:right w:w="20" w:type="dxa"/>
            </w:tcMar>
            <w:vAlign w:val="center"/>
          </w:tcPr>
          <w:p w14:paraId="20AE2B43" w14:textId="77777777" w:rsidR="00B626E7" w:rsidRDefault="00175C1D">
            <w:pPr>
              <w:textAlignment w:val="center"/>
            </w:pPr>
            <w:r>
              <w:rPr>
                <w:rFonts w:ascii="Arial" w:eastAsia="宋体" w:hAnsi="Arial" w:cs="Arial"/>
                <w:color w:val="0071C5"/>
                <w:sz w:val="18"/>
                <w:szCs w:val="18"/>
              </w:rPr>
              <w:t>(9)%</w:t>
            </w:r>
          </w:p>
        </w:tc>
        <w:tc>
          <w:tcPr>
            <w:tcW w:w="0" w:type="auto"/>
            <w:gridSpan w:val="3"/>
            <w:shd w:val="clear" w:color="auto" w:fill="auto"/>
            <w:tcMar>
              <w:left w:w="20" w:type="dxa"/>
              <w:right w:w="20" w:type="dxa"/>
            </w:tcMar>
            <w:vAlign w:val="bottom"/>
          </w:tcPr>
          <w:p w14:paraId="20AE2B44" w14:textId="77777777" w:rsidR="00B626E7" w:rsidRDefault="00B626E7">
            <w:pPr>
              <w:rPr>
                <w:rFonts w:ascii="宋体"/>
              </w:rPr>
            </w:pPr>
          </w:p>
        </w:tc>
        <w:tc>
          <w:tcPr>
            <w:tcW w:w="0" w:type="auto"/>
            <w:shd w:val="clear" w:color="auto" w:fill="auto"/>
            <w:tcMar>
              <w:top w:w="40" w:type="dxa"/>
              <w:left w:w="20" w:type="dxa"/>
              <w:bottom w:w="40" w:type="dxa"/>
            </w:tcMar>
            <w:vAlign w:val="center"/>
          </w:tcPr>
          <w:p w14:paraId="20AE2B45" w14:textId="77777777" w:rsidR="00B626E7" w:rsidRDefault="00175C1D">
            <w:pPr>
              <w:textAlignment w:val="center"/>
            </w:pPr>
            <w:r>
              <w:rPr>
                <w:rFonts w:ascii="Arial" w:eastAsia="宋体" w:hAnsi="Arial" w:cs="Arial"/>
                <w:color w:val="0071C5"/>
                <w:sz w:val="18"/>
                <w:szCs w:val="18"/>
              </w:rPr>
              <w:t>$</w:t>
            </w:r>
          </w:p>
        </w:tc>
        <w:tc>
          <w:tcPr>
            <w:tcW w:w="0" w:type="auto"/>
            <w:shd w:val="clear" w:color="auto" w:fill="auto"/>
            <w:tcMar>
              <w:top w:w="40" w:type="dxa"/>
              <w:bottom w:w="40" w:type="dxa"/>
              <w:right w:w="0" w:type="dxa"/>
            </w:tcMar>
            <w:vAlign w:val="center"/>
          </w:tcPr>
          <w:p w14:paraId="20AE2B46" w14:textId="77777777" w:rsidR="00B626E7" w:rsidRDefault="00175C1D">
            <w:pPr>
              <w:jc w:val="right"/>
              <w:textAlignment w:val="center"/>
            </w:pPr>
            <w:r>
              <w:rPr>
                <w:rFonts w:ascii="Arial" w:eastAsia="宋体" w:hAnsi="Arial" w:cs="Arial"/>
                <w:color w:val="0071C5"/>
                <w:sz w:val="18"/>
                <w:szCs w:val="18"/>
              </w:rPr>
              <w:t>(607)</w:t>
            </w:r>
          </w:p>
        </w:tc>
        <w:tc>
          <w:tcPr>
            <w:tcW w:w="0" w:type="auto"/>
            <w:shd w:val="clear" w:color="auto" w:fill="auto"/>
            <w:tcMar>
              <w:top w:w="40" w:type="dxa"/>
              <w:bottom w:w="40" w:type="dxa"/>
              <w:right w:w="20" w:type="dxa"/>
            </w:tcMar>
            <w:vAlign w:val="center"/>
          </w:tcPr>
          <w:p w14:paraId="20AE2B47" w14:textId="77777777" w:rsidR="00B626E7" w:rsidRDefault="00175C1D">
            <w:pPr>
              <w:jc w:val="right"/>
              <w:textAlignment w:val="center"/>
            </w:pPr>
            <w:r>
              <w:rPr>
                <w:rFonts w:ascii="Arial" w:eastAsia="宋体" w:hAnsi="Arial" w:cs="Arial"/>
                <w:color w:val="0071C5"/>
                <w:sz w:val="18"/>
                <w:szCs w:val="18"/>
              </w:rPr>
              <w:t> </w:t>
            </w:r>
          </w:p>
        </w:tc>
        <w:tc>
          <w:tcPr>
            <w:tcW w:w="0" w:type="auto"/>
            <w:shd w:val="clear" w:color="auto" w:fill="auto"/>
          </w:tcPr>
          <w:p w14:paraId="20AE2B48" w14:textId="77777777" w:rsidR="00B626E7" w:rsidRDefault="00B626E7">
            <w:pPr>
              <w:rPr>
                <w:rFonts w:ascii="宋体"/>
              </w:rPr>
            </w:pPr>
          </w:p>
        </w:tc>
        <w:tc>
          <w:tcPr>
            <w:tcW w:w="0" w:type="auto"/>
            <w:shd w:val="clear" w:color="auto" w:fill="auto"/>
          </w:tcPr>
          <w:p w14:paraId="20AE2B49" w14:textId="77777777" w:rsidR="00B626E7" w:rsidRDefault="00B626E7">
            <w:pPr>
              <w:rPr>
                <w:rFonts w:ascii="宋体"/>
              </w:rPr>
            </w:pPr>
          </w:p>
        </w:tc>
        <w:tc>
          <w:tcPr>
            <w:tcW w:w="0" w:type="auto"/>
            <w:shd w:val="clear" w:color="auto" w:fill="auto"/>
          </w:tcPr>
          <w:p w14:paraId="20AE2B4A" w14:textId="77777777" w:rsidR="00B626E7" w:rsidRDefault="00B626E7">
            <w:pPr>
              <w:rPr>
                <w:rFonts w:ascii="宋体"/>
              </w:rPr>
            </w:pPr>
          </w:p>
        </w:tc>
        <w:tc>
          <w:tcPr>
            <w:tcW w:w="0" w:type="auto"/>
            <w:shd w:val="clear" w:color="auto" w:fill="auto"/>
          </w:tcPr>
          <w:p w14:paraId="20AE2B4B" w14:textId="77777777" w:rsidR="00B626E7" w:rsidRDefault="00B626E7">
            <w:pPr>
              <w:rPr>
                <w:rFonts w:ascii="宋体"/>
              </w:rPr>
            </w:pPr>
          </w:p>
        </w:tc>
        <w:tc>
          <w:tcPr>
            <w:tcW w:w="0" w:type="auto"/>
            <w:shd w:val="clear" w:color="auto" w:fill="auto"/>
          </w:tcPr>
          <w:p w14:paraId="20AE2B4C" w14:textId="77777777" w:rsidR="00B626E7" w:rsidRDefault="00B626E7">
            <w:pPr>
              <w:rPr>
                <w:rFonts w:ascii="宋体"/>
              </w:rPr>
            </w:pPr>
          </w:p>
        </w:tc>
        <w:tc>
          <w:tcPr>
            <w:tcW w:w="0" w:type="auto"/>
            <w:shd w:val="clear" w:color="auto" w:fill="auto"/>
          </w:tcPr>
          <w:p w14:paraId="20AE2B4D" w14:textId="77777777" w:rsidR="00B626E7" w:rsidRDefault="00B626E7">
            <w:pPr>
              <w:rPr>
                <w:rFonts w:ascii="宋体"/>
              </w:rPr>
            </w:pPr>
          </w:p>
        </w:tc>
        <w:tc>
          <w:tcPr>
            <w:tcW w:w="0" w:type="auto"/>
            <w:shd w:val="clear" w:color="auto" w:fill="auto"/>
          </w:tcPr>
          <w:p w14:paraId="20AE2B4E" w14:textId="77777777" w:rsidR="00B626E7" w:rsidRDefault="00B626E7">
            <w:pPr>
              <w:rPr>
                <w:rFonts w:ascii="宋体"/>
              </w:rPr>
            </w:pPr>
          </w:p>
        </w:tc>
        <w:tc>
          <w:tcPr>
            <w:tcW w:w="0" w:type="auto"/>
            <w:shd w:val="clear" w:color="auto" w:fill="auto"/>
          </w:tcPr>
          <w:p w14:paraId="20AE2B4F" w14:textId="77777777" w:rsidR="00B626E7" w:rsidRDefault="00B626E7">
            <w:pPr>
              <w:rPr>
                <w:rFonts w:ascii="宋体"/>
              </w:rPr>
            </w:pPr>
          </w:p>
        </w:tc>
        <w:tc>
          <w:tcPr>
            <w:tcW w:w="0" w:type="auto"/>
            <w:shd w:val="clear" w:color="auto" w:fill="auto"/>
          </w:tcPr>
          <w:p w14:paraId="20AE2B50" w14:textId="77777777" w:rsidR="00B626E7" w:rsidRDefault="00B626E7">
            <w:pPr>
              <w:rPr>
                <w:rFonts w:ascii="宋体"/>
              </w:rPr>
            </w:pPr>
          </w:p>
        </w:tc>
        <w:tc>
          <w:tcPr>
            <w:tcW w:w="0" w:type="auto"/>
            <w:shd w:val="clear" w:color="auto" w:fill="auto"/>
          </w:tcPr>
          <w:p w14:paraId="20AE2B51" w14:textId="77777777" w:rsidR="00B626E7" w:rsidRDefault="00B626E7">
            <w:pPr>
              <w:rPr>
                <w:rFonts w:ascii="宋体"/>
              </w:rPr>
            </w:pPr>
          </w:p>
        </w:tc>
        <w:tc>
          <w:tcPr>
            <w:tcW w:w="0" w:type="auto"/>
            <w:shd w:val="clear" w:color="auto" w:fill="auto"/>
          </w:tcPr>
          <w:p w14:paraId="20AE2B52" w14:textId="77777777" w:rsidR="00B626E7" w:rsidRDefault="00B626E7">
            <w:pPr>
              <w:rPr>
                <w:rFonts w:ascii="宋体"/>
              </w:rPr>
            </w:pPr>
          </w:p>
        </w:tc>
        <w:tc>
          <w:tcPr>
            <w:tcW w:w="0" w:type="auto"/>
            <w:shd w:val="clear" w:color="auto" w:fill="auto"/>
          </w:tcPr>
          <w:p w14:paraId="20AE2B53" w14:textId="77777777" w:rsidR="00B626E7" w:rsidRDefault="00B626E7">
            <w:pPr>
              <w:rPr>
                <w:rFonts w:ascii="宋体"/>
              </w:rPr>
            </w:pPr>
          </w:p>
        </w:tc>
        <w:tc>
          <w:tcPr>
            <w:tcW w:w="0" w:type="auto"/>
            <w:shd w:val="clear" w:color="auto" w:fill="auto"/>
          </w:tcPr>
          <w:p w14:paraId="20AE2B54" w14:textId="77777777" w:rsidR="00B626E7" w:rsidRDefault="00B626E7">
            <w:pPr>
              <w:rPr>
                <w:rFonts w:ascii="宋体"/>
              </w:rPr>
            </w:pPr>
          </w:p>
        </w:tc>
        <w:tc>
          <w:tcPr>
            <w:tcW w:w="0" w:type="auto"/>
            <w:shd w:val="clear" w:color="auto" w:fill="auto"/>
          </w:tcPr>
          <w:p w14:paraId="20AE2B55" w14:textId="77777777" w:rsidR="00B626E7" w:rsidRDefault="00B626E7">
            <w:pPr>
              <w:rPr>
                <w:rFonts w:ascii="宋体"/>
              </w:rPr>
            </w:pPr>
          </w:p>
        </w:tc>
        <w:tc>
          <w:tcPr>
            <w:tcW w:w="0" w:type="auto"/>
            <w:shd w:val="clear" w:color="auto" w:fill="auto"/>
          </w:tcPr>
          <w:p w14:paraId="20AE2B56" w14:textId="77777777" w:rsidR="00B626E7" w:rsidRDefault="00B626E7">
            <w:pPr>
              <w:rPr>
                <w:rFonts w:ascii="宋体"/>
              </w:rPr>
            </w:pPr>
          </w:p>
        </w:tc>
        <w:tc>
          <w:tcPr>
            <w:tcW w:w="0" w:type="auto"/>
            <w:shd w:val="clear" w:color="auto" w:fill="auto"/>
          </w:tcPr>
          <w:p w14:paraId="20AE2B57" w14:textId="77777777" w:rsidR="00B626E7" w:rsidRDefault="00B626E7">
            <w:pPr>
              <w:rPr>
                <w:rFonts w:ascii="宋体"/>
              </w:rPr>
            </w:pPr>
          </w:p>
        </w:tc>
        <w:tc>
          <w:tcPr>
            <w:tcW w:w="0" w:type="auto"/>
            <w:shd w:val="clear" w:color="auto" w:fill="auto"/>
          </w:tcPr>
          <w:p w14:paraId="20AE2B58" w14:textId="77777777" w:rsidR="00B626E7" w:rsidRDefault="00B626E7">
            <w:pPr>
              <w:rPr>
                <w:rFonts w:ascii="宋体"/>
              </w:rPr>
            </w:pPr>
          </w:p>
        </w:tc>
        <w:tc>
          <w:tcPr>
            <w:tcW w:w="0" w:type="auto"/>
            <w:shd w:val="clear" w:color="auto" w:fill="auto"/>
          </w:tcPr>
          <w:p w14:paraId="20AE2B59" w14:textId="77777777" w:rsidR="00B626E7" w:rsidRDefault="00B626E7">
            <w:pPr>
              <w:rPr>
                <w:rFonts w:ascii="宋体"/>
              </w:rPr>
            </w:pPr>
          </w:p>
        </w:tc>
      </w:tr>
      <w:tr w:rsidR="00B626E7" w14:paraId="20AE2B7A" w14:textId="77777777">
        <w:tc>
          <w:tcPr>
            <w:tcW w:w="0" w:type="auto"/>
            <w:gridSpan w:val="3"/>
            <w:shd w:val="clear" w:color="auto" w:fill="auto"/>
            <w:tcMar>
              <w:top w:w="40" w:type="dxa"/>
              <w:left w:w="20" w:type="dxa"/>
              <w:bottom w:w="40" w:type="dxa"/>
              <w:right w:w="20" w:type="dxa"/>
            </w:tcMar>
            <w:vAlign w:val="bottom"/>
          </w:tcPr>
          <w:p w14:paraId="20AE2B5B" w14:textId="77777777" w:rsidR="00B626E7" w:rsidRDefault="00175C1D">
            <w:pPr>
              <w:textAlignment w:val="bottom"/>
            </w:pPr>
            <w:r>
              <w:rPr>
                <w:rFonts w:ascii="Arial" w:eastAsia="宋体" w:hAnsi="Arial" w:cs="Arial"/>
                <w:color w:val="333333"/>
                <w:sz w:val="18"/>
                <w:szCs w:val="18"/>
              </w:rPr>
              <w:t>Desktop platform ASP</w:t>
            </w:r>
          </w:p>
        </w:tc>
        <w:tc>
          <w:tcPr>
            <w:tcW w:w="0" w:type="auto"/>
            <w:gridSpan w:val="3"/>
            <w:shd w:val="clear" w:color="auto" w:fill="auto"/>
            <w:tcMar>
              <w:left w:w="20" w:type="dxa"/>
              <w:right w:w="20" w:type="dxa"/>
            </w:tcMar>
            <w:vAlign w:val="bottom"/>
          </w:tcPr>
          <w:p w14:paraId="20AE2B5C"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center"/>
          </w:tcPr>
          <w:p w14:paraId="20AE2B5D" w14:textId="77777777" w:rsidR="00B626E7" w:rsidRDefault="00175C1D">
            <w:pPr>
              <w:jc w:val="right"/>
              <w:textAlignment w:val="center"/>
            </w:pPr>
            <w:r>
              <w:rPr>
                <w:rFonts w:ascii="Arial" w:eastAsia="宋体" w:hAnsi="Arial" w:cs="Arial"/>
                <w:color w:val="0071C5"/>
                <w:sz w:val="18"/>
                <w:szCs w:val="18"/>
              </w:rPr>
              <w:t>up</w:t>
            </w:r>
          </w:p>
        </w:tc>
        <w:tc>
          <w:tcPr>
            <w:tcW w:w="0" w:type="auto"/>
            <w:gridSpan w:val="3"/>
            <w:shd w:val="clear" w:color="auto" w:fill="auto"/>
            <w:tcMar>
              <w:top w:w="40" w:type="dxa"/>
              <w:left w:w="20" w:type="dxa"/>
              <w:bottom w:w="40" w:type="dxa"/>
              <w:right w:w="20" w:type="dxa"/>
            </w:tcMar>
            <w:vAlign w:val="center"/>
          </w:tcPr>
          <w:p w14:paraId="20AE2B5E" w14:textId="77777777" w:rsidR="00B626E7" w:rsidRDefault="00175C1D">
            <w:pPr>
              <w:textAlignment w:val="center"/>
            </w:pPr>
            <w:r>
              <w:rPr>
                <w:rFonts w:ascii="Arial" w:eastAsia="宋体" w:hAnsi="Arial" w:cs="Arial"/>
                <w:color w:val="0071C5"/>
                <w:sz w:val="18"/>
                <w:szCs w:val="18"/>
              </w:rPr>
              <w:t>3%</w:t>
            </w:r>
          </w:p>
        </w:tc>
        <w:tc>
          <w:tcPr>
            <w:tcW w:w="0" w:type="auto"/>
            <w:gridSpan w:val="3"/>
            <w:shd w:val="clear" w:color="auto" w:fill="auto"/>
            <w:tcMar>
              <w:left w:w="20" w:type="dxa"/>
              <w:right w:w="20" w:type="dxa"/>
            </w:tcMar>
            <w:vAlign w:val="bottom"/>
          </w:tcPr>
          <w:p w14:paraId="20AE2B5F"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center"/>
          </w:tcPr>
          <w:p w14:paraId="20AE2B60" w14:textId="77777777" w:rsidR="00B626E7" w:rsidRDefault="00175C1D">
            <w:pPr>
              <w:jc w:val="right"/>
              <w:textAlignment w:val="center"/>
            </w:pPr>
            <w:r>
              <w:rPr>
                <w:rFonts w:ascii="Arial" w:eastAsia="宋体" w:hAnsi="Arial" w:cs="Arial"/>
                <w:color w:val="0071C5"/>
                <w:sz w:val="18"/>
                <w:szCs w:val="18"/>
              </w:rPr>
              <w:t>61 </w:t>
            </w:r>
          </w:p>
        </w:tc>
        <w:tc>
          <w:tcPr>
            <w:tcW w:w="0" w:type="auto"/>
            <w:shd w:val="clear" w:color="auto" w:fill="auto"/>
            <w:tcMar>
              <w:top w:w="40" w:type="dxa"/>
              <w:bottom w:w="40" w:type="dxa"/>
              <w:right w:w="20" w:type="dxa"/>
            </w:tcMar>
            <w:vAlign w:val="center"/>
          </w:tcPr>
          <w:p w14:paraId="20AE2B61" w14:textId="77777777" w:rsidR="00B626E7" w:rsidRDefault="00175C1D">
            <w:pPr>
              <w:jc w:val="right"/>
              <w:textAlignment w:val="center"/>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2B62"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center"/>
          </w:tcPr>
          <w:p w14:paraId="20AE2B63" w14:textId="77777777" w:rsidR="00B626E7" w:rsidRDefault="00175C1D">
            <w:pPr>
              <w:jc w:val="right"/>
              <w:textAlignment w:val="center"/>
            </w:pPr>
            <w:r>
              <w:rPr>
                <w:rFonts w:ascii="Arial" w:eastAsia="宋体" w:hAnsi="Arial" w:cs="Arial"/>
                <w:color w:val="0071C5"/>
                <w:sz w:val="18"/>
                <w:szCs w:val="18"/>
              </w:rPr>
              <w:t>up</w:t>
            </w:r>
          </w:p>
        </w:tc>
        <w:tc>
          <w:tcPr>
            <w:tcW w:w="0" w:type="auto"/>
            <w:gridSpan w:val="3"/>
            <w:shd w:val="clear" w:color="auto" w:fill="auto"/>
            <w:tcMar>
              <w:top w:w="40" w:type="dxa"/>
              <w:left w:w="20" w:type="dxa"/>
              <w:bottom w:w="40" w:type="dxa"/>
              <w:right w:w="20" w:type="dxa"/>
            </w:tcMar>
            <w:vAlign w:val="center"/>
          </w:tcPr>
          <w:p w14:paraId="20AE2B64" w14:textId="77777777" w:rsidR="00B626E7" w:rsidRDefault="00175C1D">
            <w:pPr>
              <w:textAlignment w:val="center"/>
            </w:pPr>
            <w:r>
              <w:rPr>
                <w:rFonts w:ascii="Arial" w:eastAsia="宋体" w:hAnsi="Arial" w:cs="Arial"/>
                <w:color w:val="0071C5"/>
                <w:sz w:val="18"/>
                <w:szCs w:val="18"/>
              </w:rPr>
              <w:t>3%</w:t>
            </w:r>
          </w:p>
        </w:tc>
        <w:tc>
          <w:tcPr>
            <w:tcW w:w="0" w:type="auto"/>
            <w:gridSpan w:val="3"/>
            <w:shd w:val="clear" w:color="auto" w:fill="auto"/>
            <w:tcMar>
              <w:left w:w="20" w:type="dxa"/>
              <w:right w:w="20" w:type="dxa"/>
            </w:tcMar>
            <w:vAlign w:val="bottom"/>
          </w:tcPr>
          <w:p w14:paraId="20AE2B65"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center"/>
          </w:tcPr>
          <w:p w14:paraId="20AE2B66" w14:textId="77777777" w:rsidR="00B626E7" w:rsidRDefault="00175C1D">
            <w:pPr>
              <w:jc w:val="right"/>
              <w:textAlignment w:val="center"/>
            </w:pPr>
            <w:r>
              <w:rPr>
                <w:rFonts w:ascii="Arial" w:eastAsia="宋体" w:hAnsi="Arial" w:cs="Arial"/>
                <w:color w:val="0071C5"/>
                <w:sz w:val="18"/>
                <w:szCs w:val="18"/>
              </w:rPr>
              <w:t>162 </w:t>
            </w:r>
          </w:p>
        </w:tc>
        <w:tc>
          <w:tcPr>
            <w:tcW w:w="0" w:type="auto"/>
            <w:shd w:val="clear" w:color="auto" w:fill="auto"/>
            <w:tcMar>
              <w:top w:w="40" w:type="dxa"/>
              <w:bottom w:w="40" w:type="dxa"/>
              <w:right w:w="20" w:type="dxa"/>
            </w:tcMar>
            <w:vAlign w:val="center"/>
          </w:tcPr>
          <w:p w14:paraId="20AE2B67" w14:textId="77777777" w:rsidR="00B626E7" w:rsidRDefault="00175C1D">
            <w:pPr>
              <w:jc w:val="right"/>
              <w:textAlignment w:val="center"/>
            </w:pPr>
            <w:r>
              <w:rPr>
                <w:rFonts w:ascii="Arial" w:eastAsia="宋体" w:hAnsi="Arial" w:cs="Arial"/>
                <w:color w:val="0071C5"/>
                <w:sz w:val="18"/>
                <w:szCs w:val="18"/>
              </w:rPr>
              <w:t> </w:t>
            </w:r>
          </w:p>
        </w:tc>
        <w:tc>
          <w:tcPr>
            <w:tcW w:w="0" w:type="auto"/>
            <w:shd w:val="clear" w:color="auto" w:fill="auto"/>
          </w:tcPr>
          <w:p w14:paraId="20AE2B68" w14:textId="77777777" w:rsidR="00B626E7" w:rsidRDefault="00B626E7">
            <w:pPr>
              <w:rPr>
                <w:rFonts w:ascii="宋体"/>
              </w:rPr>
            </w:pPr>
          </w:p>
        </w:tc>
        <w:tc>
          <w:tcPr>
            <w:tcW w:w="0" w:type="auto"/>
            <w:shd w:val="clear" w:color="auto" w:fill="auto"/>
          </w:tcPr>
          <w:p w14:paraId="20AE2B69" w14:textId="77777777" w:rsidR="00B626E7" w:rsidRDefault="00B626E7">
            <w:pPr>
              <w:rPr>
                <w:rFonts w:ascii="宋体"/>
              </w:rPr>
            </w:pPr>
          </w:p>
        </w:tc>
        <w:tc>
          <w:tcPr>
            <w:tcW w:w="0" w:type="auto"/>
            <w:shd w:val="clear" w:color="auto" w:fill="auto"/>
          </w:tcPr>
          <w:p w14:paraId="20AE2B6A" w14:textId="77777777" w:rsidR="00B626E7" w:rsidRDefault="00B626E7">
            <w:pPr>
              <w:rPr>
                <w:rFonts w:ascii="宋体"/>
              </w:rPr>
            </w:pPr>
          </w:p>
        </w:tc>
        <w:tc>
          <w:tcPr>
            <w:tcW w:w="0" w:type="auto"/>
            <w:shd w:val="clear" w:color="auto" w:fill="auto"/>
          </w:tcPr>
          <w:p w14:paraId="20AE2B6B" w14:textId="77777777" w:rsidR="00B626E7" w:rsidRDefault="00B626E7">
            <w:pPr>
              <w:rPr>
                <w:rFonts w:ascii="宋体"/>
              </w:rPr>
            </w:pPr>
          </w:p>
        </w:tc>
        <w:tc>
          <w:tcPr>
            <w:tcW w:w="0" w:type="auto"/>
            <w:shd w:val="clear" w:color="auto" w:fill="auto"/>
          </w:tcPr>
          <w:p w14:paraId="20AE2B6C" w14:textId="77777777" w:rsidR="00B626E7" w:rsidRDefault="00B626E7">
            <w:pPr>
              <w:rPr>
                <w:rFonts w:ascii="宋体"/>
              </w:rPr>
            </w:pPr>
          </w:p>
        </w:tc>
        <w:tc>
          <w:tcPr>
            <w:tcW w:w="0" w:type="auto"/>
            <w:shd w:val="clear" w:color="auto" w:fill="auto"/>
          </w:tcPr>
          <w:p w14:paraId="20AE2B6D" w14:textId="77777777" w:rsidR="00B626E7" w:rsidRDefault="00B626E7">
            <w:pPr>
              <w:rPr>
                <w:rFonts w:ascii="宋体"/>
              </w:rPr>
            </w:pPr>
          </w:p>
        </w:tc>
        <w:tc>
          <w:tcPr>
            <w:tcW w:w="0" w:type="auto"/>
            <w:shd w:val="clear" w:color="auto" w:fill="auto"/>
          </w:tcPr>
          <w:p w14:paraId="20AE2B6E" w14:textId="77777777" w:rsidR="00B626E7" w:rsidRDefault="00B626E7">
            <w:pPr>
              <w:rPr>
                <w:rFonts w:ascii="宋体"/>
              </w:rPr>
            </w:pPr>
          </w:p>
        </w:tc>
        <w:tc>
          <w:tcPr>
            <w:tcW w:w="0" w:type="auto"/>
            <w:shd w:val="clear" w:color="auto" w:fill="auto"/>
          </w:tcPr>
          <w:p w14:paraId="20AE2B6F" w14:textId="77777777" w:rsidR="00B626E7" w:rsidRDefault="00B626E7">
            <w:pPr>
              <w:rPr>
                <w:rFonts w:ascii="宋体"/>
              </w:rPr>
            </w:pPr>
          </w:p>
        </w:tc>
        <w:tc>
          <w:tcPr>
            <w:tcW w:w="0" w:type="auto"/>
            <w:shd w:val="clear" w:color="auto" w:fill="auto"/>
          </w:tcPr>
          <w:p w14:paraId="20AE2B70" w14:textId="77777777" w:rsidR="00B626E7" w:rsidRDefault="00B626E7">
            <w:pPr>
              <w:rPr>
                <w:rFonts w:ascii="宋体"/>
              </w:rPr>
            </w:pPr>
          </w:p>
        </w:tc>
        <w:tc>
          <w:tcPr>
            <w:tcW w:w="0" w:type="auto"/>
            <w:shd w:val="clear" w:color="auto" w:fill="auto"/>
          </w:tcPr>
          <w:p w14:paraId="20AE2B71" w14:textId="77777777" w:rsidR="00B626E7" w:rsidRDefault="00B626E7">
            <w:pPr>
              <w:rPr>
                <w:rFonts w:ascii="宋体"/>
              </w:rPr>
            </w:pPr>
          </w:p>
        </w:tc>
        <w:tc>
          <w:tcPr>
            <w:tcW w:w="0" w:type="auto"/>
            <w:shd w:val="clear" w:color="auto" w:fill="auto"/>
          </w:tcPr>
          <w:p w14:paraId="20AE2B72" w14:textId="77777777" w:rsidR="00B626E7" w:rsidRDefault="00B626E7">
            <w:pPr>
              <w:rPr>
                <w:rFonts w:ascii="宋体"/>
              </w:rPr>
            </w:pPr>
          </w:p>
        </w:tc>
        <w:tc>
          <w:tcPr>
            <w:tcW w:w="0" w:type="auto"/>
            <w:shd w:val="clear" w:color="auto" w:fill="auto"/>
          </w:tcPr>
          <w:p w14:paraId="20AE2B73" w14:textId="77777777" w:rsidR="00B626E7" w:rsidRDefault="00B626E7">
            <w:pPr>
              <w:rPr>
                <w:rFonts w:ascii="宋体"/>
              </w:rPr>
            </w:pPr>
          </w:p>
        </w:tc>
        <w:tc>
          <w:tcPr>
            <w:tcW w:w="0" w:type="auto"/>
            <w:shd w:val="clear" w:color="auto" w:fill="auto"/>
          </w:tcPr>
          <w:p w14:paraId="20AE2B74" w14:textId="77777777" w:rsidR="00B626E7" w:rsidRDefault="00B626E7">
            <w:pPr>
              <w:rPr>
                <w:rFonts w:ascii="宋体"/>
              </w:rPr>
            </w:pPr>
          </w:p>
        </w:tc>
        <w:tc>
          <w:tcPr>
            <w:tcW w:w="0" w:type="auto"/>
            <w:shd w:val="clear" w:color="auto" w:fill="auto"/>
          </w:tcPr>
          <w:p w14:paraId="20AE2B75" w14:textId="77777777" w:rsidR="00B626E7" w:rsidRDefault="00B626E7">
            <w:pPr>
              <w:rPr>
                <w:rFonts w:ascii="宋体"/>
              </w:rPr>
            </w:pPr>
          </w:p>
        </w:tc>
        <w:tc>
          <w:tcPr>
            <w:tcW w:w="0" w:type="auto"/>
            <w:shd w:val="clear" w:color="auto" w:fill="auto"/>
          </w:tcPr>
          <w:p w14:paraId="20AE2B76" w14:textId="77777777" w:rsidR="00B626E7" w:rsidRDefault="00B626E7">
            <w:pPr>
              <w:rPr>
                <w:rFonts w:ascii="宋体"/>
              </w:rPr>
            </w:pPr>
          </w:p>
        </w:tc>
        <w:tc>
          <w:tcPr>
            <w:tcW w:w="0" w:type="auto"/>
            <w:shd w:val="clear" w:color="auto" w:fill="auto"/>
          </w:tcPr>
          <w:p w14:paraId="20AE2B77" w14:textId="77777777" w:rsidR="00B626E7" w:rsidRDefault="00B626E7">
            <w:pPr>
              <w:rPr>
                <w:rFonts w:ascii="宋体"/>
              </w:rPr>
            </w:pPr>
          </w:p>
        </w:tc>
        <w:tc>
          <w:tcPr>
            <w:tcW w:w="0" w:type="auto"/>
            <w:shd w:val="clear" w:color="auto" w:fill="auto"/>
          </w:tcPr>
          <w:p w14:paraId="20AE2B78" w14:textId="77777777" w:rsidR="00B626E7" w:rsidRDefault="00B626E7">
            <w:pPr>
              <w:rPr>
                <w:rFonts w:ascii="宋体"/>
              </w:rPr>
            </w:pPr>
          </w:p>
        </w:tc>
        <w:tc>
          <w:tcPr>
            <w:tcW w:w="0" w:type="auto"/>
            <w:shd w:val="clear" w:color="auto" w:fill="auto"/>
          </w:tcPr>
          <w:p w14:paraId="20AE2B79" w14:textId="77777777" w:rsidR="00B626E7" w:rsidRDefault="00B626E7">
            <w:pPr>
              <w:rPr>
                <w:rFonts w:ascii="宋体"/>
              </w:rPr>
            </w:pPr>
          </w:p>
        </w:tc>
      </w:tr>
      <w:tr w:rsidR="00B626E7" w14:paraId="20AE2B9A" w14:textId="77777777">
        <w:tc>
          <w:tcPr>
            <w:tcW w:w="0" w:type="auto"/>
            <w:gridSpan w:val="3"/>
            <w:shd w:val="clear" w:color="auto" w:fill="auto"/>
            <w:tcMar>
              <w:top w:w="40" w:type="dxa"/>
              <w:left w:w="20" w:type="dxa"/>
              <w:bottom w:w="40" w:type="dxa"/>
              <w:right w:w="20" w:type="dxa"/>
            </w:tcMar>
            <w:vAlign w:val="bottom"/>
          </w:tcPr>
          <w:p w14:paraId="20AE2B7B" w14:textId="77777777" w:rsidR="00B626E7" w:rsidRDefault="00175C1D">
            <w:pPr>
              <w:textAlignment w:val="bottom"/>
            </w:pPr>
            <w:r>
              <w:rPr>
                <w:rFonts w:ascii="Arial" w:eastAsia="宋体" w:hAnsi="Arial" w:cs="Arial"/>
                <w:color w:val="333333"/>
                <w:sz w:val="18"/>
                <w:szCs w:val="18"/>
              </w:rPr>
              <w:t>Notebook platform volume</w:t>
            </w:r>
          </w:p>
        </w:tc>
        <w:tc>
          <w:tcPr>
            <w:tcW w:w="0" w:type="auto"/>
            <w:gridSpan w:val="3"/>
            <w:shd w:val="clear" w:color="auto" w:fill="auto"/>
            <w:tcMar>
              <w:left w:w="20" w:type="dxa"/>
              <w:right w:w="20" w:type="dxa"/>
            </w:tcMar>
            <w:vAlign w:val="bottom"/>
          </w:tcPr>
          <w:p w14:paraId="20AE2B7C"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center"/>
          </w:tcPr>
          <w:p w14:paraId="20AE2B7D" w14:textId="77777777" w:rsidR="00B626E7" w:rsidRDefault="00175C1D">
            <w:pPr>
              <w:jc w:val="right"/>
              <w:textAlignment w:val="center"/>
            </w:pPr>
            <w:r>
              <w:rPr>
                <w:rFonts w:ascii="Arial" w:eastAsia="宋体" w:hAnsi="Arial" w:cs="Arial"/>
                <w:color w:val="0071C5"/>
                <w:sz w:val="18"/>
                <w:szCs w:val="18"/>
              </w:rPr>
              <w:t>up</w:t>
            </w:r>
          </w:p>
        </w:tc>
        <w:tc>
          <w:tcPr>
            <w:tcW w:w="0" w:type="auto"/>
            <w:gridSpan w:val="3"/>
            <w:shd w:val="clear" w:color="auto" w:fill="auto"/>
            <w:tcMar>
              <w:top w:w="40" w:type="dxa"/>
              <w:left w:w="20" w:type="dxa"/>
              <w:bottom w:w="40" w:type="dxa"/>
              <w:right w:w="20" w:type="dxa"/>
            </w:tcMar>
            <w:vAlign w:val="center"/>
          </w:tcPr>
          <w:p w14:paraId="20AE2B7E" w14:textId="77777777" w:rsidR="00B626E7" w:rsidRDefault="00175C1D">
            <w:pPr>
              <w:textAlignment w:val="center"/>
            </w:pPr>
            <w:r>
              <w:rPr>
                <w:rFonts w:ascii="Arial" w:eastAsia="宋体" w:hAnsi="Arial" w:cs="Arial"/>
                <w:color w:val="0071C5"/>
                <w:sz w:val="18"/>
                <w:szCs w:val="18"/>
              </w:rPr>
              <w:t>9%</w:t>
            </w:r>
          </w:p>
        </w:tc>
        <w:tc>
          <w:tcPr>
            <w:tcW w:w="0" w:type="auto"/>
            <w:gridSpan w:val="3"/>
            <w:shd w:val="clear" w:color="auto" w:fill="auto"/>
            <w:tcMar>
              <w:left w:w="20" w:type="dxa"/>
              <w:right w:w="20" w:type="dxa"/>
            </w:tcMar>
            <w:vAlign w:val="bottom"/>
          </w:tcPr>
          <w:p w14:paraId="20AE2B7F"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center"/>
          </w:tcPr>
          <w:p w14:paraId="20AE2B80" w14:textId="77777777" w:rsidR="00B626E7" w:rsidRDefault="00175C1D">
            <w:pPr>
              <w:jc w:val="right"/>
              <w:textAlignment w:val="center"/>
            </w:pPr>
            <w:r>
              <w:rPr>
                <w:rFonts w:ascii="Arial" w:eastAsia="宋体" w:hAnsi="Arial" w:cs="Arial"/>
                <w:color w:val="0071C5"/>
                <w:sz w:val="18"/>
                <w:szCs w:val="18"/>
              </w:rPr>
              <w:t>434 </w:t>
            </w:r>
          </w:p>
        </w:tc>
        <w:tc>
          <w:tcPr>
            <w:tcW w:w="0" w:type="auto"/>
            <w:shd w:val="clear" w:color="auto" w:fill="auto"/>
            <w:tcMar>
              <w:top w:w="40" w:type="dxa"/>
              <w:bottom w:w="40" w:type="dxa"/>
              <w:right w:w="20" w:type="dxa"/>
            </w:tcMar>
            <w:vAlign w:val="center"/>
          </w:tcPr>
          <w:p w14:paraId="20AE2B81" w14:textId="77777777" w:rsidR="00B626E7" w:rsidRDefault="00175C1D">
            <w:pPr>
              <w:jc w:val="right"/>
              <w:textAlignment w:val="center"/>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2B82"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center"/>
          </w:tcPr>
          <w:p w14:paraId="20AE2B83" w14:textId="77777777" w:rsidR="00B626E7" w:rsidRDefault="00175C1D">
            <w:pPr>
              <w:jc w:val="right"/>
              <w:textAlignment w:val="center"/>
            </w:pPr>
            <w:r>
              <w:rPr>
                <w:rFonts w:ascii="Arial" w:eastAsia="宋体" w:hAnsi="Arial" w:cs="Arial"/>
                <w:color w:val="0071C5"/>
                <w:sz w:val="18"/>
                <w:szCs w:val="18"/>
              </w:rPr>
              <w:t>up</w:t>
            </w:r>
          </w:p>
        </w:tc>
        <w:tc>
          <w:tcPr>
            <w:tcW w:w="0" w:type="auto"/>
            <w:gridSpan w:val="3"/>
            <w:shd w:val="clear" w:color="auto" w:fill="auto"/>
            <w:tcMar>
              <w:top w:w="40" w:type="dxa"/>
              <w:left w:w="20" w:type="dxa"/>
              <w:bottom w:w="40" w:type="dxa"/>
              <w:right w:w="20" w:type="dxa"/>
            </w:tcMar>
            <w:vAlign w:val="center"/>
          </w:tcPr>
          <w:p w14:paraId="20AE2B84" w14:textId="77777777" w:rsidR="00B626E7" w:rsidRDefault="00175C1D">
            <w:pPr>
              <w:textAlignment w:val="center"/>
            </w:pPr>
            <w:r>
              <w:rPr>
                <w:rFonts w:ascii="Arial" w:eastAsia="宋体" w:hAnsi="Arial" w:cs="Arial"/>
                <w:color w:val="0071C5"/>
                <w:sz w:val="18"/>
                <w:szCs w:val="18"/>
              </w:rPr>
              <w:t>15%</w:t>
            </w:r>
          </w:p>
        </w:tc>
        <w:tc>
          <w:tcPr>
            <w:tcW w:w="0" w:type="auto"/>
            <w:gridSpan w:val="3"/>
            <w:shd w:val="clear" w:color="auto" w:fill="auto"/>
            <w:tcMar>
              <w:left w:w="20" w:type="dxa"/>
              <w:right w:w="20" w:type="dxa"/>
            </w:tcMar>
            <w:vAlign w:val="bottom"/>
          </w:tcPr>
          <w:p w14:paraId="20AE2B85"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center"/>
          </w:tcPr>
          <w:p w14:paraId="20AE2B86" w14:textId="77777777" w:rsidR="00B626E7" w:rsidRDefault="00175C1D">
            <w:pPr>
              <w:jc w:val="right"/>
              <w:textAlignment w:val="center"/>
            </w:pPr>
            <w:r>
              <w:rPr>
                <w:rFonts w:ascii="Arial" w:eastAsia="宋体" w:hAnsi="Arial" w:cs="Arial"/>
                <w:color w:val="0071C5"/>
                <w:sz w:val="18"/>
                <w:szCs w:val="18"/>
              </w:rPr>
              <w:t>1,501 </w:t>
            </w:r>
          </w:p>
        </w:tc>
        <w:tc>
          <w:tcPr>
            <w:tcW w:w="0" w:type="auto"/>
            <w:shd w:val="clear" w:color="auto" w:fill="auto"/>
            <w:tcMar>
              <w:top w:w="40" w:type="dxa"/>
              <w:bottom w:w="40" w:type="dxa"/>
              <w:right w:w="20" w:type="dxa"/>
            </w:tcMar>
            <w:vAlign w:val="center"/>
          </w:tcPr>
          <w:p w14:paraId="20AE2B87" w14:textId="77777777" w:rsidR="00B626E7" w:rsidRDefault="00175C1D">
            <w:pPr>
              <w:jc w:val="right"/>
              <w:textAlignment w:val="center"/>
            </w:pPr>
            <w:r>
              <w:rPr>
                <w:rFonts w:ascii="Arial" w:eastAsia="宋体" w:hAnsi="Arial" w:cs="Arial"/>
                <w:color w:val="0071C5"/>
                <w:sz w:val="18"/>
                <w:szCs w:val="18"/>
              </w:rPr>
              <w:t> </w:t>
            </w:r>
          </w:p>
        </w:tc>
        <w:tc>
          <w:tcPr>
            <w:tcW w:w="0" w:type="auto"/>
            <w:shd w:val="clear" w:color="auto" w:fill="auto"/>
          </w:tcPr>
          <w:p w14:paraId="20AE2B88" w14:textId="77777777" w:rsidR="00B626E7" w:rsidRDefault="00B626E7">
            <w:pPr>
              <w:rPr>
                <w:rFonts w:ascii="宋体"/>
              </w:rPr>
            </w:pPr>
          </w:p>
        </w:tc>
        <w:tc>
          <w:tcPr>
            <w:tcW w:w="0" w:type="auto"/>
            <w:shd w:val="clear" w:color="auto" w:fill="auto"/>
          </w:tcPr>
          <w:p w14:paraId="20AE2B89" w14:textId="77777777" w:rsidR="00B626E7" w:rsidRDefault="00B626E7">
            <w:pPr>
              <w:rPr>
                <w:rFonts w:ascii="宋体"/>
              </w:rPr>
            </w:pPr>
          </w:p>
        </w:tc>
        <w:tc>
          <w:tcPr>
            <w:tcW w:w="0" w:type="auto"/>
            <w:shd w:val="clear" w:color="auto" w:fill="auto"/>
          </w:tcPr>
          <w:p w14:paraId="20AE2B8A" w14:textId="77777777" w:rsidR="00B626E7" w:rsidRDefault="00B626E7">
            <w:pPr>
              <w:rPr>
                <w:rFonts w:ascii="宋体"/>
              </w:rPr>
            </w:pPr>
          </w:p>
        </w:tc>
        <w:tc>
          <w:tcPr>
            <w:tcW w:w="0" w:type="auto"/>
            <w:shd w:val="clear" w:color="auto" w:fill="auto"/>
          </w:tcPr>
          <w:p w14:paraId="20AE2B8B" w14:textId="77777777" w:rsidR="00B626E7" w:rsidRDefault="00B626E7">
            <w:pPr>
              <w:rPr>
                <w:rFonts w:ascii="宋体"/>
              </w:rPr>
            </w:pPr>
          </w:p>
        </w:tc>
        <w:tc>
          <w:tcPr>
            <w:tcW w:w="0" w:type="auto"/>
            <w:shd w:val="clear" w:color="auto" w:fill="auto"/>
          </w:tcPr>
          <w:p w14:paraId="20AE2B8C" w14:textId="77777777" w:rsidR="00B626E7" w:rsidRDefault="00B626E7">
            <w:pPr>
              <w:rPr>
                <w:rFonts w:ascii="宋体"/>
              </w:rPr>
            </w:pPr>
          </w:p>
        </w:tc>
        <w:tc>
          <w:tcPr>
            <w:tcW w:w="0" w:type="auto"/>
            <w:shd w:val="clear" w:color="auto" w:fill="auto"/>
          </w:tcPr>
          <w:p w14:paraId="20AE2B8D" w14:textId="77777777" w:rsidR="00B626E7" w:rsidRDefault="00B626E7">
            <w:pPr>
              <w:rPr>
                <w:rFonts w:ascii="宋体"/>
              </w:rPr>
            </w:pPr>
          </w:p>
        </w:tc>
        <w:tc>
          <w:tcPr>
            <w:tcW w:w="0" w:type="auto"/>
            <w:shd w:val="clear" w:color="auto" w:fill="auto"/>
          </w:tcPr>
          <w:p w14:paraId="20AE2B8E" w14:textId="77777777" w:rsidR="00B626E7" w:rsidRDefault="00B626E7">
            <w:pPr>
              <w:rPr>
                <w:rFonts w:ascii="宋体"/>
              </w:rPr>
            </w:pPr>
          </w:p>
        </w:tc>
        <w:tc>
          <w:tcPr>
            <w:tcW w:w="0" w:type="auto"/>
            <w:shd w:val="clear" w:color="auto" w:fill="auto"/>
          </w:tcPr>
          <w:p w14:paraId="20AE2B8F" w14:textId="77777777" w:rsidR="00B626E7" w:rsidRDefault="00B626E7">
            <w:pPr>
              <w:rPr>
                <w:rFonts w:ascii="宋体"/>
              </w:rPr>
            </w:pPr>
          </w:p>
        </w:tc>
        <w:tc>
          <w:tcPr>
            <w:tcW w:w="0" w:type="auto"/>
            <w:shd w:val="clear" w:color="auto" w:fill="auto"/>
          </w:tcPr>
          <w:p w14:paraId="20AE2B90" w14:textId="77777777" w:rsidR="00B626E7" w:rsidRDefault="00B626E7">
            <w:pPr>
              <w:rPr>
                <w:rFonts w:ascii="宋体"/>
              </w:rPr>
            </w:pPr>
          </w:p>
        </w:tc>
        <w:tc>
          <w:tcPr>
            <w:tcW w:w="0" w:type="auto"/>
            <w:shd w:val="clear" w:color="auto" w:fill="auto"/>
          </w:tcPr>
          <w:p w14:paraId="20AE2B91" w14:textId="77777777" w:rsidR="00B626E7" w:rsidRDefault="00B626E7">
            <w:pPr>
              <w:rPr>
                <w:rFonts w:ascii="宋体"/>
              </w:rPr>
            </w:pPr>
          </w:p>
        </w:tc>
        <w:tc>
          <w:tcPr>
            <w:tcW w:w="0" w:type="auto"/>
            <w:shd w:val="clear" w:color="auto" w:fill="auto"/>
          </w:tcPr>
          <w:p w14:paraId="20AE2B92" w14:textId="77777777" w:rsidR="00B626E7" w:rsidRDefault="00B626E7">
            <w:pPr>
              <w:rPr>
                <w:rFonts w:ascii="宋体"/>
              </w:rPr>
            </w:pPr>
          </w:p>
        </w:tc>
        <w:tc>
          <w:tcPr>
            <w:tcW w:w="0" w:type="auto"/>
            <w:shd w:val="clear" w:color="auto" w:fill="auto"/>
          </w:tcPr>
          <w:p w14:paraId="20AE2B93" w14:textId="77777777" w:rsidR="00B626E7" w:rsidRDefault="00B626E7">
            <w:pPr>
              <w:rPr>
                <w:rFonts w:ascii="宋体"/>
              </w:rPr>
            </w:pPr>
          </w:p>
        </w:tc>
        <w:tc>
          <w:tcPr>
            <w:tcW w:w="0" w:type="auto"/>
            <w:shd w:val="clear" w:color="auto" w:fill="auto"/>
          </w:tcPr>
          <w:p w14:paraId="20AE2B94" w14:textId="77777777" w:rsidR="00B626E7" w:rsidRDefault="00B626E7">
            <w:pPr>
              <w:rPr>
                <w:rFonts w:ascii="宋体"/>
              </w:rPr>
            </w:pPr>
          </w:p>
        </w:tc>
        <w:tc>
          <w:tcPr>
            <w:tcW w:w="0" w:type="auto"/>
            <w:shd w:val="clear" w:color="auto" w:fill="auto"/>
          </w:tcPr>
          <w:p w14:paraId="20AE2B95" w14:textId="77777777" w:rsidR="00B626E7" w:rsidRDefault="00B626E7">
            <w:pPr>
              <w:rPr>
                <w:rFonts w:ascii="宋体"/>
              </w:rPr>
            </w:pPr>
          </w:p>
        </w:tc>
        <w:tc>
          <w:tcPr>
            <w:tcW w:w="0" w:type="auto"/>
            <w:shd w:val="clear" w:color="auto" w:fill="auto"/>
          </w:tcPr>
          <w:p w14:paraId="20AE2B96" w14:textId="77777777" w:rsidR="00B626E7" w:rsidRDefault="00B626E7">
            <w:pPr>
              <w:rPr>
                <w:rFonts w:ascii="宋体"/>
              </w:rPr>
            </w:pPr>
          </w:p>
        </w:tc>
        <w:tc>
          <w:tcPr>
            <w:tcW w:w="0" w:type="auto"/>
            <w:shd w:val="clear" w:color="auto" w:fill="auto"/>
          </w:tcPr>
          <w:p w14:paraId="20AE2B97" w14:textId="77777777" w:rsidR="00B626E7" w:rsidRDefault="00B626E7">
            <w:pPr>
              <w:rPr>
                <w:rFonts w:ascii="宋体"/>
              </w:rPr>
            </w:pPr>
          </w:p>
        </w:tc>
        <w:tc>
          <w:tcPr>
            <w:tcW w:w="0" w:type="auto"/>
            <w:shd w:val="clear" w:color="auto" w:fill="auto"/>
          </w:tcPr>
          <w:p w14:paraId="20AE2B98" w14:textId="77777777" w:rsidR="00B626E7" w:rsidRDefault="00B626E7">
            <w:pPr>
              <w:rPr>
                <w:rFonts w:ascii="宋体"/>
              </w:rPr>
            </w:pPr>
          </w:p>
        </w:tc>
        <w:tc>
          <w:tcPr>
            <w:tcW w:w="0" w:type="auto"/>
            <w:shd w:val="clear" w:color="auto" w:fill="auto"/>
          </w:tcPr>
          <w:p w14:paraId="20AE2B99" w14:textId="77777777" w:rsidR="00B626E7" w:rsidRDefault="00B626E7">
            <w:pPr>
              <w:rPr>
                <w:rFonts w:ascii="宋体"/>
              </w:rPr>
            </w:pPr>
          </w:p>
        </w:tc>
      </w:tr>
      <w:tr w:rsidR="00B626E7" w14:paraId="20AE2BBA" w14:textId="77777777">
        <w:tc>
          <w:tcPr>
            <w:tcW w:w="0" w:type="auto"/>
            <w:gridSpan w:val="3"/>
            <w:shd w:val="clear" w:color="auto" w:fill="auto"/>
            <w:tcMar>
              <w:top w:w="40" w:type="dxa"/>
              <w:left w:w="20" w:type="dxa"/>
              <w:bottom w:w="40" w:type="dxa"/>
              <w:right w:w="20" w:type="dxa"/>
            </w:tcMar>
            <w:vAlign w:val="bottom"/>
          </w:tcPr>
          <w:p w14:paraId="20AE2B9B" w14:textId="77777777" w:rsidR="00B626E7" w:rsidRDefault="00175C1D">
            <w:pPr>
              <w:textAlignment w:val="bottom"/>
            </w:pPr>
            <w:r>
              <w:rPr>
                <w:rFonts w:ascii="Arial" w:eastAsia="宋体" w:hAnsi="Arial" w:cs="Arial"/>
                <w:color w:val="333333"/>
                <w:sz w:val="18"/>
                <w:szCs w:val="18"/>
              </w:rPr>
              <w:t>Notebook platform ASP</w:t>
            </w:r>
          </w:p>
        </w:tc>
        <w:tc>
          <w:tcPr>
            <w:tcW w:w="0" w:type="auto"/>
            <w:gridSpan w:val="3"/>
            <w:shd w:val="clear" w:color="auto" w:fill="auto"/>
            <w:tcMar>
              <w:left w:w="20" w:type="dxa"/>
              <w:right w:w="20" w:type="dxa"/>
            </w:tcMar>
            <w:vAlign w:val="bottom"/>
          </w:tcPr>
          <w:p w14:paraId="20AE2B9C"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center"/>
          </w:tcPr>
          <w:p w14:paraId="20AE2B9D" w14:textId="77777777" w:rsidR="00B626E7" w:rsidRDefault="00175C1D">
            <w:pPr>
              <w:jc w:val="right"/>
              <w:textAlignment w:val="center"/>
            </w:pPr>
            <w:r>
              <w:rPr>
                <w:rFonts w:ascii="Arial" w:eastAsia="宋体" w:hAnsi="Arial" w:cs="Arial"/>
                <w:color w:val="0071C5"/>
                <w:sz w:val="18"/>
                <w:szCs w:val="18"/>
              </w:rPr>
              <w:t>up</w:t>
            </w:r>
          </w:p>
        </w:tc>
        <w:tc>
          <w:tcPr>
            <w:tcW w:w="0" w:type="auto"/>
            <w:gridSpan w:val="3"/>
            <w:shd w:val="clear" w:color="auto" w:fill="auto"/>
            <w:tcMar>
              <w:top w:w="40" w:type="dxa"/>
              <w:left w:w="20" w:type="dxa"/>
              <w:bottom w:w="40" w:type="dxa"/>
              <w:right w:w="20" w:type="dxa"/>
            </w:tcMar>
            <w:vAlign w:val="center"/>
          </w:tcPr>
          <w:p w14:paraId="20AE2B9E" w14:textId="77777777" w:rsidR="00B626E7" w:rsidRDefault="00175C1D">
            <w:pPr>
              <w:textAlignment w:val="center"/>
            </w:pPr>
            <w:r>
              <w:rPr>
                <w:rFonts w:ascii="Arial" w:eastAsia="宋体" w:hAnsi="Arial" w:cs="Arial"/>
                <w:color w:val="0071C5"/>
                <w:sz w:val="18"/>
                <w:szCs w:val="18"/>
              </w:rPr>
              <w:t>5%</w:t>
            </w:r>
          </w:p>
        </w:tc>
        <w:tc>
          <w:tcPr>
            <w:tcW w:w="0" w:type="auto"/>
            <w:gridSpan w:val="3"/>
            <w:shd w:val="clear" w:color="auto" w:fill="auto"/>
            <w:tcMar>
              <w:left w:w="20" w:type="dxa"/>
              <w:right w:w="20" w:type="dxa"/>
            </w:tcMar>
            <w:vAlign w:val="bottom"/>
          </w:tcPr>
          <w:p w14:paraId="20AE2B9F"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center"/>
          </w:tcPr>
          <w:p w14:paraId="20AE2BA0" w14:textId="77777777" w:rsidR="00B626E7" w:rsidRDefault="00175C1D">
            <w:pPr>
              <w:jc w:val="right"/>
              <w:textAlignment w:val="center"/>
            </w:pPr>
            <w:r>
              <w:rPr>
                <w:rFonts w:ascii="Arial" w:eastAsia="宋体" w:hAnsi="Arial" w:cs="Arial"/>
                <w:color w:val="0071C5"/>
                <w:sz w:val="18"/>
                <w:szCs w:val="18"/>
              </w:rPr>
              <w:t>274 </w:t>
            </w:r>
          </w:p>
        </w:tc>
        <w:tc>
          <w:tcPr>
            <w:tcW w:w="0" w:type="auto"/>
            <w:shd w:val="clear" w:color="auto" w:fill="auto"/>
            <w:tcMar>
              <w:top w:w="40" w:type="dxa"/>
              <w:bottom w:w="40" w:type="dxa"/>
              <w:right w:w="20" w:type="dxa"/>
            </w:tcMar>
            <w:vAlign w:val="center"/>
          </w:tcPr>
          <w:p w14:paraId="20AE2BA1" w14:textId="77777777" w:rsidR="00B626E7" w:rsidRDefault="00175C1D">
            <w:pPr>
              <w:jc w:val="right"/>
              <w:textAlignment w:val="center"/>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2BA2"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center"/>
          </w:tcPr>
          <w:p w14:paraId="20AE2BA3" w14:textId="77777777" w:rsidR="00B626E7" w:rsidRDefault="00175C1D">
            <w:pPr>
              <w:jc w:val="right"/>
              <w:textAlignment w:val="center"/>
            </w:pPr>
            <w:r>
              <w:rPr>
                <w:rFonts w:ascii="Arial" w:eastAsia="宋体" w:hAnsi="Arial" w:cs="Arial"/>
                <w:color w:val="0071C5"/>
                <w:sz w:val="18"/>
                <w:szCs w:val="18"/>
              </w:rPr>
              <w:t>up</w:t>
            </w:r>
          </w:p>
        </w:tc>
        <w:tc>
          <w:tcPr>
            <w:tcW w:w="0" w:type="auto"/>
            <w:gridSpan w:val="3"/>
            <w:shd w:val="clear" w:color="auto" w:fill="auto"/>
            <w:tcMar>
              <w:top w:w="40" w:type="dxa"/>
              <w:left w:w="20" w:type="dxa"/>
              <w:bottom w:w="40" w:type="dxa"/>
              <w:right w:w="20" w:type="dxa"/>
            </w:tcMar>
            <w:vAlign w:val="center"/>
          </w:tcPr>
          <w:p w14:paraId="20AE2BA4" w14:textId="77777777" w:rsidR="00B626E7" w:rsidRDefault="00175C1D">
            <w:pPr>
              <w:textAlignment w:val="center"/>
            </w:pPr>
            <w:r>
              <w:rPr>
                <w:rFonts w:ascii="Arial" w:eastAsia="宋体" w:hAnsi="Arial" w:cs="Arial"/>
                <w:color w:val="0071C5"/>
                <w:sz w:val="18"/>
                <w:szCs w:val="18"/>
              </w:rPr>
              <w:t>1%</w:t>
            </w:r>
          </w:p>
        </w:tc>
        <w:tc>
          <w:tcPr>
            <w:tcW w:w="0" w:type="auto"/>
            <w:gridSpan w:val="3"/>
            <w:shd w:val="clear" w:color="auto" w:fill="auto"/>
            <w:tcMar>
              <w:left w:w="20" w:type="dxa"/>
              <w:right w:w="20" w:type="dxa"/>
            </w:tcMar>
            <w:vAlign w:val="bottom"/>
          </w:tcPr>
          <w:p w14:paraId="20AE2BA5"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center"/>
          </w:tcPr>
          <w:p w14:paraId="20AE2BA6" w14:textId="77777777" w:rsidR="00B626E7" w:rsidRDefault="00175C1D">
            <w:pPr>
              <w:jc w:val="right"/>
              <w:textAlignment w:val="center"/>
            </w:pPr>
            <w:r>
              <w:rPr>
                <w:rFonts w:ascii="Arial" w:eastAsia="宋体" w:hAnsi="Arial" w:cs="Arial"/>
                <w:color w:val="0071C5"/>
                <w:sz w:val="18"/>
                <w:szCs w:val="18"/>
              </w:rPr>
              <w:t>138 </w:t>
            </w:r>
          </w:p>
        </w:tc>
        <w:tc>
          <w:tcPr>
            <w:tcW w:w="0" w:type="auto"/>
            <w:shd w:val="clear" w:color="auto" w:fill="auto"/>
            <w:tcMar>
              <w:top w:w="40" w:type="dxa"/>
              <w:bottom w:w="40" w:type="dxa"/>
              <w:right w:w="20" w:type="dxa"/>
            </w:tcMar>
            <w:vAlign w:val="center"/>
          </w:tcPr>
          <w:p w14:paraId="20AE2BA7" w14:textId="77777777" w:rsidR="00B626E7" w:rsidRDefault="00175C1D">
            <w:pPr>
              <w:jc w:val="right"/>
              <w:textAlignment w:val="center"/>
            </w:pPr>
            <w:r>
              <w:rPr>
                <w:rFonts w:ascii="Arial" w:eastAsia="宋体" w:hAnsi="Arial" w:cs="Arial"/>
                <w:color w:val="0071C5"/>
                <w:sz w:val="18"/>
                <w:szCs w:val="18"/>
              </w:rPr>
              <w:t> </w:t>
            </w:r>
          </w:p>
        </w:tc>
        <w:tc>
          <w:tcPr>
            <w:tcW w:w="0" w:type="auto"/>
            <w:shd w:val="clear" w:color="auto" w:fill="auto"/>
          </w:tcPr>
          <w:p w14:paraId="20AE2BA8" w14:textId="77777777" w:rsidR="00B626E7" w:rsidRDefault="00B626E7">
            <w:pPr>
              <w:rPr>
                <w:rFonts w:ascii="宋体"/>
              </w:rPr>
            </w:pPr>
          </w:p>
        </w:tc>
        <w:tc>
          <w:tcPr>
            <w:tcW w:w="0" w:type="auto"/>
            <w:shd w:val="clear" w:color="auto" w:fill="auto"/>
          </w:tcPr>
          <w:p w14:paraId="20AE2BA9" w14:textId="77777777" w:rsidR="00B626E7" w:rsidRDefault="00B626E7">
            <w:pPr>
              <w:rPr>
                <w:rFonts w:ascii="宋体"/>
              </w:rPr>
            </w:pPr>
          </w:p>
        </w:tc>
        <w:tc>
          <w:tcPr>
            <w:tcW w:w="0" w:type="auto"/>
            <w:shd w:val="clear" w:color="auto" w:fill="auto"/>
          </w:tcPr>
          <w:p w14:paraId="20AE2BAA" w14:textId="77777777" w:rsidR="00B626E7" w:rsidRDefault="00B626E7">
            <w:pPr>
              <w:rPr>
                <w:rFonts w:ascii="宋体"/>
              </w:rPr>
            </w:pPr>
          </w:p>
        </w:tc>
        <w:tc>
          <w:tcPr>
            <w:tcW w:w="0" w:type="auto"/>
            <w:shd w:val="clear" w:color="auto" w:fill="auto"/>
          </w:tcPr>
          <w:p w14:paraId="20AE2BAB" w14:textId="77777777" w:rsidR="00B626E7" w:rsidRDefault="00B626E7">
            <w:pPr>
              <w:rPr>
                <w:rFonts w:ascii="宋体"/>
              </w:rPr>
            </w:pPr>
          </w:p>
        </w:tc>
        <w:tc>
          <w:tcPr>
            <w:tcW w:w="0" w:type="auto"/>
            <w:shd w:val="clear" w:color="auto" w:fill="auto"/>
          </w:tcPr>
          <w:p w14:paraId="20AE2BAC" w14:textId="77777777" w:rsidR="00B626E7" w:rsidRDefault="00B626E7">
            <w:pPr>
              <w:rPr>
                <w:rFonts w:ascii="宋体"/>
              </w:rPr>
            </w:pPr>
          </w:p>
        </w:tc>
        <w:tc>
          <w:tcPr>
            <w:tcW w:w="0" w:type="auto"/>
            <w:shd w:val="clear" w:color="auto" w:fill="auto"/>
          </w:tcPr>
          <w:p w14:paraId="20AE2BAD" w14:textId="77777777" w:rsidR="00B626E7" w:rsidRDefault="00B626E7">
            <w:pPr>
              <w:rPr>
                <w:rFonts w:ascii="宋体"/>
              </w:rPr>
            </w:pPr>
          </w:p>
        </w:tc>
        <w:tc>
          <w:tcPr>
            <w:tcW w:w="0" w:type="auto"/>
            <w:shd w:val="clear" w:color="auto" w:fill="auto"/>
          </w:tcPr>
          <w:p w14:paraId="20AE2BAE" w14:textId="77777777" w:rsidR="00B626E7" w:rsidRDefault="00B626E7">
            <w:pPr>
              <w:rPr>
                <w:rFonts w:ascii="宋体"/>
              </w:rPr>
            </w:pPr>
          </w:p>
        </w:tc>
        <w:tc>
          <w:tcPr>
            <w:tcW w:w="0" w:type="auto"/>
            <w:shd w:val="clear" w:color="auto" w:fill="auto"/>
          </w:tcPr>
          <w:p w14:paraId="20AE2BAF" w14:textId="77777777" w:rsidR="00B626E7" w:rsidRDefault="00B626E7">
            <w:pPr>
              <w:rPr>
                <w:rFonts w:ascii="宋体"/>
              </w:rPr>
            </w:pPr>
          </w:p>
        </w:tc>
        <w:tc>
          <w:tcPr>
            <w:tcW w:w="0" w:type="auto"/>
            <w:shd w:val="clear" w:color="auto" w:fill="auto"/>
          </w:tcPr>
          <w:p w14:paraId="20AE2BB0" w14:textId="77777777" w:rsidR="00B626E7" w:rsidRDefault="00B626E7">
            <w:pPr>
              <w:rPr>
                <w:rFonts w:ascii="宋体"/>
              </w:rPr>
            </w:pPr>
          </w:p>
        </w:tc>
        <w:tc>
          <w:tcPr>
            <w:tcW w:w="0" w:type="auto"/>
            <w:shd w:val="clear" w:color="auto" w:fill="auto"/>
          </w:tcPr>
          <w:p w14:paraId="20AE2BB1" w14:textId="77777777" w:rsidR="00B626E7" w:rsidRDefault="00B626E7">
            <w:pPr>
              <w:rPr>
                <w:rFonts w:ascii="宋体"/>
              </w:rPr>
            </w:pPr>
          </w:p>
        </w:tc>
        <w:tc>
          <w:tcPr>
            <w:tcW w:w="0" w:type="auto"/>
            <w:shd w:val="clear" w:color="auto" w:fill="auto"/>
          </w:tcPr>
          <w:p w14:paraId="20AE2BB2" w14:textId="77777777" w:rsidR="00B626E7" w:rsidRDefault="00B626E7">
            <w:pPr>
              <w:rPr>
                <w:rFonts w:ascii="宋体"/>
              </w:rPr>
            </w:pPr>
          </w:p>
        </w:tc>
        <w:tc>
          <w:tcPr>
            <w:tcW w:w="0" w:type="auto"/>
            <w:shd w:val="clear" w:color="auto" w:fill="auto"/>
          </w:tcPr>
          <w:p w14:paraId="20AE2BB3" w14:textId="77777777" w:rsidR="00B626E7" w:rsidRDefault="00B626E7">
            <w:pPr>
              <w:rPr>
                <w:rFonts w:ascii="宋体"/>
              </w:rPr>
            </w:pPr>
          </w:p>
        </w:tc>
        <w:tc>
          <w:tcPr>
            <w:tcW w:w="0" w:type="auto"/>
            <w:shd w:val="clear" w:color="auto" w:fill="auto"/>
          </w:tcPr>
          <w:p w14:paraId="20AE2BB4" w14:textId="77777777" w:rsidR="00B626E7" w:rsidRDefault="00B626E7">
            <w:pPr>
              <w:rPr>
                <w:rFonts w:ascii="宋体"/>
              </w:rPr>
            </w:pPr>
          </w:p>
        </w:tc>
        <w:tc>
          <w:tcPr>
            <w:tcW w:w="0" w:type="auto"/>
            <w:shd w:val="clear" w:color="auto" w:fill="auto"/>
          </w:tcPr>
          <w:p w14:paraId="20AE2BB5" w14:textId="77777777" w:rsidR="00B626E7" w:rsidRDefault="00B626E7">
            <w:pPr>
              <w:rPr>
                <w:rFonts w:ascii="宋体"/>
              </w:rPr>
            </w:pPr>
          </w:p>
        </w:tc>
        <w:tc>
          <w:tcPr>
            <w:tcW w:w="0" w:type="auto"/>
            <w:shd w:val="clear" w:color="auto" w:fill="auto"/>
          </w:tcPr>
          <w:p w14:paraId="20AE2BB6" w14:textId="77777777" w:rsidR="00B626E7" w:rsidRDefault="00B626E7">
            <w:pPr>
              <w:rPr>
                <w:rFonts w:ascii="宋体"/>
              </w:rPr>
            </w:pPr>
          </w:p>
        </w:tc>
        <w:tc>
          <w:tcPr>
            <w:tcW w:w="0" w:type="auto"/>
            <w:shd w:val="clear" w:color="auto" w:fill="auto"/>
          </w:tcPr>
          <w:p w14:paraId="20AE2BB7" w14:textId="77777777" w:rsidR="00B626E7" w:rsidRDefault="00B626E7">
            <w:pPr>
              <w:rPr>
                <w:rFonts w:ascii="宋体"/>
              </w:rPr>
            </w:pPr>
          </w:p>
        </w:tc>
        <w:tc>
          <w:tcPr>
            <w:tcW w:w="0" w:type="auto"/>
            <w:shd w:val="clear" w:color="auto" w:fill="auto"/>
          </w:tcPr>
          <w:p w14:paraId="20AE2BB8" w14:textId="77777777" w:rsidR="00B626E7" w:rsidRDefault="00B626E7">
            <w:pPr>
              <w:rPr>
                <w:rFonts w:ascii="宋体"/>
              </w:rPr>
            </w:pPr>
          </w:p>
        </w:tc>
        <w:tc>
          <w:tcPr>
            <w:tcW w:w="0" w:type="auto"/>
            <w:shd w:val="clear" w:color="auto" w:fill="auto"/>
          </w:tcPr>
          <w:p w14:paraId="20AE2BB9" w14:textId="77777777" w:rsidR="00B626E7" w:rsidRDefault="00B626E7">
            <w:pPr>
              <w:rPr>
                <w:rFonts w:ascii="宋体"/>
              </w:rPr>
            </w:pPr>
          </w:p>
        </w:tc>
      </w:tr>
      <w:tr w:rsidR="00B626E7" w14:paraId="20AE2BDA" w14:textId="77777777">
        <w:tc>
          <w:tcPr>
            <w:tcW w:w="0" w:type="auto"/>
            <w:gridSpan w:val="3"/>
            <w:shd w:val="clear" w:color="auto" w:fill="auto"/>
            <w:tcMar>
              <w:top w:w="40" w:type="dxa"/>
              <w:left w:w="20" w:type="dxa"/>
              <w:bottom w:w="40" w:type="dxa"/>
              <w:right w:w="20" w:type="dxa"/>
            </w:tcMar>
            <w:vAlign w:val="bottom"/>
          </w:tcPr>
          <w:p w14:paraId="20AE2BBB" w14:textId="77777777" w:rsidR="00B626E7" w:rsidRDefault="00175C1D">
            <w:pPr>
              <w:textAlignment w:val="bottom"/>
            </w:pPr>
            <w:r>
              <w:rPr>
                <w:rFonts w:ascii="Arial" w:eastAsia="宋体" w:hAnsi="Arial" w:cs="Arial"/>
                <w:color w:val="333333"/>
                <w:sz w:val="18"/>
                <w:szCs w:val="18"/>
              </w:rPr>
              <w:t>Adjacent products and other</w:t>
            </w:r>
          </w:p>
        </w:tc>
        <w:tc>
          <w:tcPr>
            <w:tcW w:w="0" w:type="auto"/>
            <w:gridSpan w:val="3"/>
            <w:shd w:val="clear" w:color="auto" w:fill="auto"/>
            <w:tcMar>
              <w:left w:w="20" w:type="dxa"/>
              <w:right w:w="20" w:type="dxa"/>
            </w:tcMar>
            <w:vAlign w:val="bottom"/>
          </w:tcPr>
          <w:p w14:paraId="20AE2BBC"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BBD"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BBE"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BBF"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center"/>
          </w:tcPr>
          <w:p w14:paraId="20AE2BC0" w14:textId="77777777" w:rsidR="00B626E7" w:rsidRDefault="00175C1D">
            <w:pPr>
              <w:jc w:val="right"/>
              <w:textAlignment w:val="center"/>
            </w:pPr>
            <w:r>
              <w:rPr>
                <w:rFonts w:ascii="Arial" w:eastAsia="宋体" w:hAnsi="Arial" w:cs="Arial"/>
                <w:color w:val="0071C5"/>
                <w:sz w:val="18"/>
                <w:szCs w:val="18"/>
              </w:rPr>
              <w:t>346 </w:t>
            </w:r>
          </w:p>
        </w:tc>
        <w:tc>
          <w:tcPr>
            <w:tcW w:w="0" w:type="auto"/>
            <w:shd w:val="clear" w:color="auto" w:fill="auto"/>
            <w:tcMar>
              <w:top w:w="40" w:type="dxa"/>
              <w:bottom w:w="40" w:type="dxa"/>
              <w:right w:w="20" w:type="dxa"/>
            </w:tcMar>
            <w:vAlign w:val="center"/>
          </w:tcPr>
          <w:p w14:paraId="20AE2BC1" w14:textId="77777777" w:rsidR="00B626E7" w:rsidRDefault="00175C1D">
            <w:pPr>
              <w:jc w:val="right"/>
              <w:textAlignment w:val="center"/>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2BC2"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BC3"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BC4"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BC5"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center"/>
          </w:tcPr>
          <w:p w14:paraId="20AE2BC6" w14:textId="77777777" w:rsidR="00B626E7" w:rsidRDefault="00175C1D">
            <w:pPr>
              <w:jc w:val="right"/>
              <w:textAlignment w:val="center"/>
            </w:pPr>
            <w:r>
              <w:rPr>
                <w:rFonts w:ascii="Arial" w:eastAsia="宋体" w:hAnsi="Arial" w:cs="Arial"/>
                <w:color w:val="0071C5"/>
                <w:sz w:val="18"/>
                <w:szCs w:val="18"/>
              </w:rPr>
              <w:t>650 </w:t>
            </w:r>
          </w:p>
        </w:tc>
        <w:tc>
          <w:tcPr>
            <w:tcW w:w="0" w:type="auto"/>
            <w:shd w:val="clear" w:color="auto" w:fill="auto"/>
            <w:tcMar>
              <w:top w:w="40" w:type="dxa"/>
              <w:bottom w:w="40" w:type="dxa"/>
              <w:right w:w="20" w:type="dxa"/>
            </w:tcMar>
            <w:vAlign w:val="center"/>
          </w:tcPr>
          <w:p w14:paraId="20AE2BC7" w14:textId="77777777" w:rsidR="00B626E7" w:rsidRDefault="00175C1D">
            <w:pPr>
              <w:jc w:val="right"/>
              <w:textAlignment w:val="center"/>
            </w:pPr>
            <w:r>
              <w:rPr>
                <w:rFonts w:ascii="Arial" w:eastAsia="宋体" w:hAnsi="Arial" w:cs="Arial"/>
                <w:color w:val="0071C5"/>
                <w:sz w:val="18"/>
                <w:szCs w:val="18"/>
              </w:rPr>
              <w:t> </w:t>
            </w:r>
          </w:p>
        </w:tc>
        <w:tc>
          <w:tcPr>
            <w:tcW w:w="0" w:type="auto"/>
            <w:shd w:val="clear" w:color="auto" w:fill="auto"/>
          </w:tcPr>
          <w:p w14:paraId="20AE2BC8" w14:textId="77777777" w:rsidR="00B626E7" w:rsidRDefault="00B626E7">
            <w:pPr>
              <w:rPr>
                <w:rFonts w:ascii="宋体"/>
              </w:rPr>
            </w:pPr>
          </w:p>
        </w:tc>
        <w:tc>
          <w:tcPr>
            <w:tcW w:w="0" w:type="auto"/>
            <w:shd w:val="clear" w:color="auto" w:fill="auto"/>
          </w:tcPr>
          <w:p w14:paraId="20AE2BC9" w14:textId="77777777" w:rsidR="00B626E7" w:rsidRDefault="00B626E7">
            <w:pPr>
              <w:rPr>
                <w:rFonts w:ascii="宋体"/>
              </w:rPr>
            </w:pPr>
          </w:p>
        </w:tc>
        <w:tc>
          <w:tcPr>
            <w:tcW w:w="0" w:type="auto"/>
            <w:shd w:val="clear" w:color="auto" w:fill="auto"/>
          </w:tcPr>
          <w:p w14:paraId="20AE2BCA" w14:textId="77777777" w:rsidR="00B626E7" w:rsidRDefault="00B626E7">
            <w:pPr>
              <w:rPr>
                <w:rFonts w:ascii="宋体"/>
              </w:rPr>
            </w:pPr>
          </w:p>
        </w:tc>
        <w:tc>
          <w:tcPr>
            <w:tcW w:w="0" w:type="auto"/>
            <w:shd w:val="clear" w:color="auto" w:fill="auto"/>
          </w:tcPr>
          <w:p w14:paraId="20AE2BCB" w14:textId="77777777" w:rsidR="00B626E7" w:rsidRDefault="00B626E7">
            <w:pPr>
              <w:rPr>
                <w:rFonts w:ascii="宋体"/>
              </w:rPr>
            </w:pPr>
          </w:p>
        </w:tc>
        <w:tc>
          <w:tcPr>
            <w:tcW w:w="0" w:type="auto"/>
            <w:shd w:val="clear" w:color="auto" w:fill="auto"/>
          </w:tcPr>
          <w:p w14:paraId="20AE2BCC" w14:textId="77777777" w:rsidR="00B626E7" w:rsidRDefault="00B626E7">
            <w:pPr>
              <w:rPr>
                <w:rFonts w:ascii="宋体"/>
              </w:rPr>
            </w:pPr>
          </w:p>
        </w:tc>
        <w:tc>
          <w:tcPr>
            <w:tcW w:w="0" w:type="auto"/>
            <w:shd w:val="clear" w:color="auto" w:fill="auto"/>
          </w:tcPr>
          <w:p w14:paraId="20AE2BCD" w14:textId="77777777" w:rsidR="00B626E7" w:rsidRDefault="00B626E7">
            <w:pPr>
              <w:rPr>
                <w:rFonts w:ascii="宋体"/>
              </w:rPr>
            </w:pPr>
          </w:p>
        </w:tc>
        <w:tc>
          <w:tcPr>
            <w:tcW w:w="0" w:type="auto"/>
            <w:shd w:val="clear" w:color="auto" w:fill="auto"/>
          </w:tcPr>
          <w:p w14:paraId="20AE2BCE" w14:textId="77777777" w:rsidR="00B626E7" w:rsidRDefault="00B626E7">
            <w:pPr>
              <w:rPr>
                <w:rFonts w:ascii="宋体"/>
              </w:rPr>
            </w:pPr>
          </w:p>
        </w:tc>
        <w:tc>
          <w:tcPr>
            <w:tcW w:w="0" w:type="auto"/>
            <w:shd w:val="clear" w:color="auto" w:fill="auto"/>
          </w:tcPr>
          <w:p w14:paraId="20AE2BCF" w14:textId="77777777" w:rsidR="00B626E7" w:rsidRDefault="00B626E7">
            <w:pPr>
              <w:rPr>
                <w:rFonts w:ascii="宋体"/>
              </w:rPr>
            </w:pPr>
          </w:p>
        </w:tc>
        <w:tc>
          <w:tcPr>
            <w:tcW w:w="0" w:type="auto"/>
            <w:shd w:val="clear" w:color="auto" w:fill="auto"/>
          </w:tcPr>
          <w:p w14:paraId="20AE2BD0" w14:textId="77777777" w:rsidR="00B626E7" w:rsidRDefault="00B626E7">
            <w:pPr>
              <w:rPr>
                <w:rFonts w:ascii="宋体"/>
              </w:rPr>
            </w:pPr>
          </w:p>
        </w:tc>
        <w:tc>
          <w:tcPr>
            <w:tcW w:w="0" w:type="auto"/>
            <w:shd w:val="clear" w:color="auto" w:fill="auto"/>
          </w:tcPr>
          <w:p w14:paraId="20AE2BD1" w14:textId="77777777" w:rsidR="00B626E7" w:rsidRDefault="00B626E7">
            <w:pPr>
              <w:rPr>
                <w:rFonts w:ascii="宋体"/>
              </w:rPr>
            </w:pPr>
          </w:p>
        </w:tc>
        <w:tc>
          <w:tcPr>
            <w:tcW w:w="0" w:type="auto"/>
            <w:shd w:val="clear" w:color="auto" w:fill="auto"/>
          </w:tcPr>
          <w:p w14:paraId="20AE2BD2" w14:textId="77777777" w:rsidR="00B626E7" w:rsidRDefault="00B626E7">
            <w:pPr>
              <w:rPr>
                <w:rFonts w:ascii="宋体"/>
              </w:rPr>
            </w:pPr>
          </w:p>
        </w:tc>
        <w:tc>
          <w:tcPr>
            <w:tcW w:w="0" w:type="auto"/>
            <w:shd w:val="clear" w:color="auto" w:fill="auto"/>
          </w:tcPr>
          <w:p w14:paraId="20AE2BD3" w14:textId="77777777" w:rsidR="00B626E7" w:rsidRDefault="00B626E7">
            <w:pPr>
              <w:rPr>
                <w:rFonts w:ascii="宋体"/>
              </w:rPr>
            </w:pPr>
          </w:p>
        </w:tc>
        <w:tc>
          <w:tcPr>
            <w:tcW w:w="0" w:type="auto"/>
            <w:shd w:val="clear" w:color="auto" w:fill="auto"/>
          </w:tcPr>
          <w:p w14:paraId="20AE2BD4" w14:textId="77777777" w:rsidR="00B626E7" w:rsidRDefault="00B626E7">
            <w:pPr>
              <w:rPr>
                <w:rFonts w:ascii="宋体"/>
              </w:rPr>
            </w:pPr>
          </w:p>
        </w:tc>
        <w:tc>
          <w:tcPr>
            <w:tcW w:w="0" w:type="auto"/>
            <w:shd w:val="clear" w:color="auto" w:fill="auto"/>
          </w:tcPr>
          <w:p w14:paraId="20AE2BD5" w14:textId="77777777" w:rsidR="00B626E7" w:rsidRDefault="00B626E7">
            <w:pPr>
              <w:rPr>
                <w:rFonts w:ascii="宋体"/>
              </w:rPr>
            </w:pPr>
          </w:p>
        </w:tc>
        <w:tc>
          <w:tcPr>
            <w:tcW w:w="0" w:type="auto"/>
            <w:shd w:val="clear" w:color="auto" w:fill="auto"/>
          </w:tcPr>
          <w:p w14:paraId="20AE2BD6" w14:textId="77777777" w:rsidR="00B626E7" w:rsidRDefault="00B626E7">
            <w:pPr>
              <w:rPr>
                <w:rFonts w:ascii="宋体"/>
              </w:rPr>
            </w:pPr>
          </w:p>
        </w:tc>
        <w:tc>
          <w:tcPr>
            <w:tcW w:w="0" w:type="auto"/>
            <w:shd w:val="clear" w:color="auto" w:fill="auto"/>
          </w:tcPr>
          <w:p w14:paraId="20AE2BD7" w14:textId="77777777" w:rsidR="00B626E7" w:rsidRDefault="00B626E7">
            <w:pPr>
              <w:rPr>
                <w:rFonts w:ascii="宋体"/>
              </w:rPr>
            </w:pPr>
          </w:p>
        </w:tc>
        <w:tc>
          <w:tcPr>
            <w:tcW w:w="0" w:type="auto"/>
            <w:shd w:val="clear" w:color="auto" w:fill="auto"/>
          </w:tcPr>
          <w:p w14:paraId="20AE2BD8" w14:textId="77777777" w:rsidR="00B626E7" w:rsidRDefault="00B626E7">
            <w:pPr>
              <w:rPr>
                <w:rFonts w:ascii="宋体"/>
              </w:rPr>
            </w:pPr>
          </w:p>
        </w:tc>
        <w:tc>
          <w:tcPr>
            <w:tcW w:w="0" w:type="auto"/>
            <w:shd w:val="clear" w:color="auto" w:fill="auto"/>
          </w:tcPr>
          <w:p w14:paraId="20AE2BD9" w14:textId="77777777" w:rsidR="00B626E7" w:rsidRDefault="00B626E7">
            <w:pPr>
              <w:rPr>
                <w:rFonts w:ascii="宋体"/>
              </w:rPr>
            </w:pPr>
          </w:p>
        </w:tc>
      </w:tr>
      <w:tr w:rsidR="00B626E7" w14:paraId="20AE2BF8" w14:textId="77777777">
        <w:trPr>
          <w:trHeight w:val="60"/>
        </w:trPr>
        <w:tc>
          <w:tcPr>
            <w:tcW w:w="0" w:type="auto"/>
            <w:gridSpan w:val="3"/>
            <w:shd w:val="clear" w:color="auto" w:fill="auto"/>
            <w:tcMar>
              <w:left w:w="20" w:type="dxa"/>
              <w:right w:w="20" w:type="dxa"/>
            </w:tcMar>
            <w:vAlign w:val="bottom"/>
          </w:tcPr>
          <w:p w14:paraId="20AE2BDB"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BDC"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BDD"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BDE"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BDF"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BE0"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BE1"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BE2"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BE3"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BE4"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BE5" w14:textId="77777777" w:rsidR="00B626E7" w:rsidRDefault="00B626E7">
            <w:pPr>
              <w:rPr>
                <w:rFonts w:ascii="宋体"/>
              </w:rPr>
            </w:pPr>
          </w:p>
        </w:tc>
        <w:tc>
          <w:tcPr>
            <w:tcW w:w="0" w:type="auto"/>
            <w:shd w:val="clear" w:color="auto" w:fill="auto"/>
          </w:tcPr>
          <w:p w14:paraId="20AE2BE6" w14:textId="77777777" w:rsidR="00B626E7" w:rsidRDefault="00B626E7">
            <w:pPr>
              <w:rPr>
                <w:rFonts w:ascii="宋体"/>
              </w:rPr>
            </w:pPr>
          </w:p>
        </w:tc>
        <w:tc>
          <w:tcPr>
            <w:tcW w:w="0" w:type="auto"/>
            <w:shd w:val="clear" w:color="auto" w:fill="auto"/>
          </w:tcPr>
          <w:p w14:paraId="20AE2BE7" w14:textId="77777777" w:rsidR="00B626E7" w:rsidRDefault="00B626E7">
            <w:pPr>
              <w:rPr>
                <w:rFonts w:ascii="宋体"/>
              </w:rPr>
            </w:pPr>
          </w:p>
        </w:tc>
        <w:tc>
          <w:tcPr>
            <w:tcW w:w="0" w:type="auto"/>
            <w:shd w:val="clear" w:color="auto" w:fill="auto"/>
          </w:tcPr>
          <w:p w14:paraId="20AE2BE8" w14:textId="77777777" w:rsidR="00B626E7" w:rsidRDefault="00B626E7">
            <w:pPr>
              <w:rPr>
                <w:rFonts w:ascii="宋体"/>
              </w:rPr>
            </w:pPr>
          </w:p>
        </w:tc>
        <w:tc>
          <w:tcPr>
            <w:tcW w:w="0" w:type="auto"/>
            <w:shd w:val="clear" w:color="auto" w:fill="auto"/>
          </w:tcPr>
          <w:p w14:paraId="20AE2BE9" w14:textId="77777777" w:rsidR="00B626E7" w:rsidRDefault="00B626E7">
            <w:pPr>
              <w:rPr>
                <w:rFonts w:ascii="宋体"/>
              </w:rPr>
            </w:pPr>
          </w:p>
        </w:tc>
        <w:tc>
          <w:tcPr>
            <w:tcW w:w="0" w:type="auto"/>
            <w:shd w:val="clear" w:color="auto" w:fill="auto"/>
          </w:tcPr>
          <w:p w14:paraId="20AE2BEA" w14:textId="77777777" w:rsidR="00B626E7" w:rsidRDefault="00B626E7">
            <w:pPr>
              <w:rPr>
                <w:rFonts w:ascii="宋体"/>
              </w:rPr>
            </w:pPr>
          </w:p>
        </w:tc>
        <w:tc>
          <w:tcPr>
            <w:tcW w:w="0" w:type="auto"/>
            <w:shd w:val="clear" w:color="auto" w:fill="auto"/>
          </w:tcPr>
          <w:p w14:paraId="20AE2BEB" w14:textId="77777777" w:rsidR="00B626E7" w:rsidRDefault="00B626E7">
            <w:pPr>
              <w:rPr>
                <w:rFonts w:ascii="宋体"/>
              </w:rPr>
            </w:pPr>
          </w:p>
        </w:tc>
        <w:tc>
          <w:tcPr>
            <w:tcW w:w="0" w:type="auto"/>
            <w:shd w:val="clear" w:color="auto" w:fill="auto"/>
          </w:tcPr>
          <w:p w14:paraId="20AE2BEC" w14:textId="77777777" w:rsidR="00B626E7" w:rsidRDefault="00B626E7">
            <w:pPr>
              <w:rPr>
                <w:rFonts w:ascii="宋体"/>
              </w:rPr>
            </w:pPr>
          </w:p>
        </w:tc>
        <w:tc>
          <w:tcPr>
            <w:tcW w:w="0" w:type="auto"/>
            <w:shd w:val="clear" w:color="auto" w:fill="auto"/>
          </w:tcPr>
          <w:p w14:paraId="20AE2BED" w14:textId="77777777" w:rsidR="00B626E7" w:rsidRDefault="00B626E7">
            <w:pPr>
              <w:rPr>
                <w:rFonts w:ascii="宋体"/>
              </w:rPr>
            </w:pPr>
          </w:p>
        </w:tc>
        <w:tc>
          <w:tcPr>
            <w:tcW w:w="0" w:type="auto"/>
            <w:shd w:val="clear" w:color="auto" w:fill="auto"/>
          </w:tcPr>
          <w:p w14:paraId="20AE2BEE" w14:textId="77777777" w:rsidR="00B626E7" w:rsidRDefault="00B626E7">
            <w:pPr>
              <w:rPr>
                <w:rFonts w:ascii="宋体"/>
              </w:rPr>
            </w:pPr>
          </w:p>
        </w:tc>
        <w:tc>
          <w:tcPr>
            <w:tcW w:w="0" w:type="auto"/>
            <w:shd w:val="clear" w:color="auto" w:fill="auto"/>
          </w:tcPr>
          <w:p w14:paraId="20AE2BEF" w14:textId="77777777" w:rsidR="00B626E7" w:rsidRDefault="00B626E7">
            <w:pPr>
              <w:rPr>
                <w:rFonts w:ascii="宋体"/>
              </w:rPr>
            </w:pPr>
          </w:p>
        </w:tc>
        <w:tc>
          <w:tcPr>
            <w:tcW w:w="0" w:type="auto"/>
            <w:shd w:val="clear" w:color="auto" w:fill="auto"/>
          </w:tcPr>
          <w:p w14:paraId="20AE2BF0" w14:textId="77777777" w:rsidR="00B626E7" w:rsidRDefault="00B626E7">
            <w:pPr>
              <w:rPr>
                <w:rFonts w:ascii="宋体"/>
              </w:rPr>
            </w:pPr>
          </w:p>
        </w:tc>
        <w:tc>
          <w:tcPr>
            <w:tcW w:w="0" w:type="auto"/>
            <w:shd w:val="clear" w:color="auto" w:fill="auto"/>
          </w:tcPr>
          <w:p w14:paraId="20AE2BF1" w14:textId="77777777" w:rsidR="00B626E7" w:rsidRDefault="00B626E7">
            <w:pPr>
              <w:rPr>
                <w:rFonts w:ascii="宋体"/>
              </w:rPr>
            </w:pPr>
          </w:p>
        </w:tc>
        <w:tc>
          <w:tcPr>
            <w:tcW w:w="0" w:type="auto"/>
            <w:shd w:val="clear" w:color="auto" w:fill="auto"/>
          </w:tcPr>
          <w:p w14:paraId="20AE2BF2" w14:textId="77777777" w:rsidR="00B626E7" w:rsidRDefault="00B626E7">
            <w:pPr>
              <w:rPr>
                <w:rFonts w:ascii="宋体"/>
              </w:rPr>
            </w:pPr>
          </w:p>
        </w:tc>
        <w:tc>
          <w:tcPr>
            <w:tcW w:w="0" w:type="auto"/>
            <w:shd w:val="clear" w:color="auto" w:fill="auto"/>
          </w:tcPr>
          <w:p w14:paraId="20AE2BF3" w14:textId="77777777" w:rsidR="00B626E7" w:rsidRDefault="00B626E7">
            <w:pPr>
              <w:rPr>
                <w:rFonts w:ascii="宋体"/>
              </w:rPr>
            </w:pPr>
          </w:p>
        </w:tc>
        <w:tc>
          <w:tcPr>
            <w:tcW w:w="0" w:type="auto"/>
            <w:shd w:val="clear" w:color="auto" w:fill="auto"/>
          </w:tcPr>
          <w:p w14:paraId="20AE2BF4" w14:textId="77777777" w:rsidR="00B626E7" w:rsidRDefault="00B626E7">
            <w:pPr>
              <w:rPr>
                <w:rFonts w:ascii="宋体"/>
              </w:rPr>
            </w:pPr>
          </w:p>
        </w:tc>
        <w:tc>
          <w:tcPr>
            <w:tcW w:w="0" w:type="auto"/>
            <w:shd w:val="clear" w:color="auto" w:fill="auto"/>
          </w:tcPr>
          <w:p w14:paraId="20AE2BF5" w14:textId="77777777" w:rsidR="00B626E7" w:rsidRDefault="00B626E7">
            <w:pPr>
              <w:rPr>
                <w:rFonts w:ascii="宋体"/>
              </w:rPr>
            </w:pPr>
          </w:p>
        </w:tc>
        <w:tc>
          <w:tcPr>
            <w:tcW w:w="0" w:type="auto"/>
            <w:shd w:val="clear" w:color="auto" w:fill="auto"/>
          </w:tcPr>
          <w:p w14:paraId="20AE2BF6" w14:textId="77777777" w:rsidR="00B626E7" w:rsidRDefault="00B626E7">
            <w:pPr>
              <w:rPr>
                <w:rFonts w:ascii="宋体"/>
              </w:rPr>
            </w:pPr>
          </w:p>
        </w:tc>
        <w:tc>
          <w:tcPr>
            <w:tcW w:w="0" w:type="auto"/>
            <w:shd w:val="clear" w:color="auto" w:fill="auto"/>
          </w:tcPr>
          <w:p w14:paraId="20AE2BF7" w14:textId="77777777" w:rsidR="00B626E7" w:rsidRDefault="00B626E7">
            <w:pPr>
              <w:rPr>
                <w:rFonts w:ascii="宋体"/>
              </w:rPr>
            </w:pPr>
          </w:p>
        </w:tc>
      </w:tr>
      <w:tr w:rsidR="00B626E7" w14:paraId="20AE2C1A" w14:textId="77777777">
        <w:tc>
          <w:tcPr>
            <w:tcW w:w="0" w:type="auto"/>
            <w:gridSpan w:val="3"/>
            <w:shd w:val="clear" w:color="auto" w:fill="auto"/>
            <w:tcMar>
              <w:top w:w="40" w:type="dxa"/>
              <w:left w:w="20" w:type="dxa"/>
              <w:bottom w:w="40" w:type="dxa"/>
              <w:right w:w="20" w:type="dxa"/>
            </w:tcMar>
            <w:vAlign w:val="bottom"/>
          </w:tcPr>
          <w:p w14:paraId="20AE2BF9" w14:textId="77777777" w:rsidR="00B626E7" w:rsidRDefault="00175C1D">
            <w:pPr>
              <w:textAlignment w:val="bottom"/>
            </w:pPr>
            <w:r>
              <w:rPr>
                <w:rFonts w:ascii="Arial" w:eastAsia="宋体" w:hAnsi="Arial" w:cs="Arial"/>
                <w:b/>
                <w:bCs/>
                <w:color w:val="333333"/>
                <w:sz w:val="18"/>
                <w:szCs w:val="18"/>
              </w:rPr>
              <w:t>Total change in revenue</w:t>
            </w:r>
          </w:p>
        </w:tc>
        <w:tc>
          <w:tcPr>
            <w:tcW w:w="0" w:type="auto"/>
            <w:gridSpan w:val="3"/>
            <w:shd w:val="clear" w:color="auto" w:fill="auto"/>
            <w:tcMar>
              <w:left w:w="20" w:type="dxa"/>
              <w:right w:w="20" w:type="dxa"/>
            </w:tcMar>
            <w:vAlign w:val="bottom"/>
          </w:tcPr>
          <w:p w14:paraId="20AE2BFA"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BFB"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BFC"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BFD"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2BFE" w14:textId="77777777" w:rsidR="00B626E7" w:rsidRDefault="00175C1D">
            <w:pPr>
              <w:textAlignment w:val="bottom"/>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2BFF" w14:textId="77777777" w:rsidR="00B626E7" w:rsidRDefault="00175C1D">
            <w:pPr>
              <w:jc w:val="right"/>
              <w:textAlignment w:val="bottom"/>
            </w:pPr>
            <w:r>
              <w:rPr>
                <w:rFonts w:ascii="Arial" w:eastAsia="宋体" w:hAnsi="Arial" w:cs="Arial"/>
                <w:b/>
                <w:bCs/>
                <w:color w:val="0071C5"/>
                <w:sz w:val="18"/>
                <w:szCs w:val="18"/>
              </w:rPr>
              <w:t>655 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2C00"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2C01"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C02"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C03"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C04"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2C05" w14:textId="77777777" w:rsidR="00B626E7" w:rsidRDefault="00175C1D">
            <w:pPr>
              <w:textAlignment w:val="bottom"/>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2C06" w14:textId="77777777" w:rsidR="00B626E7" w:rsidRDefault="00175C1D">
            <w:pPr>
              <w:jc w:val="right"/>
              <w:textAlignment w:val="bottom"/>
            </w:pPr>
            <w:r>
              <w:rPr>
                <w:rFonts w:ascii="Arial" w:eastAsia="宋体" w:hAnsi="Arial" w:cs="Arial"/>
                <w:b/>
                <w:bCs/>
                <w:color w:val="0071C5"/>
                <w:sz w:val="18"/>
                <w:szCs w:val="18"/>
              </w:rPr>
              <w:t>1,844 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2C07" w14:textId="77777777" w:rsidR="00B626E7" w:rsidRDefault="00175C1D">
            <w:pPr>
              <w:jc w:val="right"/>
              <w:textAlignment w:val="bottom"/>
            </w:pPr>
            <w:r>
              <w:rPr>
                <w:rFonts w:ascii="Arial" w:eastAsia="宋体" w:hAnsi="Arial" w:cs="Arial"/>
                <w:b/>
                <w:bCs/>
                <w:color w:val="0071C5"/>
                <w:sz w:val="18"/>
                <w:szCs w:val="18"/>
              </w:rPr>
              <w:t> </w:t>
            </w:r>
          </w:p>
        </w:tc>
        <w:tc>
          <w:tcPr>
            <w:tcW w:w="0" w:type="auto"/>
            <w:shd w:val="clear" w:color="auto" w:fill="auto"/>
          </w:tcPr>
          <w:p w14:paraId="20AE2C08" w14:textId="77777777" w:rsidR="00B626E7" w:rsidRDefault="00B626E7">
            <w:pPr>
              <w:rPr>
                <w:rFonts w:ascii="宋体"/>
              </w:rPr>
            </w:pPr>
          </w:p>
        </w:tc>
        <w:tc>
          <w:tcPr>
            <w:tcW w:w="0" w:type="auto"/>
            <w:shd w:val="clear" w:color="auto" w:fill="auto"/>
          </w:tcPr>
          <w:p w14:paraId="20AE2C09" w14:textId="77777777" w:rsidR="00B626E7" w:rsidRDefault="00B626E7">
            <w:pPr>
              <w:rPr>
                <w:rFonts w:ascii="宋体"/>
              </w:rPr>
            </w:pPr>
          </w:p>
        </w:tc>
        <w:tc>
          <w:tcPr>
            <w:tcW w:w="0" w:type="auto"/>
            <w:shd w:val="clear" w:color="auto" w:fill="auto"/>
          </w:tcPr>
          <w:p w14:paraId="20AE2C0A" w14:textId="77777777" w:rsidR="00B626E7" w:rsidRDefault="00B626E7">
            <w:pPr>
              <w:rPr>
                <w:rFonts w:ascii="宋体"/>
              </w:rPr>
            </w:pPr>
          </w:p>
        </w:tc>
        <w:tc>
          <w:tcPr>
            <w:tcW w:w="0" w:type="auto"/>
            <w:shd w:val="clear" w:color="auto" w:fill="auto"/>
          </w:tcPr>
          <w:p w14:paraId="20AE2C0B" w14:textId="77777777" w:rsidR="00B626E7" w:rsidRDefault="00B626E7">
            <w:pPr>
              <w:rPr>
                <w:rFonts w:ascii="宋体"/>
              </w:rPr>
            </w:pPr>
          </w:p>
        </w:tc>
        <w:tc>
          <w:tcPr>
            <w:tcW w:w="0" w:type="auto"/>
            <w:shd w:val="clear" w:color="auto" w:fill="auto"/>
          </w:tcPr>
          <w:p w14:paraId="20AE2C0C" w14:textId="77777777" w:rsidR="00B626E7" w:rsidRDefault="00B626E7">
            <w:pPr>
              <w:rPr>
                <w:rFonts w:ascii="宋体"/>
              </w:rPr>
            </w:pPr>
          </w:p>
        </w:tc>
        <w:tc>
          <w:tcPr>
            <w:tcW w:w="0" w:type="auto"/>
            <w:shd w:val="clear" w:color="auto" w:fill="auto"/>
          </w:tcPr>
          <w:p w14:paraId="20AE2C0D" w14:textId="77777777" w:rsidR="00B626E7" w:rsidRDefault="00B626E7">
            <w:pPr>
              <w:rPr>
                <w:rFonts w:ascii="宋体"/>
              </w:rPr>
            </w:pPr>
          </w:p>
        </w:tc>
        <w:tc>
          <w:tcPr>
            <w:tcW w:w="0" w:type="auto"/>
            <w:shd w:val="clear" w:color="auto" w:fill="auto"/>
          </w:tcPr>
          <w:p w14:paraId="20AE2C0E" w14:textId="77777777" w:rsidR="00B626E7" w:rsidRDefault="00B626E7">
            <w:pPr>
              <w:rPr>
                <w:rFonts w:ascii="宋体"/>
              </w:rPr>
            </w:pPr>
          </w:p>
        </w:tc>
        <w:tc>
          <w:tcPr>
            <w:tcW w:w="0" w:type="auto"/>
            <w:shd w:val="clear" w:color="auto" w:fill="auto"/>
          </w:tcPr>
          <w:p w14:paraId="20AE2C0F" w14:textId="77777777" w:rsidR="00B626E7" w:rsidRDefault="00B626E7">
            <w:pPr>
              <w:rPr>
                <w:rFonts w:ascii="宋体"/>
              </w:rPr>
            </w:pPr>
          </w:p>
        </w:tc>
        <w:tc>
          <w:tcPr>
            <w:tcW w:w="0" w:type="auto"/>
            <w:shd w:val="clear" w:color="auto" w:fill="auto"/>
          </w:tcPr>
          <w:p w14:paraId="20AE2C10" w14:textId="77777777" w:rsidR="00B626E7" w:rsidRDefault="00B626E7">
            <w:pPr>
              <w:rPr>
                <w:rFonts w:ascii="宋体"/>
              </w:rPr>
            </w:pPr>
          </w:p>
        </w:tc>
        <w:tc>
          <w:tcPr>
            <w:tcW w:w="0" w:type="auto"/>
            <w:shd w:val="clear" w:color="auto" w:fill="auto"/>
          </w:tcPr>
          <w:p w14:paraId="20AE2C11" w14:textId="77777777" w:rsidR="00B626E7" w:rsidRDefault="00B626E7">
            <w:pPr>
              <w:rPr>
                <w:rFonts w:ascii="宋体"/>
              </w:rPr>
            </w:pPr>
          </w:p>
        </w:tc>
        <w:tc>
          <w:tcPr>
            <w:tcW w:w="0" w:type="auto"/>
            <w:shd w:val="clear" w:color="auto" w:fill="auto"/>
          </w:tcPr>
          <w:p w14:paraId="20AE2C12" w14:textId="77777777" w:rsidR="00B626E7" w:rsidRDefault="00B626E7">
            <w:pPr>
              <w:rPr>
                <w:rFonts w:ascii="宋体"/>
              </w:rPr>
            </w:pPr>
          </w:p>
        </w:tc>
        <w:tc>
          <w:tcPr>
            <w:tcW w:w="0" w:type="auto"/>
            <w:shd w:val="clear" w:color="auto" w:fill="auto"/>
          </w:tcPr>
          <w:p w14:paraId="20AE2C13" w14:textId="77777777" w:rsidR="00B626E7" w:rsidRDefault="00B626E7">
            <w:pPr>
              <w:rPr>
                <w:rFonts w:ascii="宋体"/>
              </w:rPr>
            </w:pPr>
          </w:p>
        </w:tc>
        <w:tc>
          <w:tcPr>
            <w:tcW w:w="0" w:type="auto"/>
            <w:shd w:val="clear" w:color="auto" w:fill="auto"/>
          </w:tcPr>
          <w:p w14:paraId="20AE2C14" w14:textId="77777777" w:rsidR="00B626E7" w:rsidRDefault="00B626E7">
            <w:pPr>
              <w:rPr>
                <w:rFonts w:ascii="宋体"/>
              </w:rPr>
            </w:pPr>
          </w:p>
        </w:tc>
        <w:tc>
          <w:tcPr>
            <w:tcW w:w="0" w:type="auto"/>
            <w:shd w:val="clear" w:color="auto" w:fill="auto"/>
          </w:tcPr>
          <w:p w14:paraId="20AE2C15" w14:textId="77777777" w:rsidR="00B626E7" w:rsidRDefault="00B626E7">
            <w:pPr>
              <w:rPr>
                <w:rFonts w:ascii="宋体"/>
              </w:rPr>
            </w:pPr>
          </w:p>
        </w:tc>
        <w:tc>
          <w:tcPr>
            <w:tcW w:w="0" w:type="auto"/>
            <w:shd w:val="clear" w:color="auto" w:fill="auto"/>
          </w:tcPr>
          <w:p w14:paraId="20AE2C16" w14:textId="77777777" w:rsidR="00B626E7" w:rsidRDefault="00B626E7">
            <w:pPr>
              <w:rPr>
                <w:rFonts w:ascii="宋体"/>
              </w:rPr>
            </w:pPr>
          </w:p>
        </w:tc>
        <w:tc>
          <w:tcPr>
            <w:tcW w:w="0" w:type="auto"/>
            <w:shd w:val="clear" w:color="auto" w:fill="auto"/>
          </w:tcPr>
          <w:p w14:paraId="20AE2C17" w14:textId="77777777" w:rsidR="00B626E7" w:rsidRDefault="00B626E7">
            <w:pPr>
              <w:rPr>
                <w:rFonts w:ascii="宋体"/>
              </w:rPr>
            </w:pPr>
          </w:p>
        </w:tc>
        <w:tc>
          <w:tcPr>
            <w:tcW w:w="0" w:type="auto"/>
            <w:shd w:val="clear" w:color="auto" w:fill="auto"/>
          </w:tcPr>
          <w:p w14:paraId="20AE2C18" w14:textId="77777777" w:rsidR="00B626E7" w:rsidRDefault="00B626E7">
            <w:pPr>
              <w:rPr>
                <w:rFonts w:ascii="宋体"/>
              </w:rPr>
            </w:pPr>
          </w:p>
        </w:tc>
        <w:tc>
          <w:tcPr>
            <w:tcW w:w="0" w:type="auto"/>
            <w:shd w:val="clear" w:color="auto" w:fill="auto"/>
          </w:tcPr>
          <w:p w14:paraId="20AE2C19" w14:textId="77777777" w:rsidR="00B626E7" w:rsidRDefault="00B626E7">
            <w:pPr>
              <w:rPr>
                <w:rFonts w:ascii="宋体"/>
              </w:rPr>
            </w:pPr>
          </w:p>
        </w:tc>
      </w:tr>
    </w:tbl>
    <w:p w14:paraId="20AE2C1B" w14:textId="77777777" w:rsidR="00B626E7" w:rsidRDefault="00B626E7">
      <w:pPr>
        <w:spacing w:after="120"/>
      </w:pPr>
    </w:p>
    <w:p w14:paraId="20AE2C1C" w14:textId="77777777" w:rsidR="00B626E7" w:rsidRDefault="00B626E7">
      <w:pPr>
        <w:spacing w:after="120"/>
      </w:pPr>
    </w:p>
    <w:p w14:paraId="20AE2C1D" w14:textId="77777777" w:rsidR="00B626E7" w:rsidRDefault="00B626E7">
      <w:pPr>
        <w:spacing w:after="120"/>
      </w:pPr>
    </w:p>
    <w:p w14:paraId="20AE2C1E" w14:textId="77777777" w:rsidR="00B626E7" w:rsidRDefault="00B626E7">
      <w:pPr>
        <w:spacing w:after="120"/>
      </w:pPr>
    </w:p>
    <w:p w14:paraId="20AE2C1F" w14:textId="77777777" w:rsidR="00B626E7" w:rsidRDefault="00B626E7">
      <w:pPr>
        <w:spacing w:after="120"/>
      </w:pPr>
    </w:p>
    <w:p w14:paraId="20AE2C20" w14:textId="77777777" w:rsidR="00B626E7" w:rsidRDefault="00B626E7">
      <w:pPr>
        <w:spacing w:after="120"/>
      </w:pPr>
    </w:p>
    <w:p w14:paraId="20AE2C21" w14:textId="77777777" w:rsidR="00B626E7" w:rsidRDefault="00B626E7">
      <w:pPr>
        <w:spacing w:after="120"/>
      </w:pPr>
    </w:p>
    <w:p w14:paraId="20AE2C22" w14:textId="77777777" w:rsidR="00B626E7" w:rsidRDefault="00B626E7">
      <w:pPr>
        <w:spacing w:after="120"/>
      </w:pPr>
    </w:p>
    <w:p w14:paraId="20AE2C23" w14:textId="77777777" w:rsidR="00B626E7" w:rsidRDefault="00B626E7">
      <w:pPr>
        <w:spacing w:after="120"/>
      </w:pPr>
    </w:p>
    <w:p w14:paraId="20AE2C24" w14:textId="77777777" w:rsidR="00B626E7" w:rsidRDefault="00B626E7">
      <w:pPr>
        <w:spacing w:after="120"/>
      </w:pPr>
    </w:p>
    <w:tbl>
      <w:tblPr>
        <w:tblW w:w="5000" w:type="pct"/>
        <w:tblCellMar>
          <w:top w:w="15" w:type="dxa"/>
          <w:left w:w="15" w:type="dxa"/>
          <w:bottom w:w="15" w:type="dxa"/>
          <w:right w:w="15" w:type="dxa"/>
        </w:tblCellMar>
        <w:tblLook w:val="04A0" w:firstRow="1" w:lastRow="0" w:firstColumn="1" w:lastColumn="0" w:noHBand="0" w:noVBand="1"/>
      </w:tblPr>
      <w:tblGrid>
        <w:gridCol w:w="84"/>
        <w:gridCol w:w="2423"/>
        <w:gridCol w:w="84"/>
        <w:gridCol w:w="83"/>
        <w:gridCol w:w="3471"/>
        <w:gridCol w:w="83"/>
        <w:gridCol w:w="83"/>
        <w:gridCol w:w="1942"/>
        <w:gridCol w:w="83"/>
      </w:tblGrid>
      <w:tr w:rsidR="00B626E7" w14:paraId="20AE2C2E" w14:textId="77777777">
        <w:tc>
          <w:tcPr>
            <w:tcW w:w="50" w:type="pct"/>
            <w:shd w:val="clear" w:color="auto" w:fill="auto"/>
            <w:vAlign w:val="bottom"/>
          </w:tcPr>
          <w:p w14:paraId="20AE2C25" w14:textId="77777777" w:rsidR="00B626E7" w:rsidRDefault="00B626E7">
            <w:pPr>
              <w:rPr>
                <w:rFonts w:ascii="宋体"/>
              </w:rPr>
            </w:pPr>
          </w:p>
        </w:tc>
        <w:tc>
          <w:tcPr>
            <w:tcW w:w="1452" w:type="pct"/>
            <w:shd w:val="clear" w:color="auto" w:fill="auto"/>
            <w:vAlign w:val="bottom"/>
          </w:tcPr>
          <w:p w14:paraId="20AE2C26" w14:textId="77777777" w:rsidR="00B626E7" w:rsidRDefault="00B626E7">
            <w:pPr>
              <w:rPr>
                <w:rFonts w:ascii="宋体"/>
              </w:rPr>
            </w:pPr>
          </w:p>
        </w:tc>
        <w:tc>
          <w:tcPr>
            <w:tcW w:w="50" w:type="pct"/>
            <w:shd w:val="clear" w:color="auto" w:fill="auto"/>
            <w:vAlign w:val="bottom"/>
          </w:tcPr>
          <w:p w14:paraId="20AE2C27" w14:textId="77777777" w:rsidR="00B626E7" w:rsidRDefault="00B626E7">
            <w:pPr>
              <w:rPr>
                <w:rFonts w:ascii="宋体"/>
              </w:rPr>
            </w:pPr>
          </w:p>
        </w:tc>
        <w:tc>
          <w:tcPr>
            <w:tcW w:w="50" w:type="pct"/>
            <w:shd w:val="clear" w:color="auto" w:fill="auto"/>
            <w:vAlign w:val="bottom"/>
          </w:tcPr>
          <w:p w14:paraId="20AE2C28" w14:textId="77777777" w:rsidR="00B626E7" w:rsidRDefault="00B626E7">
            <w:pPr>
              <w:rPr>
                <w:rFonts w:ascii="宋体"/>
              </w:rPr>
            </w:pPr>
          </w:p>
        </w:tc>
        <w:tc>
          <w:tcPr>
            <w:tcW w:w="2081" w:type="pct"/>
            <w:shd w:val="clear" w:color="auto" w:fill="auto"/>
            <w:vAlign w:val="bottom"/>
          </w:tcPr>
          <w:p w14:paraId="20AE2C29" w14:textId="77777777" w:rsidR="00B626E7" w:rsidRDefault="00B626E7">
            <w:pPr>
              <w:rPr>
                <w:rFonts w:ascii="宋体"/>
              </w:rPr>
            </w:pPr>
          </w:p>
        </w:tc>
        <w:tc>
          <w:tcPr>
            <w:tcW w:w="50" w:type="pct"/>
            <w:shd w:val="clear" w:color="auto" w:fill="auto"/>
            <w:vAlign w:val="bottom"/>
          </w:tcPr>
          <w:p w14:paraId="20AE2C2A" w14:textId="77777777" w:rsidR="00B626E7" w:rsidRDefault="00B626E7">
            <w:pPr>
              <w:rPr>
                <w:rFonts w:ascii="宋体"/>
              </w:rPr>
            </w:pPr>
          </w:p>
        </w:tc>
        <w:tc>
          <w:tcPr>
            <w:tcW w:w="50" w:type="pct"/>
            <w:shd w:val="clear" w:color="auto" w:fill="auto"/>
            <w:vAlign w:val="bottom"/>
          </w:tcPr>
          <w:p w14:paraId="20AE2C2B" w14:textId="77777777" w:rsidR="00B626E7" w:rsidRDefault="00B626E7">
            <w:pPr>
              <w:rPr>
                <w:rFonts w:ascii="宋体"/>
              </w:rPr>
            </w:pPr>
          </w:p>
        </w:tc>
        <w:tc>
          <w:tcPr>
            <w:tcW w:w="1165" w:type="pct"/>
            <w:shd w:val="clear" w:color="auto" w:fill="auto"/>
            <w:vAlign w:val="bottom"/>
          </w:tcPr>
          <w:p w14:paraId="20AE2C2C" w14:textId="77777777" w:rsidR="00B626E7" w:rsidRDefault="00B626E7">
            <w:pPr>
              <w:rPr>
                <w:rFonts w:ascii="宋体"/>
              </w:rPr>
            </w:pPr>
          </w:p>
        </w:tc>
        <w:tc>
          <w:tcPr>
            <w:tcW w:w="50" w:type="pct"/>
            <w:shd w:val="clear" w:color="auto" w:fill="auto"/>
            <w:vAlign w:val="bottom"/>
          </w:tcPr>
          <w:p w14:paraId="20AE2C2D" w14:textId="77777777" w:rsidR="00B626E7" w:rsidRDefault="00B626E7">
            <w:pPr>
              <w:rPr>
                <w:rFonts w:ascii="宋体"/>
              </w:rPr>
            </w:pPr>
          </w:p>
        </w:tc>
      </w:tr>
      <w:tr w:rsidR="00B626E7" w14:paraId="20AE2C32" w14:textId="77777777">
        <w:tc>
          <w:tcPr>
            <w:tcW w:w="0" w:type="auto"/>
            <w:gridSpan w:val="3"/>
            <w:tcBorders>
              <w:top w:val="single" w:sz="8" w:space="0" w:color="0071C5"/>
            </w:tcBorders>
            <w:shd w:val="clear" w:color="auto" w:fill="auto"/>
            <w:tcMar>
              <w:top w:w="40" w:type="dxa"/>
              <w:left w:w="20" w:type="dxa"/>
              <w:bottom w:w="40" w:type="dxa"/>
              <w:right w:w="20" w:type="dxa"/>
            </w:tcMar>
            <w:vAlign w:val="center"/>
          </w:tcPr>
          <w:p w14:paraId="20AE2C2F" w14:textId="77777777" w:rsidR="00B626E7" w:rsidRDefault="00175C1D">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Viewer10_files/intc-20200627_g36.jpg"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8E" wp14:editId="20AE3C8F">
                  <wp:extent cx="304800" cy="304800"/>
                  <wp:effectExtent l="0" t="0" r="0" b="0"/>
                  <wp:docPr id="62" name="图片 115"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15" descr="IMG_32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Arial" w:eastAsia="宋体" w:hAnsi="Arial" w:cs="Arial"/>
                <w:color w:val="333333"/>
                <w:sz w:val="16"/>
                <w:szCs w:val="16"/>
              </w:rPr>
              <w:t>MD&amp;A</w:t>
            </w:r>
          </w:p>
        </w:tc>
        <w:tc>
          <w:tcPr>
            <w:tcW w:w="0" w:type="auto"/>
            <w:gridSpan w:val="3"/>
            <w:tcBorders>
              <w:top w:val="single" w:sz="8" w:space="0" w:color="0071C5"/>
            </w:tcBorders>
            <w:shd w:val="clear" w:color="auto" w:fill="auto"/>
            <w:tcMar>
              <w:left w:w="20" w:type="dxa"/>
              <w:right w:w="20" w:type="dxa"/>
            </w:tcMar>
            <w:vAlign w:val="bottom"/>
          </w:tcPr>
          <w:p w14:paraId="20AE2C30"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2C31" w14:textId="77777777" w:rsidR="00B626E7" w:rsidRDefault="00175C1D">
            <w:pPr>
              <w:jc w:val="right"/>
              <w:textAlignment w:val="bottom"/>
            </w:pPr>
            <w:r>
              <w:rPr>
                <w:rFonts w:ascii="Arial" w:eastAsia="宋体" w:hAnsi="Arial" w:cs="Arial"/>
                <w:color w:val="333333"/>
                <w:sz w:val="16"/>
                <w:szCs w:val="16"/>
              </w:rPr>
              <w:t>33</w:t>
            </w:r>
          </w:p>
        </w:tc>
      </w:tr>
    </w:tbl>
    <w:p w14:paraId="20AE2C33" w14:textId="77777777" w:rsidR="00B626E7" w:rsidRDefault="00175C1D">
      <w:r>
        <w:pict w14:anchorId="20AE3C90">
          <v:rect id="_x0000_i1059" style="width:415.3pt;height:1.5pt" o:hralign="center" o:hrstd="t" o:hr="t" fillcolor="#a0a0a0" stroked="f"/>
        </w:pict>
      </w:r>
    </w:p>
    <w:p w14:paraId="20AE2C34" w14:textId="77777777" w:rsidR="00B626E7" w:rsidRDefault="00175C1D">
      <w:pPr>
        <w:spacing w:after="180"/>
        <w:jc w:val="right"/>
      </w:pPr>
      <w:hyperlink r:id="rId60" w:anchor="ib035cc8759904e51927d703ec8414366_7" w:history="1">
        <w:r>
          <w:rPr>
            <w:rStyle w:val="a5"/>
            <w:rFonts w:ascii="Arial" w:eastAsia="宋体" w:hAnsi="Arial" w:cs="Arial"/>
            <w:b/>
            <w:bCs/>
            <w:sz w:val="16"/>
            <w:szCs w:val="16"/>
          </w:rPr>
          <w:t>Table of Contents</w:t>
        </w:r>
      </w:hyperlink>
    </w:p>
    <w:p w14:paraId="20AE2C35" w14:textId="77777777" w:rsidR="00B626E7" w:rsidRDefault="00B626E7">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84"/>
        <w:gridCol w:w="8169"/>
        <w:gridCol w:w="83"/>
      </w:tblGrid>
      <w:tr w:rsidR="00B626E7" w14:paraId="20AE2C39" w14:textId="77777777">
        <w:tc>
          <w:tcPr>
            <w:tcW w:w="50" w:type="pct"/>
            <w:shd w:val="clear" w:color="auto" w:fill="auto"/>
          </w:tcPr>
          <w:p w14:paraId="20AE2C36" w14:textId="77777777" w:rsidR="00B626E7" w:rsidRDefault="00B626E7">
            <w:pPr>
              <w:rPr>
                <w:rFonts w:ascii="宋体"/>
              </w:rPr>
            </w:pPr>
          </w:p>
        </w:tc>
        <w:tc>
          <w:tcPr>
            <w:tcW w:w="4900" w:type="pct"/>
            <w:shd w:val="clear" w:color="auto" w:fill="auto"/>
          </w:tcPr>
          <w:p w14:paraId="20AE2C37" w14:textId="77777777" w:rsidR="00B626E7" w:rsidRDefault="00B626E7">
            <w:pPr>
              <w:rPr>
                <w:rFonts w:ascii="宋体"/>
              </w:rPr>
            </w:pPr>
          </w:p>
        </w:tc>
        <w:tc>
          <w:tcPr>
            <w:tcW w:w="50" w:type="pct"/>
            <w:shd w:val="clear" w:color="auto" w:fill="auto"/>
          </w:tcPr>
          <w:p w14:paraId="20AE2C38" w14:textId="77777777" w:rsidR="00B626E7" w:rsidRDefault="00B626E7">
            <w:pPr>
              <w:rPr>
                <w:rFonts w:ascii="宋体"/>
              </w:rPr>
            </w:pPr>
          </w:p>
        </w:tc>
      </w:tr>
      <w:tr w:rsidR="00B626E7" w14:paraId="20AE2C3B" w14:textId="77777777">
        <w:tc>
          <w:tcPr>
            <w:tcW w:w="0" w:type="auto"/>
            <w:gridSpan w:val="3"/>
            <w:tcBorders>
              <w:bottom w:val="single" w:sz="8" w:space="0" w:color="333333"/>
            </w:tcBorders>
            <w:shd w:val="clear" w:color="auto" w:fill="auto"/>
            <w:tcMar>
              <w:top w:w="40" w:type="dxa"/>
              <w:left w:w="20" w:type="dxa"/>
              <w:bottom w:w="40" w:type="dxa"/>
              <w:right w:w="20" w:type="dxa"/>
            </w:tcMar>
            <w:vAlign w:val="bottom"/>
          </w:tcPr>
          <w:p w14:paraId="20AE2C3A" w14:textId="77777777" w:rsidR="00B626E7" w:rsidRDefault="00175C1D">
            <w:pPr>
              <w:textAlignment w:val="bottom"/>
            </w:pPr>
            <w:r>
              <w:rPr>
                <w:rFonts w:ascii="Arial" w:eastAsia="宋体" w:hAnsi="Arial" w:cs="Arial"/>
                <w:b/>
                <w:bCs/>
                <w:color w:val="0071C5"/>
                <w:sz w:val="20"/>
                <w:szCs w:val="20"/>
              </w:rPr>
              <w:t>OPERATING INCOME SUMMARY</w:t>
            </w:r>
          </w:p>
        </w:tc>
      </w:tr>
    </w:tbl>
    <w:p w14:paraId="20AE2C3C" w14:textId="77777777" w:rsidR="00B626E7" w:rsidRDefault="00175C1D">
      <w:pPr>
        <w:spacing w:after="180"/>
      </w:pPr>
      <w:r>
        <w:rPr>
          <w:rFonts w:ascii="Arial" w:eastAsia="宋体" w:hAnsi="Arial" w:cs="Arial"/>
          <w:color w:val="333333"/>
          <w:sz w:val="18"/>
          <w:szCs w:val="18"/>
        </w:rPr>
        <w:t xml:space="preserve">Operating income in Q2 2020 decreased 24% from Q2 </w:t>
      </w:r>
      <w:r>
        <w:rPr>
          <w:rFonts w:ascii="Arial" w:eastAsia="宋体" w:hAnsi="Arial" w:cs="Arial"/>
          <w:color w:val="333333"/>
          <w:sz w:val="18"/>
          <w:szCs w:val="18"/>
        </w:rPr>
        <w:t>2019, with an operating margin of 30%. Operating income YTD 2020 increased 4%, with an operating margin of 37%.</w:t>
      </w:r>
    </w:p>
    <w:tbl>
      <w:tblPr>
        <w:tblW w:w="5000" w:type="pct"/>
        <w:tblCellMar>
          <w:top w:w="15" w:type="dxa"/>
          <w:left w:w="15" w:type="dxa"/>
          <w:bottom w:w="15" w:type="dxa"/>
          <w:right w:w="15" w:type="dxa"/>
        </w:tblCellMar>
        <w:tblLook w:val="04A0" w:firstRow="1" w:lastRow="0" w:firstColumn="1" w:lastColumn="0" w:noHBand="0" w:noVBand="1"/>
      </w:tblPr>
      <w:tblGrid>
        <w:gridCol w:w="137"/>
        <w:gridCol w:w="801"/>
        <w:gridCol w:w="86"/>
        <w:gridCol w:w="36"/>
        <w:gridCol w:w="36"/>
        <w:gridCol w:w="36"/>
        <w:gridCol w:w="43"/>
        <w:gridCol w:w="7100"/>
        <w:gridCol w:w="61"/>
      </w:tblGrid>
      <w:tr w:rsidR="00B626E7" w14:paraId="20AE2C46" w14:textId="77777777">
        <w:tc>
          <w:tcPr>
            <w:tcW w:w="50" w:type="pct"/>
            <w:shd w:val="clear" w:color="auto" w:fill="auto"/>
          </w:tcPr>
          <w:p w14:paraId="20AE2C3D" w14:textId="77777777" w:rsidR="00B626E7" w:rsidRDefault="00B626E7">
            <w:pPr>
              <w:rPr>
                <w:rFonts w:ascii="宋体"/>
              </w:rPr>
            </w:pPr>
          </w:p>
        </w:tc>
        <w:tc>
          <w:tcPr>
            <w:tcW w:w="494" w:type="pct"/>
            <w:shd w:val="clear" w:color="auto" w:fill="auto"/>
          </w:tcPr>
          <w:p w14:paraId="20AE2C3E" w14:textId="77777777" w:rsidR="00B626E7" w:rsidRDefault="00B626E7">
            <w:pPr>
              <w:rPr>
                <w:rFonts w:ascii="宋体"/>
              </w:rPr>
            </w:pPr>
          </w:p>
        </w:tc>
        <w:tc>
          <w:tcPr>
            <w:tcW w:w="50" w:type="pct"/>
            <w:shd w:val="clear" w:color="auto" w:fill="auto"/>
          </w:tcPr>
          <w:p w14:paraId="20AE2C3F" w14:textId="77777777" w:rsidR="00B626E7" w:rsidRDefault="00B626E7">
            <w:pPr>
              <w:rPr>
                <w:rFonts w:ascii="宋体"/>
              </w:rPr>
            </w:pPr>
          </w:p>
        </w:tc>
        <w:tc>
          <w:tcPr>
            <w:tcW w:w="5" w:type="pct"/>
            <w:shd w:val="clear" w:color="auto" w:fill="auto"/>
          </w:tcPr>
          <w:p w14:paraId="20AE2C40" w14:textId="77777777" w:rsidR="00B626E7" w:rsidRDefault="00B626E7">
            <w:pPr>
              <w:rPr>
                <w:rFonts w:ascii="宋体"/>
              </w:rPr>
            </w:pPr>
          </w:p>
        </w:tc>
        <w:tc>
          <w:tcPr>
            <w:tcW w:w="24" w:type="pct"/>
            <w:shd w:val="clear" w:color="auto" w:fill="auto"/>
          </w:tcPr>
          <w:p w14:paraId="20AE2C41" w14:textId="77777777" w:rsidR="00B626E7" w:rsidRDefault="00B626E7">
            <w:pPr>
              <w:rPr>
                <w:rFonts w:ascii="宋体"/>
              </w:rPr>
            </w:pPr>
          </w:p>
        </w:tc>
        <w:tc>
          <w:tcPr>
            <w:tcW w:w="5" w:type="pct"/>
            <w:shd w:val="clear" w:color="auto" w:fill="auto"/>
          </w:tcPr>
          <w:p w14:paraId="20AE2C42" w14:textId="77777777" w:rsidR="00B626E7" w:rsidRDefault="00B626E7">
            <w:pPr>
              <w:rPr>
                <w:rFonts w:ascii="宋体"/>
              </w:rPr>
            </w:pPr>
          </w:p>
        </w:tc>
        <w:tc>
          <w:tcPr>
            <w:tcW w:w="50" w:type="pct"/>
            <w:shd w:val="clear" w:color="auto" w:fill="auto"/>
          </w:tcPr>
          <w:p w14:paraId="20AE2C43" w14:textId="77777777" w:rsidR="00B626E7" w:rsidRDefault="00B626E7">
            <w:pPr>
              <w:rPr>
                <w:rFonts w:ascii="宋体"/>
              </w:rPr>
            </w:pPr>
          </w:p>
        </w:tc>
        <w:tc>
          <w:tcPr>
            <w:tcW w:w="4271" w:type="pct"/>
            <w:shd w:val="clear" w:color="auto" w:fill="auto"/>
          </w:tcPr>
          <w:p w14:paraId="20AE2C44" w14:textId="77777777" w:rsidR="00B626E7" w:rsidRDefault="00B626E7">
            <w:pPr>
              <w:rPr>
                <w:rFonts w:ascii="宋体"/>
              </w:rPr>
            </w:pPr>
          </w:p>
        </w:tc>
        <w:tc>
          <w:tcPr>
            <w:tcW w:w="50" w:type="pct"/>
            <w:shd w:val="clear" w:color="auto" w:fill="auto"/>
          </w:tcPr>
          <w:p w14:paraId="20AE2C45" w14:textId="77777777" w:rsidR="00B626E7" w:rsidRDefault="00B626E7">
            <w:pPr>
              <w:rPr>
                <w:rFonts w:ascii="宋体"/>
              </w:rPr>
            </w:pPr>
          </w:p>
        </w:tc>
      </w:tr>
      <w:tr w:rsidR="00B626E7" w14:paraId="20AE2C4A" w14:textId="77777777">
        <w:tc>
          <w:tcPr>
            <w:tcW w:w="0" w:type="auto"/>
            <w:gridSpan w:val="3"/>
            <w:shd w:val="clear" w:color="auto" w:fill="auto"/>
            <w:tcMar>
              <w:top w:w="40" w:type="dxa"/>
              <w:left w:w="20" w:type="dxa"/>
              <w:bottom w:w="40" w:type="dxa"/>
              <w:right w:w="20" w:type="dxa"/>
            </w:tcMar>
            <w:vAlign w:val="bottom"/>
          </w:tcPr>
          <w:p w14:paraId="20AE2C47" w14:textId="77777777" w:rsidR="00B626E7" w:rsidRDefault="00175C1D">
            <w:pPr>
              <w:textAlignment w:val="bottom"/>
            </w:pPr>
            <w:r>
              <w:rPr>
                <w:rFonts w:ascii="Arial" w:eastAsia="宋体" w:hAnsi="Arial" w:cs="Arial"/>
                <w:b/>
                <w:bCs/>
                <w:color w:val="333333"/>
                <w:sz w:val="18"/>
                <w:szCs w:val="18"/>
              </w:rPr>
              <w:t>(In Millions)</w:t>
            </w:r>
          </w:p>
        </w:tc>
        <w:tc>
          <w:tcPr>
            <w:tcW w:w="0" w:type="auto"/>
            <w:gridSpan w:val="3"/>
            <w:shd w:val="clear" w:color="auto" w:fill="auto"/>
            <w:tcMar>
              <w:left w:w="20" w:type="dxa"/>
              <w:right w:w="20" w:type="dxa"/>
            </w:tcMar>
            <w:vAlign w:val="bottom"/>
          </w:tcPr>
          <w:p w14:paraId="20AE2C48"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C49" w14:textId="77777777" w:rsidR="00B626E7" w:rsidRDefault="00B626E7">
            <w:pPr>
              <w:rPr>
                <w:rFonts w:ascii="宋体"/>
              </w:rPr>
            </w:pPr>
          </w:p>
        </w:tc>
      </w:tr>
      <w:tr w:rsidR="00B626E7" w14:paraId="20AE2C50" w14:textId="77777777">
        <w:tc>
          <w:tcPr>
            <w:tcW w:w="0" w:type="auto"/>
            <w:tcBorders>
              <w:top w:val="single" w:sz="8" w:space="0" w:color="0071C5"/>
            </w:tcBorders>
            <w:shd w:val="clear" w:color="auto" w:fill="auto"/>
            <w:tcMar>
              <w:top w:w="40" w:type="dxa"/>
              <w:left w:w="20" w:type="dxa"/>
              <w:bottom w:w="40" w:type="dxa"/>
            </w:tcMar>
            <w:vAlign w:val="bottom"/>
          </w:tcPr>
          <w:p w14:paraId="20AE2C4B" w14:textId="77777777" w:rsidR="00B626E7" w:rsidRDefault="00175C1D">
            <w:pPr>
              <w:textAlignment w:val="bottom"/>
            </w:pPr>
            <w:r>
              <w:rPr>
                <w:rFonts w:ascii="Arial" w:eastAsia="宋体" w:hAnsi="Arial" w:cs="Arial"/>
                <w:b/>
                <w:bCs/>
                <w:color w:val="0071C5"/>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2C4C" w14:textId="77777777" w:rsidR="00B626E7" w:rsidRDefault="00175C1D">
            <w:pPr>
              <w:jc w:val="right"/>
              <w:textAlignment w:val="bottom"/>
            </w:pPr>
            <w:r>
              <w:rPr>
                <w:rFonts w:ascii="Arial" w:eastAsia="宋体" w:hAnsi="Arial" w:cs="Arial"/>
                <w:b/>
                <w:bCs/>
                <w:color w:val="0071C5"/>
                <w:sz w:val="18"/>
                <w:szCs w:val="18"/>
              </w:rPr>
              <w:t>2,842 </w:t>
            </w:r>
          </w:p>
        </w:tc>
        <w:tc>
          <w:tcPr>
            <w:tcW w:w="0" w:type="auto"/>
            <w:tcBorders>
              <w:top w:val="single" w:sz="8" w:space="0" w:color="0071C5"/>
            </w:tcBorders>
            <w:shd w:val="clear" w:color="auto" w:fill="auto"/>
            <w:tcMar>
              <w:top w:w="40" w:type="dxa"/>
              <w:bottom w:w="40" w:type="dxa"/>
              <w:right w:w="20" w:type="dxa"/>
            </w:tcMar>
            <w:vAlign w:val="bottom"/>
          </w:tcPr>
          <w:p w14:paraId="20AE2C4D"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2C4E"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2C4F" w14:textId="77777777" w:rsidR="00B626E7" w:rsidRDefault="00175C1D">
            <w:pPr>
              <w:textAlignment w:val="bottom"/>
            </w:pPr>
            <w:r>
              <w:rPr>
                <w:rFonts w:ascii="Arial" w:eastAsia="宋体" w:hAnsi="Arial" w:cs="Arial"/>
                <w:b/>
                <w:bCs/>
                <w:color w:val="333333"/>
                <w:sz w:val="18"/>
                <w:szCs w:val="18"/>
              </w:rPr>
              <w:t>Q2 2020 CCG Operating Income</w:t>
            </w:r>
          </w:p>
        </w:tc>
      </w:tr>
      <w:tr w:rsidR="00B626E7" w14:paraId="20AE2C55" w14:textId="77777777">
        <w:tc>
          <w:tcPr>
            <w:tcW w:w="0" w:type="auto"/>
            <w:gridSpan w:val="2"/>
            <w:tcBorders>
              <w:top w:val="single" w:sz="8" w:space="0" w:color="333333"/>
            </w:tcBorders>
            <w:shd w:val="clear" w:color="auto" w:fill="auto"/>
            <w:tcMar>
              <w:top w:w="40" w:type="dxa"/>
              <w:left w:w="20" w:type="dxa"/>
              <w:bottom w:w="40" w:type="dxa"/>
              <w:right w:w="0" w:type="dxa"/>
            </w:tcMar>
          </w:tcPr>
          <w:p w14:paraId="20AE2C51" w14:textId="77777777" w:rsidR="00B626E7" w:rsidRDefault="00175C1D">
            <w:pPr>
              <w:jc w:val="right"/>
              <w:textAlignment w:val="top"/>
            </w:pPr>
            <w:r>
              <w:rPr>
                <w:rFonts w:ascii="Arial" w:eastAsia="宋体" w:hAnsi="Arial" w:cs="Arial"/>
                <w:color w:val="0071C5"/>
                <w:sz w:val="18"/>
                <w:szCs w:val="18"/>
              </w:rPr>
              <w:t>(1,115)</w:t>
            </w:r>
          </w:p>
        </w:tc>
        <w:tc>
          <w:tcPr>
            <w:tcW w:w="0" w:type="auto"/>
            <w:tcBorders>
              <w:top w:val="single" w:sz="8" w:space="0" w:color="333333"/>
            </w:tcBorders>
            <w:shd w:val="clear" w:color="auto" w:fill="auto"/>
            <w:tcMar>
              <w:top w:w="40" w:type="dxa"/>
              <w:bottom w:w="40" w:type="dxa"/>
              <w:right w:w="20" w:type="dxa"/>
            </w:tcMar>
          </w:tcPr>
          <w:p w14:paraId="20AE2C52" w14:textId="77777777" w:rsidR="00B626E7" w:rsidRDefault="00175C1D">
            <w:pPr>
              <w:jc w:val="right"/>
              <w:textAlignment w:val="top"/>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2C53" w14:textId="77777777" w:rsidR="00B626E7" w:rsidRDefault="00B626E7">
            <w:pPr>
              <w:rPr>
                <w:rFonts w:ascii="宋体"/>
              </w:rPr>
            </w:pPr>
          </w:p>
        </w:tc>
        <w:tc>
          <w:tcPr>
            <w:tcW w:w="0" w:type="auto"/>
            <w:gridSpan w:val="3"/>
            <w:tcBorders>
              <w:top w:val="single" w:sz="8" w:space="0" w:color="333333"/>
            </w:tcBorders>
            <w:shd w:val="clear" w:color="auto" w:fill="auto"/>
            <w:tcMar>
              <w:top w:w="40" w:type="dxa"/>
              <w:left w:w="20" w:type="dxa"/>
              <w:bottom w:w="40" w:type="dxa"/>
              <w:right w:w="20" w:type="dxa"/>
            </w:tcMar>
          </w:tcPr>
          <w:p w14:paraId="20AE2C54" w14:textId="77777777" w:rsidR="00B626E7" w:rsidRDefault="00175C1D">
            <w:pPr>
              <w:textAlignment w:val="top"/>
            </w:pPr>
            <w:r>
              <w:rPr>
                <w:rFonts w:ascii="Arial" w:eastAsia="宋体" w:hAnsi="Arial" w:cs="Arial"/>
                <w:color w:val="0071C5"/>
                <w:sz w:val="18"/>
                <w:szCs w:val="18"/>
              </w:rPr>
              <w:t>Higher platform unit cost due to ramp of 10nm products</w:t>
            </w:r>
          </w:p>
        </w:tc>
      </w:tr>
      <w:tr w:rsidR="00B626E7" w14:paraId="20AE2C5A" w14:textId="77777777">
        <w:tc>
          <w:tcPr>
            <w:tcW w:w="0" w:type="auto"/>
            <w:gridSpan w:val="2"/>
            <w:shd w:val="clear" w:color="auto" w:fill="auto"/>
            <w:tcMar>
              <w:top w:w="40" w:type="dxa"/>
              <w:left w:w="20" w:type="dxa"/>
              <w:bottom w:w="40" w:type="dxa"/>
              <w:right w:w="0" w:type="dxa"/>
            </w:tcMar>
          </w:tcPr>
          <w:p w14:paraId="20AE2C56" w14:textId="77777777" w:rsidR="00B626E7" w:rsidRDefault="00175C1D">
            <w:pPr>
              <w:jc w:val="right"/>
              <w:textAlignment w:val="top"/>
            </w:pPr>
            <w:r>
              <w:rPr>
                <w:rFonts w:ascii="Arial" w:eastAsia="宋体" w:hAnsi="Arial" w:cs="Arial"/>
                <w:color w:val="0071C5"/>
                <w:sz w:val="18"/>
                <w:szCs w:val="18"/>
              </w:rPr>
              <w:t>(550)</w:t>
            </w:r>
          </w:p>
        </w:tc>
        <w:tc>
          <w:tcPr>
            <w:tcW w:w="0" w:type="auto"/>
            <w:shd w:val="clear" w:color="auto" w:fill="auto"/>
            <w:tcMar>
              <w:top w:w="40" w:type="dxa"/>
              <w:bottom w:w="40" w:type="dxa"/>
              <w:right w:w="20" w:type="dxa"/>
            </w:tcMar>
          </w:tcPr>
          <w:p w14:paraId="20AE2C57" w14:textId="77777777" w:rsidR="00B626E7" w:rsidRDefault="00175C1D">
            <w:pPr>
              <w:jc w:val="right"/>
              <w:textAlignment w:val="top"/>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2C58"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2C59" w14:textId="77777777" w:rsidR="00B626E7" w:rsidRDefault="00175C1D">
            <w:pPr>
              <w:textAlignment w:val="top"/>
            </w:pPr>
            <w:r>
              <w:rPr>
                <w:rFonts w:ascii="Arial" w:eastAsia="宋体" w:hAnsi="Arial" w:cs="Arial"/>
                <w:color w:val="0071C5"/>
                <w:sz w:val="18"/>
                <w:szCs w:val="18"/>
              </w:rPr>
              <w:t>Higher period charges primarily due to reserved non-qualified platform product related to our 10nm process technology</w:t>
            </w:r>
          </w:p>
        </w:tc>
      </w:tr>
      <w:tr w:rsidR="00B626E7" w14:paraId="20AE2C5F" w14:textId="77777777">
        <w:tc>
          <w:tcPr>
            <w:tcW w:w="0" w:type="auto"/>
            <w:gridSpan w:val="2"/>
            <w:shd w:val="clear" w:color="auto" w:fill="auto"/>
            <w:tcMar>
              <w:top w:w="40" w:type="dxa"/>
              <w:left w:w="20" w:type="dxa"/>
              <w:bottom w:w="40" w:type="dxa"/>
              <w:right w:w="0" w:type="dxa"/>
            </w:tcMar>
          </w:tcPr>
          <w:p w14:paraId="20AE2C5B" w14:textId="77777777" w:rsidR="00B626E7" w:rsidRDefault="00175C1D">
            <w:pPr>
              <w:jc w:val="right"/>
              <w:textAlignment w:val="top"/>
            </w:pPr>
            <w:r>
              <w:rPr>
                <w:rFonts w:ascii="Arial" w:eastAsia="宋体" w:hAnsi="Arial" w:cs="Arial"/>
                <w:color w:val="0071C5"/>
                <w:sz w:val="18"/>
                <w:szCs w:val="18"/>
              </w:rPr>
              <w:t>325 </w:t>
            </w:r>
          </w:p>
        </w:tc>
        <w:tc>
          <w:tcPr>
            <w:tcW w:w="0" w:type="auto"/>
            <w:shd w:val="clear" w:color="auto" w:fill="auto"/>
            <w:tcMar>
              <w:top w:w="40" w:type="dxa"/>
              <w:bottom w:w="40" w:type="dxa"/>
              <w:right w:w="20" w:type="dxa"/>
            </w:tcMar>
          </w:tcPr>
          <w:p w14:paraId="20AE2C5C" w14:textId="77777777" w:rsidR="00B626E7" w:rsidRDefault="00175C1D">
            <w:pPr>
              <w:jc w:val="right"/>
              <w:textAlignment w:val="top"/>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2C5D"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2C5E" w14:textId="77777777" w:rsidR="00B626E7" w:rsidRDefault="00175C1D">
            <w:pPr>
              <w:textAlignment w:val="top"/>
            </w:pPr>
            <w:r>
              <w:rPr>
                <w:rFonts w:ascii="Arial" w:eastAsia="宋体" w:hAnsi="Arial" w:cs="Arial"/>
                <w:color w:val="0071C5"/>
                <w:sz w:val="18"/>
                <w:szCs w:val="18"/>
              </w:rPr>
              <w:t>Higher gross margin from platform revenue</w:t>
            </w:r>
          </w:p>
        </w:tc>
      </w:tr>
      <w:tr w:rsidR="00B626E7" w14:paraId="20AE2C64" w14:textId="77777777">
        <w:tc>
          <w:tcPr>
            <w:tcW w:w="0" w:type="auto"/>
            <w:gridSpan w:val="2"/>
            <w:shd w:val="clear" w:color="auto" w:fill="auto"/>
            <w:tcMar>
              <w:top w:w="40" w:type="dxa"/>
              <w:left w:w="20" w:type="dxa"/>
              <w:bottom w:w="40" w:type="dxa"/>
              <w:right w:w="0" w:type="dxa"/>
            </w:tcMar>
          </w:tcPr>
          <w:p w14:paraId="20AE2C60" w14:textId="77777777" w:rsidR="00B626E7" w:rsidRDefault="00175C1D">
            <w:pPr>
              <w:jc w:val="right"/>
              <w:textAlignment w:val="top"/>
            </w:pPr>
            <w:r>
              <w:rPr>
                <w:rFonts w:ascii="Arial" w:eastAsia="宋体" w:hAnsi="Arial" w:cs="Arial"/>
                <w:color w:val="0071C5"/>
                <w:sz w:val="18"/>
                <w:szCs w:val="18"/>
              </w:rPr>
              <w:t>285 </w:t>
            </w:r>
          </w:p>
        </w:tc>
        <w:tc>
          <w:tcPr>
            <w:tcW w:w="0" w:type="auto"/>
            <w:shd w:val="clear" w:color="auto" w:fill="auto"/>
            <w:tcMar>
              <w:top w:w="40" w:type="dxa"/>
              <w:bottom w:w="40" w:type="dxa"/>
              <w:right w:w="20" w:type="dxa"/>
            </w:tcMar>
          </w:tcPr>
          <w:p w14:paraId="20AE2C61" w14:textId="77777777" w:rsidR="00B626E7" w:rsidRDefault="00175C1D">
            <w:pPr>
              <w:jc w:val="right"/>
              <w:textAlignment w:val="top"/>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2C62"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2C63" w14:textId="77777777" w:rsidR="00B626E7" w:rsidRDefault="00175C1D">
            <w:pPr>
              <w:textAlignment w:val="top"/>
            </w:pPr>
            <w:r>
              <w:rPr>
                <w:rFonts w:ascii="Arial" w:eastAsia="宋体" w:hAnsi="Arial" w:cs="Arial"/>
                <w:color w:val="0071C5"/>
                <w:sz w:val="18"/>
                <w:szCs w:val="18"/>
              </w:rPr>
              <w:t>Lower operating expenses driven by lower investment in modem</w:t>
            </w:r>
          </w:p>
        </w:tc>
      </w:tr>
      <w:tr w:rsidR="00B626E7" w14:paraId="20AE2C69" w14:textId="77777777">
        <w:tc>
          <w:tcPr>
            <w:tcW w:w="0" w:type="auto"/>
            <w:gridSpan w:val="2"/>
            <w:shd w:val="clear" w:color="auto" w:fill="auto"/>
            <w:tcMar>
              <w:top w:w="40" w:type="dxa"/>
              <w:left w:w="20" w:type="dxa"/>
              <w:bottom w:w="40" w:type="dxa"/>
              <w:right w:w="0" w:type="dxa"/>
            </w:tcMar>
          </w:tcPr>
          <w:p w14:paraId="20AE2C65" w14:textId="77777777" w:rsidR="00B626E7" w:rsidRDefault="00175C1D">
            <w:pPr>
              <w:jc w:val="right"/>
              <w:textAlignment w:val="top"/>
            </w:pPr>
            <w:r>
              <w:rPr>
                <w:rFonts w:ascii="Arial" w:eastAsia="宋体" w:hAnsi="Arial" w:cs="Arial"/>
                <w:color w:val="0071C5"/>
                <w:sz w:val="18"/>
                <w:szCs w:val="18"/>
              </w:rPr>
              <w:t>205 </w:t>
            </w:r>
          </w:p>
        </w:tc>
        <w:tc>
          <w:tcPr>
            <w:tcW w:w="0" w:type="auto"/>
            <w:shd w:val="clear" w:color="auto" w:fill="auto"/>
            <w:tcMar>
              <w:top w:w="40" w:type="dxa"/>
              <w:bottom w:w="40" w:type="dxa"/>
              <w:right w:w="20" w:type="dxa"/>
            </w:tcMar>
          </w:tcPr>
          <w:p w14:paraId="20AE2C66" w14:textId="77777777" w:rsidR="00B626E7" w:rsidRDefault="00175C1D">
            <w:pPr>
              <w:jc w:val="right"/>
              <w:textAlignment w:val="top"/>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2C67"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2C68" w14:textId="77777777" w:rsidR="00B626E7" w:rsidRDefault="00175C1D">
            <w:pPr>
              <w:textAlignment w:val="top"/>
            </w:pPr>
            <w:r>
              <w:rPr>
                <w:rFonts w:ascii="Arial" w:eastAsia="宋体" w:hAnsi="Arial" w:cs="Arial"/>
                <w:color w:val="0071C5"/>
                <w:sz w:val="18"/>
                <w:szCs w:val="18"/>
              </w:rPr>
              <w:t>Higher CCG adjacency product margin</w:t>
            </w:r>
          </w:p>
        </w:tc>
      </w:tr>
      <w:tr w:rsidR="00B626E7" w14:paraId="20AE2C6D" w14:textId="77777777">
        <w:trPr>
          <w:hidden/>
        </w:trPr>
        <w:tc>
          <w:tcPr>
            <w:tcW w:w="0" w:type="auto"/>
            <w:gridSpan w:val="3"/>
            <w:shd w:val="clear" w:color="auto" w:fill="auto"/>
          </w:tcPr>
          <w:p w14:paraId="20AE2C6A" w14:textId="77777777" w:rsidR="00B626E7" w:rsidRDefault="00B626E7">
            <w:pPr>
              <w:rPr>
                <w:rFonts w:ascii="宋体"/>
                <w:vanish/>
              </w:rPr>
            </w:pPr>
          </w:p>
        </w:tc>
        <w:tc>
          <w:tcPr>
            <w:tcW w:w="0" w:type="auto"/>
            <w:gridSpan w:val="3"/>
            <w:shd w:val="clear" w:color="auto" w:fill="auto"/>
          </w:tcPr>
          <w:p w14:paraId="20AE2C6B" w14:textId="77777777" w:rsidR="00B626E7" w:rsidRDefault="00B626E7">
            <w:pPr>
              <w:rPr>
                <w:rFonts w:ascii="宋体"/>
                <w:vanish/>
              </w:rPr>
            </w:pPr>
          </w:p>
        </w:tc>
        <w:tc>
          <w:tcPr>
            <w:tcW w:w="0" w:type="auto"/>
            <w:gridSpan w:val="3"/>
            <w:shd w:val="clear" w:color="auto" w:fill="auto"/>
          </w:tcPr>
          <w:p w14:paraId="20AE2C6C" w14:textId="77777777" w:rsidR="00B626E7" w:rsidRDefault="00B626E7">
            <w:pPr>
              <w:rPr>
                <w:rFonts w:ascii="宋体"/>
                <w:vanish/>
              </w:rPr>
            </w:pPr>
          </w:p>
        </w:tc>
      </w:tr>
      <w:tr w:rsidR="00B626E7" w14:paraId="20AE2C71" w14:textId="77777777">
        <w:trPr>
          <w:hidden/>
        </w:trPr>
        <w:tc>
          <w:tcPr>
            <w:tcW w:w="0" w:type="auto"/>
            <w:gridSpan w:val="3"/>
            <w:shd w:val="clear" w:color="auto" w:fill="auto"/>
          </w:tcPr>
          <w:p w14:paraId="20AE2C6E" w14:textId="77777777" w:rsidR="00B626E7" w:rsidRDefault="00B626E7">
            <w:pPr>
              <w:rPr>
                <w:rFonts w:ascii="宋体"/>
                <w:vanish/>
              </w:rPr>
            </w:pPr>
          </w:p>
        </w:tc>
        <w:tc>
          <w:tcPr>
            <w:tcW w:w="0" w:type="auto"/>
            <w:gridSpan w:val="3"/>
            <w:shd w:val="clear" w:color="auto" w:fill="auto"/>
          </w:tcPr>
          <w:p w14:paraId="20AE2C6F" w14:textId="77777777" w:rsidR="00B626E7" w:rsidRDefault="00B626E7">
            <w:pPr>
              <w:rPr>
                <w:rFonts w:ascii="宋体"/>
                <w:vanish/>
              </w:rPr>
            </w:pPr>
          </w:p>
        </w:tc>
        <w:tc>
          <w:tcPr>
            <w:tcW w:w="0" w:type="auto"/>
            <w:gridSpan w:val="3"/>
            <w:shd w:val="clear" w:color="auto" w:fill="auto"/>
          </w:tcPr>
          <w:p w14:paraId="20AE2C70" w14:textId="77777777" w:rsidR="00B626E7" w:rsidRDefault="00B626E7">
            <w:pPr>
              <w:rPr>
                <w:rFonts w:ascii="宋体"/>
                <w:vanish/>
              </w:rPr>
            </w:pPr>
          </w:p>
        </w:tc>
      </w:tr>
      <w:tr w:rsidR="00B626E7" w14:paraId="20AE2C75" w14:textId="77777777">
        <w:trPr>
          <w:hidden/>
        </w:trPr>
        <w:tc>
          <w:tcPr>
            <w:tcW w:w="0" w:type="auto"/>
            <w:gridSpan w:val="3"/>
            <w:shd w:val="clear" w:color="auto" w:fill="auto"/>
          </w:tcPr>
          <w:p w14:paraId="20AE2C72" w14:textId="77777777" w:rsidR="00B626E7" w:rsidRDefault="00B626E7">
            <w:pPr>
              <w:rPr>
                <w:rFonts w:ascii="宋体"/>
                <w:vanish/>
              </w:rPr>
            </w:pPr>
          </w:p>
        </w:tc>
        <w:tc>
          <w:tcPr>
            <w:tcW w:w="0" w:type="auto"/>
            <w:gridSpan w:val="3"/>
            <w:shd w:val="clear" w:color="auto" w:fill="auto"/>
          </w:tcPr>
          <w:p w14:paraId="20AE2C73" w14:textId="77777777" w:rsidR="00B626E7" w:rsidRDefault="00B626E7">
            <w:pPr>
              <w:rPr>
                <w:rFonts w:ascii="宋体"/>
                <w:vanish/>
              </w:rPr>
            </w:pPr>
          </w:p>
        </w:tc>
        <w:tc>
          <w:tcPr>
            <w:tcW w:w="0" w:type="auto"/>
            <w:gridSpan w:val="3"/>
            <w:shd w:val="clear" w:color="auto" w:fill="auto"/>
          </w:tcPr>
          <w:p w14:paraId="20AE2C74" w14:textId="77777777" w:rsidR="00B626E7" w:rsidRDefault="00B626E7">
            <w:pPr>
              <w:rPr>
                <w:rFonts w:ascii="宋体"/>
                <w:vanish/>
              </w:rPr>
            </w:pPr>
          </w:p>
        </w:tc>
      </w:tr>
      <w:tr w:rsidR="00B626E7" w14:paraId="20AE2C79" w14:textId="77777777">
        <w:trPr>
          <w:hidden/>
        </w:trPr>
        <w:tc>
          <w:tcPr>
            <w:tcW w:w="0" w:type="auto"/>
            <w:gridSpan w:val="3"/>
            <w:shd w:val="clear" w:color="auto" w:fill="auto"/>
          </w:tcPr>
          <w:p w14:paraId="20AE2C76" w14:textId="77777777" w:rsidR="00B626E7" w:rsidRDefault="00B626E7">
            <w:pPr>
              <w:rPr>
                <w:rFonts w:ascii="宋体"/>
                <w:vanish/>
              </w:rPr>
            </w:pPr>
          </w:p>
        </w:tc>
        <w:tc>
          <w:tcPr>
            <w:tcW w:w="0" w:type="auto"/>
            <w:gridSpan w:val="3"/>
            <w:shd w:val="clear" w:color="auto" w:fill="auto"/>
          </w:tcPr>
          <w:p w14:paraId="20AE2C77" w14:textId="77777777" w:rsidR="00B626E7" w:rsidRDefault="00B626E7">
            <w:pPr>
              <w:rPr>
                <w:rFonts w:ascii="宋体"/>
                <w:vanish/>
              </w:rPr>
            </w:pPr>
          </w:p>
        </w:tc>
        <w:tc>
          <w:tcPr>
            <w:tcW w:w="0" w:type="auto"/>
            <w:gridSpan w:val="3"/>
            <w:shd w:val="clear" w:color="auto" w:fill="auto"/>
          </w:tcPr>
          <w:p w14:paraId="20AE2C78" w14:textId="77777777" w:rsidR="00B626E7" w:rsidRDefault="00B626E7">
            <w:pPr>
              <w:rPr>
                <w:rFonts w:ascii="宋体"/>
                <w:vanish/>
              </w:rPr>
            </w:pPr>
          </w:p>
        </w:tc>
      </w:tr>
      <w:tr w:rsidR="00B626E7" w14:paraId="20AE2C7D" w14:textId="77777777">
        <w:trPr>
          <w:hidden/>
        </w:trPr>
        <w:tc>
          <w:tcPr>
            <w:tcW w:w="0" w:type="auto"/>
            <w:gridSpan w:val="3"/>
            <w:shd w:val="clear" w:color="auto" w:fill="auto"/>
          </w:tcPr>
          <w:p w14:paraId="20AE2C7A" w14:textId="77777777" w:rsidR="00B626E7" w:rsidRDefault="00B626E7">
            <w:pPr>
              <w:rPr>
                <w:rFonts w:ascii="宋体"/>
                <w:vanish/>
              </w:rPr>
            </w:pPr>
          </w:p>
        </w:tc>
        <w:tc>
          <w:tcPr>
            <w:tcW w:w="0" w:type="auto"/>
            <w:gridSpan w:val="3"/>
            <w:shd w:val="clear" w:color="auto" w:fill="auto"/>
          </w:tcPr>
          <w:p w14:paraId="20AE2C7B" w14:textId="77777777" w:rsidR="00B626E7" w:rsidRDefault="00B626E7">
            <w:pPr>
              <w:rPr>
                <w:rFonts w:ascii="宋体"/>
                <w:vanish/>
              </w:rPr>
            </w:pPr>
          </w:p>
        </w:tc>
        <w:tc>
          <w:tcPr>
            <w:tcW w:w="0" w:type="auto"/>
            <w:gridSpan w:val="3"/>
            <w:shd w:val="clear" w:color="auto" w:fill="auto"/>
          </w:tcPr>
          <w:p w14:paraId="20AE2C7C" w14:textId="77777777" w:rsidR="00B626E7" w:rsidRDefault="00B626E7">
            <w:pPr>
              <w:rPr>
                <w:rFonts w:ascii="宋体"/>
                <w:vanish/>
              </w:rPr>
            </w:pPr>
          </w:p>
        </w:tc>
      </w:tr>
      <w:tr w:rsidR="00B626E7" w14:paraId="20AE2C81" w14:textId="77777777">
        <w:trPr>
          <w:hidden/>
        </w:trPr>
        <w:tc>
          <w:tcPr>
            <w:tcW w:w="0" w:type="auto"/>
            <w:gridSpan w:val="3"/>
            <w:shd w:val="clear" w:color="auto" w:fill="auto"/>
          </w:tcPr>
          <w:p w14:paraId="20AE2C7E" w14:textId="77777777" w:rsidR="00B626E7" w:rsidRDefault="00B626E7">
            <w:pPr>
              <w:rPr>
                <w:rFonts w:ascii="宋体"/>
                <w:vanish/>
              </w:rPr>
            </w:pPr>
          </w:p>
        </w:tc>
        <w:tc>
          <w:tcPr>
            <w:tcW w:w="0" w:type="auto"/>
            <w:gridSpan w:val="3"/>
            <w:shd w:val="clear" w:color="auto" w:fill="auto"/>
          </w:tcPr>
          <w:p w14:paraId="20AE2C7F" w14:textId="77777777" w:rsidR="00B626E7" w:rsidRDefault="00B626E7">
            <w:pPr>
              <w:rPr>
                <w:rFonts w:ascii="宋体"/>
                <w:vanish/>
              </w:rPr>
            </w:pPr>
          </w:p>
        </w:tc>
        <w:tc>
          <w:tcPr>
            <w:tcW w:w="0" w:type="auto"/>
            <w:gridSpan w:val="3"/>
            <w:shd w:val="clear" w:color="auto" w:fill="auto"/>
          </w:tcPr>
          <w:p w14:paraId="20AE2C80" w14:textId="77777777" w:rsidR="00B626E7" w:rsidRDefault="00B626E7">
            <w:pPr>
              <w:rPr>
                <w:rFonts w:ascii="宋体"/>
                <w:vanish/>
              </w:rPr>
            </w:pPr>
          </w:p>
        </w:tc>
      </w:tr>
      <w:tr w:rsidR="00B626E7" w14:paraId="20AE2C86" w14:textId="77777777">
        <w:tc>
          <w:tcPr>
            <w:tcW w:w="0" w:type="auto"/>
            <w:gridSpan w:val="2"/>
            <w:shd w:val="clear" w:color="auto" w:fill="auto"/>
            <w:tcMar>
              <w:top w:w="40" w:type="dxa"/>
              <w:left w:w="20" w:type="dxa"/>
              <w:bottom w:w="40" w:type="dxa"/>
              <w:right w:w="0" w:type="dxa"/>
            </w:tcMar>
          </w:tcPr>
          <w:p w14:paraId="20AE2C82" w14:textId="77777777" w:rsidR="00B626E7" w:rsidRDefault="00175C1D">
            <w:pPr>
              <w:jc w:val="right"/>
              <w:textAlignment w:val="top"/>
            </w:pPr>
            <w:r>
              <w:rPr>
                <w:rFonts w:ascii="Arial" w:eastAsia="宋体" w:hAnsi="Arial" w:cs="Arial"/>
                <w:color w:val="0071C5"/>
                <w:sz w:val="18"/>
                <w:szCs w:val="18"/>
              </w:rPr>
              <w:t>(45)</w:t>
            </w:r>
          </w:p>
        </w:tc>
        <w:tc>
          <w:tcPr>
            <w:tcW w:w="0" w:type="auto"/>
            <w:shd w:val="clear" w:color="auto" w:fill="auto"/>
            <w:tcMar>
              <w:top w:w="40" w:type="dxa"/>
              <w:bottom w:w="40" w:type="dxa"/>
              <w:right w:w="20" w:type="dxa"/>
            </w:tcMar>
          </w:tcPr>
          <w:p w14:paraId="20AE2C83" w14:textId="77777777" w:rsidR="00B626E7" w:rsidRDefault="00175C1D">
            <w:pPr>
              <w:jc w:val="right"/>
              <w:textAlignment w:val="top"/>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2C84"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2C85" w14:textId="77777777" w:rsidR="00B626E7" w:rsidRDefault="00175C1D">
            <w:pPr>
              <w:textAlignment w:val="top"/>
            </w:pPr>
            <w:r>
              <w:rPr>
                <w:rFonts w:ascii="Arial" w:eastAsia="宋体" w:hAnsi="Arial" w:cs="Arial"/>
                <w:color w:val="0071C5"/>
                <w:sz w:val="18"/>
                <w:szCs w:val="18"/>
              </w:rPr>
              <w:t>Other</w:t>
            </w:r>
          </w:p>
        </w:tc>
      </w:tr>
      <w:tr w:rsidR="00B626E7" w14:paraId="20AE2C8C" w14:textId="77777777">
        <w:tc>
          <w:tcPr>
            <w:tcW w:w="0" w:type="auto"/>
            <w:tcBorders>
              <w:top w:val="single" w:sz="8" w:space="0" w:color="333333"/>
            </w:tcBorders>
            <w:shd w:val="clear" w:color="auto" w:fill="auto"/>
            <w:tcMar>
              <w:top w:w="40" w:type="dxa"/>
              <w:left w:w="20" w:type="dxa"/>
              <w:bottom w:w="40" w:type="dxa"/>
            </w:tcMar>
            <w:vAlign w:val="bottom"/>
          </w:tcPr>
          <w:p w14:paraId="20AE2C87"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20AE2C88" w14:textId="77777777" w:rsidR="00B626E7" w:rsidRDefault="00175C1D">
            <w:pPr>
              <w:jc w:val="right"/>
              <w:textAlignment w:val="bottom"/>
            </w:pPr>
            <w:r>
              <w:rPr>
                <w:rFonts w:ascii="Arial" w:eastAsia="宋体" w:hAnsi="Arial" w:cs="Arial"/>
                <w:b/>
                <w:bCs/>
                <w:color w:val="333333"/>
                <w:sz w:val="18"/>
                <w:szCs w:val="18"/>
              </w:rPr>
              <w:t>3,737 </w:t>
            </w:r>
          </w:p>
        </w:tc>
        <w:tc>
          <w:tcPr>
            <w:tcW w:w="0" w:type="auto"/>
            <w:tcBorders>
              <w:top w:val="single" w:sz="8" w:space="0" w:color="333333"/>
            </w:tcBorders>
            <w:shd w:val="clear" w:color="auto" w:fill="auto"/>
            <w:tcMar>
              <w:top w:w="40" w:type="dxa"/>
              <w:bottom w:w="40" w:type="dxa"/>
              <w:right w:w="20" w:type="dxa"/>
            </w:tcMar>
            <w:vAlign w:val="bottom"/>
          </w:tcPr>
          <w:p w14:paraId="20AE2C89"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2C8A" w14:textId="77777777" w:rsidR="00B626E7" w:rsidRDefault="00B626E7">
            <w:pPr>
              <w:rPr>
                <w:rFonts w:ascii="宋体"/>
              </w:rPr>
            </w:pPr>
          </w:p>
        </w:tc>
        <w:tc>
          <w:tcPr>
            <w:tcW w:w="0" w:type="auto"/>
            <w:gridSpan w:val="3"/>
            <w:tcBorders>
              <w:top w:val="single" w:sz="8" w:space="0" w:color="333333"/>
            </w:tcBorders>
            <w:shd w:val="clear" w:color="auto" w:fill="auto"/>
            <w:tcMar>
              <w:top w:w="40" w:type="dxa"/>
              <w:left w:w="20" w:type="dxa"/>
              <w:bottom w:w="40" w:type="dxa"/>
              <w:right w:w="20" w:type="dxa"/>
            </w:tcMar>
            <w:vAlign w:val="bottom"/>
          </w:tcPr>
          <w:p w14:paraId="20AE2C8B" w14:textId="77777777" w:rsidR="00B626E7" w:rsidRDefault="00175C1D">
            <w:pPr>
              <w:textAlignment w:val="bottom"/>
            </w:pPr>
            <w:r>
              <w:rPr>
                <w:rFonts w:ascii="Arial" w:eastAsia="宋体" w:hAnsi="Arial" w:cs="Arial"/>
                <w:b/>
                <w:bCs/>
                <w:color w:val="333333"/>
                <w:sz w:val="18"/>
                <w:szCs w:val="18"/>
              </w:rPr>
              <w:t>Q2 2019 CCG Operating Income</w:t>
            </w:r>
          </w:p>
        </w:tc>
      </w:tr>
      <w:tr w:rsidR="00B626E7" w14:paraId="20AE2C90" w14:textId="77777777">
        <w:trPr>
          <w:trHeight w:val="160"/>
        </w:trPr>
        <w:tc>
          <w:tcPr>
            <w:tcW w:w="0" w:type="auto"/>
            <w:gridSpan w:val="3"/>
            <w:tcBorders>
              <w:top w:val="single" w:sz="8" w:space="0" w:color="333333"/>
            </w:tcBorders>
            <w:shd w:val="clear" w:color="auto" w:fill="auto"/>
            <w:tcMar>
              <w:left w:w="20" w:type="dxa"/>
              <w:right w:w="20" w:type="dxa"/>
            </w:tcMar>
            <w:vAlign w:val="bottom"/>
          </w:tcPr>
          <w:p w14:paraId="20AE2C8D"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C8E" w14:textId="77777777" w:rsidR="00B626E7" w:rsidRDefault="00B626E7">
            <w:pPr>
              <w:rPr>
                <w:rFonts w:ascii="宋体"/>
              </w:rPr>
            </w:pPr>
          </w:p>
        </w:tc>
        <w:tc>
          <w:tcPr>
            <w:tcW w:w="0" w:type="auto"/>
            <w:gridSpan w:val="3"/>
            <w:tcBorders>
              <w:top w:val="single" w:sz="8" w:space="0" w:color="333333"/>
            </w:tcBorders>
            <w:shd w:val="clear" w:color="auto" w:fill="auto"/>
            <w:tcMar>
              <w:left w:w="20" w:type="dxa"/>
              <w:right w:w="20" w:type="dxa"/>
            </w:tcMar>
            <w:vAlign w:val="bottom"/>
          </w:tcPr>
          <w:p w14:paraId="20AE2C8F" w14:textId="77777777" w:rsidR="00B626E7" w:rsidRDefault="00B626E7">
            <w:pPr>
              <w:rPr>
                <w:rFonts w:ascii="宋体"/>
              </w:rPr>
            </w:pPr>
          </w:p>
        </w:tc>
      </w:tr>
      <w:tr w:rsidR="00B626E7" w14:paraId="20AE2C96" w14:textId="77777777">
        <w:tc>
          <w:tcPr>
            <w:tcW w:w="0" w:type="auto"/>
            <w:tcBorders>
              <w:top w:val="single" w:sz="8" w:space="0" w:color="333333"/>
            </w:tcBorders>
            <w:shd w:val="clear" w:color="auto" w:fill="auto"/>
            <w:tcMar>
              <w:top w:w="40" w:type="dxa"/>
              <w:left w:w="20" w:type="dxa"/>
              <w:bottom w:w="40" w:type="dxa"/>
            </w:tcMar>
            <w:vAlign w:val="bottom"/>
          </w:tcPr>
          <w:p w14:paraId="20AE2C91" w14:textId="77777777" w:rsidR="00B626E7" w:rsidRDefault="00175C1D">
            <w:pPr>
              <w:textAlignment w:val="bottom"/>
            </w:pPr>
            <w:r>
              <w:rPr>
                <w:rFonts w:ascii="Arial" w:eastAsia="宋体" w:hAnsi="Arial" w:cs="Arial"/>
                <w:b/>
                <w:bCs/>
                <w:color w:val="0071C5"/>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20AE2C92" w14:textId="77777777" w:rsidR="00B626E7" w:rsidRDefault="00175C1D">
            <w:pPr>
              <w:jc w:val="right"/>
              <w:textAlignment w:val="bottom"/>
            </w:pPr>
            <w:r>
              <w:rPr>
                <w:rFonts w:ascii="Arial" w:eastAsia="宋体" w:hAnsi="Arial" w:cs="Arial"/>
                <w:b/>
                <w:bCs/>
                <w:color w:val="0071C5"/>
                <w:sz w:val="18"/>
                <w:szCs w:val="18"/>
              </w:rPr>
              <w:t>7,067 </w:t>
            </w:r>
          </w:p>
        </w:tc>
        <w:tc>
          <w:tcPr>
            <w:tcW w:w="0" w:type="auto"/>
            <w:tcBorders>
              <w:top w:val="single" w:sz="8" w:space="0" w:color="333333"/>
            </w:tcBorders>
            <w:shd w:val="clear" w:color="auto" w:fill="auto"/>
            <w:tcMar>
              <w:top w:w="40" w:type="dxa"/>
              <w:bottom w:w="40" w:type="dxa"/>
              <w:right w:w="20" w:type="dxa"/>
            </w:tcMar>
            <w:vAlign w:val="bottom"/>
          </w:tcPr>
          <w:p w14:paraId="20AE2C93"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2C94" w14:textId="77777777" w:rsidR="00B626E7" w:rsidRDefault="00B626E7">
            <w:pPr>
              <w:rPr>
                <w:rFonts w:ascii="宋体"/>
              </w:rPr>
            </w:pPr>
          </w:p>
        </w:tc>
        <w:tc>
          <w:tcPr>
            <w:tcW w:w="0" w:type="auto"/>
            <w:gridSpan w:val="3"/>
            <w:tcBorders>
              <w:top w:val="single" w:sz="8" w:space="0" w:color="333333"/>
            </w:tcBorders>
            <w:shd w:val="clear" w:color="auto" w:fill="auto"/>
            <w:tcMar>
              <w:top w:w="40" w:type="dxa"/>
              <w:left w:w="20" w:type="dxa"/>
              <w:bottom w:w="40" w:type="dxa"/>
              <w:right w:w="20" w:type="dxa"/>
            </w:tcMar>
            <w:vAlign w:val="bottom"/>
          </w:tcPr>
          <w:p w14:paraId="20AE2C95" w14:textId="77777777" w:rsidR="00B626E7" w:rsidRDefault="00175C1D">
            <w:pPr>
              <w:textAlignment w:val="bottom"/>
            </w:pPr>
            <w:r>
              <w:rPr>
                <w:rFonts w:ascii="Arial" w:eastAsia="宋体" w:hAnsi="Arial" w:cs="Arial"/>
                <w:b/>
                <w:bCs/>
                <w:color w:val="333333"/>
                <w:sz w:val="18"/>
                <w:szCs w:val="18"/>
              </w:rPr>
              <w:t>YTD 2020 CCG Operating Income</w:t>
            </w:r>
          </w:p>
        </w:tc>
      </w:tr>
      <w:tr w:rsidR="00B626E7" w14:paraId="20AE2C9B" w14:textId="77777777">
        <w:tc>
          <w:tcPr>
            <w:tcW w:w="0" w:type="auto"/>
            <w:gridSpan w:val="2"/>
            <w:tcBorders>
              <w:top w:val="single" w:sz="8" w:space="0" w:color="333333"/>
            </w:tcBorders>
            <w:shd w:val="clear" w:color="auto" w:fill="auto"/>
            <w:tcMar>
              <w:top w:w="40" w:type="dxa"/>
              <w:left w:w="20" w:type="dxa"/>
              <w:bottom w:w="40" w:type="dxa"/>
              <w:right w:w="0" w:type="dxa"/>
            </w:tcMar>
          </w:tcPr>
          <w:p w14:paraId="20AE2C97" w14:textId="77777777" w:rsidR="00B626E7" w:rsidRDefault="00175C1D">
            <w:pPr>
              <w:jc w:val="right"/>
              <w:textAlignment w:val="top"/>
            </w:pPr>
            <w:r>
              <w:rPr>
                <w:rFonts w:ascii="Arial" w:eastAsia="宋体" w:hAnsi="Arial" w:cs="Arial"/>
                <w:color w:val="0071C5"/>
                <w:sz w:val="18"/>
                <w:szCs w:val="18"/>
              </w:rPr>
              <w:t>1,040 </w:t>
            </w:r>
          </w:p>
        </w:tc>
        <w:tc>
          <w:tcPr>
            <w:tcW w:w="0" w:type="auto"/>
            <w:tcBorders>
              <w:top w:val="single" w:sz="8" w:space="0" w:color="333333"/>
            </w:tcBorders>
            <w:shd w:val="clear" w:color="auto" w:fill="auto"/>
            <w:tcMar>
              <w:top w:w="40" w:type="dxa"/>
              <w:bottom w:w="40" w:type="dxa"/>
              <w:right w:w="20" w:type="dxa"/>
            </w:tcMar>
          </w:tcPr>
          <w:p w14:paraId="20AE2C98" w14:textId="77777777" w:rsidR="00B626E7" w:rsidRDefault="00175C1D">
            <w:pPr>
              <w:jc w:val="right"/>
              <w:textAlignment w:val="top"/>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2C99" w14:textId="77777777" w:rsidR="00B626E7" w:rsidRDefault="00B626E7">
            <w:pPr>
              <w:rPr>
                <w:rFonts w:ascii="宋体"/>
              </w:rPr>
            </w:pPr>
          </w:p>
        </w:tc>
        <w:tc>
          <w:tcPr>
            <w:tcW w:w="0" w:type="auto"/>
            <w:gridSpan w:val="3"/>
            <w:tcBorders>
              <w:top w:val="single" w:sz="8" w:space="0" w:color="333333"/>
            </w:tcBorders>
            <w:shd w:val="clear" w:color="auto" w:fill="auto"/>
            <w:tcMar>
              <w:top w:w="40" w:type="dxa"/>
              <w:left w:w="20" w:type="dxa"/>
              <w:bottom w:w="40" w:type="dxa"/>
              <w:right w:w="20" w:type="dxa"/>
            </w:tcMar>
          </w:tcPr>
          <w:p w14:paraId="20AE2C9A" w14:textId="77777777" w:rsidR="00B626E7" w:rsidRDefault="00175C1D">
            <w:pPr>
              <w:textAlignment w:val="top"/>
            </w:pPr>
            <w:r>
              <w:rPr>
                <w:rFonts w:ascii="Arial" w:eastAsia="宋体" w:hAnsi="Arial" w:cs="Arial"/>
                <w:color w:val="0071C5"/>
                <w:sz w:val="18"/>
                <w:szCs w:val="18"/>
              </w:rPr>
              <w:t>Higher gross margin from platform revenue</w:t>
            </w:r>
          </w:p>
        </w:tc>
      </w:tr>
      <w:tr w:rsidR="00B626E7" w14:paraId="20AE2CA0" w14:textId="77777777">
        <w:tc>
          <w:tcPr>
            <w:tcW w:w="0" w:type="auto"/>
            <w:gridSpan w:val="2"/>
            <w:shd w:val="clear" w:color="auto" w:fill="auto"/>
            <w:tcMar>
              <w:top w:w="40" w:type="dxa"/>
              <w:left w:w="20" w:type="dxa"/>
              <w:bottom w:w="40" w:type="dxa"/>
              <w:right w:w="0" w:type="dxa"/>
            </w:tcMar>
          </w:tcPr>
          <w:p w14:paraId="20AE2C9C" w14:textId="77777777" w:rsidR="00B626E7" w:rsidRDefault="00175C1D">
            <w:pPr>
              <w:jc w:val="right"/>
              <w:textAlignment w:val="top"/>
            </w:pPr>
            <w:r>
              <w:rPr>
                <w:rFonts w:ascii="Arial" w:eastAsia="宋体" w:hAnsi="Arial" w:cs="Arial"/>
                <w:color w:val="0071C5"/>
                <w:sz w:val="18"/>
                <w:szCs w:val="18"/>
              </w:rPr>
              <w:t>590 </w:t>
            </w:r>
          </w:p>
        </w:tc>
        <w:tc>
          <w:tcPr>
            <w:tcW w:w="0" w:type="auto"/>
            <w:shd w:val="clear" w:color="auto" w:fill="auto"/>
            <w:tcMar>
              <w:top w:w="40" w:type="dxa"/>
              <w:bottom w:w="40" w:type="dxa"/>
              <w:right w:w="20" w:type="dxa"/>
            </w:tcMar>
          </w:tcPr>
          <w:p w14:paraId="20AE2C9D" w14:textId="77777777" w:rsidR="00B626E7" w:rsidRDefault="00175C1D">
            <w:pPr>
              <w:jc w:val="right"/>
              <w:textAlignment w:val="top"/>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2C9E"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2C9F" w14:textId="77777777" w:rsidR="00B626E7" w:rsidRDefault="00175C1D">
            <w:pPr>
              <w:textAlignment w:val="top"/>
            </w:pPr>
            <w:r>
              <w:rPr>
                <w:rFonts w:ascii="Arial" w:eastAsia="宋体" w:hAnsi="Arial" w:cs="Arial"/>
                <w:color w:val="0071C5"/>
                <w:sz w:val="18"/>
                <w:szCs w:val="18"/>
              </w:rPr>
              <w:t xml:space="preserve">Lower </w:t>
            </w:r>
            <w:r>
              <w:rPr>
                <w:rFonts w:ascii="Arial" w:eastAsia="宋体" w:hAnsi="Arial" w:cs="Arial"/>
                <w:color w:val="0071C5"/>
                <w:sz w:val="18"/>
                <w:szCs w:val="18"/>
              </w:rPr>
              <w:t>operating expenses driven by lower investment in modem</w:t>
            </w:r>
          </w:p>
        </w:tc>
      </w:tr>
      <w:tr w:rsidR="00B626E7" w14:paraId="20AE2CA5" w14:textId="77777777">
        <w:tc>
          <w:tcPr>
            <w:tcW w:w="0" w:type="auto"/>
            <w:gridSpan w:val="2"/>
            <w:shd w:val="clear" w:color="auto" w:fill="auto"/>
            <w:tcMar>
              <w:top w:w="40" w:type="dxa"/>
              <w:left w:w="20" w:type="dxa"/>
              <w:bottom w:w="40" w:type="dxa"/>
              <w:right w:w="0" w:type="dxa"/>
            </w:tcMar>
          </w:tcPr>
          <w:p w14:paraId="20AE2CA1" w14:textId="77777777" w:rsidR="00B626E7" w:rsidRDefault="00175C1D">
            <w:pPr>
              <w:jc w:val="right"/>
              <w:textAlignment w:val="top"/>
            </w:pPr>
            <w:r>
              <w:rPr>
                <w:rFonts w:ascii="Arial" w:eastAsia="宋体" w:hAnsi="Arial" w:cs="Arial"/>
                <w:color w:val="0071C5"/>
                <w:sz w:val="18"/>
                <w:szCs w:val="18"/>
              </w:rPr>
              <w:t>265 </w:t>
            </w:r>
          </w:p>
        </w:tc>
        <w:tc>
          <w:tcPr>
            <w:tcW w:w="0" w:type="auto"/>
            <w:shd w:val="clear" w:color="auto" w:fill="auto"/>
            <w:tcMar>
              <w:top w:w="40" w:type="dxa"/>
              <w:bottom w:w="40" w:type="dxa"/>
              <w:right w:w="20" w:type="dxa"/>
            </w:tcMar>
          </w:tcPr>
          <w:p w14:paraId="20AE2CA2" w14:textId="77777777" w:rsidR="00B626E7" w:rsidRDefault="00175C1D">
            <w:pPr>
              <w:jc w:val="right"/>
              <w:textAlignment w:val="top"/>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2CA3"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2CA4" w14:textId="77777777" w:rsidR="00B626E7" w:rsidRDefault="00175C1D">
            <w:pPr>
              <w:textAlignment w:val="top"/>
            </w:pPr>
            <w:r>
              <w:rPr>
                <w:rFonts w:ascii="Arial" w:eastAsia="宋体" w:hAnsi="Arial" w:cs="Arial"/>
                <w:color w:val="0071C5"/>
                <w:sz w:val="18"/>
                <w:szCs w:val="18"/>
              </w:rPr>
              <w:t>Higher CCG adjacency product margin</w:t>
            </w:r>
          </w:p>
        </w:tc>
      </w:tr>
      <w:tr w:rsidR="00B626E7" w14:paraId="20AE2CAA" w14:textId="77777777">
        <w:tc>
          <w:tcPr>
            <w:tcW w:w="0" w:type="auto"/>
            <w:gridSpan w:val="2"/>
            <w:shd w:val="clear" w:color="auto" w:fill="auto"/>
            <w:tcMar>
              <w:top w:w="40" w:type="dxa"/>
              <w:left w:w="20" w:type="dxa"/>
              <w:bottom w:w="40" w:type="dxa"/>
              <w:right w:w="0" w:type="dxa"/>
            </w:tcMar>
          </w:tcPr>
          <w:p w14:paraId="20AE2CA6" w14:textId="77777777" w:rsidR="00B626E7" w:rsidRDefault="00175C1D">
            <w:pPr>
              <w:jc w:val="right"/>
              <w:textAlignment w:val="top"/>
            </w:pPr>
            <w:r>
              <w:rPr>
                <w:rFonts w:ascii="Arial" w:eastAsia="宋体" w:hAnsi="Arial" w:cs="Arial"/>
                <w:color w:val="0071C5"/>
                <w:sz w:val="18"/>
                <w:szCs w:val="18"/>
              </w:rPr>
              <w:t>(1,710)</w:t>
            </w:r>
          </w:p>
        </w:tc>
        <w:tc>
          <w:tcPr>
            <w:tcW w:w="0" w:type="auto"/>
            <w:shd w:val="clear" w:color="auto" w:fill="auto"/>
            <w:tcMar>
              <w:top w:w="40" w:type="dxa"/>
              <w:bottom w:w="40" w:type="dxa"/>
              <w:right w:w="20" w:type="dxa"/>
            </w:tcMar>
          </w:tcPr>
          <w:p w14:paraId="20AE2CA7" w14:textId="77777777" w:rsidR="00B626E7" w:rsidRDefault="00175C1D">
            <w:pPr>
              <w:jc w:val="right"/>
              <w:textAlignment w:val="top"/>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2CA8"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2CA9" w14:textId="77777777" w:rsidR="00B626E7" w:rsidRDefault="00175C1D">
            <w:pPr>
              <w:textAlignment w:val="top"/>
            </w:pPr>
            <w:r>
              <w:rPr>
                <w:rFonts w:ascii="Arial" w:eastAsia="宋体" w:hAnsi="Arial" w:cs="Arial"/>
                <w:color w:val="0071C5"/>
                <w:sz w:val="18"/>
                <w:szCs w:val="18"/>
              </w:rPr>
              <w:t>Higher platform unit cost due to ramp of 10nm products</w:t>
            </w:r>
          </w:p>
        </w:tc>
      </w:tr>
      <w:tr w:rsidR="00B626E7" w14:paraId="20AE2CAE" w14:textId="77777777">
        <w:trPr>
          <w:hidden/>
        </w:trPr>
        <w:tc>
          <w:tcPr>
            <w:tcW w:w="0" w:type="auto"/>
            <w:gridSpan w:val="3"/>
            <w:shd w:val="clear" w:color="auto" w:fill="auto"/>
          </w:tcPr>
          <w:p w14:paraId="20AE2CAB" w14:textId="77777777" w:rsidR="00B626E7" w:rsidRDefault="00B626E7">
            <w:pPr>
              <w:rPr>
                <w:rFonts w:ascii="宋体"/>
                <w:vanish/>
              </w:rPr>
            </w:pPr>
          </w:p>
        </w:tc>
        <w:tc>
          <w:tcPr>
            <w:tcW w:w="0" w:type="auto"/>
            <w:gridSpan w:val="3"/>
            <w:shd w:val="clear" w:color="auto" w:fill="auto"/>
          </w:tcPr>
          <w:p w14:paraId="20AE2CAC" w14:textId="77777777" w:rsidR="00B626E7" w:rsidRDefault="00B626E7">
            <w:pPr>
              <w:rPr>
                <w:rFonts w:ascii="宋体"/>
                <w:vanish/>
              </w:rPr>
            </w:pPr>
          </w:p>
        </w:tc>
        <w:tc>
          <w:tcPr>
            <w:tcW w:w="0" w:type="auto"/>
            <w:gridSpan w:val="3"/>
            <w:shd w:val="clear" w:color="auto" w:fill="auto"/>
          </w:tcPr>
          <w:p w14:paraId="20AE2CAD" w14:textId="77777777" w:rsidR="00B626E7" w:rsidRDefault="00B626E7">
            <w:pPr>
              <w:rPr>
                <w:rFonts w:ascii="宋体"/>
                <w:vanish/>
              </w:rPr>
            </w:pPr>
          </w:p>
        </w:tc>
      </w:tr>
      <w:tr w:rsidR="00B626E7" w14:paraId="20AE2CB2" w14:textId="77777777">
        <w:trPr>
          <w:hidden/>
        </w:trPr>
        <w:tc>
          <w:tcPr>
            <w:tcW w:w="0" w:type="auto"/>
            <w:gridSpan w:val="3"/>
            <w:shd w:val="clear" w:color="auto" w:fill="auto"/>
          </w:tcPr>
          <w:p w14:paraId="20AE2CAF" w14:textId="77777777" w:rsidR="00B626E7" w:rsidRDefault="00B626E7">
            <w:pPr>
              <w:rPr>
                <w:rFonts w:ascii="宋体"/>
                <w:vanish/>
              </w:rPr>
            </w:pPr>
          </w:p>
        </w:tc>
        <w:tc>
          <w:tcPr>
            <w:tcW w:w="0" w:type="auto"/>
            <w:gridSpan w:val="3"/>
            <w:shd w:val="clear" w:color="auto" w:fill="auto"/>
          </w:tcPr>
          <w:p w14:paraId="20AE2CB0" w14:textId="77777777" w:rsidR="00B626E7" w:rsidRDefault="00B626E7">
            <w:pPr>
              <w:rPr>
                <w:rFonts w:ascii="宋体"/>
                <w:vanish/>
              </w:rPr>
            </w:pPr>
          </w:p>
        </w:tc>
        <w:tc>
          <w:tcPr>
            <w:tcW w:w="0" w:type="auto"/>
            <w:gridSpan w:val="3"/>
            <w:shd w:val="clear" w:color="auto" w:fill="auto"/>
          </w:tcPr>
          <w:p w14:paraId="20AE2CB1" w14:textId="77777777" w:rsidR="00B626E7" w:rsidRDefault="00B626E7">
            <w:pPr>
              <w:rPr>
                <w:rFonts w:ascii="宋体"/>
                <w:vanish/>
              </w:rPr>
            </w:pPr>
          </w:p>
        </w:tc>
      </w:tr>
      <w:tr w:rsidR="00B626E7" w14:paraId="20AE2CB6" w14:textId="77777777">
        <w:trPr>
          <w:hidden/>
        </w:trPr>
        <w:tc>
          <w:tcPr>
            <w:tcW w:w="0" w:type="auto"/>
            <w:gridSpan w:val="3"/>
            <w:shd w:val="clear" w:color="auto" w:fill="auto"/>
          </w:tcPr>
          <w:p w14:paraId="20AE2CB3" w14:textId="77777777" w:rsidR="00B626E7" w:rsidRDefault="00B626E7">
            <w:pPr>
              <w:rPr>
                <w:rFonts w:ascii="宋体"/>
                <w:vanish/>
              </w:rPr>
            </w:pPr>
          </w:p>
        </w:tc>
        <w:tc>
          <w:tcPr>
            <w:tcW w:w="0" w:type="auto"/>
            <w:gridSpan w:val="3"/>
            <w:shd w:val="clear" w:color="auto" w:fill="auto"/>
          </w:tcPr>
          <w:p w14:paraId="20AE2CB4" w14:textId="77777777" w:rsidR="00B626E7" w:rsidRDefault="00B626E7">
            <w:pPr>
              <w:rPr>
                <w:rFonts w:ascii="宋体"/>
                <w:vanish/>
              </w:rPr>
            </w:pPr>
          </w:p>
        </w:tc>
        <w:tc>
          <w:tcPr>
            <w:tcW w:w="0" w:type="auto"/>
            <w:gridSpan w:val="3"/>
            <w:shd w:val="clear" w:color="auto" w:fill="auto"/>
          </w:tcPr>
          <w:p w14:paraId="20AE2CB5" w14:textId="77777777" w:rsidR="00B626E7" w:rsidRDefault="00B626E7">
            <w:pPr>
              <w:rPr>
                <w:rFonts w:ascii="宋体"/>
                <w:vanish/>
              </w:rPr>
            </w:pPr>
          </w:p>
        </w:tc>
      </w:tr>
      <w:tr w:rsidR="00B626E7" w14:paraId="20AE2CBA" w14:textId="77777777">
        <w:trPr>
          <w:hidden/>
        </w:trPr>
        <w:tc>
          <w:tcPr>
            <w:tcW w:w="0" w:type="auto"/>
            <w:gridSpan w:val="3"/>
            <w:shd w:val="clear" w:color="auto" w:fill="auto"/>
          </w:tcPr>
          <w:p w14:paraId="20AE2CB7" w14:textId="77777777" w:rsidR="00B626E7" w:rsidRDefault="00B626E7">
            <w:pPr>
              <w:rPr>
                <w:rFonts w:ascii="宋体"/>
                <w:vanish/>
              </w:rPr>
            </w:pPr>
          </w:p>
        </w:tc>
        <w:tc>
          <w:tcPr>
            <w:tcW w:w="0" w:type="auto"/>
            <w:gridSpan w:val="3"/>
            <w:shd w:val="clear" w:color="auto" w:fill="auto"/>
          </w:tcPr>
          <w:p w14:paraId="20AE2CB8" w14:textId="77777777" w:rsidR="00B626E7" w:rsidRDefault="00B626E7">
            <w:pPr>
              <w:rPr>
                <w:rFonts w:ascii="宋体"/>
                <w:vanish/>
              </w:rPr>
            </w:pPr>
          </w:p>
        </w:tc>
        <w:tc>
          <w:tcPr>
            <w:tcW w:w="0" w:type="auto"/>
            <w:gridSpan w:val="3"/>
            <w:shd w:val="clear" w:color="auto" w:fill="auto"/>
          </w:tcPr>
          <w:p w14:paraId="20AE2CB9" w14:textId="77777777" w:rsidR="00B626E7" w:rsidRDefault="00B626E7">
            <w:pPr>
              <w:rPr>
                <w:rFonts w:ascii="宋体"/>
                <w:vanish/>
              </w:rPr>
            </w:pPr>
          </w:p>
        </w:tc>
      </w:tr>
      <w:tr w:rsidR="00B626E7" w14:paraId="20AE2CBE" w14:textId="77777777">
        <w:trPr>
          <w:hidden/>
        </w:trPr>
        <w:tc>
          <w:tcPr>
            <w:tcW w:w="0" w:type="auto"/>
            <w:gridSpan w:val="3"/>
            <w:shd w:val="clear" w:color="auto" w:fill="auto"/>
          </w:tcPr>
          <w:p w14:paraId="20AE2CBB" w14:textId="77777777" w:rsidR="00B626E7" w:rsidRDefault="00B626E7">
            <w:pPr>
              <w:rPr>
                <w:rFonts w:ascii="宋体"/>
                <w:vanish/>
              </w:rPr>
            </w:pPr>
          </w:p>
        </w:tc>
        <w:tc>
          <w:tcPr>
            <w:tcW w:w="0" w:type="auto"/>
            <w:gridSpan w:val="3"/>
            <w:shd w:val="clear" w:color="auto" w:fill="auto"/>
          </w:tcPr>
          <w:p w14:paraId="20AE2CBC" w14:textId="77777777" w:rsidR="00B626E7" w:rsidRDefault="00B626E7">
            <w:pPr>
              <w:rPr>
                <w:rFonts w:ascii="宋体"/>
                <w:vanish/>
              </w:rPr>
            </w:pPr>
          </w:p>
        </w:tc>
        <w:tc>
          <w:tcPr>
            <w:tcW w:w="0" w:type="auto"/>
            <w:gridSpan w:val="3"/>
            <w:shd w:val="clear" w:color="auto" w:fill="auto"/>
          </w:tcPr>
          <w:p w14:paraId="20AE2CBD" w14:textId="77777777" w:rsidR="00B626E7" w:rsidRDefault="00B626E7">
            <w:pPr>
              <w:rPr>
                <w:rFonts w:ascii="宋体"/>
                <w:vanish/>
              </w:rPr>
            </w:pPr>
          </w:p>
        </w:tc>
      </w:tr>
      <w:tr w:rsidR="00B626E7" w14:paraId="20AE2CC2" w14:textId="77777777">
        <w:trPr>
          <w:hidden/>
        </w:trPr>
        <w:tc>
          <w:tcPr>
            <w:tcW w:w="0" w:type="auto"/>
            <w:gridSpan w:val="3"/>
            <w:shd w:val="clear" w:color="auto" w:fill="auto"/>
          </w:tcPr>
          <w:p w14:paraId="20AE2CBF" w14:textId="77777777" w:rsidR="00B626E7" w:rsidRDefault="00B626E7">
            <w:pPr>
              <w:rPr>
                <w:rFonts w:ascii="宋体"/>
                <w:vanish/>
              </w:rPr>
            </w:pPr>
          </w:p>
        </w:tc>
        <w:tc>
          <w:tcPr>
            <w:tcW w:w="0" w:type="auto"/>
            <w:gridSpan w:val="3"/>
            <w:shd w:val="clear" w:color="auto" w:fill="auto"/>
          </w:tcPr>
          <w:p w14:paraId="20AE2CC0" w14:textId="77777777" w:rsidR="00B626E7" w:rsidRDefault="00B626E7">
            <w:pPr>
              <w:rPr>
                <w:rFonts w:ascii="宋体"/>
                <w:vanish/>
              </w:rPr>
            </w:pPr>
          </w:p>
        </w:tc>
        <w:tc>
          <w:tcPr>
            <w:tcW w:w="0" w:type="auto"/>
            <w:gridSpan w:val="3"/>
            <w:shd w:val="clear" w:color="auto" w:fill="auto"/>
          </w:tcPr>
          <w:p w14:paraId="20AE2CC1" w14:textId="77777777" w:rsidR="00B626E7" w:rsidRDefault="00B626E7">
            <w:pPr>
              <w:rPr>
                <w:rFonts w:ascii="宋体"/>
                <w:vanish/>
              </w:rPr>
            </w:pPr>
          </w:p>
        </w:tc>
      </w:tr>
      <w:tr w:rsidR="00B626E7" w14:paraId="20AE2CC6" w14:textId="77777777">
        <w:trPr>
          <w:hidden/>
        </w:trPr>
        <w:tc>
          <w:tcPr>
            <w:tcW w:w="0" w:type="auto"/>
            <w:gridSpan w:val="3"/>
            <w:shd w:val="clear" w:color="auto" w:fill="auto"/>
          </w:tcPr>
          <w:p w14:paraId="20AE2CC3" w14:textId="77777777" w:rsidR="00B626E7" w:rsidRDefault="00B626E7">
            <w:pPr>
              <w:rPr>
                <w:rFonts w:ascii="宋体"/>
                <w:vanish/>
              </w:rPr>
            </w:pPr>
          </w:p>
        </w:tc>
        <w:tc>
          <w:tcPr>
            <w:tcW w:w="0" w:type="auto"/>
            <w:gridSpan w:val="3"/>
            <w:shd w:val="clear" w:color="auto" w:fill="auto"/>
          </w:tcPr>
          <w:p w14:paraId="20AE2CC4" w14:textId="77777777" w:rsidR="00B626E7" w:rsidRDefault="00B626E7">
            <w:pPr>
              <w:rPr>
                <w:rFonts w:ascii="宋体"/>
                <w:vanish/>
              </w:rPr>
            </w:pPr>
          </w:p>
        </w:tc>
        <w:tc>
          <w:tcPr>
            <w:tcW w:w="0" w:type="auto"/>
            <w:gridSpan w:val="3"/>
            <w:shd w:val="clear" w:color="auto" w:fill="auto"/>
          </w:tcPr>
          <w:p w14:paraId="20AE2CC5" w14:textId="77777777" w:rsidR="00B626E7" w:rsidRDefault="00B626E7">
            <w:pPr>
              <w:rPr>
                <w:rFonts w:ascii="宋体"/>
                <w:vanish/>
              </w:rPr>
            </w:pPr>
          </w:p>
        </w:tc>
      </w:tr>
      <w:tr w:rsidR="00B626E7" w14:paraId="20AE2CCB" w14:textId="77777777">
        <w:tc>
          <w:tcPr>
            <w:tcW w:w="0" w:type="auto"/>
            <w:gridSpan w:val="2"/>
            <w:shd w:val="clear" w:color="auto" w:fill="auto"/>
            <w:tcMar>
              <w:top w:w="40" w:type="dxa"/>
              <w:left w:w="20" w:type="dxa"/>
              <w:bottom w:w="40" w:type="dxa"/>
              <w:right w:w="0" w:type="dxa"/>
            </w:tcMar>
          </w:tcPr>
          <w:p w14:paraId="20AE2CC7" w14:textId="77777777" w:rsidR="00B626E7" w:rsidRDefault="00175C1D">
            <w:pPr>
              <w:jc w:val="right"/>
              <w:textAlignment w:val="top"/>
            </w:pPr>
            <w:r>
              <w:rPr>
                <w:rFonts w:ascii="Arial" w:eastAsia="宋体" w:hAnsi="Arial" w:cs="Arial"/>
                <w:color w:val="0071C5"/>
                <w:sz w:val="18"/>
                <w:szCs w:val="18"/>
              </w:rPr>
              <w:t>73 </w:t>
            </w:r>
          </w:p>
        </w:tc>
        <w:tc>
          <w:tcPr>
            <w:tcW w:w="0" w:type="auto"/>
            <w:shd w:val="clear" w:color="auto" w:fill="auto"/>
            <w:tcMar>
              <w:top w:w="40" w:type="dxa"/>
              <w:bottom w:w="40" w:type="dxa"/>
              <w:right w:w="20" w:type="dxa"/>
            </w:tcMar>
          </w:tcPr>
          <w:p w14:paraId="20AE2CC8" w14:textId="77777777" w:rsidR="00B626E7" w:rsidRDefault="00175C1D">
            <w:pPr>
              <w:jc w:val="right"/>
              <w:textAlignment w:val="top"/>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2CC9"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2CCA" w14:textId="77777777" w:rsidR="00B626E7" w:rsidRDefault="00175C1D">
            <w:pPr>
              <w:textAlignment w:val="top"/>
            </w:pPr>
            <w:r>
              <w:rPr>
                <w:rFonts w:ascii="Arial" w:eastAsia="宋体" w:hAnsi="Arial" w:cs="Arial"/>
                <w:color w:val="0071C5"/>
                <w:sz w:val="18"/>
                <w:szCs w:val="18"/>
              </w:rPr>
              <w:t>Other</w:t>
            </w:r>
          </w:p>
        </w:tc>
      </w:tr>
      <w:tr w:rsidR="00B626E7" w14:paraId="20AE2CD1" w14:textId="77777777">
        <w:tc>
          <w:tcPr>
            <w:tcW w:w="0" w:type="auto"/>
            <w:tcBorders>
              <w:top w:val="single" w:sz="8" w:space="0" w:color="333333"/>
              <w:bottom w:val="single" w:sz="8" w:space="0" w:color="333333"/>
            </w:tcBorders>
            <w:shd w:val="clear" w:color="auto" w:fill="auto"/>
            <w:tcMar>
              <w:top w:w="40" w:type="dxa"/>
              <w:left w:w="20" w:type="dxa"/>
              <w:bottom w:w="40" w:type="dxa"/>
            </w:tcMar>
            <w:vAlign w:val="bottom"/>
          </w:tcPr>
          <w:p w14:paraId="20AE2CCC"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bottom w:val="single" w:sz="8" w:space="0" w:color="333333"/>
            </w:tcBorders>
            <w:shd w:val="clear" w:color="auto" w:fill="auto"/>
            <w:tcMar>
              <w:top w:w="40" w:type="dxa"/>
              <w:bottom w:w="40" w:type="dxa"/>
              <w:right w:w="0" w:type="dxa"/>
            </w:tcMar>
            <w:vAlign w:val="bottom"/>
          </w:tcPr>
          <w:p w14:paraId="20AE2CCD" w14:textId="77777777" w:rsidR="00B626E7" w:rsidRDefault="00175C1D">
            <w:pPr>
              <w:jc w:val="right"/>
              <w:textAlignment w:val="bottom"/>
            </w:pPr>
            <w:r>
              <w:rPr>
                <w:rFonts w:ascii="Arial" w:eastAsia="宋体" w:hAnsi="Arial" w:cs="Arial"/>
                <w:b/>
                <w:bCs/>
                <w:color w:val="333333"/>
                <w:sz w:val="18"/>
                <w:szCs w:val="18"/>
              </w:rPr>
              <w:t>6,809 </w:t>
            </w:r>
          </w:p>
        </w:tc>
        <w:tc>
          <w:tcPr>
            <w:tcW w:w="0" w:type="auto"/>
            <w:tcBorders>
              <w:top w:val="single" w:sz="8" w:space="0" w:color="333333"/>
              <w:bottom w:val="single" w:sz="8" w:space="0" w:color="333333"/>
            </w:tcBorders>
            <w:shd w:val="clear" w:color="auto" w:fill="auto"/>
            <w:tcMar>
              <w:top w:w="40" w:type="dxa"/>
              <w:bottom w:w="40" w:type="dxa"/>
              <w:right w:w="20" w:type="dxa"/>
            </w:tcMar>
            <w:vAlign w:val="bottom"/>
          </w:tcPr>
          <w:p w14:paraId="20AE2CCE"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2CCF" w14:textId="77777777" w:rsidR="00B626E7" w:rsidRDefault="00B626E7">
            <w:pPr>
              <w:rPr>
                <w:rFonts w:ascii="宋体"/>
              </w:rPr>
            </w:pPr>
          </w:p>
        </w:tc>
        <w:tc>
          <w:tcPr>
            <w:tcW w:w="0" w:type="auto"/>
            <w:gridSpan w:val="3"/>
            <w:tcBorders>
              <w:top w:val="single" w:sz="8" w:space="0" w:color="333333"/>
              <w:bottom w:val="single" w:sz="8" w:space="0" w:color="333333"/>
            </w:tcBorders>
            <w:shd w:val="clear" w:color="auto" w:fill="auto"/>
            <w:tcMar>
              <w:top w:w="40" w:type="dxa"/>
              <w:left w:w="20" w:type="dxa"/>
              <w:bottom w:w="40" w:type="dxa"/>
              <w:right w:w="20" w:type="dxa"/>
            </w:tcMar>
            <w:vAlign w:val="bottom"/>
          </w:tcPr>
          <w:p w14:paraId="20AE2CD0" w14:textId="77777777" w:rsidR="00B626E7" w:rsidRDefault="00175C1D">
            <w:pPr>
              <w:textAlignment w:val="bottom"/>
            </w:pPr>
            <w:r>
              <w:rPr>
                <w:rFonts w:ascii="Arial" w:eastAsia="宋体" w:hAnsi="Arial" w:cs="Arial"/>
                <w:b/>
                <w:bCs/>
                <w:color w:val="333333"/>
                <w:sz w:val="18"/>
                <w:szCs w:val="18"/>
              </w:rPr>
              <w:t xml:space="preserve">YTD 2019 CCG Operating </w:t>
            </w:r>
            <w:r>
              <w:rPr>
                <w:rFonts w:ascii="Arial" w:eastAsia="宋体" w:hAnsi="Arial" w:cs="Arial"/>
                <w:b/>
                <w:bCs/>
                <w:color w:val="333333"/>
                <w:sz w:val="18"/>
                <w:szCs w:val="18"/>
              </w:rPr>
              <w:t>Income</w:t>
            </w:r>
          </w:p>
        </w:tc>
      </w:tr>
    </w:tbl>
    <w:p w14:paraId="20AE2CD2" w14:textId="77777777" w:rsidR="00B626E7" w:rsidRDefault="00B626E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84"/>
        <w:gridCol w:w="2423"/>
        <w:gridCol w:w="84"/>
        <w:gridCol w:w="83"/>
        <w:gridCol w:w="3471"/>
        <w:gridCol w:w="83"/>
        <w:gridCol w:w="83"/>
        <w:gridCol w:w="1942"/>
        <w:gridCol w:w="83"/>
      </w:tblGrid>
      <w:tr w:rsidR="00B626E7" w14:paraId="20AE2CDC" w14:textId="77777777">
        <w:tc>
          <w:tcPr>
            <w:tcW w:w="50" w:type="pct"/>
            <w:shd w:val="clear" w:color="auto" w:fill="auto"/>
            <w:vAlign w:val="bottom"/>
          </w:tcPr>
          <w:p w14:paraId="20AE2CD3" w14:textId="77777777" w:rsidR="00B626E7" w:rsidRDefault="00B626E7">
            <w:pPr>
              <w:rPr>
                <w:rFonts w:ascii="宋体"/>
              </w:rPr>
            </w:pPr>
          </w:p>
        </w:tc>
        <w:tc>
          <w:tcPr>
            <w:tcW w:w="1452" w:type="pct"/>
            <w:shd w:val="clear" w:color="auto" w:fill="auto"/>
            <w:vAlign w:val="bottom"/>
          </w:tcPr>
          <w:p w14:paraId="20AE2CD4" w14:textId="77777777" w:rsidR="00B626E7" w:rsidRDefault="00B626E7">
            <w:pPr>
              <w:rPr>
                <w:rFonts w:ascii="宋体"/>
              </w:rPr>
            </w:pPr>
          </w:p>
        </w:tc>
        <w:tc>
          <w:tcPr>
            <w:tcW w:w="50" w:type="pct"/>
            <w:shd w:val="clear" w:color="auto" w:fill="auto"/>
            <w:vAlign w:val="bottom"/>
          </w:tcPr>
          <w:p w14:paraId="20AE2CD5" w14:textId="77777777" w:rsidR="00B626E7" w:rsidRDefault="00B626E7">
            <w:pPr>
              <w:rPr>
                <w:rFonts w:ascii="宋体"/>
              </w:rPr>
            </w:pPr>
          </w:p>
        </w:tc>
        <w:tc>
          <w:tcPr>
            <w:tcW w:w="50" w:type="pct"/>
            <w:shd w:val="clear" w:color="auto" w:fill="auto"/>
            <w:vAlign w:val="bottom"/>
          </w:tcPr>
          <w:p w14:paraId="20AE2CD6" w14:textId="77777777" w:rsidR="00B626E7" w:rsidRDefault="00B626E7">
            <w:pPr>
              <w:rPr>
                <w:rFonts w:ascii="宋体"/>
              </w:rPr>
            </w:pPr>
          </w:p>
        </w:tc>
        <w:tc>
          <w:tcPr>
            <w:tcW w:w="2081" w:type="pct"/>
            <w:shd w:val="clear" w:color="auto" w:fill="auto"/>
            <w:vAlign w:val="bottom"/>
          </w:tcPr>
          <w:p w14:paraId="20AE2CD7" w14:textId="77777777" w:rsidR="00B626E7" w:rsidRDefault="00B626E7">
            <w:pPr>
              <w:rPr>
                <w:rFonts w:ascii="宋体"/>
              </w:rPr>
            </w:pPr>
          </w:p>
        </w:tc>
        <w:tc>
          <w:tcPr>
            <w:tcW w:w="50" w:type="pct"/>
            <w:shd w:val="clear" w:color="auto" w:fill="auto"/>
            <w:vAlign w:val="bottom"/>
          </w:tcPr>
          <w:p w14:paraId="20AE2CD8" w14:textId="77777777" w:rsidR="00B626E7" w:rsidRDefault="00B626E7">
            <w:pPr>
              <w:rPr>
                <w:rFonts w:ascii="宋体"/>
              </w:rPr>
            </w:pPr>
          </w:p>
        </w:tc>
        <w:tc>
          <w:tcPr>
            <w:tcW w:w="50" w:type="pct"/>
            <w:shd w:val="clear" w:color="auto" w:fill="auto"/>
            <w:vAlign w:val="bottom"/>
          </w:tcPr>
          <w:p w14:paraId="20AE2CD9" w14:textId="77777777" w:rsidR="00B626E7" w:rsidRDefault="00B626E7">
            <w:pPr>
              <w:rPr>
                <w:rFonts w:ascii="宋体"/>
              </w:rPr>
            </w:pPr>
          </w:p>
        </w:tc>
        <w:tc>
          <w:tcPr>
            <w:tcW w:w="1165" w:type="pct"/>
            <w:shd w:val="clear" w:color="auto" w:fill="auto"/>
            <w:vAlign w:val="bottom"/>
          </w:tcPr>
          <w:p w14:paraId="20AE2CDA" w14:textId="77777777" w:rsidR="00B626E7" w:rsidRDefault="00B626E7">
            <w:pPr>
              <w:rPr>
                <w:rFonts w:ascii="宋体"/>
              </w:rPr>
            </w:pPr>
          </w:p>
        </w:tc>
        <w:tc>
          <w:tcPr>
            <w:tcW w:w="50" w:type="pct"/>
            <w:shd w:val="clear" w:color="auto" w:fill="auto"/>
            <w:vAlign w:val="bottom"/>
          </w:tcPr>
          <w:p w14:paraId="20AE2CDB" w14:textId="77777777" w:rsidR="00B626E7" w:rsidRDefault="00B626E7">
            <w:pPr>
              <w:rPr>
                <w:rFonts w:ascii="宋体"/>
              </w:rPr>
            </w:pPr>
          </w:p>
        </w:tc>
      </w:tr>
      <w:tr w:rsidR="00B626E7" w14:paraId="20AE2CE0" w14:textId="77777777">
        <w:tc>
          <w:tcPr>
            <w:tcW w:w="0" w:type="auto"/>
            <w:gridSpan w:val="3"/>
            <w:tcBorders>
              <w:top w:val="single" w:sz="8" w:space="0" w:color="0071C5"/>
            </w:tcBorders>
            <w:shd w:val="clear" w:color="auto" w:fill="auto"/>
            <w:tcMar>
              <w:top w:w="40" w:type="dxa"/>
              <w:left w:w="20" w:type="dxa"/>
              <w:bottom w:w="40" w:type="dxa"/>
              <w:right w:w="20" w:type="dxa"/>
            </w:tcMar>
            <w:vAlign w:val="center"/>
          </w:tcPr>
          <w:p w14:paraId="20AE2CDD" w14:textId="77777777" w:rsidR="00B626E7" w:rsidRDefault="00175C1D">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Viewer10_files/intc-20200627_g36.jpg"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91" wp14:editId="20AE3C92">
                  <wp:extent cx="304800" cy="304800"/>
                  <wp:effectExtent l="0" t="0" r="0" b="0"/>
                  <wp:docPr id="110" name="图片 117"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7" descr="IMG_32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Arial" w:eastAsia="宋体" w:hAnsi="Arial" w:cs="Arial"/>
                <w:color w:val="333333"/>
                <w:sz w:val="16"/>
                <w:szCs w:val="16"/>
              </w:rPr>
              <w:t>MD&amp;A</w:t>
            </w:r>
          </w:p>
        </w:tc>
        <w:tc>
          <w:tcPr>
            <w:tcW w:w="0" w:type="auto"/>
            <w:gridSpan w:val="3"/>
            <w:tcBorders>
              <w:top w:val="single" w:sz="8" w:space="0" w:color="0071C5"/>
            </w:tcBorders>
            <w:shd w:val="clear" w:color="auto" w:fill="auto"/>
            <w:tcMar>
              <w:left w:w="20" w:type="dxa"/>
              <w:right w:w="20" w:type="dxa"/>
            </w:tcMar>
            <w:vAlign w:val="bottom"/>
          </w:tcPr>
          <w:p w14:paraId="20AE2CDE"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2CDF" w14:textId="77777777" w:rsidR="00B626E7" w:rsidRDefault="00175C1D">
            <w:pPr>
              <w:jc w:val="right"/>
              <w:textAlignment w:val="bottom"/>
            </w:pPr>
            <w:r>
              <w:rPr>
                <w:rFonts w:ascii="Arial" w:eastAsia="宋体" w:hAnsi="Arial" w:cs="Arial"/>
                <w:color w:val="333333"/>
                <w:sz w:val="16"/>
                <w:szCs w:val="16"/>
              </w:rPr>
              <w:t>34</w:t>
            </w:r>
          </w:p>
        </w:tc>
      </w:tr>
    </w:tbl>
    <w:p w14:paraId="20AE2CE1" w14:textId="77777777" w:rsidR="00B626E7" w:rsidRDefault="00175C1D">
      <w:r>
        <w:pict w14:anchorId="20AE3C93">
          <v:rect id="_x0000_i1060" style="width:415.3pt;height:1.5pt" o:hralign="center" o:hrstd="t" o:hr="t" fillcolor="#a0a0a0" stroked="f"/>
        </w:pict>
      </w:r>
    </w:p>
    <w:p w14:paraId="20AE2CE2" w14:textId="77777777" w:rsidR="00B626E7" w:rsidRDefault="00175C1D">
      <w:pPr>
        <w:spacing w:after="180"/>
        <w:jc w:val="right"/>
      </w:pPr>
      <w:hyperlink r:id="rId61" w:anchor="ib035cc8759904e51927d703ec8414366_7" w:history="1">
        <w:r>
          <w:rPr>
            <w:rStyle w:val="a5"/>
            <w:rFonts w:ascii="Arial" w:eastAsia="宋体" w:hAnsi="Arial" w:cs="Arial"/>
            <w:b/>
            <w:bCs/>
            <w:sz w:val="16"/>
            <w:szCs w:val="16"/>
          </w:rPr>
          <w:t>Table of Contents</w:t>
        </w:r>
      </w:hyperlink>
    </w:p>
    <w:p w14:paraId="20AE2CE3" w14:textId="77777777" w:rsidR="00B626E7" w:rsidRDefault="00B626E7">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84"/>
        <w:gridCol w:w="8169"/>
        <w:gridCol w:w="83"/>
      </w:tblGrid>
      <w:tr w:rsidR="00B626E7" w14:paraId="20AE2CE7" w14:textId="77777777">
        <w:tc>
          <w:tcPr>
            <w:tcW w:w="50" w:type="pct"/>
            <w:shd w:val="clear" w:color="auto" w:fill="auto"/>
          </w:tcPr>
          <w:p w14:paraId="20AE2CE4" w14:textId="77777777" w:rsidR="00B626E7" w:rsidRDefault="00B626E7">
            <w:pPr>
              <w:rPr>
                <w:rFonts w:ascii="宋体"/>
              </w:rPr>
            </w:pPr>
          </w:p>
        </w:tc>
        <w:tc>
          <w:tcPr>
            <w:tcW w:w="4900" w:type="pct"/>
            <w:shd w:val="clear" w:color="auto" w:fill="auto"/>
          </w:tcPr>
          <w:p w14:paraId="20AE2CE5" w14:textId="77777777" w:rsidR="00B626E7" w:rsidRDefault="00B626E7">
            <w:pPr>
              <w:rPr>
                <w:rFonts w:ascii="宋体"/>
              </w:rPr>
            </w:pPr>
          </w:p>
        </w:tc>
        <w:tc>
          <w:tcPr>
            <w:tcW w:w="50" w:type="pct"/>
            <w:shd w:val="clear" w:color="auto" w:fill="auto"/>
          </w:tcPr>
          <w:p w14:paraId="20AE2CE6" w14:textId="77777777" w:rsidR="00B626E7" w:rsidRDefault="00B626E7">
            <w:pPr>
              <w:rPr>
                <w:rFonts w:ascii="宋体"/>
              </w:rPr>
            </w:pPr>
          </w:p>
        </w:tc>
      </w:tr>
      <w:tr w:rsidR="00B626E7" w14:paraId="20AE2CE9" w14:textId="77777777">
        <w:tc>
          <w:tcPr>
            <w:tcW w:w="0" w:type="auto"/>
            <w:gridSpan w:val="3"/>
            <w:shd w:val="clear" w:color="auto" w:fill="0071C5"/>
            <w:tcMar>
              <w:top w:w="40" w:type="dxa"/>
              <w:left w:w="20" w:type="dxa"/>
              <w:bottom w:w="40" w:type="dxa"/>
              <w:right w:w="20" w:type="dxa"/>
            </w:tcMar>
            <w:vAlign w:val="bottom"/>
          </w:tcPr>
          <w:p w14:paraId="20AE2CE8" w14:textId="77777777" w:rsidR="00B626E7" w:rsidRDefault="00175C1D">
            <w:pPr>
              <w:textAlignment w:val="bottom"/>
            </w:pPr>
            <w:r>
              <w:rPr>
                <w:rFonts w:ascii="Arial" w:eastAsia="宋体" w:hAnsi="Arial" w:cs="Arial"/>
                <w:b/>
                <w:bCs/>
                <w:color w:val="FFFFFF"/>
                <w:sz w:val="28"/>
                <w:szCs w:val="28"/>
              </w:rPr>
              <w:t>CONSOLIDATED RESULTS OF OPERATIONS</w:t>
            </w:r>
          </w:p>
        </w:tc>
      </w:tr>
    </w:tbl>
    <w:p w14:paraId="20AE2CEA" w14:textId="77777777" w:rsidR="00B626E7" w:rsidRDefault="00B626E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1"/>
        <w:gridCol w:w="852"/>
        <w:gridCol w:w="39"/>
        <w:gridCol w:w="37"/>
        <w:gridCol w:w="34"/>
        <w:gridCol w:w="34"/>
        <w:gridCol w:w="115"/>
        <w:gridCol w:w="493"/>
        <w:gridCol w:w="74"/>
        <w:gridCol w:w="37"/>
        <w:gridCol w:w="34"/>
        <w:gridCol w:w="34"/>
        <w:gridCol w:w="74"/>
        <w:gridCol w:w="501"/>
        <w:gridCol w:w="163"/>
        <w:gridCol w:w="37"/>
        <w:gridCol w:w="35"/>
        <w:gridCol w:w="35"/>
        <w:gridCol w:w="116"/>
        <w:gridCol w:w="494"/>
        <w:gridCol w:w="75"/>
        <w:gridCol w:w="37"/>
        <w:gridCol w:w="35"/>
        <w:gridCol w:w="35"/>
        <w:gridCol w:w="75"/>
        <w:gridCol w:w="501"/>
        <w:gridCol w:w="163"/>
        <w:gridCol w:w="37"/>
        <w:gridCol w:w="35"/>
        <w:gridCol w:w="35"/>
        <w:gridCol w:w="116"/>
        <w:gridCol w:w="494"/>
        <w:gridCol w:w="75"/>
        <w:gridCol w:w="37"/>
        <w:gridCol w:w="35"/>
        <w:gridCol w:w="35"/>
        <w:gridCol w:w="75"/>
        <w:gridCol w:w="501"/>
        <w:gridCol w:w="163"/>
        <w:gridCol w:w="37"/>
        <w:gridCol w:w="35"/>
        <w:gridCol w:w="35"/>
        <w:gridCol w:w="116"/>
        <w:gridCol w:w="494"/>
        <w:gridCol w:w="75"/>
        <w:gridCol w:w="37"/>
        <w:gridCol w:w="35"/>
        <w:gridCol w:w="35"/>
        <w:gridCol w:w="75"/>
        <w:gridCol w:w="501"/>
        <w:gridCol w:w="163"/>
        <w:gridCol w:w="51"/>
        <w:gridCol w:w="51"/>
        <w:gridCol w:w="51"/>
        <w:gridCol w:w="51"/>
        <w:gridCol w:w="51"/>
        <w:gridCol w:w="51"/>
        <w:gridCol w:w="53"/>
        <w:gridCol w:w="51"/>
        <w:gridCol w:w="51"/>
        <w:gridCol w:w="183"/>
        <w:gridCol w:w="181"/>
        <w:gridCol w:w="35"/>
      </w:tblGrid>
      <w:tr w:rsidR="00B626E7" w14:paraId="20AE2D1E" w14:textId="77777777">
        <w:trPr>
          <w:gridAfter w:val="12"/>
        </w:trPr>
        <w:tc>
          <w:tcPr>
            <w:tcW w:w="50" w:type="pct"/>
            <w:shd w:val="clear" w:color="auto" w:fill="auto"/>
          </w:tcPr>
          <w:p w14:paraId="20AE2CEB" w14:textId="77777777" w:rsidR="00B626E7" w:rsidRDefault="00B626E7">
            <w:pPr>
              <w:rPr>
                <w:rFonts w:ascii="宋体"/>
              </w:rPr>
            </w:pPr>
          </w:p>
        </w:tc>
        <w:tc>
          <w:tcPr>
            <w:tcW w:w="1293" w:type="pct"/>
            <w:shd w:val="clear" w:color="auto" w:fill="auto"/>
          </w:tcPr>
          <w:p w14:paraId="20AE2CEC" w14:textId="77777777" w:rsidR="00B626E7" w:rsidRDefault="00B626E7">
            <w:pPr>
              <w:rPr>
                <w:rFonts w:ascii="宋体"/>
              </w:rPr>
            </w:pPr>
          </w:p>
        </w:tc>
        <w:tc>
          <w:tcPr>
            <w:tcW w:w="50" w:type="pct"/>
            <w:shd w:val="clear" w:color="auto" w:fill="auto"/>
          </w:tcPr>
          <w:p w14:paraId="20AE2CED" w14:textId="77777777" w:rsidR="00B626E7" w:rsidRDefault="00B626E7">
            <w:pPr>
              <w:rPr>
                <w:rFonts w:ascii="宋体"/>
              </w:rPr>
            </w:pPr>
          </w:p>
        </w:tc>
        <w:tc>
          <w:tcPr>
            <w:tcW w:w="5" w:type="pct"/>
            <w:shd w:val="clear" w:color="auto" w:fill="auto"/>
          </w:tcPr>
          <w:p w14:paraId="20AE2CEE" w14:textId="77777777" w:rsidR="00B626E7" w:rsidRDefault="00B626E7">
            <w:pPr>
              <w:rPr>
                <w:rFonts w:ascii="宋体"/>
              </w:rPr>
            </w:pPr>
          </w:p>
        </w:tc>
        <w:tc>
          <w:tcPr>
            <w:tcW w:w="24" w:type="pct"/>
            <w:shd w:val="clear" w:color="auto" w:fill="auto"/>
          </w:tcPr>
          <w:p w14:paraId="20AE2CEF" w14:textId="77777777" w:rsidR="00B626E7" w:rsidRDefault="00B626E7">
            <w:pPr>
              <w:rPr>
                <w:rFonts w:ascii="宋体"/>
              </w:rPr>
            </w:pPr>
          </w:p>
        </w:tc>
        <w:tc>
          <w:tcPr>
            <w:tcW w:w="5" w:type="pct"/>
            <w:shd w:val="clear" w:color="auto" w:fill="auto"/>
          </w:tcPr>
          <w:p w14:paraId="20AE2CF0" w14:textId="77777777" w:rsidR="00B626E7" w:rsidRDefault="00B626E7">
            <w:pPr>
              <w:rPr>
                <w:rFonts w:ascii="宋体"/>
              </w:rPr>
            </w:pPr>
          </w:p>
        </w:tc>
        <w:tc>
          <w:tcPr>
            <w:tcW w:w="50" w:type="pct"/>
            <w:shd w:val="clear" w:color="auto" w:fill="auto"/>
          </w:tcPr>
          <w:p w14:paraId="20AE2CF1" w14:textId="77777777" w:rsidR="00B626E7" w:rsidRDefault="00B626E7">
            <w:pPr>
              <w:rPr>
                <w:rFonts w:ascii="宋体"/>
              </w:rPr>
            </w:pPr>
          </w:p>
        </w:tc>
        <w:tc>
          <w:tcPr>
            <w:tcW w:w="262" w:type="pct"/>
            <w:shd w:val="clear" w:color="auto" w:fill="auto"/>
          </w:tcPr>
          <w:p w14:paraId="20AE2CF2" w14:textId="77777777" w:rsidR="00B626E7" w:rsidRDefault="00B626E7">
            <w:pPr>
              <w:rPr>
                <w:rFonts w:ascii="宋体"/>
              </w:rPr>
            </w:pPr>
          </w:p>
        </w:tc>
        <w:tc>
          <w:tcPr>
            <w:tcW w:w="50" w:type="pct"/>
            <w:shd w:val="clear" w:color="auto" w:fill="auto"/>
          </w:tcPr>
          <w:p w14:paraId="20AE2CF3" w14:textId="77777777" w:rsidR="00B626E7" w:rsidRDefault="00B626E7">
            <w:pPr>
              <w:rPr>
                <w:rFonts w:ascii="宋体"/>
              </w:rPr>
            </w:pPr>
          </w:p>
        </w:tc>
        <w:tc>
          <w:tcPr>
            <w:tcW w:w="5" w:type="pct"/>
            <w:shd w:val="clear" w:color="auto" w:fill="auto"/>
          </w:tcPr>
          <w:p w14:paraId="20AE2CF4" w14:textId="77777777" w:rsidR="00B626E7" w:rsidRDefault="00B626E7">
            <w:pPr>
              <w:rPr>
                <w:rFonts w:ascii="宋体"/>
              </w:rPr>
            </w:pPr>
          </w:p>
        </w:tc>
        <w:tc>
          <w:tcPr>
            <w:tcW w:w="24" w:type="pct"/>
            <w:shd w:val="clear" w:color="auto" w:fill="auto"/>
          </w:tcPr>
          <w:p w14:paraId="20AE2CF5" w14:textId="77777777" w:rsidR="00B626E7" w:rsidRDefault="00B626E7">
            <w:pPr>
              <w:rPr>
                <w:rFonts w:ascii="宋体"/>
              </w:rPr>
            </w:pPr>
          </w:p>
        </w:tc>
        <w:tc>
          <w:tcPr>
            <w:tcW w:w="5" w:type="pct"/>
            <w:shd w:val="clear" w:color="auto" w:fill="auto"/>
          </w:tcPr>
          <w:p w14:paraId="20AE2CF6" w14:textId="77777777" w:rsidR="00B626E7" w:rsidRDefault="00B626E7">
            <w:pPr>
              <w:rPr>
                <w:rFonts w:ascii="宋体"/>
              </w:rPr>
            </w:pPr>
          </w:p>
        </w:tc>
        <w:tc>
          <w:tcPr>
            <w:tcW w:w="50" w:type="pct"/>
            <w:shd w:val="clear" w:color="auto" w:fill="auto"/>
          </w:tcPr>
          <w:p w14:paraId="20AE2CF7" w14:textId="77777777" w:rsidR="00B626E7" w:rsidRDefault="00B626E7">
            <w:pPr>
              <w:rPr>
                <w:rFonts w:ascii="宋体"/>
              </w:rPr>
            </w:pPr>
          </w:p>
        </w:tc>
        <w:tc>
          <w:tcPr>
            <w:tcW w:w="371" w:type="pct"/>
            <w:shd w:val="clear" w:color="auto" w:fill="auto"/>
          </w:tcPr>
          <w:p w14:paraId="20AE2CF8" w14:textId="77777777" w:rsidR="00B626E7" w:rsidRDefault="00B626E7">
            <w:pPr>
              <w:rPr>
                <w:rFonts w:ascii="宋体"/>
              </w:rPr>
            </w:pPr>
          </w:p>
        </w:tc>
        <w:tc>
          <w:tcPr>
            <w:tcW w:w="50" w:type="pct"/>
            <w:shd w:val="clear" w:color="auto" w:fill="auto"/>
          </w:tcPr>
          <w:p w14:paraId="20AE2CF9" w14:textId="77777777" w:rsidR="00B626E7" w:rsidRDefault="00B626E7">
            <w:pPr>
              <w:rPr>
                <w:rFonts w:ascii="宋体"/>
              </w:rPr>
            </w:pPr>
          </w:p>
        </w:tc>
        <w:tc>
          <w:tcPr>
            <w:tcW w:w="5" w:type="pct"/>
            <w:shd w:val="clear" w:color="auto" w:fill="auto"/>
          </w:tcPr>
          <w:p w14:paraId="20AE2CFA" w14:textId="77777777" w:rsidR="00B626E7" w:rsidRDefault="00B626E7">
            <w:pPr>
              <w:rPr>
                <w:rFonts w:ascii="宋体"/>
              </w:rPr>
            </w:pPr>
          </w:p>
        </w:tc>
        <w:tc>
          <w:tcPr>
            <w:tcW w:w="24" w:type="pct"/>
            <w:shd w:val="clear" w:color="auto" w:fill="auto"/>
          </w:tcPr>
          <w:p w14:paraId="20AE2CFB" w14:textId="77777777" w:rsidR="00B626E7" w:rsidRDefault="00B626E7">
            <w:pPr>
              <w:rPr>
                <w:rFonts w:ascii="宋体"/>
              </w:rPr>
            </w:pPr>
          </w:p>
        </w:tc>
        <w:tc>
          <w:tcPr>
            <w:tcW w:w="5" w:type="pct"/>
            <w:shd w:val="clear" w:color="auto" w:fill="auto"/>
          </w:tcPr>
          <w:p w14:paraId="20AE2CFC" w14:textId="77777777" w:rsidR="00B626E7" w:rsidRDefault="00B626E7">
            <w:pPr>
              <w:rPr>
                <w:rFonts w:ascii="宋体"/>
              </w:rPr>
            </w:pPr>
          </w:p>
        </w:tc>
        <w:tc>
          <w:tcPr>
            <w:tcW w:w="50" w:type="pct"/>
            <w:shd w:val="clear" w:color="auto" w:fill="auto"/>
          </w:tcPr>
          <w:p w14:paraId="20AE2CFD" w14:textId="77777777" w:rsidR="00B626E7" w:rsidRDefault="00B626E7">
            <w:pPr>
              <w:rPr>
                <w:rFonts w:ascii="宋体"/>
              </w:rPr>
            </w:pPr>
          </w:p>
        </w:tc>
        <w:tc>
          <w:tcPr>
            <w:tcW w:w="262" w:type="pct"/>
            <w:shd w:val="clear" w:color="auto" w:fill="auto"/>
          </w:tcPr>
          <w:p w14:paraId="20AE2CFE" w14:textId="77777777" w:rsidR="00B626E7" w:rsidRDefault="00B626E7">
            <w:pPr>
              <w:rPr>
                <w:rFonts w:ascii="宋体"/>
              </w:rPr>
            </w:pPr>
          </w:p>
        </w:tc>
        <w:tc>
          <w:tcPr>
            <w:tcW w:w="50" w:type="pct"/>
            <w:shd w:val="clear" w:color="auto" w:fill="auto"/>
          </w:tcPr>
          <w:p w14:paraId="20AE2CFF" w14:textId="77777777" w:rsidR="00B626E7" w:rsidRDefault="00B626E7">
            <w:pPr>
              <w:rPr>
                <w:rFonts w:ascii="宋体"/>
              </w:rPr>
            </w:pPr>
          </w:p>
        </w:tc>
        <w:tc>
          <w:tcPr>
            <w:tcW w:w="5" w:type="pct"/>
            <w:shd w:val="clear" w:color="auto" w:fill="auto"/>
          </w:tcPr>
          <w:p w14:paraId="20AE2D00" w14:textId="77777777" w:rsidR="00B626E7" w:rsidRDefault="00B626E7">
            <w:pPr>
              <w:rPr>
                <w:rFonts w:ascii="宋体"/>
              </w:rPr>
            </w:pPr>
          </w:p>
        </w:tc>
        <w:tc>
          <w:tcPr>
            <w:tcW w:w="24" w:type="pct"/>
            <w:shd w:val="clear" w:color="auto" w:fill="auto"/>
          </w:tcPr>
          <w:p w14:paraId="20AE2D01" w14:textId="77777777" w:rsidR="00B626E7" w:rsidRDefault="00B626E7">
            <w:pPr>
              <w:rPr>
                <w:rFonts w:ascii="宋体"/>
              </w:rPr>
            </w:pPr>
          </w:p>
        </w:tc>
        <w:tc>
          <w:tcPr>
            <w:tcW w:w="5" w:type="pct"/>
            <w:shd w:val="clear" w:color="auto" w:fill="auto"/>
          </w:tcPr>
          <w:p w14:paraId="20AE2D02" w14:textId="77777777" w:rsidR="00B626E7" w:rsidRDefault="00B626E7">
            <w:pPr>
              <w:rPr>
                <w:rFonts w:ascii="宋体"/>
              </w:rPr>
            </w:pPr>
          </w:p>
        </w:tc>
        <w:tc>
          <w:tcPr>
            <w:tcW w:w="50" w:type="pct"/>
            <w:shd w:val="clear" w:color="auto" w:fill="auto"/>
          </w:tcPr>
          <w:p w14:paraId="20AE2D03" w14:textId="77777777" w:rsidR="00B626E7" w:rsidRDefault="00B626E7">
            <w:pPr>
              <w:rPr>
                <w:rFonts w:ascii="宋体"/>
              </w:rPr>
            </w:pPr>
          </w:p>
        </w:tc>
        <w:tc>
          <w:tcPr>
            <w:tcW w:w="371" w:type="pct"/>
            <w:shd w:val="clear" w:color="auto" w:fill="auto"/>
          </w:tcPr>
          <w:p w14:paraId="20AE2D04" w14:textId="77777777" w:rsidR="00B626E7" w:rsidRDefault="00B626E7">
            <w:pPr>
              <w:rPr>
                <w:rFonts w:ascii="宋体"/>
              </w:rPr>
            </w:pPr>
          </w:p>
        </w:tc>
        <w:tc>
          <w:tcPr>
            <w:tcW w:w="50" w:type="pct"/>
            <w:shd w:val="clear" w:color="auto" w:fill="auto"/>
          </w:tcPr>
          <w:p w14:paraId="20AE2D05" w14:textId="77777777" w:rsidR="00B626E7" w:rsidRDefault="00B626E7">
            <w:pPr>
              <w:rPr>
                <w:rFonts w:ascii="宋体"/>
              </w:rPr>
            </w:pPr>
          </w:p>
        </w:tc>
        <w:tc>
          <w:tcPr>
            <w:tcW w:w="5" w:type="pct"/>
            <w:shd w:val="clear" w:color="auto" w:fill="auto"/>
          </w:tcPr>
          <w:p w14:paraId="20AE2D06" w14:textId="77777777" w:rsidR="00B626E7" w:rsidRDefault="00B626E7">
            <w:pPr>
              <w:rPr>
                <w:rFonts w:ascii="宋体"/>
              </w:rPr>
            </w:pPr>
          </w:p>
        </w:tc>
        <w:tc>
          <w:tcPr>
            <w:tcW w:w="24" w:type="pct"/>
            <w:shd w:val="clear" w:color="auto" w:fill="auto"/>
          </w:tcPr>
          <w:p w14:paraId="20AE2D07" w14:textId="77777777" w:rsidR="00B626E7" w:rsidRDefault="00B626E7">
            <w:pPr>
              <w:rPr>
                <w:rFonts w:ascii="宋体"/>
              </w:rPr>
            </w:pPr>
          </w:p>
        </w:tc>
        <w:tc>
          <w:tcPr>
            <w:tcW w:w="5" w:type="pct"/>
            <w:shd w:val="clear" w:color="auto" w:fill="auto"/>
          </w:tcPr>
          <w:p w14:paraId="20AE2D08" w14:textId="77777777" w:rsidR="00B626E7" w:rsidRDefault="00B626E7">
            <w:pPr>
              <w:rPr>
                <w:rFonts w:ascii="宋体"/>
              </w:rPr>
            </w:pPr>
          </w:p>
        </w:tc>
        <w:tc>
          <w:tcPr>
            <w:tcW w:w="50" w:type="pct"/>
            <w:shd w:val="clear" w:color="auto" w:fill="auto"/>
          </w:tcPr>
          <w:p w14:paraId="20AE2D09" w14:textId="77777777" w:rsidR="00B626E7" w:rsidRDefault="00B626E7">
            <w:pPr>
              <w:rPr>
                <w:rFonts w:ascii="宋体"/>
              </w:rPr>
            </w:pPr>
          </w:p>
        </w:tc>
        <w:tc>
          <w:tcPr>
            <w:tcW w:w="262" w:type="pct"/>
            <w:shd w:val="clear" w:color="auto" w:fill="auto"/>
          </w:tcPr>
          <w:p w14:paraId="20AE2D0A" w14:textId="77777777" w:rsidR="00B626E7" w:rsidRDefault="00B626E7">
            <w:pPr>
              <w:rPr>
                <w:rFonts w:ascii="宋体"/>
              </w:rPr>
            </w:pPr>
          </w:p>
        </w:tc>
        <w:tc>
          <w:tcPr>
            <w:tcW w:w="50" w:type="pct"/>
            <w:shd w:val="clear" w:color="auto" w:fill="auto"/>
          </w:tcPr>
          <w:p w14:paraId="20AE2D0B" w14:textId="77777777" w:rsidR="00B626E7" w:rsidRDefault="00B626E7">
            <w:pPr>
              <w:rPr>
                <w:rFonts w:ascii="宋体"/>
              </w:rPr>
            </w:pPr>
          </w:p>
        </w:tc>
        <w:tc>
          <w:tcPr>
            <w:tcW w:w="5" w:type="pct"/>
            <w:shd w:val="clear" w:color="auto" w:fill="auto"/>
          </w:tcPr>
          <w:p w14:paraId="20AE2D0C" w14:textId="77777777" w:rsidR="00B626E7" w:rsidRDefault="00B626E7">
            <w:pPr>
              <w:rPr>
                <w:rFonts w:ascii="宋体"/>
              </w:rPr>
            </w:pPr>
          </w:p>
        </w:tc>
        <w:tc>
          <w:tcPr>
            <w:tcW w:w="24" w:type="pct"/>
            <w:shd w:val="clear" w:color="auto" w:fill="auto"/>
          </w:tcPr>
          <w:p w14:paraId="20AE2D0D" w14:textId="77777777" w:rsidR="00B626E7" w:rsidRDefault="00B626E7">
            <w:pPr>
              <w:rPr>
                <w:rFonts w:ascii="宋体"/>
              </w:rPr>
            </w:pPr>
          </w:p>
        </w:tc>
        <w:tc>
          <w:tcPr>
            <w:tcW w:w="5" w:type="pct"/>
            <w:shd w:val="clear" w:color="auto" w:fill="auto"/>
          </w:tcPr>
          <w:p w14:paraId="20AE2D0E" w14:textId="77777777" w:rsidR="00B626E7" w:rsidRDefault="00B626E7">
            <w:pPr>
              <w:rPr>
                <w:rFonts w:ascii="宋体"/>
              </w:rPr>
            </w:pPr>
          </w:p>
        </w:tc>
        <w:tc>
          <w:tcPr>
            <w:tcW w:w="50" w:type="pct"/>
            <w:shd w:val="clear" w:color="auto" w:fill="auto"/>
          </w:tcPr>
          <w:p w14:paraId="20AE2D0F" w14:textId="77777777" w:rsidR="00B626E7" w:rsidRDefault="00B626E7">
            <w:pPr>
              <w:rPr>
                <w:rFonts w:ascii="宋体"/>
              </w:rPr>
            </w:pPr>
          </w:p>
        </w:tc>
        <w:tc>
          <w:tcPr>
            <w:tcW w:w="371" w:type="pct"/>
            <w:shd w:val="clear" w:color="auto" w:fill="auto"/>
          </w:tcPr>
          <w:p w14:paraId="20AE2D10" w14:textId="77777777" w:rsidR="00B626E7" w:rsidRDefault="00B626E7">
            <w:pPr>
              <w:rPr>
                <w:rFonts w:ascii="宋体"/>
              </w:rPr>
            </w:pPr>
          </w:p>
        </w:tc>
        <w:tc>
          <w:tcPr>
            <w:tcW w:w="50" w:type="pct"/>
            <w:shd w:val="clear" w:color="auto" w:fill="auto"/>
          </w:tcPr>
          <w:p w14:paraId="20AE2D11" w14:textId="77777777" w:rsidR="00B626E7" w:rsidRDefault="00B626E7">
            <w:pPr>
              <w:rPr>
                <w:rFonts w:ascii="宋体"/>
              </w:rPr>
            </w:pPr>
          </w:p>
        </w:tc>
        <w:tc>
          <w:tcPr>
            <w:tcW w:w="5" w:type="pct"/>
            <w:shd w:val="clear" w:color="auto" w:fill="auto"/>
          </w:tcPr>
          <w:p w14:paraId="20AE2D12" w14:textId="77777777" w:rsidR="00B626E7" w:rsidRDefault="00B626E7">
            <w:pPr>
              <w:rPr>
                <w:rFonts w:ascii="宋体"/>
              </w:rPr>
            </w:pPr>
          </w:p>
        </w:tc>
        <w:tc>
          <w:tcPr>
            <w:tcW w:w="24" w:type="pct"/>
            <w:shd w:val="clear" w:color="auto" w:fill="auto"/>
          </w:tcPr>
          <w:p w14:paraId="20AE2D13" w14:textId="77777777" w:rsidR="00B626E7" w:rsidRDefault="00B626E7">
            <w:pPr>
              <w:rPr>
                <w:rFonts w:ascii="宋体"/>
              </w:rPr>
            </w:pPr>
          </w:p>
        </w:tc>
        <w:tc>
          <w:tcPr>
            <w:tcW w:w="5" w:type="pct"/>
            <w:shd w:val="clear" w:color="auto" w:fill="auto"/>
          </w:tcPr>
          <w:p w14:paraId="20AE2D14" w14:textId="77777777" w:rsidR="00B626E7" w:rsidRDefault="00B626E7">
            <w:pPr>
              <w:rPr>
                <w:rFonts w:ascii="宋体"/>
              </w:rPr>
            </w:pPr>
          </w:p>
        </w:tc>
        <w:tc>
          <w:tcPr>
            <w:tcW w:w="50" w:type="pct"/>
            <w:shd w:val="clear" w:color="auto" w:fill="auto"/>
          </w:tcPr>
          <w:p w14:paraId="20AE2D15" w14:textId="77777777" w:rsidR="00B626E7" w:rsidRDefault="00B626E7">
            <w:pPr>
              <w:rPr>
                <w:rFonts w:ascii="宋体"/>
              </w:rPr>
            </w:pPr>
          </w:p>
        </w:tc>
        <w:tc>
          <w:tcPr>
            <w:tcW w:w="262" w:type="pct"/>
            <w:shd w:val="clear" w:color="auto" w:fill="auto"/>
          </w:tcPr>
          <w:p w14:paraId="20AE2D16" w14:textId="77777777" w:rsidR="00B626E7" w:rsidRDefault="00B626E7">
            <w:pPr>
              <w:rPr>
                <w:rFonts w:ascii="宋体"/>
              </w:rPr>
            </w:pPr>
          </w:p>
        </w:tc>
        <w:tc>
          <w:tcPr>
            <w:tcW w:w="50" w:type="pct"/>
            <w:shd w:val="clear" w:color="auto" w:fill="auto"/>
          </w:tcPr>
          <w:p w14:paraId="20AE2D17" w14:textId="77777777" w:rsidR="00B626E7" w:rsidRDefault="00B626E7">
            <w:pPr>
              <w:rPr>
                <w:rFonts w:ascii="宋体"/>
              </w:rPr>
            </w:pPr>
          </w:p>
        </w:tc>
        <w:tc>
          <w:tcPr>
            <w:tcW w:w="5" w:type="pct"/>
            <w:shd w:val="clear" w:color="auto" w:fill="auto"/>
          </w:tcPr>
          <w:p w14:paraId="20AE2D18" w14:textId="77777777" w:rsidR="00B626E7" w:rsidRDefault="00B626E7">
            <w:pPr>
              <w:rPr>
                <w:rFonts w:ascii="宋体"/>
              </w:rPr>
            </w:pPr>
          </w:p>
        </w:tc>
        <w:tc>
          <w:tcPr>
            <w:tcW w:w="24" w:type="pct"/>
            <w:shd w:val="clear" w:color="auto" w:fill="auto"/>
          </w:tcPr>
          <w:p w14:paraId="20AE2D19" w14:textId="77777777" w:rsidR="00B626E7" w:rsidRDefault="00B626E7">
            <w:pPr>
              <w:rPr>
                <w:rFonts w:ascii="宋体"/>
              </w:rPr>
            </w:pPr>
          </w:p>
        </w:tc>
        <w:tc>
          <w:tcPr>
            <w:tcW w:w="5" w:type="pct"/>
            <w:shd w:val="clear" w:color="auto" w:fill="auto"/>
          </w:tcPr>
          <w:p w14:paraId="20AE2D1A" w14:textId="77777777" w:rsidR="00B626E7" w:rsidRDefault="00B626E7">
            <w:pPr>
              <w:rPr>
                <w:rFonts w:ascii="宋体"/>
              </w:rPr>
            </w:pPr>
          </w:p>
        </w:tc>
        <w:tc>
          <w:tcPr>
            <w:tcW w:w="50" w:type="pct"/>
            <w:shd w:val="clear" w:color="auto" w:fill="auto"/>
          </w:tcPr>
          <w:p w14:paraId="20AE2D1B" w14:textId="77777777" w:rsidR="00B626E7" w:rsidRDefault="00B626E7">
            <w:pPr>
              <w:rPr>
                <w:rFonts w:ascii="宋体"/>
              </w:rPr>
            </w:pPr>
          </w:p>
        </w:tc>
        <w:tc>
          <w:tcPr>
            <w:tcW w:w="371" w:type="pct"/>
            <w:shd w:val="clear" w:color="auto" w:fill="auto"/>
          </w:tcPr>
          <w:p w14:paraId="20AE2D1C" w14:textId="77777777" w:rsidR="00B626E7" w:rsidRDefault="00B626E7">
            <w:pPr>
              <w:rPr>
                <w:rFonts w:ascii="宋体"/>
              </w:rPr>
            </w:pPr>
          </w:p>
        </w:tc>
        <w:tc>
          <w:tcPr>
            <w:tcW w:w="50" w:type="pct"/>
            <w:shd w:val="clear" w:color="auto" w:fill="auto"/>
          </w:tcPr>
          <w:p w14:paraId="20AE2D1D" w14:textId="77777777" w:rsidR="00B626E7" w:rsidRDefault="00B626E7">
            <w:pPr>
              <w:rPr>
                <w:rFonts w:ascii="宋体"/>
              </w:rPr>
            </w:pPr>
          </w:p>
        </w:tc>
      </w:tr>
      <w:tr w:rsidR="00B626E7" w14:paraId="20AE2D2B" w14:textId="77777777">
        <w:tc>
          <w:tcPr>
            <w:tcW w:w="0" w:type="auto"/>
            <w:gridSpan w:val="3"/>
            <w:shd w:val="clear" w:color="auto" w:fill="auto"/>
            <w:tcMar>
              <w:left w:w="20" w:type="dxa"/>
              <w:right w:w="20" w:type="dxa"/>
            </w:tcMar>
            <w:vAlign w:val="bottom"/>
          </w:tcPr>
          <w:p w14:paraId="20AE2D1F"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D20" w14:textId="77777777" w:rsidR="00B626E7" w:rsidRDefault="00B626E7">
            <w:pPr>
              <w:rPr>
                <w:rFonts w:ascii="宋体"/>
              </w:rPr>
            </w:pPr>
          </w:p>
        </w:tc>
        <w:tc>
          <w:tcPr>
            <w:tcW w:w="0" w:type="auto"/>
            <w:gridSpan w:val="21"/>
            <w:tcBorders>
              <w:bottom w:val="single" w:sz="8" w:space="0" w:color="0071C5"/>
            </w:tcBorders>
            <w:shd w:val="clear" w:color="auto" w:fill="auto"/>
            <w:tcMar>
              <w:top w:w="40" w:type="dxa"/>
              <w:left w:w="20" w:type="dxa"/>
              <w:bottom w:w="40" w:type="dxa"/>
              <w:right w:w="20" w:type="dxa"/>
            </w:tcMar>
            <w:vAlign w:val="bottom"/>
          </w:tcPr>
          <w:p w14:paraId="20AE2D21" w14:textId="77777777" w:rsidR="00B626E7" w:rsidRDefault="00175C1D">
            <w:pPr>
              <w:jc w:val="center"/>
              <w:textAlignment w:val="bottom"/>
            </w:pPr>
            <w:r>
              <w:rPr>
                <w:rFonts w:ascii="Arial" w:eastAsia="宋体" w:hAnsi="Arial" w:cs="Arial"/>
                <w:b/>
                <w:bCs/>
                <w:color w:val="333333"/>
                <w:sz w:val="18"/>
                <w:szCs w:val="18"/>
              </w:rPr>
              <w:t>Three Months Ended</w:t>
            </w:r>
          </w:p>
        </w:tc>
        <w:tc>
          <w:tcPr>
            <w:tcW w:w="0" w:type="auto"/>
            <w:gridSpan w:val="3"/>
            <w:shd w:val="clear" w:color="auto" w:fill="auto"/>
          </w:tcPr>
          <w:p w14:paraId="20AE2D22" w14:textId="77777777" w:rsidR="00B626E7" w:rsidRDefault="00B626E7">
            <w:pPr>
              <w:rPr>
                <w:rFonts w:ascii="宋体"/>
                <w:vanish/>
              </w:rPr>
            </w:pPr>
          </w:p>
        </w:tc>
        <w:tc>
          <w:tcPr>
            <w:tcW w:w="0" w:type="auto"/>
            <w:gridSpan w:val="3"/>
            <w:shd w:val="clear" w:color="auto" w:fill="auto"/>
          </w:tcPr>
          <w:p w14:paraId="20AE2D23" w14:textId="77777777" w:rsidR="00B626E7" w:rsidRDefault="00B626E7">
            <w:pPr>
              <w:rPr>
                <w:rFonts w:ascii="宋体"/>
                <w:vanish/>
              </w:rPr>
            </w:pPr>
          </w:p>
        </w:tc>
        <w:tc>
          <w:tcPr>
            <w:tcW w:w="0" w:type="auto"/>
            <w:gridSpan w:val="3"/>
            <w:shd w:val="clear" w:color="auto" w:fill="auto"/>
          </w:tcPr>
          <w:p w14:paraId="20AE2D24" w14:textId="77777777" w:rsidR="00B626E7" w:rsidRDefault="00B626E7">
            <w:pPr>
              <w:rPr>
                <w:rFonts w:ascii="宋体"/>
                <w:vanish/>
              </w:rPr>
            </w:pPr>
          </w:p>
        </w:tc>
        <w:tc>
          <w:tcPr>
            <w:tcW w:w="0" w:type="auto"/>
            <w:gridSpan w:val="3"/>
            <w:shd w:val="clear" w:color="auto" w:fill="auto"/>
          </w:tcPr>
          <w:p w14:paraId="20AE2D25" w14:textId="77777777" w:rsidR="00B626E7" w:rsidRDefault="00B626E7">
            <w:pPr>
              <w:rPr>
                <w:rFonts w:ascii="宋体"/>
                <w:vanish/>
              </w:rPr>
            </w:pPr>
          </w:p>
        </w:tc>
        <w:tc>
          <w:tcPr>
            <w:tcW w:w="0" w:type="auto"/>
            <w:gridSpan w:val="3"/>
            <w:shd w:val="clear" w:color="auto" w:fill="auto"/>
          </w:tcPr>
          <w:p w14:paraId="20AE2D26" w14:textId="77777777" w:rsidR="00B626E7" w:rsidRDefault="00B626E7">
            <w:pPr>
              <w:rPr>
                <w:rFonts w:ascii="宋体"/>
                <w:vanish/>
              </w:rPr>
            </w:pPr>
          </w:p>
        </w:tc>
        <w:tc>
          <w:tcPr>
            <w:tcW w:w="0" w:type="auto"/>
            <w:gridSpan w:val="3"/>
            <w:shd w:val="clear" w:color="auto" w:fill="auto"/>
          </w:tcPr>
          <w:p w14:paraId="20AE2D27" w14:textId="77777777" w:rsidR="00B626E7" w:rsidRDefault="00B626E7">
            <w:pPr>
              <w:rPr>
                <w:rFonts w:ascii="宋体"/>
                <w:vanish/>
              </w:rPr>
            </w:pPr>
          </w:p>
        </w:tc>
        <w:tc>
          <w:tcPr>
            <w:tcW w:w="0" w:type="auto"/>
            <w:gridSpan w:val="3"/>
            <w:shd w:val="clear" w:color="auto" w:fill="auto"/>
            <w:tcMar>
              <w:left w:w="20" w:type="dxa"/>
              <w:right w:w="20" w:type="dxa"/>
            </w:tcMar>
            <w:vAlign w:val="bottom"/>
          </w:tcPr>
          <w:p w14:paraId="20AE2D28" w14:textId="77777777" w:rsidR="00B626E7" w:rsidRDefault="00B626E7">
            <w:pPr>
              <w:rPr>
                <w:rFonts w:ascii="宋体"/>
              </w:rPr>
            </w:pPr>
          </w:p>
        </w:tc>
        <w:tc>
          <w:tcPr>
            <w:tcW w:w="0" w:type="auto"/>
            <w:gridSpan w:val="14"/>
            <w:tcBorders>
              <w:bottom w:val="single" w:sz="8" w:space="0" w:color="0071C5"/>
            </w:tcBorders>
            <w:shd w:val="clear" w:color="auto" w:fill="auto"/>
            <w:tcMar>
              <w:top w:w="40" w:type="dxa"/>
              <w:left w:w="20" w:type="dxa"/>
              <w:bottom w:w="40" w:type="dxa"/>
              <w:right w:w="20" w:type="dxa"/>
            </w:tcMar>
            <w:vAlign w:val="bottom"/>
          </w:tcPr>
          <w:p w14:paraId="20AE2D29" w14:textId="77777777" w:rsidR="00B626E7" w:rsidRDefault="00175C1D">
            <w:pPr>
              <w:jc w:val="center"/>
              <w:textAlignment w:val="bottom"/>
            </w:pPr>
            <w:r>
              <w:rPr>
                <w:rFonts w:ascii="Arial" w:eastAsia="宋体" w:hAnsi="Arial" w:cs="Arial"/>
                <w:b/>
                <w:bCs/>
                <w:color w:val="333333"/>
                <w:sz w:val="18"/>
                <w:szCs w:val="18"/>
              </w:rPr>
              <w:t>Six Months Ended</w:t>
            </w:r>
          </w:p>
        </w:tc>
        <w:tc>
          <w:tcPr>
            <w:tcW w:w="0" w:type="auto"/>
            <w:shd w:val="clear" w:color="auto" w:fill="auto"/>
          </w:tcPr>
          <w:p w14:paraId="20AE2D2A" w14:textId="77777777" w:rsidR="00B626E7" w:rsidRDefault="00B626E7">
            <w:pPr>
              <w:rPr>
                <w:rFonts w:ascii="宋体"/>
                <w:vanish/>
              </w:rPr>
            </w:pPr>
          </w:p>
        </w:tc>
      </w:tr>
      <w:tr w:rsidR="00B626E7" w14:paraId="20AE2D3C" w14:textId="77777777">
        <w:tc>
          <w:tcPr>
            <w:tcW w:w="0" w:type="auto"/>
            <w:gridSpan w:val="3"/>
            <w:shd w:val="clear" w:color="auto" w:fill="auto"/>
            <w:tcMar>
              <w:left w:w="20" w:type="dxa"/>
              <w:right w:w="20" w:type="dxa"/>
            </w:tcMar>
            <w:vAlign w:val="bottom"/>
          </w:tcPr>
          <w:p w14:paraId="20AE2D2C"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D2D" w14:textId="77777777" w:rsidR="00B626E7" w:rsidRDefault="00B626E7">
            <w:pPr>
              <w:rPr>
                <w:rFonts w:ascii="宋体"/>
              </w:rPr>
            </w:pPr>
          </w:p>
        </w:tc>
        <w:tc>
          <w:tcPr>
            <w:tcW w:w="0" w:type="auto"/>
            <w:gridSpan w:val="9"/>
            <w:tcBorders>
              <w:top w:val="single" w:sz="8" w:space="0" w:color="0071C5"/>
            </w:tcBorders>
            <w:shd w:val="clear" w:color="auto" w:fill="auto"/>
            <w:tcMar>
              <w:top w:w="40" w:type="dxa"/>
              <w:left w:w="20" w:type="dxa"/>
              <w:bottom w:w="40" w:type="dxa"/>
              <w:right w:w="20" w:type="dxa"/>
            </w:tcMar>
            <w:vAlign w:val="bottom"/>
          </w:tcPr>
          <w:p w14:paraId="20AE2D2E" w14:textId="77777777" w:rsidR="00B626E7" w:rsidRDefault="00175C1D">
            <w:pPr>
              <w:jc w:val="center"/>
              <w:textAlignment w:val="bottom"/>
            </w:pPr>
            <w:r>
              <w:rPr>
                <w:rFonts w:ascii="Arial" w:eastAsia="宋体" w:hAnsi="Arial" w:cs="Arial"/>
                <w:b/>
                <w:bCs/>
                <w:color w:val="333333"/>
                <w:sz w:val="18"/>
                <w:szCs w:val="18"/>
              </w:rPr>
              <w:t>Q2 2020</w:t>
            </w:r>
          </w:p>
        </w:tc>
        <w:tc>
          <w:tcPr>
            <w:tcW w:w="0" w:type="auto"/>
            <w:gridSpan w:val="3"/>
            <w:shd w:val="clear" w:color="auto" w:fill="auto"/>
          </w:tcPr>
          <w:p w14:paraId="20AE2D2F" w14:textId="77777777" w:rsidR="00B626E7" w:rsidRDefault="00B626E7">
            <w:pPr>
              <w:rPr>
                <w:rFonts w:ascii="宋体"/>
                <w:vanish/>
              </w:rPr>
            </w:pPr>
          </w:p>
        </w:tc>
        <w:tc>
          <w:tcPr>
            <w:tcW w:w="0" w:type="auto"/>
            <w:gridSpan w:val="3"/>
            <w:shd w:val="clear" w:color="auto" w:fill="auto"/>
          </w:tcPr>
          <w:p w14:paraId="20AE2D30" w14:textId="77777777" w:rsidR="00B626E7" w:rsidRDefault="00B626E7">
            <w:pPr>
              <w:rPr>
                <w:rFonts w:ascii="宋体"/>
                <w:vanish/>
              </w:rPr>
            </w:pPr>
          </w:p>
        </w:tc>
        <w:tc>
          <w:tcPr>
            <w:tcW w:w="0" w:type="auto"/>
            <w:gridSpan w:val="3"/>
            <w:tcBorders>
              <w:top w:val="single" w:sz="8" w:space="0" w:color="0071C5"/>
            </w:tcBorders>
            <w:shd w:val="clear" w:color="auto" w:fill="auto"/>
            <w:tcMar>
              <w:left w:w="20" w:type="dxa"/>
              <w:right w:w="20" w:type="dxa"/>
            </w:tcMar>
            <w:vAlign w:val="bottom"/>
          </w:tcPr>
          <w:p w14:paraId="20AE2D31" w14:textId="77777777" w:rsidR="00B626E7" w:rsidRDefault="00B626E7">
            <w:pPr>
              <w:rPr>
                <w:rFonts w:ascii="宋体"/>
              </w:rPr>
            </w:pPr>
          </w:p>
        </w:tc>
        <w:tc>
          <w:tcPr>
            <w:tcW w:w="0" w:type="auto"/>
            <w:gridSpan w:val="9"/>
            <w:tcBorders>
              <w:top w:val="single" w:sz="8" w:space="0" w:color="0071C5"/>
            </w:tcBorders>
            <w:shd w:val="clear" w:color="auto" w:fill="auto"/>
            <w:tcMar>
              <w:top w:w="40" w:type="dxa"/>
              <w:left w:w="20" w:type="dxa"/>
              <w:bottom w:w="40" w:type="dxa"/>
              <w:right w:w="20" w:type="dxa"/>
            </w:tcMar>
            <w:vAlign w:val="bottom"/>
          </w:tcPr>
          <w:p w14:paraId="20AE2D32" w14:textId="77777777" w:rsidR="00B626E7" w:rsidRDefault="00175C1D">
            <w:pPr>
              <w:jc w:val="center"/>
              <w:textAlignment w:val="bottom"/>
            </w:pPr>
            <w:r>
              <w:rPr>
                <w:rFonts w:ascii="Arial" w:eastAsia="宋体" w:hAnsi="Arial" w:cs="Arial"/>
                <w:b/>
                <w:bCs/>
                <w:color w:val="333333"/>
                <w:sz w:val="18"/>
                <w:szCs w:val="18"/>
              </w:rPr>
              <w:t>Q2 2019</w:t>
            </w:r>
          </w:p>
        </w:tc>
        <w:tc>
          <w:tcPr>
            <w:tcW w:w="0" w:type="auto"/>
            <w:gridSpan w:val="3"/>
            <w:shd w:val="clear" w:color="auto" w:fill="auto"/>
          </w:tcPr>
          <w:p w14:paraId="20AE2D33" w14:textId="77777777" w:rsidR="00B626E7" w:rsidRDefault="00B626E7">
            <w:pPr>
              <w:rPr>
                <w:rFonts w:ascii="宋体"/>
                <w:vanish/>
              </w:rPr>
            </w:pPr>
          </w:p>
        </w:tc>
        <w:tc>
          <w:tcPr>
            <w:tcW w:w="0" w:type="auto"/>
            <w:gridSpan w:val="3"/>
            <w:shd w:val="clear" w:color="auto" w:fill="auto"/>
          </w:tcPr>
          <w:p w14:paraId="20AE2D34" w14:textId="77777777" w:rsidR="00B626E7" w:rsidRDefault="00B626E7">
            <w:pPr>
              <w:rPr>
                <w:rFonts w:ascii="宋体"/>
                <w:vanish/>
              </w:rPr>
            </w:pPr>
          </w:p>
        </w:tc>
        <w:tc>
          <w:tcPr>
            <w:tcW w:w="0" w:type="auto"/>
            <w:gridSpan w:val="3"/>
            <w:shd w:val="clear" w:color="auto" w:fill="auto"/>
            <w:tcMar>
              <w:left w:w="20" w:type="dxa"/>
              <w:right w:w="20" w:type="dxa"/>
            </w:tcMar>
            <w:vAlign w:val="bottom"/>
          </w:tcPr>
          <w:p w14:paraId="20AE2D35" w14:textId="77777777" w:rsidR="00B626E7" w:rsidRDefault="00B626E7">
            <w:pPr>
              <w:rPr>
                <w:rFonts w:ascii="宋体"/>
              </w:rPr>
            </w:pPr>
          </w:p>
        </w:tc>
        <w:tc>
          <w:tcPr>
            <w:tcW w:w="0" w:type="auto"/>
            <w:gridSpan w:val="9"/>
            <w:tcBorders>
              <w:top w:val="single" w:sz="8" w:space="0" w:color="0071C5"/>
            </w:tcBorders>
            <w:shd w:val="clear" w:color="auto" w:fill="auto"/>
            <w:tcMar>
              <w:top w:w="40" w:type="dxa"/>
              <w:left w:w="20" w:type="dxa"/>
              <w:bottom w:w="40" w:type="dxa"/>
              <w:right w:w="20" w:type="dxa"/>
            </w:tcMar>
            <w:vAlign w:val="bottom"/>
          </w:tcPr>
          <w:p w14:paraId="20AE2D36" w14:textId="77777777" w:rsidR="00B626E7" w:rsidRDefault="00175C1D">
            <w:pPr>
              <w:jc w:val="center"/>
              <w:textAlignment w:val="bottom"/>
            </w:pPr>
            <w:r>
              <w:rPr>
                <w:rFonts w:ascii="Arial" w:eastAsia="宋体" w:hAnsi="Arial" w:cs="Arial"/>
                <w:b/>
                <w:bCs/>
                <w:color w:val="333333"/>
                <w:sz w:val="18"/>
                <w:szCs w:val="18"/>
              </w:rPr>
              <w:t>YTD 2020</w:t>
            </w:r>
          </w:p>
        </w:tc>
        <w:tc>
          <w:tcPr>
            <w:tcW w:w="0" w:type="auto"/>
            <w:gridSpan w:val="3"/>
            <w:shd w:val="clear" w:color="auto" w:fill="auto"/>
          </w:tcPr>
          <w:p w14:paraId="20AE2D37" w14:textId="77777777" w:rsidR="00B626E7" w:rsidRDefault="00B626E7">
            <w:pPr>
              <w:rPr>
                <w:rFonts w:ascii="宋体"/>
                <w:vanish/>
              </w:rPr>
            </w:pPr>
          </w:p>
        </w:tc>
        <w:tc>
          <w:tcPr>
            <w:tcW w:w="0" w:type="auto"/>
            <w:gridSpan w:val="3"/>
            <w:shd w:val="clear" w:color="auto" w:fill="auto"/>
          </w:tcPr>
          <w:p w14:paraId="20AE2D38" w14:textId="77777777" w:rsidR="00B626E7" w:rsidRDefault="00B626E7">
            <w:pPr>
              <w:rPr>
                <w:rFonts w:ascii="宋体"/>
                <w:vanish/>
              </w:rPr>
            </w:pPr>
          </w:p>
        </w:tc>
        <w:tc>
          <w:tcPr>
            <w:tcW w:w="0" w:type="auto"/>
            <w:gridSpan w:val="3"/>
            <w:tcBorders>
              <w:top w:val="single" w:sz="8" w:space="0" w:color="0071C5"/>
            </w:tcBorders>
            <w:shd w:val="clear" w:color="auto" w:fill="auto"/>
            <w:tcMar>
              <w:left w:w="20" w:type="dxa"/>
              <w:right w:w="20" w:type="dxa"/>
            </w:tcMar>
            <w:vAlign w:val="bottom"/>
          </w:tcPr>
          <w:p w14:paraId="20AE2D39" w14:textId="77777777" w:rsidR="00B626E7" w:rsidRDefault="00B626E7">
            <w:pPr>
              <w:rPr>
                <w:rFonts w:ascii="宋体"/>
              </w:rPr>
            </w:pPr>
          </w:p>
        </w:tc>
        <w:tc>
          <w:tcPr>
            <w:tcW w:w="0" w:type="auto"/>
            <w:gridSpan w:val="2"/>
            <w:tcBorders>
              <w:top w:val="single" w:sz="8" w:space="0" w:color="0071C5"/>
            </w:tcBorders>
            <w:shd w:val="clear" w:color="auto" w:fill="auto"/>
            <w:tcMar>
              <w:top w:w="40" w:type="dxa"/>
              <w:left w:w="20" w:type="dxa"/>
              <w:bottom w:w="40" w:type="dxa"/>
              <w:right w:w="20" w:type="dxa"/>
            </w:tcMar>
            <w:vAlign w:val="bottom"/>
          </w:tcPr>
          <w:p w14:paraId="20AE2D3A" w14:textId="77777777" w:rsidR="00B626E7" w:rsidRDefault="00175C1D">
            <w:pPr>
              <w:jc w:val="center"/>
              <w:textAlignment w:val="bottom"/>
            </w:pPr>
            <w:r>
              <w:rPr>
                <w:rFonts w:ascii="Arial" w:eastAsia="宋体" w:hAnsi="Arial" w:cs="Arial"/>
                <w:b/>
                <w:bCs/>
                <w:color w:val="333333"/>
                <w:sz w:val="18"/>
                <w:szCs w:val="18"/>
              </w:rPr>
              <w:t>YTD 2019</w:t>
            </w:r>
          </w:p>
        </w:tc>
        <w:tc>
          <w:tcPr>
            <w:tcW w:w="0" w:type="auto"/>
            <w:shd w:val="clear" w:color="auto" w:fill="auto"/>
          </w:tcPr>
          <w:p w14:paraId="20AE2D3B" w14:textId="77777777" w:rsidR="00B626E7" w:rsidRDefault="00B626E7">
            <w:pPr>
              <w:rPr>
                <w:rFonts w:ascii="宋体"/>
                <w:vanish/>
              </w:rPr>
            </w:pPr>
          </w:p>
        </w:tc>
      </w:tr>
      <w:tr w:rsidR="00B626E7" w14:paraId="20AE2D5A" w14:textId="77777777">
        <w:tc>
          <w:tcPr>
            <w:tcW w:w="0" w:type="auto"/>
            <w:gridSpan w:val="3"/>
            <w:shd w:val="clear" w:color="auto" w:fill="auto"/>
            <w:tcMar>
              <w:top w:w="40" w:type="dxa"/>
              <w:left w:w="20" w:type="dxa"/>
              <w:bottom w:w="40" w:type="dxa"/>
              <w:right w:w="20" w:type="dxa"/>
            </w:tcMar>
            <w:vAlign w:val="bottom"/>
          </w:tcPr>
          <w:p w14:paraId="20AE2D3D" w14:textId="77777777" w:rsidR="00B626E7" w:rsidRDefault="00175C1D">
            <w:pPr>
              <w:ind w:hanging="180"/>
              <w:textAlignment w:val="bottom"/>
            </w:pPr>
            <w:r>
              <w:rPr>
                <w:rFonts w:ascii="Arial" w:eastAsia="宋体" w:hAnsi="Arial" w:cs="Arial"/>
                <w:b/>
                <w:bCs/>
                <w:color w:val="333333"/>
                <w:sz w:val="18"/>
                <w:szCs w:val="18"/>
              </w:rPr>
              <w:t>(In Mi</w:t>
            </w:r>
            <w:r>
              <w:rPr>
                <w:rFonts w:ascii="Arial" w:eastAsia="宋体" w:hAnsi="Arial" w:cs="Arial"/>
                <w:b/>
                <w:bCs/>
                <w:color w:val="333333"/>
                <w:sz w:val="18"/>
                <w:szCs w:val="18"/>
              </w:rPr>
              <w:t>llions, Except Per Share Amounts)</w:t>
            </w:r>
          </w:p>
        </w:tc>
        <w:tc>
          <w:tcPr>
            <w:tcW w:w="0" w:type="auto"/>
            <w:gridSpan w:val="3"/>
            <w:shd w:val="clear" w:color="auto" w:fill="auto"/>
            <w:tcMar>
              <w:left w:w="20" w:type="dxa"/>
              <w:right w:w="20" w:type="dxa"/>
            </w:tcMar>
            <w:vAlign w:val="bottom"/>
          </w:tcPr>
          <w:p w14:paraId="20AE2D3E"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2D3F" w14:textId="77777777" w:rsidR="00B626E7" w:rsidRDefault="00175C1D">
            <w:pPr>
              <w:jc w:val="center"/>
              <w:textAlignment w:val="bottom"/>
            </w:pPr>
            <w:r>
              <w:rPr>
                <w:rFonts w:ascii="Arial" w:eastAsia="宋体" w:hAnsi="Arial" w:cs="Arial"/>
                <w:b/>
                <w:bCs/>
                <w:color w:val="333333"/>
                <w:sz w:val="18"/>
                <w:szCs w:val="18"/>
              </w:rPr>
              <w:t>Amount</w:t>
            </w:r>
          </w:p>
        </w:tc>
        <w:tc>
          <w:tcPr>
            <w:tcW w:w="0" w:type="auto"/>
            <w:gridSpan w:val="3"/>
            <w:tcBorders>
              <w:top w:val="single" w:sz="8" w:space="0" w:color="0071C5"/>
            </w:tcBorders>
            <w:shd w:val="clear" w:color="auto" w:fill="auto"/>
            <w:tcMar>
              <w:left w:w="20" w:type="dxa"/>
              <w:right w:w="20" w:type="dxa"/>
            </w:tcMar>
            <w:vAlign w:val="bottom"/>
          </w:tcPr>
          <w:p w14:paraId="20AE2D40"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2D41" w14:textId="77777777" w:rsidR="00B626E7" w:rsidRDefault="00175C1D">
            <w:pPr>
              <w:jc w:val="center"/>
              <w:textAlignment w:val="bottom"/>
            </w:pPr>
            <w:r>
              <w:rPr>
                <w:rFonts w:ascii="Arial" w:eastAsia="宋体" w:hAnsi="Arial" w:cs="Arial"/>
                <w:b/>
                <w:bCs/>
                <w:color w:val="333333"/>
                <w:sz w:val="18"/>
                <w:szCs w:val="18"/>
              </w:rPr>
              <w:t>% of Net</w:t>
            </w:r>
            <w:r>
              <w:rPr>
                <w:rFonts w:ascii="Arial" w:eastAsia="宋体" w:hAnsi="Arial" w:cs="Arial"/>
                <w:b/>
                <w:bCs/>
                <w:color w:val="333333"/>
                <w:sz w:val="18"/>
                <w:szCs w:val="18"/>
              </w:rPr>
              <w:br/>
              <w:t>Revenue</w:t>
            </w:r>
          </w:p>
        </w:tc>
        <w:tc>
          <w:tcPr>
            <w:tcW w:w="0" w:type="auto"/>
            <w:gridSpan w:val="3"/>
            <w:shd w:val="clear" w:color="auto" w:fill="auto"/>
            <w:tcMar>
              <w:left w:w="20" w:type="dxa"/>
              <w:right w:w="20" w:type="dxa"/>
            </w:tcMar>
            <w:vAlign w:val="bottom"/>
          </w:tcPr>
          <w:p w14:paraId="20AE2D42"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2D43" w14:textId="77777777" w:rsidR="00B626E7" w:rsidRDefault="00175C1D">
            <w:pPr>
              <w:jc w:val="center"/>
              <w:textAlignment w:val="bottom"/>
            </w:pPr>
            <w:r>
              <w:rPr>
                <w:rFonts w:ascii="Arial" w:eastAsia="宋体" w:hAnsi="Arial" w:cs="Arial"/>
                <w:b/>
                <w:bCs/>
                <w:color w:val="333333"/>
                <w:sz w:val="18"/>
                <w:szCs w:val="18"/>
              </w:rPr>
              <w:t>Amount</w:t>
            </w:r>
          </w:p>
        </w:tc>
        <w:tc>
          <w:tcPr>
            <w:tcW w:w="0" w:type="auto"/>
            <w:gridSpan w:val="3"/>
            <w:tcBorders>
              <w:top w:val="single" w:sz="8" w:space="0" w:color="0071C5"/>
            </w:tcBorders>
            <w:shd w:val="clear" w:color="auto" w:fill="auto"/>
            <w:tcMar>
              <w:left w:w="20" w:type="dxa"/>
              <w:right w:w="20" w:type="dxa"/>
            </w:tcMar>
            <w:vAlign w:val="bottom"/>
          </w:tcPr>
          <w:p w14:paraId="20AE2D44"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2D45" w14:textId="77777777" w:rsidR="00B626E7" w:rsidRDefault="00175C1D">
            <w:pPr>
              <w:jc w:val="center"/>
              <w:textAlignment w:val="bottom"/>
            </w:pPr>
            <w:r>
              <w:rPr>
                <w:rFonts w:ascii="Arial" w:eastAsia="宋体" w:hAnsi="Arial" w:cs="Arial"/>
                <w:b/>
                <w:bCs/>
                <w:color w:val="333333"/>
                <w:sz w:val="18"/>
                <w:szCs w:val="18"/>
              </w:rPr>
              <w:t>% of Net</w:t>
            </w:r>
            <w:r>
              <w:rPr>
                <w:rFonts w:ascii="Arial" w:eastAsia="宋体" w:hAnsi="Arial" w:cs="Arial"/>
                <w:b/>
                <w:bCs/>
                <w:color w:val="333333"/>
                <w:sz w:val="18"/>
                <w:szCs w:val="18"/>
              </w:rPr>
              <w:br/>
              <w:t>Revenue</w:t>
            </w:r>
          </w:p>
        </w:tc>
        <w:tc>
          <w:tcPr>
            <w:tcW w:w="0" w:type="auto"/>
            <w:gridSpan w:val="3"/>
            <w:shd w:val="clear" w:color="auto" w:fill="auto"/>
            <w:tcMar>
              <w:left w:w="20" w:type="dxa"/>
              <w:right w:w="20" w:type="dxa"/>
            </w:tcMar>
            <w:vAlign w:val="bottom"/>
          </w:tcPr>
          <w:p w14:paraId="20AE2D46"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2D47" w14:textId="77777777" w:rsidR="00B626E7" w:rsidRDefault="00175C1D">
            <w:pPr>
              <w:jc w:val="center"/>
              <w:textAlignment w:val="bottom"/>
            </w:pPr>
            <w:r>
              <w:rPr>
                <w:rFonts w:ascii="Arial" w:eastAsia="宋体" w:hAnsi="Arial" w:cs="Arial"/>
                <w:b/>
                <w:bCs/>
                <w:color w:val="333333"/>
                <w:sz w:val="18"/>
                <w:szCs w:val="18"/>
              </w:rPr>
              <w:t>Amount</w:t>
            </w:r>
          </w:p>
        </w:tc>
        <w:tc>
          <w:tcPr>
            <w:tcW w:w="0" w:type="auto"/>
            <w:gridSpan w:val="3"/>
            <w:tcBorders>
              <w:top w:val="single" w:sz="8" w:space="0" w:color="0071C5"/>
            </w:tcBorders>
            <w:shd w:val="clear" w:color="auto" w:fill="auto"/>
            <w:tcMar>
              <w:left w:w="20" w:type="dxa"/>
              <w:right w:w="20" w:type="dxa"/>
            </w:tcMar>
            <w:vAlign w:val="bottom"/>
          </w:tcPr>
          <w:p w14:paraId="20AE2D48"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2D49" w14:textId="77777777" w:rsidR="00B626E7" w:rsidRDefault="00175C1D">
            <w:pPr>
              <w:jc w:val="center"/>
              <w:textAlignment w:val="bottom"/>
            </w:pPr>
            <w:r>
              <w:rPr>
                <w:rFonts w:ascii="Arial" w:eastAsia="宋体" w:hAnsi="Arial" w:cs="Arial"/>
                <w:b/>
                <w:bCs/>
                <w:color w:val="333333"/>
                <w:sz w:val="18"/>
                <w:szCs w:val="18"/>
              </w:rPr>
              <w:t>% of Net</w:t>
            </w:r>
            <w:r>
              <w:rPr>
                <w:rFonts w:ascii="Arial" w:eastAsia="宋体" w:hAnsi="Arial" w:cs="Arial"/>
                <w:b/>
                <w:bCs/>
                <w:color w:val="333333"/>
                <w:sz w:val="18"/>
                <w:szCs w:val="18"/>
              </w:rPr>
              <w:br/>
              <w:t>Revenue</w:t>
            </w:r>
          </w:p>
        </w:tc>
        <w:tc>
          <w:tcPr>
            <w:tcW w:w="0" w:type="auto"/>
            <w:gridSpan w:val="3"/>
            <w:shd w:val="clear" w:color="auto" w:fill="auto"/>
            <w:tcMar>
              <w:left w:w="20" w:type="dxa"/>
              <w:right w:w="20" w:type="dxa"/>
            </w:tcMar>
            <w:vAlign w:val="bottom"/>
          </w:tcPr>
          <w:p w14:paraId="20AE2D4A"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2D4B" w14:textId="77777777" w:rsidR="00B626E7" w:rsidRDefault="00175C1D">
            <w:pPr>
              <w:jc w:val="center"/>
              <w:textAlignment w:val="bottom"/>
            </w:pPr>
            <w:r>
              <w:rPr>
                <w:rFonts w:ascii="Arial" w:eastAsia="宋体" w:hAnsi="Arial" w:cs="Arial"/>
                <w:b/>
                <w:bCs/>
                <w:color w:val="333333"/>
                <w:sz w:val="18"/>
                <w:szCs w:val="18"/>
              </w:rPr>
              <w:t>Amount</w:t>
            </w:r>
          </w:p>
        </w:tc>
        <w:tc>
          <w:tcPr>
            <w:tcW w:w="0" w:type="auto"/>
            <w:gridSpan w:val="3"/>
            <w:tcBorders>
              <w:top w:val="single" w:sz="8" w:space="0" w:color="0071C5"/>
            </w:tcBorders>
            <w:shd w:val="clear" w:color="auto" w:fill="auto"/>
            <w:tcMar>
              <w:left w:w="20" w:type="dxa"/>
              <w:right w:w="20" w:type="dxa"/>
            </w:tcMar>
            <w:vAlign w:val="bottom"/>
          </w:tcPr>
          <w:p w14:paraId="20AE2D4C"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2D4D" w14:textId="77777777" w:rsidR="00B626E7" w:rsidRDefault="00175C1D">
            <w:pPr>
              <w:jc w:val="center"/>
              <w:textAlignment w:val="bottom"/>
            </w:pPr>
            <w:r>
              <w:rPr>
                <w:rFonts w:ascii="Arial" w:eastAsia="宋体" w:hAnsi="Arial" w:cs="Arial"/>
                <w:b/>
                <w:bCs/>
                <w:color w:val="333333"/>
                <w:sz w:val="18"/>
                <w:szCs w:val="18"/>
              </w:rPr>
              <w:t>% of Net</w:t>
            </w:r>
            <w:r>
              <w:rPr>
                <w:rFonts w:ascii="Arial" w:eastAsia="宋体" w:hAnsi="Arial" w:cs="Arial"/>
                <w:b/>
                <w:bCs/>
                <w:color w:val="333333"/>
                <w:sz w:val="18"/>
                <w:szCs w:val="18"/>
              </w:rPr>
              <w:br/>
              <w:t>Revenue</w:t>
            </w:r>
          </w:p>
        </w:tc>
        <w:tc>
          <w:tcPr>
            <w:tcW w:w="0" w:type="auto"/>
            <w:shd w:val="clear" w:color="auto" w:fill="auto"/>
          </w:tcPr>
          <w:p w14:paraId="20AE2D4E" w14:textId="77777777" w:rsidR="00B626E7" w:rsidRDefault="00B626E7">
            <w:pPr>
              <w:rPr>
                <w:rFonts w:ascii="宋体"/>
              </w:rPr>
            </w:pPr>
          </w:p>
        </w:tc>
        <w:tc>
          <w:tcPr>
            <w:tcW w:w="0" w:type="auto"/>
            <w:shd w:val="clear" w:color="auto" w:fill="auto"/>
          </w:tcPr>
          <w:p w14:paraId="20AE2D4F" w14:textId="77777777" w:rsidR="00B626E7" w:rsidRDefault="00B626E7">
            <w:pPr>
              <w:rPr>
                <w:rFonts w:ascii="宋体"/>
              </w:rPr>
            </w:pPr>
          </w:p>
        </w:tc>
        <w:tc>
          <w:tcPr>
            <w:tcW w:w="0" w:type="auto"/>
            <w:shd w:val="clear" w:color="auto" w:fill="auto"/>
          </w:tcPr>
          <w:p w14:paraId="20AE2D50" w14:textId="77777777" w:rsidR="00B626E7" w:rsidRDefault="00B626E7">
            <w:pPr>
              <w:rPr>
                <w:rFonts w:ascii="宋体"/>
              </w:rPr>
            </w:pPr>
          </w:p>
        </w:tc>
        <w:tc>
          <w:tcPr>
            <w:tcW w:w="0" w:type="auto"/>
            <w:shd w:val="clear" w:color="auto" w:fill="auto"/>
          </w:tcPr>
          <w:p w14:paraId="20AE2D51" w14:textId="77777777" w:rsidR="00B626E7" w:rsidRDefault="00B626E7">
            <w:pPr>
              <w:rPr>
                <w:rFonts w:ascii="宋体"/>
              </w:rPr>
            </w:pPr>
          </w:p>
        </w:tc>
        <w:tc>
          <w:tcPr>
            <w:tcW w:w="0" w:type="auto"/>
            <w:shd w:val="clear" w:color="auto" w:fill="auto"/>
          </w:tcPr>
          <w:p w14:paraId="20AE2D52" w14:textId="77777777" w:rsidR="00B626E7" w:rsidRDefault="00B626E7">
            <w:pPr>
              <w:rPr>
                <w:rFonts w:ascii="宋体"/>
              </w:rPr>
            </w:pPr>
          </w:p>
        </w:tc>
        <w:tc>
          <w:tcPr>
            <w:tcW w:w="0" w:type="auto"/>
            <w:shd w:val="clear" w:color="auto" w:fill="auto"/>
          </w:tcPr>
          <w:p w14:paraId="20AE2D53" w14:textId="77777777" w:rsidR="00B626E7" w:rsidRDefault="00B626E7">
            <w:pPr>
              <w:rPr>
                <w:rFonts w:ascii="宋体"/>
              </w:rPr>
            </w:pPr>
          </w:p>
        </w:tc>
        <w:tc>
          <w:tcPr>
            <w:tcW w:w="0" w:type="auto"/>
            <w:shd w:val="clear" w:color="auto" w:fill="auto"/>
          </w:tcPr>
          <w:p w14:paraId="20AE2D54" w14:textId="77777777" w:rsidR="00B626E7" w:rsidRDefault="00B626E7">
            <w:pPr>
              <w:rPr>
                <w:rFonts w:ascii="宋体"/>
              </w:rPr>
            </w:pPr>
          </w:p>
        </w:tc>
        <w:tc>
          <w:tcPr>
            <w:tcW w:w="0" w:type="auto"/>
            <w:shd w:val="clear" w:color="auto" w:fill="auto"/>
          </w:tcPr>
          <w:p w14:paraId="20AE2D55" w14:textId="77777777" w:rsidR="00B626E7" w:rsidRDefault="00B626E7">
            <w:pPr>
              <w:rPr>
                <w:rFonts w:ascii="宋体"/>
              </w:rPr>
            </w:pPr>
          </w:p>
        </w:tc>
        <w:tc>
          <w:tcPr>
            <w:tcW w:w="0" w:type="auto"/>
            <w:shd w:val="clear" w:color="auto" w:fill="auto"/>
          </w:tcPr>
          <w:p w14:paraId="20AE2D56" w14:textId="77777777" w:rsidR="00B626E7" w:rsidRDefault="00B626E7">
            <w:pPr>
              <w:rPr>
                <w:rFonts w:ascii="宋体"/>
              </w:rPr>
            </w:pPr>
          </w:p>
        </w:tc>
        <w:tc>
          <w:tcPr>
            <w:tcW w:w="0" w:type="auto"/>
            <w:shd w:val="clear" w:color="auto" w:fill="auto"/>
          </w:tcPr>
          <w:p w14:paraId="20AE2D57" w14:textId="77777777" w:rsidR="00B626E7" w:rsidRDefault="00B626E7">
            <w:pPr>
              <w:rPr>
                <w:rFonts w:ascii="宋体"/>
              </w:rPr>
            </w:pPr>
          </w:p>
        </w:tc>
        <w:tc>
          <w:tcPr>
            <w:tcW w:w="0" w:type="auto"/>
            <w:shd w:val="clear" w:color="auto" w:fill="auto"/>
          </w:tcPr>
          <w:p w14:paraId="20AE2D58" w14:textId="77777777" w:rsidR="00B626E7" w:rsidRDefault="00B626E7">
            <w:pPr>
              <w:rPr>
                <w:rFonts w:ascii="宋体"/>
              </w:rPr>
            </w:pPr>
          </w:p>
        </w:tc>
        <w:tc>
          <w:tcPr>
            <w:tcW w:w="0" w:type="auto"/>
            <w:shd w:val="clear" w:color="auto" w:fill="auto"/>
          </w:tcPr>
          <w:p w14:paraId="20AE2D59" w14:textId="77777777" w:rsidR="00B626E7" w:rsidRDefault="00B626E7">
            <w:pPr>
              <w:rPr>
                <w:rFonts w:ascii="宋体"/>
              </w:rPr>
            </w:pPr>
          </w:p>
        </w:tc>
      </w:tr>
      <w:tr w:rsidR="00B626E7" w14:paraId="20AE2D84" w14:textId="77777777">
        <w:tc>
          <w:tcPr>
            <w:tcW w:w="0" w:type="auto"/>
            <w:gridSpan w:val="3"/>
            <w:tcBorders>
              <w:top w:val="single" w:sz="8" w:space="0" w:color="0071C5"/>
            </w:tcBorders>
            <w:shd w:val="clear" w:color="auto" w:fill="auto"/>
            <w:tcMar>
              <w:top w:w="40" w:type="dxa"/>
              <w:left w:w="20" w:type="dxa"/>
              <w:bottom w:w="40" w:type="dxa"/>
              <w:right w:w="20" w:type="dxa"/>
            </w:tcMar>
          </w:tcPr>
          <w:p w14:paraId="20AE2D5B" w14:textId="77777777" w:rsidR="00B626E7" w:rsidRDefault="00175C1D">
            <w:pPr>
              <w:ind w:hanging="180"/>
              <w:textAlignment w:val="top"/>
            </w:pPr>
            <w:r>
              <w:rPr>
                <w:rFonts w:ascii="Arial" w:eastAsia="宋体" w:hAnsi="Arial" w:cs="Arial"/>
                <w:b/>
                <w:bCs/>
                <w:color w:val="333333"/>
                <w:sz w:val="18"/>
                <w:szCs w:val="18"/>
              </w:rPr>
              <w:t>Net revenue</w:t>
            </w:r>
          </w:p>
        </w:tc>
        <w:tc>
          <w:tcPr>
            <w:tcW w:w="0" w:type="auto"/>
            <w:gridSpan w:val="3"/>
            <w:shd w:val="clear" w:color="auto" w:fill="auto"/>
            <w:tcMar>
              <w:left w:w="20" w:type="dxa"/>
              <w:right w:w="20" w:type="dxa"/>
            </w:tcMar>
            <w:vAlign w:val="bottom"/>
          </w:tcPr>
          <w:p w14:paraId="20AE2D5C"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2D5D" w14:textId="77777777" w:rsidR="00B626E7" w:rsidRDefault="00175C1D">
            <w:pPr>
              <w:textAlignment w:val="bottom"/>
            </w:pPr>
            <w:r>
              <w:rPr>
                <w:rFonts w:ascii="Arial" w:eastAsia="宋体" w:hAnsi="Arial" w:cs="Arial"/>
                <w:b/>
                <w:bCs/>
                <w:color w:val="0071C5"/>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2D5E" w14:textId="77777777" w:rsidR="00B626E7" w:rsidRDefault="00175C1D">
            <w:pPr>
              <w:jc w:val="right"/>
              <w:textAlignment w:val="bottom"/>
            </w:pPr>
            <w:r>
              <w:rPr>
                <w:rFonts w:ascii="Arial" w:eastAsia="宋体" w:hAnsi="Arial" w:cs="Arial"/>
                <w:b/>
                <w:bCs/>
                <w:color w:val="0071C5"/>
                <w:sz w:val="18"/>
                <w:szCs w:val="18"/>
              </w:rPr>
              <w:t>19,728 </w:t>
            </w:r>
          </w:p>
        </w:tc>
        <w:tc>
          <w:tcPr>
            <w:tcW w:w="0" w:type="auto"/>
            <w:tcBorders>
              <w:top w:val="single" w:sz="8" w:space="0" w:color="0071C5"/>
            </w:tcBorders>
            <w:shd w:val="clear" w:color="auto" w:fill="auto"/>
            <w:tcMar>
              <w:top w:w="40" w:type="dxa"/>
              <w:bottom w:w="40" w:type="dxa"/>
              <w:right w:w="20" w:type="dxa"/>
            </w:tcMar>
            <w:vAlign w:val="bottom"/>
          </w:tcPr>
          <w:p w14:paraId="20AE2D5F"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2D60" w14:textId="77777777" w:rsidR="00B626E7" w:rsidRDefault="00B626E7">
            <w:pPr>
              <w:rPr>
                <w:rFonts w:ascii="宋体"/>
              </w:rPr>
            </w:pPr>
          </w:p>
        </w:tc>
        <w:tc>
          <w:tcPr>
            <w:tcW w:w="0" w:type="auto"/>
            <w:gridSpan w:val="2"/>
            <w:tcBorders>
              <w:top w:val="single" w:sz="8" w:space="0" w:color="0071C5"/>
            </w:tcBorders>
            <w:shd w:val="clear" w:color="auto" w:fill="auto"/>
            <w:tcMar>
              <w:top w:w="40" w:type="dxa"/>
              <w:left w:w="20" w:type="dxa"/>
              <w:bottom w:w="40" w:type="dxa"/>
              <w:right w:w="0" w:type="dxa"/>
            </w:tcMar>
            <w:vAlign w:val="bottom"/>
          </w:tcPr>
          <w:p w14:paraId="20AE2D61" w14:textId="77777777" w:rsidR="00B626E7" w:rsidRDefault="00175C1D">
            <w:pPr>
              <w:jc w:val="right"/>
              <w:textAlignment w:val="bottom"/>
            </w:pPr>
            <w:r>
              <w:rPr>
                <w:rFonts w:ascii="Arial" w:eastAsia="宋体" w:hAnsi="Arial" w:cs="Arial"/>
                <w:b/>
                <w:bCs/>
                <w:color w:val="0071C5"/>
                <w:sz w:val="18"/>
                <w:szCs w:val="18"/>
              </w:rPr>
              <w:t>100.0 </w:t>
            </w:r>
          </w:p>
        </w:tc>
        <w:tc>
          <w:tcPr>
            <w:tcW w:w="0" w:type="auto"/>
            <w:tcBorders>
              <w:top w:val="single" w:sz="8" w:space="0" w:color="0071C5"/>
            </w:tcBorders>
            <w:shd w:val="clear" w:color="auto" w:fill="auto"/>
            <w:tcMar>
              <w:top w:w="40" w:type="dxa"/>
              <w:bottom w:w="40" w:type="dxa"/>
              <w:right w:w="20" w:type="dxa"/>
            </w:tcMar>
            <w:vAlign w:val="bottom"/>
          </w:tcPr>
          <w:p w14:paraId="20AE2D62" w14:textId="77777777" w:rsidR="00B626E7" w:rsidRDefault="00175C1D">
            <w:pPr>
              <w:jc w:val="right"/>
              <w:textAlignment w:val="bottom"/>
            </w:pPr>
            <w:r>
              <w:rPr>
                <w:rFonts w:ascii="Arial" w:eastAsia="宋体" w:hAnsi="Arial" w:cs="Arial"/>
                <w:b/>
                <w:bCs/>
                <w:color w:val="0071C5"/>
                <w:sz w:val="18"/>
                <w:szCs w:val="18"/>
              </w:rPr>
              <w:t>%</w:t>
            </w:r>
          </w:p>
        </w:tc>
        <w:tc>
          <w:tcPr>
            <w:tcW w:w="0" w:type="auto"/>
            <w:gridSpan w:val="3"/>
            <w:shd w:val="clear" w:color="auto" w:fill="auto"/>
            <w:tcMar>
              <w:left w:w="20" w:type="dxa"/>
              <w:right w:w="20" w:type="dxa"/>
            </w:tcMar>
            <w:vAlign w:val="bottom"/>
          </w:tcPr>
          <w:p w14:paraId="20AE2D63"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2D64"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2D65" w14:textId="77777777" w:rsidR="00B626E7" w:rsidRDefault="00175C1D">
            <w:pPr>
              <w:jc w:val="right"/>
              <w:textAlignment w:val="bottom"/>
            </w:pPr>
            <w:r>
              <w:rPr>
                <w:rFonts w:ascii="Arial" w:eastAsia="宋体" w:hAnsi="Arial" w:cs="Arial"/>
                <w:b/>
                <w:bCs/>
                <w:color w:val="333333"/>
                <w:sz w:val="18"/>
                <w:szCs w:val="18"/>
              </w:rPr>
              <w:t>16,505 </w:t>
            </w:r>
          </w:p>
        </w:tc>
        <w:tc>
          <w:tcPr>
            <w:tcW w:w="0" w:type="auto"/>
            <w:tcBorders>
              <w:top w:val="single" w:sz="8" w:space="0" w:color="0071C5"/>
            </w:tcBorders>
            <w:shd w:val="clear" w:color="auto" w:fill="auto"/>
            <w:tcMar>
              <w:top w:w="40" w:type="dxa"/>
              <w:bottom w:w="40" w:type="dxa"/>
              <w:right w:w="20" w:type="dxa"/>
            </w:tcMar>
            <w:vAlign w:val="bottom"/>
          </w:tcPr>
          <w:p w14:paraId="20AE2D66"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2D67" w14:textId="77777777" w:rsidR="00B626E7" w:rsidRDefault="00B626E7">
            <w:pPr>
              <w:rPr>
                <w:rFonts w:ascii="宋体"/>
              </w:rPr>
            </w:pPr>
          </w:p>
        </w:tc>
        <w:tc>
          <w:tcPr>
            <w:tcW w:w="0" w:type="auto"/>
            <w:gridSpan w:val="2"/>
            <w:tcBorders>
              <w:top w:val="single" w:sz="8" w:space="0" w:color="0071C5"/>
            </w:tcBorders>
            <w:shd w:val="clear" w:color="auto" w:fill="auto"/>
            <w:tcMar>
              <w:top w:w="40" w:type="dxa"/>
              <w:left w:w="20" w:type="dxa"/>
              <w:bottom w:w="40" w:type="dxa"/>
              <w:right w:w="0" w:type="dxa"/>
            </w:tcMar>
            <w:vAlign w:val="bottom"/>
          </w:tcPr>
          <w:p w14:paraId="20AE2D68" w14:textId="77777777" w:rsidR="00B626E7" w:rsidRDefault="00175C1D">
            <w:pPr>
              <w:jc w:val="right"/>
              <w:textAlignment w:val="bottom"/>
            </w:pPr>
            <w:r>
              <w:rPr>
                <w:rFonts w:ascii="Arial" w:eastAsia="宋体" w:hAnsi="Arial" w:cs="Arial"/>
                <w:b/>
                <w:bCs/>
                <w:color w:val="333333"/>
                <w:sz w:val="18"/>
                <w:szCs w:val="18"/>
              </w:rPr>
              <w:t>100.0 </w:t>
            </w:r>
          </w:p>
        </w:tc>
        <w:tc>
          <w:tcPr>
            <w:tcW w:w="0" w:type="auto"/>
            <w:tcBorders>
              <w:top w:val="single" w:sz="8" w:space="0" w:color="0071C5"/>
            </w:tcBorders>
            <w:shd w:val="clear" w:color="auto" w:fill="auto"/>
            <w:tcMar>
              <w:top w:w="40" w:type="dxa"/>
              <w:bottom w:w="40" w:type="dxa"/>
              <w:right w:w="20" w:type="dxa"/>
            </w:tcMar>
            <w:vAlign w:val="bottom"/>
          </w:tcPr>
          <w:p w14:paraId="20AE2D69" w14:textId="77777777" w:rsidR="00B626E7" w:rsidRDefault="00175C1D">
            <w:pPr>
              <w:jc w:val="right"/>
              <w:textAlignment w:val="bottom"/>
            </w:pPr>
            <w:r>
              <w:rPr>
                <w:rFonts w:ascii="Arial" w:eastAsia="宋体" w:hAnsi="Arial" w:cs="Arial"/>
                <w:b/>
                <w:bCs/>
                <w:color w:val="333333"/>
                <w:sz w:val="18"/>
                <w:szCs w:val="18"/>
              </w:rPr>
              <w:t>%</w:t>
            </w:r>
          </w:p>
        </w:tc>
        <w:tc>
          <w:tcPr>
            <w:tcW w:w="0" w:type="auto"/>
            <w:gridSpan w:val="3"/>
            <w:shd w:val="clear" w:color="auto" w:fill="auto"/>
            <w:tcMar>
              <w:left w:w="20" w:type="dxa"/>
              <w:right w:w="20" w:type="dxa"/>
            </w:tcMar>
            <w:vAlign w:val="bottom"/>
          </w:tcPr>
          <w:p w14:paraId="20AE2D6A"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2D6B" w14:textId="77777777" w:rsidR="00B626E7" w:rsidRDefault="00175C1D">
            <w:pPr>
              <w:textAlignment w:val="bottom"/>
            </w:pPr>
            <w:r>
              <w:rPr>
                <w:rFonts w:ascii="Arial" w:eastAsia="宋体" w:hAnsi="Arial" w:cs="Arial"/>
                <w:b/>
                <w:bCs/>
                <w:color w:val="0071C5"/>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2D6C" w14:textId="77777777" w:rsidR="00B626E7" w:rsidRDefault="00175C1D">
            <w:pPr>
              <w:jc w:val="right"/>
              <w:textAlignment w:val="bottom"/>
            </w:pPr>
            <w:r>
              <w:rPr>
                <w:rFonts w:ascii="Arial" w:eastAsia="宋体" w:hAnsi="Arial" w:cs="Arial"/>
                <w:b/>
                <w:bCs/>
                <w:color w:val="0071C5"/>
                <w:sz w:val="18"/>
                <w:szCs w:val="18"/>
              </w:rPr>
              <w:t>39,556 </w:t>
            </w:r>
          </w:p>
        </w:tc>
        <w:tc>
          <w:tcPr>
            <w:tcW w:w="0" w:type="auto"/>
            <w:tcBorders>
              <w:top w:val="single" w:sz="8" w:space="0" w:color="0071C5"/>
            </w:tcBorders>
            <w:shd w:val="clear" w:color="auto" w:fill="auto"/>
            <w:tcMar>
              <w:top w:w="40" w:type="dxa"/>
              <w:bottom w:w="40" w:type="dxa"/>
              <w:right w:w="20" w:type="dxa"/>
            </w:tcMar>
            <w:vAlign w:val="bottom"/>
          </w:tcPr>
          <w:p w14:paraId="20AE2D6D"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2D6E" w14:textId="77777777" w:rsidR="00B626E7" w:rsidRDefault="00B626E7">
            <w:pPr>
              <w:rPr>
                <w:rFonts w:ascii="宋体"/>
              </w:rPr>
            </w:pPr>
          </w:p>
        </w:tc>
        <w:tc>
          <w:tcPr>
            <w:tcW w:w="0" w:type="auto"/>
            <w:gridSpan w:val="2"/>
            <w:tcBorders>
              <w:top w:val="single" w:sz="8" w:space="0" w:color="0071C5"/>
            </w:tcBorders>
            <w:shd w:val="clear" w:color="auto" w:fill="auto"/>
            <w:tcMar>
              <w:top w:w="40" w:type="dxa"/>
              <w:left w:w="20" w:type="dxa"/>
              <w:bottom w:w="40" w:type="dxa"/>
              <w:right w:w="0" w:type="dxa"/>
            </w:tcMar>
            <w:vAlign w:val="bottom"/>
          </w:tcPr>
          <w:p w14:paraId="20AE2D6F" w14:textId="77777777" w:rsidR="00B626E7" w:rsidRDefault="00175C1D">
            <w:pPr>
              <w:jc w:val="right"/>
              <w:textAlignment w:val="bottom"/>
            </w:pPr>
            <w:r>
              <w:rPr>
                <w:rFonts w:ascii="Arial" w:eastAsia="宋体" w:hAnsi="Arial" w:cs="Arial"/>
                <w:b/>
                <w:bCs/>
                <w:color w:val="0071C5"/>
                <w:sz w:val="18"/>
                <w:szCs w:val="18"/>
              </w:rPr>
              <w:t>100.0 </w:t>
            </w:r>
          </w:p>
        </w:tc>
        <w:tc>
          <w:tcPr>
            <w:tcW w:w="0" w:type="auto"/>
            <w:tcBorders>
              <w:top w:val="single" w:sz="8" w:space="0" w:color="0071C5"/>
            </w:tcBorders>
            <w:shd w:val="clear" w:color="auto" w:fill="auto"/>
            <w:tcMar>
              <w:top w:w="40" w:type="dxa"/>
              <w:bottom w:w="40" w:type="dxa"/>
              <w:right w:w="20" w:type="dxa"/>
            </w:tcMar>
            <w:vAlign w:val="bottom"/>
          </w:tcPr>
          <w:p w14:paraId="20AE2D70" w14:textId="77777777" w:rsidR="00B626E7" w:rsidRDefault="00175C1D">
            <w:pPr>
              <w:jc w:val="right"/>
              <w:textAlignment w:val="bottom"/>
            </w:pPr>
            <w:r>
              <w:rPr>
                <w:rFonts w:ascii="Arial" w:eastAsia="宋体" w:hAnsi="Arial" w:cs="Arial"/>
                <w:b/>
                <w:bCs/>
                <w:color w:val="0071C5"/>
                <w:sz w:val="18"/>
                <w:szCs w:val="18"/>
              </w:rPr>
              <w:t>%</w:t>
            </w:r>
          </w:p>
        </w:tc>
        <w:tc>
          <w:tcPr>
            <w:tcW w:w="0" w:type="auto"/>
            <w:gridSpan w:val="3"/>
            <w:shd w:val="clear" w:color="auto" w:fill="auto"/>
            <w:tcMar>
              <w:left w:w="20" w:type="dxa"/>
              <w:right w:w="20" w:type="dxa"/>
            </w:tcMar>
            <w:vAlign w:val="bottom"/>
          </w:tcPr>
          <w:p w14:paraId="20AE2D71"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2D72"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2D73" w14:textId="77777777" w:rsidR="00B626E7" w:rsidRDefault="00175C1D">
            <w:pPr>
              <w:jc w:val="right"/>
              <w:textAlignment w:val="bottom"/>
            </w:pPr>
            <w:r>
              <w:rPr>
                <w:rFonts w:ascii="Arial" w:eastAsia="宋体" w:hAnsi="Arial" w:cs="Arial"/>
                <w:b/>
                <w:bCs/>
                <w:color w:val="333333"/>
                <w:sz w:val="18"/>
                <w:szCs w:val="18"/>
              </w:rPr>
              <w:t>32,566 </w:t>
            </w:r>
          </w:p>
        </w:tc>
        <w:tc>
          <w:tcPr>
            <w:tcW w:w="0" w:type="auto"/>
            <w:tcBorders>
              <w:top w:val="single" w:sz="8" w:space="0" w:color="0071C5"/>
            </w:tcBorders>
            <w:shd w:val="clear" w:color="auto" w:fill="auto"/>
            <w:tcMar>
              <w:top w:w="40" w:type="dxa"/>
              <w:bottom w:w="40" w:type="dxa"/>
              <w:right w:w="20" w:type="dxa"/>
            </w:tcMar>
            <w:vAlign w:val="bottom"/>
          </w:tcPr>
          <w:p w14:paraId="20AE2D74"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2D75" w14:textId="77777777" w:rsidR="00B626E7" w:rsidRDefault="00B626E7">
            <w:pPr>
              <w:rPr>
                <w:rFonts w:ascii="宋体"/>
              </w:rPr>
            </w:pPr>
          </w:p>
        </w:tc>
        <w:tc>
          <w:tcPr>
            <w:tcW w:w="0" w:type="auto"/>
            <w:gridSpan w:val="2"/>
            <w:tcBorders>
              <w:top w:val="single" w:sz="8" w:space="0" w:color="0071C5"/>
            </w:tcBorders>
            <w:shd w:val="clear" w:color="auto" w:fill="auto"/>
            <w:tcMar>
              <w:top w:w="40" w:type="dxa"/>
              <w:left w:w="20" w:type="dxa"/>
              <w:bottom w:w="40" w:type="dxa"/>
              <w:right w:w="0" w:type="dxa"/>
            </w:tcMar>
            <w:vAlign w:val="bottom"/>
          </w:tcPr>
          <w:p w14:paraId="20AE2D76" w14:textId="77777777" w:rsidR="00B626E7" w:rsidRDefault="00175C1D">
            <w:pPr>
              <w:jc w:val="right"/>
              <w:textAlignment w:val="bottom"/>
            </w:pPr>
            <w:r>
              <w:rPr>
                <w:rFonts w:ascii="Arial" w:eastAsia="宋体" w:hAnsi="Arial" w:cs="Arial"/>
                <w:b/>
                <w:bCs/>
                <w:color w:val="333333"/>
                <w:sz w:val="18"/>
                <w:szCs w:val="18"/>
              </w:rPr>
              <w:t>100.0 </w:t>
            </w:r>
          </w:p>
        </w:tc>
        <w:tc>
          <w:tcPr>
            <w:tcW w:w="0" w:type="auto"/>
            <w:tcBorders>
              <w:top w:val="single" w:sz="8" w:space="0" w:color="0071C5"/>
            </w:tcBorders>
            <w:shd w:val="clear" w:color="auto" w:fill="auto"/>
            <w:tcMar>
              <w:top w:w="40" w:type="dxa"/>
              <w:bottom w:w="40" w:type="dxa"/>
              <w:right w:w="20" w:type="dxa"/>
            </w:tcMar>
            <w:vAlign w:val="bottom"/>
          </w:tcPr>
          <w:p w14:paraId="20AE2D77" w14:textId="77777777" w:rsidR="00B626E7" w:rsidRDefault="00175C1D">
            <w:pPr>
              <w:jc w:val="right"/>
              <w:textAlignment w:val="bottom"/>
            </w:pPr>
            <w:r>
              <w:rPr>
                <w:rFonts w:ascii="Arial" w:eastAsia="宋体" w:hAnsi="Arial" w:cs="Arial"/>
                <w:b/>
                <w:bCs/>
                <w:color w:val="333333"/>
                <w:sz w:val="18"/>
                <w:szCs w:val="18"/>
              </w:rPr>
              <w:t>%</w:t>
            </w:r>
          </w:p>
        </w:tc>
        <w:tc>
          <w:tcPr>
            <w:tcW w:w="0" w:type="auto"/>
            <w:shd w:val="clear" w:color="auto" w:fill="auto"/>
          </w:tcPr>
          <w:p w14:paraId="20AE2D78" w14:textId="77777777" w:rsidR="00B626E7" w:rsidRDefault="00B626E7">
            <w:pPr>
              <w:rPr>
                <w:rFonts w:ascii="宋体"/>
              </w:rPr>
            </w:pPr>
          </w:p>
        </w:tc>
        <w:tc>
          <w:tcPr>
            <w:tcW w:w="0" w:type="auto"/>
            <w:shd w:val="clear" w:color="auto" w:fill="auto"/>
          </w:tcPr>
          <w:p w14:paraId="20AE2D79" w14:textId="77777777" w:rsidR="00B626E7" w:rsidRDefault="00B626E7">
            <w:pPr>
              <w:rPr>
                <w:rFonts w:ascii="宋体"/>
              </w:rPr>
            </w:pPr>
          </w:p>
        </w:tc>
        <w:tc>
          <w:tcPr>
            <w:tcW w:w="0" w:type="auto"/>
            <w:shd w:val="clear" w:color="auto" w:fill="auto"/>
          </w:tcPr>
          <w:p w14:paraId="20AE2D7A" w14:textId="77777777" w:rsidR="00B626E7" w:rsidRDefault="00B626E7">
            <w:pPr>
              <w:rPr>
                <w:rFonts w:ascii="宋体"/>
              </w:rPr>
            </w:pPr>
          </w:p>
        </w:tc>
        <w:tc>
          <w:tcPr>
            <w:tcW w:w="0" w:type="auto"/>
            <w:shd w:val="clear" w:color="auto" w:fill="auto"/>
          </w:tcPr>
          <w:p w14:paraId="20AE2D7B" w14:textId="77777777" w:rsidR="00B626E7" w:rsidRDefault="00B626E7">
            <w:pPr>
              <w:rPr>
                <w:rFonts w:ascii="宋体"/>
              </w:rPr>
            </w:pPr>
          </w:p>
        </w:tc>
        <w:tc>
          <w:tcPr>
            <w:tcW w:w="0" w:type="auto"/>
            <w:shd w:val="clear" w:color="auto" w:fill="auto"/>
          </w:tcPr>
          <w:p w14:paraId="20AE2D7C" w14:textId="77777777" w:rsidR="00B626E7" w:rsidRDefault="00B626E7">
            <w:pPr>
              <w:rPr>
                <w:rFonts w:ascii="宋体"/>
              </w:rPr>
            </w:pPr>
          </w:p>
        </w:tc>
        <w:tc>
          <w:tcPr>
            <w:tcW w:w="0" w:type="auto"/>
            <w:shd w:val="clear" w:color="auto" w:fill="auto"/>
          </w:tcPr>
          <w:p w14:paraId="20AE2D7D" w14:textId="77777777" w:rsidR="00B626E7" w:rsidRDefault="00B626E7">
            <w:pPr>
              <w:rPr>
                <w:rFonts w:ascii="宋体"/>
              </w:rPr>
            </w:pPr>
          </w:p>
        </w:tc>
        <w:tc>
          <w:tcPr>
            <w:tcW w:w="0" w:type="auto"/>
            <w:shd w:val="clear" w:color="auto" w:fill="auto"/>
          </w:tcPr>
          <w:p w14:paraId="20AE2D7E" w14:textId="77777777" w:rsidR="00B626E7" w:rsidRDefault="00B626E7">
            <w:pPr>
              <w:rPr>
                <w:rFonts w:ascii="宋体"/>
              </w:rPr>
            </w:pPr>
          </w:p>
        </w:tc>
        <w:tc>
          <w:tcPr>
            <w:tcW w:w="0" w:type="auto"/>
            <w:shd w:val="clear" w:color="auto" w:fill="auto"/>
          </w:tcPr>
          <w:p w14:paraId="20AE2D7F" w14:textId="77777777" w:rsidR="00B626E7" w:rsidRDefault="00B626E7">
            <w:pPr>
              <w:rPr>
                <w:rFonts w:ascii="宋体"/>
              </w:rPr>
            </w:pPr>
          </w:p>
        </w:tc>
        <w:tc>
          <w:tcPr>
            <w:tcW w:w="0" w:type="auto"/>
            <w:shd w:val="clear" w:color="auto" w:fill="auto"/>
          </w:tcPr>
          <w:p w14:paraId="20AE2D80" w14:textId="77777777" w:rsidR="00B626E7" w:rsidRDefault="00B626E7">
            <w:pPr>
              <w:rPr>
                <w:rFonts w:ascii="宋体"/>
              </w:rPr>
            </w:pPr>
          </w:p>
        </w:tc>
        <w:tc>
          <w:tcPr>
            <w:tcW w:w="0" w:type="auto"/>
            <w:shd w:val="clear" w:color="auto" w:fill="auto"/>
          </w:tcPr>
          <w:p w14:paraId="20AE2D81" w14:textId="77777777" w:rsidR="00B626E7" w:rsidRDefault="00B626E7">
            <w:pPr>
              <w:rPr>
                <w:rFonts w:ascii="宋体"/>
              </w:rPr>
            </w:pPr>
          </w:p>
        </w:tc>
        <w:tc>
          <w:tcPr>
            <w:tcW w:w="0" w:type="auto"/>
            <w:shd w:val="clear" w:color="auto" w:fill="auto"/>
          </w:tcPr>
          <w:p w14:paraId="20AE2D82" w14:textId="77777777" w:rsidR="00B626E7" w:rsidRDefault="00B626E7">
            <w:pPr>
              <w:rPr>
                <w:rFonts w:ascii="宋体"/>
              </w:rPr>
            </w:pPr>
          </w:p>
        </w:tc>
        <w:tc>
          <w:tcPr>
            <w:tcW w:w="0" w:type="auto"/>
            <w:shd w:val="clear" w:color="auto" w:fill="auto"/>
          </w:tcPr>
          <w:p w14:paraId="20AE2D83" w14:textId="77777777" w:rsidR="00B626E7" w:rsidRDefault="00B626E7">
            <w:pPr>
              <w:rPr>
                <w:rFonts w:ascii="宋体"/>
              </w:rPr>
            </w:pPr>
          </w:p>
        </w:tc>
      </w:tr>
      <w:tr w:rsidR="00B626E7" w14:paraId="20AE2DAA" w14:textId="77777777">
        <w:tc>
          <w:tcPr>
            <w:tcW w:w="0" w:type="auto"/>
            <w:gridSpan w:val="3"/>
            <w:shd w:val="clear" w:color="auto" w:fill="auto"/>
            <w:tcMar>
              <w:top w:w="40" w:type="dxa"/>
              <w:left w:w="20" w:type="dxa"/>
              <w:bottom w:w="40" w:type="dxa"/>
              <w:right w:w="20" w:type="dxa"/>
            </w:tcMar>
          </w:tcPr>
          <w:p w14:paraId="20AE2D85" w14:textId="77777777" w:rsidR="00B626E7" w:rsidRDefault="00175C1D">
            <w:pPr>
              <w:ind w:hanging="180"/>
              <w:textAlignment w:val="top"/>
            </w:pPr>
            <w:r>
              <w:rPr>
                <w:rFonts w:ascii="Arial" w:eastAsia="宋体" w:hAnsi="Arial" w:cs="Arial"/>
                <w:color w:val="333333"/>
                <w:sz w:val="18"/>
                <w:szCs w:val="18"/>
              </w:rPr>
              <w:t>Cost of sales</w:t>
            </w:r>
          </w:p>
        </w:tc>
        <w:tc>
          <w:tcPr>
            <w:tcW w:w="0" w:type="auto"/>
            <w:gridSpan w:val="3"/>
            <w:shd w:val="clear" w:color="auto" w:fill="auto"/>
            <w:tcMar>
              <w:left w:w="20" w:type="dxa"/>
              <w:right w:w="20" w:type="dxa"/>
            </w:tcMar>
            <w:vAlign w:val="bottom"/>
          </w:tcPr>
          <w:p w14:paraId="20AE2D86"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D87" w14:textId="77777777" w:rsidR="00B626E7" w:rsidRDefault="00175C1D">
            <w:pPr>
              <w:jc w:val="right"/>
              <w:textAlignment w:val="bottom"/>
            </w:pPr>
            <w:r>
              <w:rPr>
                <w:rFonts w:ascii="Arial" w:eastAsia="宋体" w:hAnsi="Arial" w:cs="Arial"/>
                <w:color w:val="0071C5"/>
                <w:sz w:val="18"/>
                <w:szCs w:val="18"/>
              </w:rPr>
              <w:t>9,221 </w:t>
            </w:r>
          </w:p>
        </w:tc>
        <w:tc>
          <w:tcPr>
            <w:tcW w:w="0" w:type="auto"/>
            <w:shd w:val="clear" w:color="auto" w:fill="auto"/>
            <w:tcMar>
              <w:top w:w="40" w:type="dxa"/>
              <w:bottom w:w="40" w:type="dxa"/>
              <w:right w:w="20" w:type="dxa"/>
            </w:tcMar>
            <w:vAlign w:val="bottom"/>
          </w:tcPr>
          <w:p w14:paraId="20AE2D88"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2D89"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D8A" w14:textId="77777777" w:rsidR="00B626E7" w:rsidRDefault="00175C1D">
            <w:pPr>
              <w:jc w:val="right"/>
              <w:textAlignment w:val="bottom"/>
            </w:pPr>
            <w:r>
              <w:rPr>
                <w:rFonts w:ascii="Arial" w:eastAsia="宋体" w:hAnsi="Arial" w:cs="Arial"/>
                <w:color w:val="0071C5"/>
                <w:sz w:val="18"/>
                <w:szCs w:val="18"/>
              </w:rPr>
              <w:t>46.7 </w:t>
            </w:r>
          </w:p>
        </w:tc>
        <w:tc>
          <w:tcPr>
            <w:tcW w:w="0" w:type="auto"/>
            <w:shd w:val="clear" w:color="auto" w:fill="auto"/>
            <w:tcMar>
              <w:top w:w="40" w:type="dxa"/>
              <w:bottom w:w="40" w:type="dxa"/>
              <w:right w:w="20" w:type="dxa"/>
            </w:tcMar>
            <w:vAlign w:val="bottom"/>
          </w:tcPr>
          <w:p w14:paraId="20AE2D8B" w14:textId="77777777" w:rsidR="00B626E7" w:rsidRDefault="00175C1D">
            <w:pPr>
              <w:jc w:val="right"/>
              <w:textAlignment w:val="bottom"/>
            </w:pPr>
            <w:r>
              <w:rPr>
                <w:rFonts w:ascii="Arial" w:eastAsia="宋体" w:hAnsi="Arial" w:cs="Arial"/>
                <w:color w:val="0071C5"/>
                <w:sz w:val="18"/>
                <w:szCs w:val="18"/>
              </w:rPr>
              <w:t>%</w:t>
            </w:r>
          </w:p>
        </w:tc>
        <w:tc>
          <w:tcPr>
            <w:tcW w:w="0" w:type="auto"/>
            <w:gridSpan w:val="3"/>
            <w:shd w:val="clear" w:color="auto" w:fill="auto"/>
            <w:tcMar>
              <w:left w:w="20" w:type="dxa"/>
              <w:right w:w="20" w:type="dxa"/>
            </w:tcMar>
            <w:vAlign w:val="bottom"/>
          </w:tcPr>
          <w:p w14:paraId="20AE2D8C"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D8D" w14:textId="77777777" w:rsidR="00B626E7" w:rsidRDefault="00175C1D">
            <w:pPr>
              <w:jc w:val="right"/>
              <w:textAlignment w:val="bottom"/>
            </w:pPr>
            <w:r>
              <w:rPr>
                <w:rFonts w:ascii="Arial" w:eastAsia="宋体" w:hAnsi="Arial" w:cs="Arial"/>
                <w:color w:val="333333"/>
                <w:sz w:val="18"/>
                <w:szCs w:val="18"/>
              </w:rPr>
              <w:t>6,627 </w:t>
            </w:r>
          </w:p>
        </w:tc>
        <w:tc>
          <w:tcPr>
            <w:tcW w:w="0" w:type="auto"/>
            <w:shd w:val="clear" w:color="auto" w:fill="auto"/>
            <w:tcMar>
              <w:top w:w="40" w:type="dxa"/>
              <w:bottom w:w="40" w:type="dxa"/>
              <w:right w:w="20" w:type="dxa"/>
            </w:tcMar>
            <w:vAlign w:val="bottom"/>
          </w:tcPr>
          <w:p w14:paraId="20AE2D8E"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2D8F"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D90" w14:textId="77777777" w:rsidR="00B626E7" w:rsidRDefault="00175C1D">
            <w:pPr>
              <w:jc w:val="right"/>
              <w:textAlignment w:val="bottom"/>
            </w:pPr>
            <w:r>
              <w:rPr>
                <w:rFonts w:ascii="Arial" w:eastAsia="宋体" w:hAnsi="Arial" w:cs="Arial"/>
                <w:color w:val="333333"/>
                <w:sz w:val="18"/>
                <w:szCs w:val="18"/>
              </w:rPr>
              <w:t>40.2 </w:t>
            </w:r>
          </w:p>
        </w:tc>
        <w:tc>
          <w:tcPr>
            <w:tcW w:w="0" w:type="auto"/>
            <w:shd w:val="clear" w:color="auto" w:fill="auto"/>
            <w:tcMar>
              <w:top w:w="40" w:type="dxa"/>
              <w:bottom w:w="40" w:type="dxa"/>
              <w:right w:w="20" w:type="dxa"/>
            </w:tcMar>
            <w:vAlign w:val="bottom"/>
          </w:tcPr>
          <w:p w14:paraId="20AE2D91" w14:textId="77777777" w:rsidR="00B626E7" w:rsidRDefault="00175C1D">
            <w:pPr>
              <w:jc w:val="right"/>
              <w:textAlignment w:val="bottom"/>
            </w:pPr>
            <w:r>
              <w:rPr>
                <w:rFonts w:ascii="Arial" w:eastAsia="宋体" w:hAnsi="Arial" w:cs="Arial"/>
                <w:color w:val="333333"/>
                <w:sz w:val="18"/>
                <w:szCs w:val="18"/>
              </w:rPr>
              <w:t>%</w:t>
            </w:r>
          </w:p>
        </w:tc>
        <w:tc>
          <w:tcPr>
            <w:tcW w:w="0" w:type="auto"/>
            <w:gridSpan w:val="3"/>
            <w:shd w:val="clear" w:color="auto" w:fill="auto"/>
            <w:tcMar>
              <w:left w:w="20" w:type="dxa"/>
              <w:right w:w="20" w:type="dxa"/>
            </w:tcMar>
            <w:vAlign w:val="bottom"/>
          </w:tcPr>
          <w:p w14:paraId="20AE2D92"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D93" w14:textId="77777777" w:rsidR="00B626E7" w:rsidRDefault="00175C1D">
            <w:pPr>
              <w:jc w:val="right"/>
              <w:textAlignment w:val="bottom"/>
            </w:pPr>
            <w:r>
              <w:rPr>
                <w:rFonts w:ascii="Arial" w:eastAsia="宋体" w:hAnsi="Arial" w:cs="Arial"/>
                <w:color w:val="0071C5"/>
                <w:sz w:val="18"/>
                <w:szCs w:val="18"/>
              </w:rPr>
              <w:t>17,033 </w:t>
            </w:r>
          </w:p>
        </w:tc>
        <w:tc>
          <w:tcPr>
            <w:tcW w:w="0" w:type="auto"/>
            <w:shd w:val="clear" w:color="auto" w:fill="auto"/>
            <w:tcMar>
              <w:top w:w="40" w:type="dxa"/>
              <w:bottom w:w="40" w:type="dxa"/>
              <w:right w:w="20" w:type="dxa"/>
            </w:tcMar>
            <w:vAlign w:val="bottom"/>
          </w:tcPr>
          <w:p w14:paraId="20AE2D94"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2D95"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D96" w14:textId="77777777" w:rsidR="00B626E7" w:rsidRDefault="00175C1D">
            <w:pPr>
              <w:jc w:val="right"/>
              <w:textAlignment w:val="bottom"/>
            </w:pPr>
            <w:r>
              <w:rPr>
                <w:rFonts w:ascii="Arial" w:eastAsia="宋体" w:hAnsi="Arial" w:cs="Arial"/>
                <w:color w:val="0071C5"/>
                <w:sz w:val="18"/>
                <w:szCs w:val="18"/>
              </w:rPr>
              <w:t>43.1 </w:t>
            </w:r>
          </w:p>
        </w:tc>
        <w:tc>
          <w:tcPr>
            <w:tcW w:w="0" w:type="auto"/>
            <w:shd w:val="clear" w:color="auto" w:fill="auto"/>
            <w:tcMar>
              <w:top w:w="40" w:type="dxa"/>
              <w:bottom w:w="40" w:type="dxa"/>
              <w:right w:w="20" w:type="dxa"/>
            </w:tcMar>
            <w:vAlign w:val="bottom"/>
          </w:tcPr>
          <w:p w14:paraId="20AE2D97" w14:textId="77777777" w:rsidR="00B626E7" w:rsidRDefault="00175C1D">
            <w:pPr>
              <w:jc w:val="right"/>
              <w:textAlignment w:val="bottom"/>
            </w:pPr>
            <w:r>
              <w:rPr>
                <w:rFonts w:ascii="Arial" w:eastAsia="宋体" w:hAnsi="Arial" w:cs="Arial"/>
                <w:color w:val="0071C5"/>
                <w:sz w:val="18"/>
                <w:szCs w:val="18"/>
              </w:rPr>
              <w:t>%</w:t>
            </w:r>
          </w:p>
        </w:tc>
        <w:tc>
          <w:tcPr>
            <w:tcW w:w="0" w:type="auto"/>
            <w:gridSpan w:val="3"/>
            <w:shd w:val="clear" w:color="auto" w:fill="auto"/>
            <w:tcMar>
              <w:left w:w="20" w:type="dxa"/>
              <w:right w:w="20" w:type="dxa"/>
            </w:tcMar>
            <w:vAlign w:val="bottom"/>
          </w:tcPr>
          <w:p w14:paraId="20AE2D98"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D99" w14:textId="77777777" w:rsidR="00B626E7" w:rsidRDefault="00175C1D">
            <w:pPr>
              <w:jc w:val="right"/>
              <w:textAlignment w:val="bottom"/>
            </w:pPr>
            <w:r>
              <w:rPr>
                <w:rFonts w:ascii="Arial" w:eastAsia="宋体" w:hAnsi="Arial" w:cs="Arial"/>
                <w:color w:val="333333"/>
                <w:sz w:val="18"/>
                <w:szCs w:val="18"/>
              </w:rPr>
              <w:t>13,599 </w:t>
            </w:r>
          </w:p>
        </w:tc>
        <w:tc>
          <w:tcPr>
            <w:tcW w:w="0" w:type="auto"/>
            <w:shd w:val="clear" w:color="auto" w:fill="auto"/>
            <w:tcMar>
              <w:top w:w="40" w:type="dxa"/>
              <w:bottom w:w="40" w:type="dxa"/>
              <w:right w:w="20" w:type="dxa"/>
            </w:tcMar>
            <w:vAlign w:val="bottom"/>
          </w:tcPr>
          <w:p w14:paraId="20AE2D9A"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2D9B"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D9C" w14:textId="77777777" w:rsidR="00B626E7" w:rsidRDefault="00175C1D">
            <w:pPr>
              <w:jc w:val="right"/>
              <w:textAlignment w:val="bottom"/>
            </w:pPr>
            <w:r>
              <w:rPr>
                <w:rFonts w:ascii="Arial" w:eastAsia="宋体" w:hAnsi="Arial" w:cs="Arial"/>
                <w:color w:val="333333"/>
                <w:sz w:val="18"/>
                <w:szCs w:val="18"/>
              </w:rPr>
              <w:t>41.8 </w:t>
            </w:r>
          </w:p>
        </w:tc>
        <w:tc>
          <w:tcPr>
            <w:tcW w:w="0" w:type="auto"/>
            <w:shd w:val="clear" w:color="auto" w:fill="auto"/>
            <w:tcMar>
              <w:top w:w="40" w:type="dxa"/>
              <w:bottom w:w="40" w:type="dxa"/>
              <w:right w:w="20" w:type="dxa"/>
            </w:tcMar>
            <w:vAlign w:val="bottom"/>
          </w:tcPr>
          <w:p w14:paraId="20AE2D9D" w14:textId="77777777" w:rsidR="00B626E7" w:rsidRDefault="00175C1D">
            <w:pPr>
              <w:jc w:val="right"/>
              <w:textAlignment w:val="bottom"/>
            </w:pPr>
            <w:r>
              <w:rPr>
                <w:rFonts w:ascii="Arial" w:eastAsia="宋体" w:hAnsi="Arial" w:cs="Arial"/>
                <w:color w:val="333333"/>
                <w:sz w:val="18"/>
                <w:szCs w:val="18"/>
              </w:rPr>
              <w:t>%</w:t>
            </w:r>
          </w:p>
        </w:tc>
        <w:tc>
          <w:tcPr>
            <w:tcW w:w="0" w:type="auto"/>
            <w:shd w:val="clear" w:color="auto" w:fill="auto"/>
          </w:tcPr>
          <w:p w14:paraId="20AE2D9E" w14:textId="77777777" w:rsidR="00B626E7" w:rsidRDefault="00B626E7">
            <w:pPr>
              <w:rPr>
                <w:rFonts w:ascii="宋体"/>
              </w:rPr>
            </w:pPr>
          </w:p>
        </w:tc>
        <w:tc>
          <w:tcPr>
            <w:tcW w:w="0" w:type="auto"/>
            <w:shd w:val="clear" w:color="auto" w:fill="auto"/>
          </w:tcPr>
          <w:p w14:paraId="20AE2D9F" w14:textId="77777777" w:rsidR="00B626E7" w:rsidRDefault="00B626E7">
            <w:pPr>
              <w:rPr>
                <w:rFonts w:ascii="宋体"/>
              </w:rPr>
            </w:pPr>
          </w:p>
        </w:tc>
        <w:tc>
          <w:tcPr>
            <w:tcW w:w="0" w:type="auto"/>
            <w:shd w:val="clear" w:color="auto" w:fill="auto"/>
          </w:tcPr>
          <w:p w14:paraId="20AE2DA0" w14:textId="77777777" w:rsidR="00B626E7" w:rsidRDefault="00B626E7">
            <w:pPr>
              <w:rPr>
                <w:rFonts w:ascii="宋体"/>
              </w:rPr>
            </w:pPr>
          </w:p>
        </w:tc>
        <w:tc>
          <w:tcPr>
            <w:tcW w:w="0" w:type="auto"/>
            <w:shd w:val="clear" w:color="auto" w:fill="auto"/>
          </w:tcPr>
          <w:p w14:paraId="20AE2DA1" w14:textId="77777777" w:rsidR="00B626E7" w:rsidRDefault="00B626E7">
            <w:pPr>
              <w:rPr>
                <w:rFonts w:ascii="宋体"/>
              </w:rPr>
            </w:pPr>
          </w:p>
        </w:tc>
        <w:tc>
          <w:tcPr>
            <w:tcW w:w="0" w:type="auto"/>
            <w:shd w:val="clear" w:color="auto" w:fill="auto"/>
          </w:tcPr>
          <w:p w14:paraId="20AE2DA2" w14:textId="77777777" w:rsidR="00B626E7" w:rsidRDefault="00B626E7">
            <w:pPr>
              <w:rPr>
                <w:rFonts w:ascii="宋体"/>
              </w:rPr>
            </w:pPr>
          </w:p>
        </w:tc>
        <w:tc>
          <w:tcPr>
            <w:tcW w:w="0" w:type="auto"/>
            <w:shd w:val="clear" w:color="auto" w:fill="auto"/>
          </w:tcPr>
          <w:p w14:paraId="20AE2DA3" w14:textId="77777777" w:rsidR="00B626E7" w:rsidRDefault="00B626E7">
            <w:pPr>
              <w:rPr>
                <w:rFonts w:ascii="宋体"/>
              </w:rPr>
            </w:pPr>
          </w:p>
        </w:tc>
        <w:tc>
          <w:tcPr>
            <w:tcW w:w="0" w:type="auto"/>
            <w:shd w:val="clear" w:color="auto" w:fill="auto"/>
          </w:tcPr>
          <w:p w14:paraId="20AE2DA4" w14:textId="77777777" w:rsidR="00B626E7" w:rsidRDefault="00B626E7">
            <w:pPr>
              <w:rPr>
                <w:rFonts w:ascii="宋体"/>
              </w:rPr>
            </w:pPr>
          </w:p>
        </w:tc>
        <w:tc>
          <w:tcPr>
            <w:tcW w:w="0" w:type="auto"/>
            <w:shd w:val="clear" w:color="auto" w:fill="auto"/>
          </w:tcPr>
          <w:p w14:paraId="20AE2DA5" w14:textId="77777777" w:rsidR="00B626E7" w:rsidRDefault="00B626E7">
            <w:pPr>
              <w:rPr>
                <w:rFonts w:ascii="宋体"/>
              </w:rPr>
            </w:pPr>
          </w:p>
        </w:tc>
        <w:tc>
          <w:tcPr>
            <w:tcW w:w="0" w:type="auto"/>
            <w:shd w:val="clear" w:color="auto" w:fill="auto"/>
          </w:tcPr>
          <w:p w14:paraId="20AE2DA6" w14:textId="77777777" w:rsidR="00B626E7" w:rsidRDefault="00B626E7">
            <w:pPr>
              <w:rPr>
                <w:rFonts w:ascii="宋体"/>
              </w:rPr>
            </w:pPr>
          </w:p>
        </w:tc>
        <w:tc>
          <w:tcPr>
            <w:tcW w:w="0" w:type="auto"/>
            <w:shd w:val="clear" w:color="auto" w:fill="auto"/>
          </w:tcPr>
          <w:p w14:paraId="20AE2DA7" w14:textId="77777777" w:rsidR="00B626E7" w:rsidRDefault="00B626E7">
            <w:pPr>
              <w:rPr>
                <w:rFonts w:ascii="宋体"/>
              </w:rPr>
            </w:pPr>
          </w:p>
        </w:tc>
        <w:tc>
          <w:tcPr>
            <w:tcW w:w="0" w:type="auto"/>
            <w:shd w:val="clear" w:color="auto" w:fill="auto"/>
          </w:tcPr>
          <w:p w14:paraId="20AE2DA8" w14:textId="77777777" w:rsidR="00B626E7" w:rsidRDefault="00B626E7">
            <w:pPr>
              <w:rPr>
                <w:rFonts w:ascii="宋体"/>
              </w:rPr>
            </w:pPr>
          </w:p>
        </w:tc>
        <w:tc>
          <w:tcPr>
            <w:tcW w:w="0" w:type="auto"/>
            <w:shd w:val="clear" w:color="auto" w:fill="auto"/>
          </w:tcPr>
          <w:p w14:paraId="20AE2DA9" w14:textId="77777777" w:rsidR="00B626E7" w:rsidRDefault="00B626E7">
            <w:pPr>
              <w:rPr>
                <w:rFonts w:ascii="宋体"/>
              </w:rPr>
            </w:pPr>
          </w:p>
        </w:tc>
      </w:tr>
      <w:tr w:rsidR="00B626E7" w14:paraId="20AE2DD0" w14:textId="77777777">
        <w:tc>
          <w:tcPr>
            <w:tcW w:w="0" w:type="auto"/>
            <w:gridSpan w:val="3"/>
            <w:shd w:val="clear" w:color="auto" w:fill="auto"/>
            <w:tcMar>
              <w:top w:w="40" w:type="dxa"/>
              <w:left w:w="20" w:type="dxa"/>
              <w:bottom w:w="40" w:type="dxa"/>
              <w:right w:w="20" w:type="dxa"/>
            </w:tcMar>
          </w:tcPr>
          <w:p w14:paraId="20AE2DAB" w14:textId="77777777" w:rsidR="00B626E7" w:rsidRDefault="00175C1D">
            <w:pPr>
              <w:ind w:hanging="180"/>
              <w:textAlignment w:val="top"/>
            </w:pPr>
            <w:r>
              <w:rPr>
                <w:rFonts w:ascii="Arial" w:eastAsia="宋体" w:hAnsi="Arial" w:cs="Arial"/>
                <w:b/>
                <w:bCs/>
                <w:color w:val="333333"/>
                <w:sz w:val="18"/>
                <w:szCs w:val="18"/>
              </w:rPr>
              <w:t>Gross margin</w:t>
            </w:r>
          </w:p>
        </w:tc>
        <w:tc>
          <w:tcPr>
            <w:tcW w:w="0" w:type="auto"/>
            <w:gridSpan w:val="3"/>
            <w:shd w:val="clear" w:color="auto" w:fill="auto"/>
            <w:tcMar>
              <w:left w:w="20" w:type="dxa"/>
              <w:right w:w="20" w:type="dxa"/>
            </w:tcMar>
            <w:vAlign w:val="bottom"/>
          </w:tcPr>
          <w:p w14:paraId="20AE2DAC"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2DAD" w14:textId="77777777" w:rsidR="00B626E7" w:rsidRDefault="00175C1D">
            <w:pPr>
              <w:jc w:val="right"/>
              <w:textAlignment w:val="bottom"/>
            </w:pPr>
            <w:r>
              <w:rPr>
                <w:rFonts w:ascii="Arial" w:eastAsia="宋体" w:hAnsi="Arial" w:cs="Arial"/>
                <w:b/>
                <w:bCs/>
                <w:color w:val="0071C5"/>
                <w:sz w:val="18"/>
                <w:szCs w:val="18"/>
              </w:rPr>
              <w:t>10,507 </w:t>
            </w:r>
          </w:p>
        </w:tc>
        <w:tc>
          <w:tcPr>
            <w:tcW w:w="0" w:type="auto"/>
            <w:tcBorders>
              <w:top w:val="single" w:sz="8" w:space="0" w:color="333333"/>
            </w:tcBorders>
            <w:shd w:val="clear" w:color="auto" w:fill="auto"/>
            <w:tcMar>
              <w:top w:w="40" w:type="dxa"/>
              <w:bottom w:w="40" w:type="dxa"/>
              <w:right w:w="20" w:type="dxa"/>
            </w:tcMar>
            <w:vAlign w:val="bottom"/>
          </w:tcPr>
          <w:p w14:paraId="20AE2DAE"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2DAF"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2DB0" w14:textId="77777777" w:rsidR="00B626E7" w:rsidRDefault="00175C1D">
            <w:pPr>
              <w:jc w:val="right"/>
              <w:textAlignment w:val="bottom"/>
            </w:pPr>
            <w:r>
              <w:rPr>
                <w:rFonts w:ascii="Arial" w:eastAsia="宋体" w:hAnsi="Arial" w:cs="Arial"/>
                <w:b/>
                <w:bCs/>
                <w:color w:val="0071C5"/>
                <w:sz w:val="18"/>
                <w:szCs w:val="18"/>
              </w:rPr>
              <w:t>53.3 </w:t>
            </w:r>
          </w:p>
        </w:tc>
        <w:tc>
          <w:tcPr>
            <w:tcW w:w="0" w:type="auto"/>
            <w:tcBorders>
              <w:top w:val="single" w:sz="8" w:space="0" w:color="333333"/>
            </w:tcBorders>
            <w:shd w:val="clear" w:color="auto" w:fill="auto"/>
            <w:tcMar>
              <w:top w:w="40" w:type="dxa"/>
              <w:bottom w:w="40" w:type="dxa"/>
              <w:right w:w="20" w:type="dxa"/>
            </w:tcMar>
            <w:vAlign w:val="bottom"/>
          </w:tcPr>
          <w:p w14:paraId="20AE2DB1" w14:textId="77777777" w:rsidR="00B626E7" w:rsidRDefault="00175C1D">
            <w:pPr>
              <w:jc w:val="right"/>
              <w:textAlignment w:val="bottom"/>
            </w:pPr>
            <w:r>
              <w:rPr>
                <w:rFonts w:ascii="Arial" w:eastAsia="宋体" w:hAnsi="Arial" w:cs="Arial"/>
                <w:b/>
                <w:bCs/>
                <w:color w:val="0071C5"/>
                <w:sz w:val="18"/>
                <w:szCs w:val="18"/>
              </w:rPr>
              <w:t>%</w:t>
            </w:r>
          </w:p>
        </w:tc>
        <w:tc>
          <w:tcPr>
            <w:tcW w:w="0" w:type="auto"/>
            <w:gridSpan w:val="3"/>
            <w:shd w:val="clear" w:color="auto" w:fill="auto"/>
            <w:tcMar>
              <w:left w:w="20" w:type="dxa"/>
              <w:right w:w="20" w:type="dxa"/>
            </w:tcMar>
            <w:vAlign w:val="bottom"/>
          </w:tcPr>
          <w:p w14:paraId="20AE2DB2"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2DB3" w14:textId="77777777" w:rsidR="00B626E7" w:rsidRDefault="00175C1D">
            <w:pPr>
              <w:jc w:val="right"/>
              <w:textAlignment w:val="bottom"/>
            </w:pPr>
            <w:r>
              <w:rPr>
                <w:rFonts w:ascii="Arial" w:eastAsia="宋体" w:hAnsi="Arial" w:cs="Arial"/>
                <w:b/>
                <w:bCs/>
                <w:color w:val="333333"/>
                <w:sz w:val="18"/>
                <w:szCs w:val="18"/>
              </w:rPr>
              <w:t>9,878 </w:t>
            </w:r>
          </w:p>
        </w:tc>
        <w:tc>
          <w:tcPr>
            <w:tcW w:w="0" w:type="auto"/>
            <w:tcBorders>
              <w:top w:val="single" w:sz="8" w:space="0" w:color="333333"/>
            </w:tcBorders>
            <w:shd w:val="clear" w:color="auto" w:fill="auto"/>
            <w:tcMar>
              <w:top w:w="40" w:type="dxa"/>
              <w:bottom w:w="40" w:type="dxa"/>
              <w:right w:w="20" w:type="dxa"/>
            </w:tcMar>
            <w:vAlign w:val="bottom"/>
          </w:tcPr>
          <w:p w14:paraId="20AE2DB4"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2DB5"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2DB6" w14:textId="77777777" w:rsidR="00B626E7" w:rsidRDefault="00175C1D">
            <w:pPr>
              <w:jc w:val="right"/>
              <w:textAlignment w:val="bottom"/>
            </w:pPr>
            <w:r>
              <w:rPr>
                <w:rFonts w:ascii="Arial" w:eastAsia="宋体" w:hAnsi="Arial" w:cs="Arial"/>
                <w:b/>
                <w:bCs/>
                <w:color w:val="333333"/>
                <w:sz w:val="18"/>
                <w:szCs w:val="18"/>
              </w:rPr>
              <w:t>59.8 </w:t>
            </w:r>
          </w:p>
        </w:tc>
        <w:tc>
          <w:tcPr>
            <w:tcW w:w="0" w:type="auto"/>
            <w:tcBorders>
              <w:top w:val="single" w:sz="8" w:space="0" w:color="333333"/>
            </w:tcBorders>
            <w:shd w:val="clear" w:color="auto" w:fill="auto"/>
            <w:tcMar>
              <w:top w:w="40" w:type="dxa"/>
              <w:bottom w:w="40" w:type="dxa"/>
              <w:right w:w="20" w:type="dxa"/>
            </w:tcMar>
            <w:vAlign w:val="bottom"/>
          </w:tcPr>
          <w:p w14:paraId="20AE2DB7" w14:textId="77777777" w:rsidR="00B626E7" w:rsidRDefault="00175C1D">
            <w:pPr>
              <w:jc w:val="right"/>
              <w:textAlignment w:val="bottom"/>
            </w:pPr>
            <w:r>
              <w:rPr>
                <w:rFonts w:ascii="Arial" w:eastAsia="宋体" w:hAnsi="Arial" w:cs="Arial"/>
                <w:b/>
                <w:bCs/>
                <w:color w:val="333333"/>
                <w:sz w:val="18"/>
                <w:szCs w:val="18"/>
              </w:rPr>
              <w:t>%</w:t>
            </w:r>
          </w:p>
        </w:tc>
        <w:tc>
          <w:tcPr>
            <w:tcW w:w="0" w:type="auto"/>
            <w:gridSpan w:val="3"/>
            <w:shd w:val="clear" w:color="auto" w:fill="auto"/>
            <w:tcMar>
              <w:left w:w="20" w:type="dxa"/>
              <w:right w:w="20" w:type="dxa"/>
            </w:tcMar>
            <w:vAlign w:val="bottom"/>
          </w:tcPr>
          <w:p w14:paraId="20AE2DB8"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2DB9" w14:textId="77777777" w:rsidR="00B626E7" w:rsidRDefault="00175C1D">
            <w:pPr>
              <w:jc w:val="right"/>
              <w:textAlignment w:val="bottom"/>
            </w:pPr>
            <w:r>
              <w:rPr>
                <w:rFonts w:ascii="Arial" w:eastAsia="宋体" w:hAnsi="Arial" w:cs="Arial"/>
                <w:b/>
                <w:bCs/>
                <w:color w:val="0071C5"/>
                <w:sz w:val="18"/>
                <w:szCs w:val="18"/>
              </w:rPr>
              <w:t>22,523 </w:t>
            </w:r>
          </w:p>
        </w:tc>
        <w:tc>
          <w:tcPr>
            <w:tcW w:w="0" w:type="auto"/>
            <w:tcBorders>
              <w:top w:val="single" w:sz="8" w:space="0" w:color="333333"/>
            </w:tcBorders>
            <w:shd w:val="clear" w:color="auto" w:fill="auto"/>
            <w:tcMar>
              <w:top w:w="40" w:type="dxa"/>
              <w:bottom w:w="40" w:type="dxa"/>
              <w:right w:w="20" w:type="dxa"/>
            </w:tcMar>
            <w:vAlign w:val="bottom"/>
          </w:tcPr>
          <w:p w14:paraId="20AE2DBA"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2DBB"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2DBC" w14:textId="77777777" w:rsidR="00B626E7" w:rsidRDefault="00175C1D">
            <w:pPr>
              <w:jc w:val="right"/>
              <w:textAlignment w:val="bottom"/>
            </w:pPr>
            <w:r>
              <w:rPr>
                <w:rFonts w:ascii="Arial" w:eastAsia="宋体" w:hAnsi="Arial" w:cs="Arial"/>
                <w:b/>
                <w:bCs/>
                <w:color w:val="0071C5"/>
                <w:sz w:val="18"/>
                <w:szCs w:val="18"/>
              </w:rPr>
              <w:t>56.9 </w:t>
            </w:r>
          </w:p>
        </w:tc>
        <w:tc>
          <w:tcPr>
            <w:tcW w:w="0" w:type="auto"/>
            <w:tcBorders>
              <w:top w:val="single" w:sz="8" w:space="0" w:color="333333"/>
            </w:tcBorders>
            <w:shd w:val="clear" w:color="auto" w:fill="auto"/>
            <w:tcMar>
              <w:top w:w="40" w:type="dxa"/>
              <w:bottom w:w="40" w:type="dxa"/>
              <w:right w:w="20" w:type="dxa"/>
            </w:tcMar>
            <w:vAlign w:val="bottom"/>
          </w:tcPr>
          <w:p w14:paraId="20AE2DBD" w14:textId="77777777" w:rsidR="00B626E7" w:rsidRDefault="00175C1D">
            <w:pPr>
              <w:jc w:val="right"/>
              <w:textAlignment w:val="bottom"/>
            </w:pPr>
            <w:r>
              <w:rPr>
                <w:rFonts w:ascii="Arial" w:eastAsia="宋体" w:hAnsi="Arial" w:cs="Arial"/>
                <w:b/>
                <w:bCs/>
                <w:color w:val="0071C5"/>
                <w:sz w:val="18"/>
                <w:szCs w:val="18"/>
              </w:rPr>
              <w:t>%</w:t>
            </w:r>
          </w:p>
        </w:tc>
        <w:tc>
          <w:tcPr>
            <w:tcW w:w="0" w:type="auto"/>
            <w:gridSpan w:val="3"/>
            <w:shd w:val="clear" w:color="auto" w:fill="auto"/>
            <w:tcMar>
              <w:left w:w="20" w:type="dxa"/>
              <w:right w:w="20" w:type="dxa"/>
            </w:tcMar>
            <w:vAlign w:val="bottom"/>
          </w:tcPr>
          <w:p w14:paraId="20AE2DBE"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2DBF" w14:textId="77777777" w:rsidR="00B626E7" w:rsidRDefault="00175C1D">
            <w:pPr>
              <w:jc w:val="right"/>
              <w:textAlignment w:val="bottom"/>
            </w:pPr>
            <w:r>
              <w:rPr>
                <w:rFonts w:ascii="Arial" w:eastAsia="宋体" w:hAnsi="Arial" w:cs="Arial"/>
                <w:b/>
                <w:bCs/>
                <w:color w:val="333333"/>
                <w:sz w:val="18"/>
                <w:szCs w:val="18"/>
              </w:rPr>
              <w:t>18,967 </w:t>
            </w:r>
          </w:p>
        </w:tc>
        <w:tc>
          <w:tcPr>
            <w:tcW w:w="0" w:type="auto"/>
            <w:tcBorders>
              <w:top w:val="single" w:sz="8" w:space="0" w:color="333333"/>
            </w:tcBorders>
            <w:shd w:val="clear" w:color="auto" w:fill="auto"/>
            <w:tcMar>
              <w:top w:w="40" w:type="dxa"/>
              <w:bottom w:w="40" w:type="dxa"/>
              <w:right w:w="20" w:type="dxa"/>
            </w:tcMar>
            <w:vAlign w:val="bottom"/>
          </w:tcPr>
          <w:p w14:paraId="20AE2DC0"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2DC1"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2DC2" w14:textId="77777777" w:rsidR="00B626E7" w:rsidRDefault="00175C1D">
            <w:pPr>
              <w:jc w:val="right"/>
              <w:textAlignment w:val="bottom"/>
            </w:pPr>
            <w:r>
              <w:rPr>
                <w:rFonts w:ascii="Arial" w:eastAsia="宋体" w:hAnsi="Arial" w:cs="Arial"/>
                <w:b/>
                <w:bCs/>
                <w:color w:val="333333"/>
                <w:sz w:val="18"/>
                <w:szCs w:val="18"/>
              </w:rPr>
              <w:t>58.2 </w:t>
            </w:r>
          </w:p>
        </w:tc>
        <w:tc>
          <w:tcPr>
            <w:tcW w:w="0" w:type="auto"/>
            <w:tcBorders>
              <w:top w:val="single" w:sz="8" w:space="0" w:color="333333"/>
            </w:tcBorders>
            <w:shd w:val="clear" w:color="auto" w:fill="auto"/>
            <w:tcMar>
              <w:top w:w="40" w:type="dxa"/>
              <w:bottom w:w="40" w:type="dxa"/>
              <w:right w:w="20" w:type="dxa"/>
            </w:tcMar>
            <w:vAlign w:val="bottom"/>
          </w:tcPr>
          <w:p w14:paraId="20AE2DC3" w14:textId="77777777" w:rsidR="00B626E7" w:rsidRDefault="00175C1D">
            <w:pPr>
              <w:jc w:val="right"/>
              <w:textAlignment w:val="bottom"/>
            </w:pPr>
            <w:r>
              <w:rPr>
                <w:rFonts w:ascii="Arial" w:eastAsia="宋体" w:hAnsi="Arial" w:cs="Arial"/>
                <w:b/>
                <w:bCs/>
                <w:color w:val="333333"/>
                <w:sz w:val="18"/>
                <w:szCs w:val="18"/>
              </w:rPr>
              <w:t>%</w:t>
            </w:r>
          </w:p>
        </w:tc>
        <w:tc>
          <w:tcPr>
            <w:tcW w:w="0" w:type="auto"/>
            <w:shd w:val="clear" w:color="auto" w:fill="auto"/>
          </w:tcPr>
          <w:p w14:paraId="20AE2DC4" w14:textId="77777777" w:rsidR="00B626E7" w:rsidRDefault="00B626E7">
            <w:pPr>
              <w:rPr>
                <w:rFonts w:ascii="宋体"/>
              </w:rPr>
            </w:pPr>
          </w:p>
        </w:tc>
        <w:tc>
          <w:tcPr>
            <w:tcW w:w="0" w:type="auto"/>
            <w:shd w:val="clear" w:color="auto" w:fill="auto"/>
          </w:tcPr>
          <w:p w14:paraId="20AE2DC5" w14:textId="77777777" w:rsidR="00B626E7" w:rsidRDefault="00B626E7">
            <w:pPr>
              <w:rPr>
                <w:rFonts w:ascii="宋体"/>
              </w:rPr>
            </w:pPr>
          </w:p>
        </w:tc>
        <w:tc>
          <w:tcPr>
            <w:tcW w:w="0" w:type="auto"/>
            <w:shd w:val="clear" w:color="auto" w:fill="auto"/>
          </w:tcPr>
          <w:p w14:paraId="20AE2DC6" w14:textId="77777777" w:rsidR="00B626E7" w:rsidRDefault="00B626E7">
            <w:pPr>
              <w:rPr>
                <w:rFonts w:ascii="宋体"/>
              </w:rPr>
            </w:pPr>
          </w:p>
        </w:tc>
        <w:tc>
          <w:tcPr>
            <w:tcW w:w="0" w:type="auto"/>
            <w:shd w:val="clear" w:color="auto" w:fill="auto"/>
          </w:tcPr>
          <w:p w14:paraId="20AE2DC7" w14:textId="77777777" w:rsidR="00B626E7" w:rsidRDefault="00B626E7">
            <w:pPr>
              <w:rPr>
                <w:rFonts w:ascii="宋体"/>
              </w:rPr>
            </w:pPr>
          </w:p>
        </w:tc>
        <w:tc>
          <w:tcPr>
            <w:tcW w:w="0" w:type="auto"/>
            <w:shd w:val="clear" w:color="auto" w:fill="auto"/>
          </w:tcPr>
          <w:p w14:paraId="20AE2DC8" w14:textId="77777777" w:rsidR="00B626E7" w:rsidRDefault="00B626E7">
            <w:pPr>
              <w:rPr>
                <w:rFonts w:ascii="宋体"/>
              </w:rPr>
            </w:pPr>
          </w:p>
        </w:tc>
        <w:tc>
          <w:tcPr>
            <w:tcW w:w="0" w:type="auto"/>
            <w:shd w:val="clear" w:color="auto" w:fill="auto"/>
          </w:tcPr>
          <w:p w14:paraId="20AE2DC9" w14:textId="77777777" w:rsidR="00B626E7" w:rsidRDefault="00B626E7">
            <w:pPr>
              <w:rPr>
                <w:rFonts w:ascii="宋体"/>
              </w:rPr>
            </w:pPr>
          </w:p>
        </w:tc>
        <w:tc>
          <w:tcPr>
            <w:tcW w:w="0" w:type="auto"/>
            <w:shd w:val="clear" w:color="auto" w:fill="auto"/>
          </w:tcPr>
          <w:p w14:paraId="20AE2DCA" w14:textId="77777777" w:rsidR="00B626E7" w:rsidRDefault="00B626E7">
            <w:pPr>
              <w:rPr>
                <w:rFonts w:ascii="宋体"/>
              </w:rPr>
            </w:pPr>
          </w:p>
        </w:tc>
        <w:tc>
          <w:tcPr>
            <w:tcW w:w="0" w:type="auto"/>
            <w:shd w:val="clear" w:color="auto" w:fill="auto"/>
          </w:tcPr>
          <w:p w14:paraId="20AE2DCB" w14:textId="77777777" w:rsidR="00B626E7" w:rsidRDefault="00B626E7">
            <w:pPr>
              <w:rPr>
                <w:rFonts w:ascii="宋体"/>
              </w:rPr>
            </w:pPr>
          </w:p>
        </w:tc>
        <w:tc>
          <w:tcPr>
            <w:tcW w:w="0" w:type="auto"/>
            <w:shd w:val="clear" w:color="auto" w:fill="auto"/>
          </w:tcPr>
          <w:p w14:paraId="20AE2DCC" w14:textId="77777777" w:rsidR="00B626E7" w:rsidRDefault="00B626E7">
            <w:pPr>
              <w:rPr>
                <w:rFonts w:ascii="宋体"/>
              </w:rPr>
            </w:pPr>
          </w:p>
        </w:tc>
        <w:tc>
          <w:tcPr>
            <w:tcW w:w="0" w:type="auto"/>
            <w:shd w:val="clear" w:color="auto" w:fill="auto"/>
          </w:tcPr>
          <w:p w14:paraId="20AE2DCD" w14:textId="77777777" w:rsidR="00B626E7" w:rsidRDefault="00B626E7">
            <w:pPr>
              <w:rPr>
                <w:rFonts w:ascii="宋体"/>
              </w:rPr>
            </w:pPr>
          </w:p>
        </w:tc>
        <w:tc>
          <w:tcPr>
            <w:tcW w:w="0" w:type="auto"/>
            <w:shd w:val="clear" w:color="auto" w:fill="auto"/>
          </w:tcPr>
          <w:p w14:paraId="20AE2DCE" w14:textId="77777777" w:rsidR="00B626E7" w:rsidRDefault="00B626E7">
            <w:pPr>
              <w:rPr>
                <w:rFonts w:ascii="宋体"/>
              </w:rPr>
            </w:pPr>
          </w:p>
        </w:tc>
        <w:tc>
          <w:tcPr>
            <w:tcW w:w="0" w:type="auto"/>
            <w:shd w:val="clear" w:color="auto" w:fill="auto"/>
          </w:tcPr>
          <w:p w14:paraId="20AE2DCF" w14:textId="77777777" w:rsidR="00B626E7" w:rsidRDefault="00B626E7">
            <w:pPr>
              <w:rPr>
                <w:rFonts w:ascii="宋体"/>
              </w:rPr>
            </w:pPr>
          </w:p>
        </w:tc>
      </w:tr>
      <w:tr w:rsidR="00B626E7" w14:paraId="20AE2DF6" w14:textId="77777777">
        <w:tc>
          <w:tcPr>
            <w:tcW w:w="0" w:type="auto"/>
            <w:gridSpan w:val="3"/>
            <w:shd w:val="clear" w:color="auto" w:fill="auto"/>
            <w:tcMar>
              <w:top w:w="40" w:type="dxa"/>
              <w:left w:w="20" w:type="dxa"/>
              <w:bottom w:w="40" w:type="dxa"/>
              <w:right w:w="20" w:type="dxa"/>
            </w:tcMar>
          </w:tcPr>
          <w:p w14:paraId="20AE2DD1" w14:textId="77777777" w:rsidR="00B626E7" w:rsidRDefault="00175C1D">
            <w:pPr>
              <w:ind w:hanging="180"/>
              <w:textAlignment w:val="top"/>
            </w:pPr>
            <w:r>
              <w:rPr>
                <w:rFonts w:ascii="Arial" w:eastAsia="宋体" w:hAnsi="Arial" w:cs="Arial"/>
                <w:color w:val="333333"/>
                <w:sz w:val="18"/>
                <w:szCs w:val="18"/>
              </w:rPr>
              <w:t>Research and development</w:t>
            </w:r>
          </w:p>
        </w:tc>
        <w:tc>
          <w:tcPr>
            <w:tcW w:w="0" w:type="auto"/>
            <w:gridSpan w:val="3"/>
            <w:shd w:val="clear" w:color="auto" w:fill="auto"/>
            <w:tcMar>
              <w:left w:w="20" w:type="dxa"/>
              <w:right w:w="20" w:type="dxa"/>
            </w:tcMar>
            <w:vAlign w:val="bottom"/>
          </w:tcPr>
          <w:p w14:paraId="20AE2DD2"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DD3" w14:textId="77777777" w:rsidR="00B626E7" w:rsidRDefault="00175C1D">
            <w:pPr>
              <w:jc w:val="right"/>
              <w:textAlignment w:val="bottom"/>
            </w:pPr>
            <w:r>
              <w:rPr>
                <w:rFonts w:ascii="Arial" w:eastAsia="宋体" w:hAnsi="Arial" w:cs="Arial"/>
                <w:color w:val="0071C5"/>
                <w:sz w:val="18"/>
                <w:szCs w:val="18"/>
              </w:rPr>
              <w:t>3,354 </w:t>
            </w:r>
          </w:p>
        </w:tc>
        <w:tc>
          <w:tcPr>
            <w:tcW w:w="0" w:type="auto"/>
            <w:shd w:val="clear" w:color="auto" w:fill="auto"/>
            <w:tcMar>
              <w:top w:w="40" w:type="dxa"/>
              <w:bottom w:w="40" w:type="dxa"/>
              <w:right w:w="20" w:type="dxa"/>
            </w:tcMar>
            <w:vAlign w:val="bottom"/>
          </w:tcPr>
          <w:p w14:paraId="20AE2DD4"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2DD5"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DD6" w14:textId="77777777" w:rsidR="00B626E7" w:rsidRDefault="00175C1D">
            <w:pPr>
              <w:jc w:val="right"/>
              <w:textAlignment w:val="bottom"/>
            </w:pPr>
            <w:r>
              <w:rPr>
                <w:rFonts w:ascii="Arial" w:eastAsia="宋体" w:hAnsi="Arial" w:cs="Arial"/>
                <w:color w:val="0071C5"/>
                <w:sz w:val="18"/>
                <w:szCs w:val="18"/>
              </w:rPr>
              <w:t>17.0 </w:t>
            </w:r>
          </w:p>
        </w:tc>
        <w:tc>
          <w:tcPr>
            <w:tcW w:w="0" w:type="auto"/>
            <w:shd w:val="clear" w:color="auto" w:fill="auto"/>
            <w:tcMar>
              <w:top w:w="40" w:type="dxa"/>
              <w:bottom w:w="40" w:type="dxa"/>
              <w:right w:w="20" w:type="dxa"/>
            </w:tcMar>
            <w:vAlign w:val="bottom"/>
          </w:tcPr>
          <w:p w14:paraId="20AE2DD7" w14:textId="77777777" w:rsidR="00B626E7" w:rsidRDefault="00175C1D">
            <w:pPr>
              <w:jc w:val="right"/>
              <w:textAlignment w:val="bottom"/>
            </w:pPr>
            <w:r>
              <w:rPr>
                <w:rFonts w:ascii="Arial" w:eastAsia="宋体" w:hAnsi="Arial" w:cs="Arial"/>
                <w:color w:val="0071C5"/>
                <w:sz w:val="18"/>
                <w:szCs w:val="18"/>
              </w:rPr>
              <w:t>%</w:t>
            </w:r>
          </w:p>
        </w:tc>
        <w:tc>
          <w:tcPr>
            <w:tcW w:w="0" w:type="auto"/>
            <w:gridSpan w:val="3"/>
            <w:shd w:val="clear" w:color="auto" w:fill="auto"/>
            <w:tcMar>
              <w:left w:w="20" w:type="dxa"/>
              <w:right w:w="20" w:type="dxa"/>
            </w:tcMar>
            <w:vAlign w:val="bottom"/>
          </w:tcPr>
          <w:p w14:paraId="20AE2DD8"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DD9" w14:textId="77777777" w:rsidR="00B626E7" w:rsidRDefault="00175C1D">
            <w:pPr>
              <w:jc w:val="right"/>
              <w:textAlignment w:val="bottom"/>
            </w:pPr>
            <w:r>
              <w:rPr>
                <w:rFonts w:ascii="Arial" w:eastAsia="宋体" w:hAnsi="Arial" w:cs="Arial"/>
                <w:color w:val="333333"/>
                <w:sz w:val="18"/>
                <w:szCs w:val="18"/>
              </w:rPr>
              <w:t>3,438 </w:t>
            </w:r>
          </w:p>
        </w:tc>
        <w:tc>
          <w:tcPr>
            <w:tcW w:w="0" w:type="auto"/>
            <w:shd w:val="clear" w:color="auto" w:fill="auto"/>
            <w:tcMar>
              <w:top w:w="40" w:type="dxa"/>
              <w:bottom w:w="40" w:type="dxa"/>
              <w:right w:w="20" w:type="dxa"/>
            </w:tcMar>
            <w:vAlign w:val="bottom"/>
          </w:tcPr>
          <w:p w14:paraId="20AE2DDA"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2DDB"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DDC" w14:textId="77777777" w:rsidR="00B626E7" w:rsidRDefault="00175C1D">
            <w:pPr>
              <w:jc w:val="right"/>
              <w:textAlignment w:val="bottom"/>
            </w:pPr>
            <w:r>
              <w:rPr>
                <w:rFonts w:ascii="Arial" w:eastAsia="宋体" w:hAnsi="Arial" w:cs="Arial"/>
                <w:color w:val="333333"/>
                <w:sz w:val="18"/>
                <w:szCs w:val="18"/>
              </w:rPr>
              <w:t>20.8 </w:t>
            </w:r>
          </w:p>
        </w:tc>
        <w:tc>
          <w:tcPr>
            <w:tcW w:w="0" w:type="auto"/>
            <w:shd w:val="clear" w:color="auto" w:fill="auto"/>
            <w:tcMar>
              <w:top w:w="40" w:type="dxa"/>
              <w:bottom w:w="40" w:type="dxa"/>
              <w:right w:w="20" w:type="dxa"/>
            </w:tcMar>
            <w:vAlign w:val="bottom"/>
          </w:tcPr>
          <w:p w14:paraId="20AE2DDD" w14:textId="77777777" w:rsidR="00B626E7" w:rsidRDefault="00175C1D">
            <w:pPr>
              <w:jc w:val="right"/>
              <w:textAlignment w:val="bottom"/>
            </w:pPr>
            <w:r>
              <w:rPr>
                <w:rFonts w:ascii="Arial" w:eastAsia="宋体" w:hAnsi="Arial" w:cs="Arial"/>
                <w:color w:val="333333"/>
                <w:sz w:val="18"/>
                <w:szCs w:val="18"/>
              </w:rPr>
              <w:t>%</w:t>
            </w:r>
          </w:p>
        </w:tc>
        <w:tc>
          <w:tcPr>
            <w:tcW w:w="0" w:type="auto"/>
            <w:gridSpan w:val="3"/>
            <w:shd w:val="clear" w:color="auto" w:fill="auto"/>
            <w:tcMar>
              <w:left w:w="20" w:type="dxa"/>
              <w:right w:w="20" w:type="dxa"/>
            </w:tcMar>
            <w:vAlign w:val="bottom"/>
          </w:tcPr>
          <w:p w14:paraId="20AE2DDE"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DDF" w14:textId="77777777" w:rsidR="00B626E7" w:rsidRDefault="00175C1D">
            <w:pPr>
              <w:jc w:val="right"/>
              <w:textAlignment w:val="bottom"/>
            </w:pPr>
            <w:r>
              <w:rPr>
                <w:rFonts w:ascii="Arial" w:eastAsia="宋体" w:hAnsi="Arial" w:cs="Arial"/>
                <w:color w:val="0071C5"/>
                <w:sz w:val="18"/>
                <w:szCs w:val="18"/>
              </w:rPr>
              <w:t>6,629 </w:t>
            </w:r>
          </w:p>
        </w:tc>
        <w:tc>
          <w:tcPr>
            <w:tcW w:w="0" w:type="auto"/>
            <w:shd w:val="clear" w:color="auto" w:fill="auto"/>
            <w:tcMar>
              <w:top w:w="40" w:type="dxa"/>
              <w:bottom w:w="40" w:type="dxa"/>
              <w:right w:w="20" w:type="dxa"/>
            </w:tcMar>
            <w:vAlign w:val="bottom"/>
          </w:tcPr>
          <w:p w14:paraId="20AE2DE0"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2DE1"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DE2" w14:textId="77777777" w:rsidR="00B626E7" w:rsidRDefault="00175C1D">
            <w:pPr>
              <w:jc w:val="right"/>
              <w:textAlignment w:val="bottom"/>
            </w:pPr>
            <w:r>
              <w:rPr>
                <w:rFonts w:ascii="Arial" w:eastAsia="宋体" w:hAnsi="Arial" w:cs="Arial"/>
                <w:color w:val="0071C5"/>
                <w:sz w:val="18"/>
                <w:szCs w:val="18"/>
              </w:rPr>
              <w:t>16.8 </w:t>
            </w:r>
          </w:p>
        </w:tc>
        <w:tc>
          <w:tcPr>
            <w:tcW w:w="0" w:type="auto"/>
            <w:shd w:val="clear" w:color="auto" w:fill="auto"/>
            <w:tcMar>
              <w:top w:w="40" w:type="dxa"/>
              <w:bottom w:w="40" w:type="dxa"/>
              <w:right w:w="20" w:type="dxa"/>
            </w:tcMar>
            <w:vAlign w:val="bottom"/>
          </w:tcPr>
          <w:p w14:paraId="20AE2DE3" w14:textId="77777777" w:rsidR="00B626E7" w:rsidRDefault="00175C1D">
            <w:pPr>
              <w:jc w:val="right"/>
              <w:textAlignment w:val="bottom"/>
            </w:pPr>
            <w:r>
              <w:rPr>
                <w:rFonts w:ascii="Arial" w:eastAsia="宋体" w:hAnsi="Arial" w:cs="Arial"/>
                <w:color w:val="0071C5"/>
                <w:sz w:val="18"/>
                <w:szCs w:val="18"/>
              </w:rPr>
              <w:t>%</w:t>
            </w:r>
          </w:p>
        </w:tc>
        <w:tc>
          <w:tcPr>
            <w:tcW w:w="0" w:type="auto"/>
            <w:gridSpan w:val="3"/>
            <w:shd w:val="clear" w:color="auto" w:fill="auto"/>
            <w:tcMar>
              <w:left w:w="20" w:type="dxa"/>
              <w:right w:w="20" w:type="dxa"/>
            </w:tcMar>
            <w:vAlign w:val="bottom"/>
          </w:tcPr>
          <w:p w14:paraId="20AE2DE4"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DE5" w14:textId="77777777" w:rsidR="00B626E7" w:rsidRDefault="00175C1D">
            <w:pPr>
              <w:jc w:val="right"/>
              <w:textAlignment w:val="bottom"/>
            </w:pPr>
            <w:r>
              <w:rPr>
                <w:rFonts w:ascii="Arial" w:eastAsia="宋体" w:hAnsi="Arial" w:cs="Arial"/>
                <w:color w:val="333333"/>
                <w:sz w:val="18"/>
                <w:szCs w:val="18"/>
              </w:rPr>
              <w:t>6,770 </w:t>
            </w:r>
          </w:p>
        </w:tc>
        <w:tc>
          <w:tcPr>
            <w:tcW w:w="0" w:type="auto"/>
            <w:shd w:val="clear" w:color="auto" w:fill="auto"/>
            <w:tcMar>
              <w:top w:w="40" w:type="dxa"/>
              <w:bottom w:w="40" w:type="dxa"/>
              <w:right w:w="20" w:type="dxa"/>
            </w:tcMar>
            <w:vAlign w:val="bottom"/>
          </w:tcPr>
          <w:p w14:paraId="20AE2DE6"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2DE7"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DE8" w14:textId="77777777" w:rsidR="00B626E7" w:rsidRDefault="00175C1D">
            <w:pPr>
              <w:jc w:val="right"/>
              <w:textAlignment w:val="bottom"/>
            </w:pPr>
            <w:r>
              <w:rPr>
                <w:rFonts w:ascii="Arial" w:eastAsia="宋体" w:hAnsi="Arial" w:cs="Arial"/>
                <w:color w:val="333333"/>
                <w:sz w:val="18"/>
                <w:szCs w:val="18"/>
              </w:rPr>
              <w:t>20.8 </w:t>
            </w:r>
          </w:p>
        </w:tc>
        <w:tc>
          <w:tcPr>
            <w:tcW w:w="0" w:type="auto"/>
            <w:shd w:val="clear" w:color="auto" w:fill="auto"/>
            <w:tcMar>
              <w:top w:w="40" w:type="dxa"/>
              <w:bottom w:w="40" w:type="dxa"/>
              <w:right w:w="20" w:type="dxa"/>
            </w:tcMar>
            <w:vAlign w:val="bottom"/>
          </w:tcPr>
          <w:p w14:paraId="20AE2DE9" w14:textId="77777777" w:rsidR="00B626E7" w:rsidRDefault="00175C1D">
            <w:pPr>
              <w:jc w:val="right"/>
              <w:textAlignment w:val="bottom"/>
            </w:pPr>
            <w:r>
              <w:rPr>
                <w:rFonts w:ascii="Arial" w:eastAsia="宋体" w:hAnsi="Arial" w:cs="Arial"/>
                <w:color w:val="333333"/>
                <w:sz w:val="18"/>
                <w:szCs w:val="18"/>
              </w:rPr>
              <w:t>%</w:t>
            </w:r>
          </w:p>
        </w:tc>
        <w:tc>
          <w:tcPr>
            <w:tcW w:w="0" w:type="auto"/>
            <w:shd w:val="clear" w:color="auto" w:fill="auto"/>
          </w:tcPr>
          <w:p w14:paraId="20AE2DEA" w14:textId="77777777" w:rsidR="00B626E7" w:rsidRDefault="00B626E7">
            <w:pPr>
              <w:rPr>
                <w:rFonts w:ascii="宋体"/>
              </w:rPr>
            </w:pPr>
          </w:p>
        </w:tc>
        <w:tc>
          <w:tcPr>
            <w:tcW w:w="0" w:type="auto"/>
            <w:shd w:val="clear" w:color="auto" w:fill="auto"/>
          </w:tcPr>
          <w:p w14:paraId="20AE2DEB" w14:textId="77777777" w:rsidR="00B626E7" w:rsidRDefault="00B626E7">
            <w:pPr>
              <w:rPr>
                <w:rFonts w:ascii="宋体"/>
              </w:rPr>
            </w:pPr>
          </w:p>
        </w:tc>
        <w:tc>
          <w:tcPr>
            <w:tcW w:w="0" w:type="auto"/>
            <w:shd w:val="clear" w:color="auto" w:fill="auto"/>
          </w:tcPr>
          <w:p w14:paraId="20AE2DEC" w14:textId="77777777" w:rsidR="00B626E7" w:rsidRDefault="00B626E7">
            <w:pPr>
              <w:rPr>
                <w:rFonts w:ascii="宋体"/>
              </w:rPr>
            </w:pPr>
          </w:p>
        </w:tc>
        <w:tc>
          <w:tcPr>
            <w:tcW w:w="0" w:type="auto"/>
            <w:shd w:val="clear" w:color="auto" w:fill="auto"/>
          </w:tcPr>
          <w:p w14:paraId="20AE2DED" w14:textId="77777777" w:rsidR="00B626E7" w:rsidRDefault="00B626E7">
            <w:pPr>
              <w:rPr>
                <w:rFonts w:ascii="宋体"/>
              </w:rPr>
            </w:pPr>
          </w:p>
        </w:tc>
        <w:tc>
          <w:tcPr>
            <w:tcW w:w="0" w:type="auto"/>
            <w:shd w:val="clear" w:color="auto" w:fill="auto"/>
          </w:tcPr>
          <w:p w14:paraId="20AE2DEE" w14:textId="77777777" w:rsidR="00B626E7" w:rsidRDefault="00B626E7">
            <w:pPr>
              <w:rPr>
                <w:rFonts w:ascii="宋体"/>
              </w:rPr>
            </w:pPr>
          </w:p>
        </w:tc>
        <w:tc>
          <w:tcPr>
            <w:tcW w:w="0" w:type="auto"/>
            <w:shd w:val="clear" w:color="auto" w:fill="auto"/>
          </w:tcPr>
          <w:p w14:paraId="20AE2DEF" w14:textId="77777777" w:rsidR="00B626E7" w:rsidRDefault="00B626E7">
            <w:pPr>
              <w:rPr>
                <w:rFonts w:ascii="宋体"/>
              </w:rPr>
            </w:pPr>
          </w:p>
        </w:tc>
        <w:tc>
          <w:tcPr>
            <w:tcW w:w="0" w:type="auto"/>
            <w:shd w:val="clear" w:color="auto" w:fill="auto"/>
          </w:tcPr>
          <w:p w14:paraId="20AE2DF0" w14:textId="77777777" w:rsidR="00B626E7" w:rsidRDefault="00B626E7">
            <w:pPr>
              <w:rPr>
                <w:rFonts w:ascii="宋体"/>
              </w:rPr>
            </w:pPr>
          </w:p>
        </w:tc>
        <w:tc>
          <w:tcPr>
            <w:tcW w:w="0" w:type="auto"/>
            <w:shd w:val="clear" w:color="auto" w:fill="auto"/>
          </w:tcPr>
          <w:p w14:paraId="20AE2DF1" w14:textId="77777777" w:rsidR="00B626E7" w:rsidRDefault="00B626E7">
            <w:pPr>
              <w:rPr>
                <w:rFonts w:ascii="宋体"/>
              </w:rPr>
            </w:pPr>
          </w:p>
        </w:tc>
        <w:tc>
          <w:tcPr>
            <w:tcW w:w="0" w:type="auto"/>
            <w:shd w:val="clear" w:color="auto" w:fill="auto"/>
          </w:tcPr>
          <w:p w14:paraId="20AE2DF2" w14:textId="77777777" w:rsidR="00B626E7" w:rsidRDefault="00B626E7">
            <w:pPr>
              <w:rPr>
                <w:rFonts w:ascii="宋体"/>
              </w:rPr>
            </w:pPr>
          </w:p>
        </w:tc>
        <w:tc>
          <w:tcPr>
            <w:tcW w:w="0" w:type="auto"/>
            <w:shd w:val="clear" w:color="auto" w:fill="auto"/>
          </w:tcPr>
          <w:p w14:paraId="20AE2DF3" w14:textId="77777777" w:rsidR="00B626E7" w:rsidRDefault="00B626E7">
            <w:pPr>
              <w:rPr>
                <w:rFonts w:ascii="宋体"/>
              </w:rPr>
            </w:pPr>
          </w:p>
        </w:tc>
        <w:tc>
          <w:tcPr>
            <w:tcW w:w="0" w:type="auto"/>
            <w:shd w:val="clear" w:color="auto" w:fill="auto"/>
          </w:tcPr>
          <w:p w14:paraId="20AE2DF4" w14:textId="77777777" w:rsidR="00B626E7" w:rsidRDefault="00B626E7">
            <w:pPr>
              <w:rPr>
                <w:rFonts w:ascii="宋体"/>
              </w:rPr>
            </w:pPr>
          </w:p>
        </w:tc>
        <w:tc>
          <w:tcPr>
            <w:tcW w:w="0" w:type="auto"/>
            <w:shd w:val="clear" w:color="auto" w:fill="auto"/>
          </w:tcPr>
          <w:p w14:paraId="20AE2DF5" w14:textId="77777777" w:rsidR="00B626E7" w:rsidRDefault="00B626E7">
            <w:pPr>
              <w:rPr>
                <w:rFonts w:ascii="宋体"/>
              </w:rPr>
            </w:pPr>
          </w:p>
        </w:tc>
      </w:tr>
      <w:tr w:rsidR="00B626E7" w14:paraId="20AE2E1C" w14:textId="77777777">
        <w:tc>
          <w:tcPr>
            <w:tcW w:w="0" w:type="auto"/>
            <w:gridSpan w:val="3"/>
            <w:shd w:val="clear" w:color="auto" w:fill="auto"/>
            <w:tcMar>
              <w:top w:w="40" w:type="dxa"/>
              <w:left w:w="20" w:type="dxa"/>
              <w:bottom w:w="40" w:type="dxa"/>
              <w:right w:w="20" w:type="dxa"/>
            </w:tcMar>
            <w:vAlign w:val="bottom"/>
          </w:tcPr>
          <w:p w14:paraId="20AE2DF7" w14:textId="77777777" w:rsidR="00B626E7" w:rsidRDefault="00175C1D">
            <w:pPr>
              <w:textAlignment w:val="bottom"/>
            </w:pPr>
            <w:r>
              <w:rPr>
                <w:rFonts w:ascii="Arial" w:eastAsia="宋体" w:hAnsi="Arial" w:cs="Arial"/>
                <w:color w:val="333333"/>
                <w:sz w:val="18"/>
                <w:szCs w:val="18"/>
              </w:rPr>
              <w:t>Marketing, general and administrative</w:t>
            </w:r>
          </w:p>
        </w:tc>
        <w:tc>
          <w:tcPr>
            <w:tcW w:w="0" w:type="auto"/>
            <w:gridSpan w:val="3"/>
            <w:shd w:val="clear" w:color="auto" w:fill="auto"/>
            <w:tcMar>
              <w:left w:w="20" w:type="dxa"/>
              <w:right w:w="20" w:type="dxa"/>
            </w:tcMar>
            <w:vAlign w:val="bottom"/>
          </w:tcPr>
          <w:p w14:paraId="20AE2DF8"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DF9" w14:textId="77777777" w:rsidR="00B626E7" w:rsidRDefault="00175C1D">
            <w:pPr>
              <w:jc w:val="right"/>
              <w:textAlignment w:val="bottom"/>
            </w:pPr>
            <w:r>
              <w:rPr>
                <w:rFonts w:ascii="Arial" w:eastAsia="宋体" w:hAnsi="Arial" w:cs="Arial"/>
                <w:color w:val="0071C5"/>
                <w:sz w:val="18"/>
                <w:szCs w:val="18"/>
              </w:rPr>
              <w:t>1,447 </w:t>
            </w:r>
          </w:p>
        </w:tc>
        <w:tc>
          <w:tcPr>
            <w:tcW w:w="0" w:type="auto"/>
            <w:shd w:val="clear" w:color="auto" w:fill="auto"/>
            <w:tcMar>
              <w:top w:w="40" w:type="dxa"/>
              <w:bottom w:w="40" w:type="dxa"/>
              <w:right w:w="20" w:type="dxa"/>
            </w:tcMar>
            <w:vAlign w:val="bottom"/>
          </w:tcPr>
          <w:p w14:paraId="20AE2DFA"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2DFB"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DFC" w14:textId="77777777" w:rsidR="00B626E7" w:rsidRDefault="00175C1D">
            <w:pPr>
              <w:jc w:val="right"/>
              <w:textAlignment w:val="bottom"/>
            </w:pPr>
            <w:r>
              <w:rPr>
                <w:rFonts w:ascii="Arial" w:eastAsia="宋体" w:hAnsi="Arial" w:cs="Arial"/>
                <w:color w:val="0071C5"/>
                <w:sz w:val="18"/>
                <w:szCs w:val="18"/>
              </w:rPr>
              <w:t>7.3 </w:t>
            </w:r>
          </w:p>
        </w:tc>
        <w:tc>
          <w:tcPr>
            <w:tcW w:w="0" w:type="auto"/>
            <w:shd w:val="clear" w:color="auto" w:fill="auto"/>
            <w:tcMar>
              <w:top w:w="40" w:type="dxa"/>
              <w:bottom w:w="40" w:type="dxa"/>
              <w:right w:w="20" w:type="dxa"/>
            </w:tcMar>
            <w:vAlign w:val="bottom"/>
          </w:tcPr>
          <w:p w14:paraId="20AE2DFD" w14:textId="77777777" w:rsidR="00B626E7" w:rsidRDefault="00175C1D">
            <w:pPr>
              <w:jc w:val="right"/>
              <w:textAlignment w:val="bottom"/>
            </w:pPr>
            <w:r>
              <w:rPr>
                <w:rFonts w:ascii="Arial" w:eastAsia="宋体" w:hAnsi="Arial" w:cs="Arial"/>
                <w:color w:val="0071C5"/>
                <w:sz w:val="18"/>
                <w:szCs w:val="18"/>
              </w:rPr>
              <w:t>%</w:t>
            </w:r>
          </w:p>
        </w:tc>
        <w:tc>
          <w:tcPr>
            <w:tcW w:w="0" w:type="auto"/>
            <w:gridSpan w:val="3"/>
            <w:shd w:val="clear" w:color="auto" w:fill="auto"/>
            <w:tcMar>
              <w:left w:w="20" w:type="dxa"/>
              <w:right w:w="20" w:type="dxa"/>
            </w:tcMar>
            <w:vAlign w:val="bottom"/>
          </w:tcPr>
          <w:p w14:paraId="20AE2DFE"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DFF" w14:textId="77777777" w:rsidR="00B626E7" w:rsidRDefault="00175C1D">
            <w:pPr>
              <w:jc w:val="right"/>
              <w:textAlignment w:val="bottom"/>
            </w:pPr>
            <w:r>
              <w:rPr>
                <w:rFonts w:ascii="Arial" w:eastAsia="宋体" w:hAnsi="Arial" w:cs="Arial"/>
                <w:color w:val="333333"/>
                <w:sz w:val="18"/>
                <w:szCs w:val="18"/>
              </w:rPr>
              <w:t>1,639 </w:t>
            </w:r>
          </w:p>
        </w:tc>
        <w:tc>
          <w:tcPr>
            <w:tcW w:w="0" w:type="auto"/>
            <w:shd w:val="clear" w:color="auto" w:fill="auto"/>
            <w:tcMar>
              <w:top w:w="40" w:type="dxa"/>
              <w:bottom w:w="40" w:type="dxa"/>
              <w:right w:w="20" w:type="dxa"/>
            </w:tcMar>
            <w:vAlign w:val="bottom"/>
          </w:tcPr>
          <w:p w14:paraId="20AE2E00"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2E01"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E02" w14:textId="77777777" w:rsidR="00B626E7" w:rsidRDefault="00175C1D">
            <w:pPr>
              <w:jc w:val="right"/>
              <w:textAlignment w:val="bottom"/>
            </w:pPr>
            <w:r>
              <w:rPr>
                <w:rFonts w:ascii="Arial" w:eastAsia="宋体" w:hAnsi="Arial" w:cs="Arial"/>
                <w:color w:val="333333"/>
                <w:sz w:val="18"/>
                <w:szCs w:val="18"/>
              </w:rPr>
              <w:t>9.9 </w:t>
            </w:r>
          </w:p>
        </w:tc>
        <w:tc>
          <w:tcPr>
            <w:tcW w:w="0" w:type="auto"/>
            <w:shd w:val="clear" w:color="auto" w:fill="auto"/>
            <w:tcMar>
              <w:top w:w="40" w:type="dxa"/>
              <w:bottom w:w="40" w:type="dxa"/>
              <w:right w:w="20" w:type="dxa"/>
            </w:tcMar>
            <w:vAlign w:val="bottom"/>
          </w:tcPr>
          <w:p w14:paraId="20AE2E03" w14:textId="77777777" w:rsidR="00B626E7" w:rsidRDefault="00175C1D">
            <w:pPr>
              <w:jc w:val="right"/>
              <w:textAlignment w:val="bottom"/>
            </w:pPr>
            <w:r>
              <w:rPr>
                <w:rFonts w:ascii="Arial" w:eastAsia="宋体" w:hAnsi="Arial" w:cs="Arial"/>
                <w:color w:val="333333"/>
                <w:sz w:val="18"/>
                <w:szCs w:val="18"/>
              </w:rPr>
              <w:t>%</w:t>
            </w:r>
          </w:p>
        </w:tc>
        <w:tc>
          <w:tcPr>
            <w:tcW w:w="0" w:type="auto"/>
            <w:gridSpan w:val="3"/>
            <w:shd w:val="clear" w:color="auto" w:fill="auto"/>
            <w:tcMar>
              <w:left w:w="20" w:type="dxa"/>
              <w:right w:w="20" w:type="dxa"/>
            </w:tcMar>
            <w:vAlign w:val="bottom"/>
          </w:tcPr>
          <w:p w14:paraId="20AE2E04"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E05" w14:textId="77777777" w:rsidR="00B626E7" w:rsidRDefault="00175C1D">
            <w:pPr>
              <w:jc w:val="right"/>
              <w:textAlignment w:val="bottom"/>
            </w:pPr>
            <w:r>
              <w:rPr>
                <w:rFonts w:ascii="Arial" w:eastAsia="宋体" w:hAnsi="Arial" w:cs="Arial"/>
                <w:color w:val="0071C5"/>
                <w:sz w:val="18"/>
                <w:szCs w:val="18"/>
              </w:rPr>
              <w:t>2,988 </w:t>
            </w:r>
          </w:p>
        </w:tc>
        <w:tc>
          <w:tcPr>
            <w:tcW w:w="0" w:type="auto"/>
            <w:shd w:val="clear" w:color="auto" w:fill="auto"/>
            <w:tcMar>
              <w:top w:w="40" w:type="dxa"/>
              <w:bottom w:w="40" w:type="dxa"/>
              <w:right w:w="20" w:type="dxa"/>
            </w:tcMar>
            <w:vAlign w:val="bottom"/>
          </w:tcPr>
          <w:p w14:paraId="20AE2E06"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2E07"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E08" w14:textId="77777777" w:rsidR="00B626E7" w:rsidRDefault="00175C1D">
            <w:pPr>
              <w:jc w:val="right"/>
              <w:textAlignment w:val="bottom"/>
            </w:pPr>
            <w:r>
              <w:rPr>
                <w:rFonts w:ascii="Arial" w:eastAsia="宋体" w:hAnsi="Arial" w:cs="Arial"/>
                <w:color w:val="0071C5"/>
                <w:sz w:val="18"/>
                <w:szCs w:val="18"/>
              </w:rPr>
              <w:t>7.6 </w:t>
            </w:r>
          </w:p>
        </w:tc>
        <w:tc>
          <w:tcPr>
            <w:tcW w:w="0" w:type="auto"/>
            <w:shd w:val="clear" w:color="auto" w:fill="auto"/>
            <w:tcMar>
              <w:top w:w="40" w:type="dxa"/>
              <w:bottom w:w="40" w:type="dxa"/>
              <w:right w:w="20" w:type="dxa"/>
            </w:tcMar>
            <w:vAlign w:val="bottom"/>
          </w:tcPr>
          <w:p w14:paraId="20AE2E09" w14:textId="77777777" w:rsidR="00B626E7" w:rsidRDefault="00175C1D">
            <w:pPr>
              <w:jc w:val="right"/>
              <w:textAlignment w:val="bottom"/>
            </w:pPr>
            <w:r>
              <w:rPr>
                <w:rFonts w:ascii="Arial" w:eastAsia="宋体" w:hAnsi="Arial" w:cs="Arial"/>
                <w:color w:val="0071C5"/>
                <w:sz w:val="18"/>
                <w:szCs w:val="18"/>
              </w:rPr>
              <w:t>%</w:t>
            </w:r>
          </w:p>
        </w:tc>
        <w:tc>
          <w:tcPr>
            <w:tcW w:w="0" w:type="auto"/>
            <w:gridSpan w:val="3"/>
            <w:shd w:val="clear" w:color="auto" w:fill="auto"/>
            <w:tcMar>
              <w:left w:w="20" w:type="dxa"/>
              <w:right w:w="20" w:type="dxa"/>
            </w:tcMar>
            <w:vAlign w:val="bottom"/>
          </w:tcPr>
          <w:p w14:paraId="20AE2E0A"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E0B" w14:textId="77777777" w:rsidR="00B626E7" w:rsidRDefault="00175C1D">
            <w:pPr>
              <w:jc w:val="right"/>
              <w:textAlignment w:val="bottom"/>
            </w:pPr>
            <w:r>
              <w:rPr>
                <w:rFonts w:ascii="Arial" w:eastAsia="宋体" w:hAnsi="Arial" w:cs="Arial"/>
                <w:color w:val="333333"/>
                <w:sz w:val="18"/>
                <w:szCs w:val="18"/>
              </w:rPr>
              <w:t>3,222 </w:t>
            </w:r>
          </w:p>
        </w:tc>
        <w:tc>
          <w:tcPr>
            <w:tcW w:w="0" w:type="auto"/>
            <w:shd w:val="clear" w:color="auto" w:fill="auto"/>
            <w:tcMar>
              <w:top w:w="40" w:type="dxa"/>
              <w:bottom w:w="40" w:type="dxa"/>
              <w:right w:w="20" w:type="dxa"/>
            </w:tcMar>
            <w:vAlign w:val="bottom"/>
          </w:tcPr>
          <w:p w14:paraId="20AE2E0C"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2E0D"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E0E" w14:textId="77777777" w:rsidR="00B626E7" w:rsidRDefault="00175C1D">
            <w:pPr>
              <w:jc w:val="right"/>
              <w:textAlignment w:val="bottom"/>
            </w:pPr>
            <w:r>
              <w:rPr>
                <w:rFonts w:ascii="Arial" w:eastAsia="宋体" w:hAnsi="Arial" w:cs="Arial"/>
                <w:color w:val="333333"/>
                <w:sz w:val="18"/>
                <w:szCs w:val="18"/>
              </w:rPr>
              <w:t>9.9 </w:t>
            </w:r>
          </w:p>
        </w:tc>
        <w:tc>
          <w:tcPr>
            <w:tcW w:w="0" w:type="auto"/>
            <w:shd w:val="clear" w:color="auto" w:fill="auto"/>
            <w:tcMar>
              <w:top w:w="40" w:type="dxa"/>
              <w:bottom w:w="40" w:type="dxa"/>
              <w:right w:w="20" w:type="dxa"/>
            </w:tcMar>
            <w:vAlign w:val="bottom"/>
          </w:tcPr>
          <w:p w14:paraId="20AE2E0F" w14:textId="77777777" w:rsidR="00B626E7" w:rsidRDefault="00175C1D">
            <w:pPr>
              <w:jc w:val="right"/>
              <w:textAlignment w:val="bottom"/>
            </w:pPr>
            <w:r>
              <w:rPr>
                <w:rFonts w:ascii="Arial" w:eastAsia="宋体" w:hAnsi="Arial" w:cs="Arial"/>
                <w:color w:val="333333"/>
                <w:sz w:val="18"/>
                <w:szCs w:val="18"/>
              </w:rPr>
              <w:t>%</w:t>
            </w:r>
          </w:p>
        </w:tc>
        <w:tc>
          <w:tcPr>
            <w:tcW w:w="0" w:type="auto"/>
            <w:shd w:val="clear" w:color="auto" w:fill="auto"/>
          </w:tcPr>
          <w:p w14:paraId="20AE2E10" w14:textId="77777777" w:rsidR="00B626E7" w:rsidRDefault="00B626E7">
            <w:pPr>
              <w:rPr>
                <w:rFonts w:ascii="宋体"/>
              </w:rPr>
            </w:pPr>
          </w:p>
        </w:tc>
        <w:tc>
          <w:tcPr>
            <w:tcW w:w="0" w:type="auto"/>
            <w:shd w:val="clear" w:color="auto" w:fill="auto"/>
          </w:tcPr>
          <w:p w14:paraId="20AE2E11" w14:textId="77777777" w:rsidR="00B626E7" w:rsidRDefault="00B626E7">
            <w:pPr>
              <w:rPr>
                <w:rFonts w:ascii="宋体"/>
              </w:rPr>
            </w:pPr>
          </w:p>
        </w:tc>
        <w:tc>
          <w:tcPr>
            <w:tcW w:w="0" w:type="auto"/>
            <w:shd w:val="clear" w:color="auto" w:fill="auto"/>
          </w:tcPr>
          <w:p w14:paraId="20AE2E12" w14:textId="77777777" w:rsidR="00B626E7" w:rsidRDefault="00B626E7">
            <w:pPr>
              <w:rPr>
                <w:rFonts w:ascii="宋体"/>
              </w:rPr>
            </w:pPr>
          </w:p>
        </w:tc>
        <w:tc>
          <w:tcPr>
            <w:tcW w:w="0" w:type="auto"/>
            <w:shd w:val="clear" w:color="auto" w:fill="auto"/>
          </w:tcPr>
          <w:p w14:paraId="20AE2E13" w14:textId="77777777" w:rsidR="00B626E7" w:rsidRDefault="00B626E7">
            <w:pPr>
              <w:rPr>
                <w:rFonts w:ascii="宋体"/>
              </w:rPr>
            </w:pPr>
          </w:p>
        </w:tc>
        <w:tc>
          <w:tcPr>
            <w:tcW w:w="0" w:type="auto"/>
            <w:shd w:val="clear" w:color="auto" w:fill="auto"/>
          </w:tcPr>
          <w:p w14:paraId="20AE2E14" w14:textId="77777777" w:rsidR="00B626E7" w:rsidRDefault="00B626E7">
            <w:pPr>
              <w:rPr>
                <w:rFonts w:ascii="宋体"/>
              </w:rPr>
            </w:pPr>
          </w:p>
        </w:tc>
        <w:tc>
          <w:tcPr>
            <w:tcW w:w="0" w:type="auto"/>
            <w:shd w:val="clear" w:color="auto" w:fill="auto"/>
          </w:tcPr>
          <w:p w14:paraId="20AE2E15" w14:textId="77777777" w:rsidR="00B626E7" w:rsidRDefault="00B626E7">
            <w:pPr>
              <w:rPr>
                <w:rFonts w:ascii="宋体"/>
              </w:rPr>
            </w:pPr>
          </w:p>
        </w:tc>
        <w:tc>
          <w:tcPr>
            <w:tcW w:w="0" w:type="auto"/>
            <w:shd w:val="clear" w:color="auto" w:fill="auto"/>
          </w:tcPr>
          <w:p w14:paraId="20AE2E16" w14:textId="77777777" w:rsidR="00B626E7" w:rsidRDefault="00B626E7">
            <w:pPr>
              <w:rPr>
                <w:rFonts w:ascii="宋体"/>
              </w:rPr>
            </w:pPr>
          </w:p>
        </w:tc>
        <w:tc>
          <w:tcPr>
            <w:tcW w:w="0" w:type="auto"/>
            <w:shd w:val="clear" w:color="auto" w:fill="auto"/>
          </w:tcPr>
          <w:p w14:paraId="20AE2E17" w14:textId="77777777" w:rsidR="00B626E7" w:rsidRDefault="00B626E7">
            <w:pPr>
              <w:rPr>
                <w:rFonts w:ascii="宋体"/>
              </w:rPr>
            </w:pPr>
          </w:p>
        </w:tc>
        <w:tc>
          <w:tcPr>
            <w:tcW w:w="0" w:type="auto"/>
            <w:shd w:val="clear" w:color="auto" w:fill="auto"/>
          </w:tcPr>
          <w:p w14:paraId="20AE2E18" w14:textId="77777777" w:rsidR="00B626E7" w:rsidRDefault="00B626E7">
            <w:pPr>
              <w:rPr>
                <w:rFonts w:ascii="宋体"/>
              </w:rPr>
            </w:pPr>
          </w:p>
        </w:tc>
        <w:tc>
          <w:tcPr>
            <w:tcW w:w="0" w:type="auto"/>
            <w:shd w:val="clear" w:color="auto" w:fill="auto"/>
          </w:tcPr>
          <w:p w14:paraId="20AE2E19" w14:textId="77777777" w:rsidR="00B626E7" w:rsidRDefault="00B626E7">
            <w:pPr>
              <w:rPr>
                <w:rFonts w:ascii="宋体"/>
              </w:rPr>
            </w:pPr>
          </w:p>
        </w:tc>
        <w:tc>
          <w:tcPr>
            <w:tcW w:w="0" w:type="auto"/>
            <w:shd w:val="clear" w:color="auto" w:fill="auto"/>
          </w:tcPr>
          <w:p w14:paraId="20AE2E1A" w14:textId="77777777" w:rsidR="00B626E7" w:rsidRDefault="00B626E7">
            <w:pPr>
              <w:rPr>
                <w:rFonts w:ascii="宋体"/>
              </w:rPr>
            </w:pPr>
          </w:p>
        </w:tc>
        <w:tc>
          <w:tcPr>
            <w:tcW w:w="0" w:type="auto"/>
            <w:shd w:val="clear" w:color="auto" w:fill="auto"/>
          </w:tcPr>
          <w:p w14:paraId="20AE2E1B" w14:textId="77777777" w:rsidR="00B626E7" w:rsidRDefault="00B626E7">
            <w:pPr>
              <w:rPr>
                <w:rFonts w:ascii="宋体"/>
              </w:rPr>
            </w:pPr>
          </w:p>
        </w:tc>
      </w:tr>
      <w:tr w:rsidR="00B626E7" w14:paraId="20AE2E42" w14:textId="77777777">
        <w:tc>
          <w:tcPr>
            <w:tcW w:w="0" w:type="auto"/>
            <w:gridSpan w:val="3"/>
            <w:shd w:val="clear" w:color="auto" w:fill="auto"/>
            <w:tcMar>
              <w:top w:w="40" w:type="dxa"/>
              <w:left w:w="20" w:type="dxa"/>
              <w:bottom w:w="40" w:type="dxa"/>
              <w:right w:w="20" w:type="dxa"/>
            </w:tcMar>
          </w:tcPr>
          <w:p w14:paraId="20AE2E1D" w14:textId="77777777" w:rsidR="00B626E7" w:rsidRDefault="00175C1D">
            <w:pPr>
              <w:ind w:hanging="180"/>
              <w:textAlignment w:val="top"/>
            </w:pPr>
            <w:r>
              <w:rPr>
                <w:rFonts w:ascii="Arial" w:eastAsia="宋体" w:hAnsi="Arial" w:cs="Arial"/>
                <w:color w:val="333333"/>
                <w:sz w:val="18"/>
                <w:szCs w:val="18"/>
              </w:rPr>
              <w:t>Restructuring and other charges</w:t>
            </w:r>
          </w:p>
        </w:tc>
        <w:tc>
          <w:tcPr>
            <w:tcW w:w="0" w:type="auto"/>
            <w:gridSpan w:val="3"/>
            <w:shd w:val="clear" w:color="auto" w:fill="auto"/>
            <w:tcMar>
              <w:left w:w="20" w:type="dxa"/>
              <w:right w:w="20" w:type="dxa"/>
            </w:tcMar>
            <w:vAlign w:val="bottom"/>
          </w:tcPr>
          <w:p w14:paraId="20AE2E1E"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E1F" w14:textId="77777777" w:rsidR="00B626E7" w:rsidRDefault="00175C1D">
            <w:pPr>
              <w:jc w:val="right"/>
              <w:textAlignment w:val="bottom"/>
            </w:pPr>
            <w:r>
              <w:rPr>
                <w:rFonts w:ascii="Arial" w:eastAsia="宋体" w:hAnsi="Arial" w:cs="Arial"/>
                <w:color w:val="0071C5"/>
                <w:sz w:val="18"/>
                <w:szCs w:val="18"/>
              </w:rPr>
              <w:t>9 </w:t>
            </w:r>
          </w:p>
        </w:tc>
        <w:tc>
          <w:tcPr>
            <w:tcW w:w="0" w:type="auto"/>
            <w:shd w:val="clear" w:color="auto" w:fill="auto"/>
            <w:tcMar>
              <w:top w:w="40" w:type="dxa"/>
              <w:bottom w:w="40" w:type="dxa"/>
              <w:right w:w="20" w:type="dxa"/>
            </w:tcMar>
            <w:vAlign w:val="bottom"/>
          </w:tcPr>
          <w:p w14:paraId="20AE2E20"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2E21"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E22"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20AE2E23" w14:textId="77777777" w:rsidR="00B626E7" w:rsidRDefault="00175C1D">
            <w:pPr>
              <w:jc w:val="right"/>
              <w:textAlignment w:val="bottom"/>
            </w:pPr>
            <w:r>
              <w:rPr>
                <w:rFonts w:ascii="Arial" w:eastAsia="宋体" w:hAnsi="Arial" w:cs="Arial"/>
                <w:color w:val="0071C5"/>
                <w:sz w:val="18"/>
                <w:szCs w:val="18"/>
              </w:rPr>
              <w:t>%</w:t>
            </w:r>
          </w:p>
        </w:tc>
        <w:tc>
          <w:tcPr>
            <w:tcW w:w="0" w:type="auto"/>
            <w:gridSpan w:val="3"/>
            <w:shd w:val="clear" w:color="auto" w:fill="auto"/>
            <w:tcMar>
              <w:left w:w="20" w:type="dxa"/>
              <w:right w:w="20" w:type="dxa"/>
            </w:tcMar>
            <w:vAlign w:val="bottom"/>
          </w:tcPr>
          <w:p w14:paraId="20AE2E24"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E25" w14:textId="77777777" w:rsidR="00B626E7" w:rsidRDefault="00175C1D">
            <w:pPr>
              <w:jc w:val="right"/>
              <w:textAlignment w:val="bottom"/>
            </w:pPr>
            <w:r>
              <w:rPr>
                <w:rFonts w:ascii="Arial" w:eastAsia="宋体" w:hAnsi="Arial" w:cs="Arial"/>
                <w:color w:val="333333"/>
                <w:sz w:val="18"/>
                <w:szCs w:val="18"/>
              </w:rPr>
              <w:t>184 </w:t>
            </w:r>
          </w:p>
        </w:tc>
        <w:tc>
          <w:tcPr>
            <w:tcW w:w="0" w:type="auto"/>
            <w:shd w:val="clear" w:color="auto" w:fill="auto"/>
            <w:tcMar>
              <w:top w:w="40" w:type="dxa"/>
              <w:bottom w:w="40" w:type="dxa"/>
              <w:right w:w="20" w:type="dxa"/>
            </w:tcMar>
            <w:vAlign w:val="bottom"/>
          </w:tcPr>
          <w:p w14:paraId="20AE2E26"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2E27"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E28" w14:textId="77777777" w:rsidR="00B626E7" w:rsidRDefault="00175C1D">
            <w:pPr>
              <w:jc w:val="right"/>
              <w:textAlignment w:val="bottom"/>
            </w:pPr>
            <w:r>
              <w:rPr>
                <w:rFonts w:ascii="Arial" w:eastAsia="宋体" w:hAnsi="Arial" w:cs="Arial"/>
                <w:color w:val="333333"/>
                <w:sz w:val="18"/>
                <w:szCs w:val="18"/>
              </w:rPr>
              <w:t>1.1 </w:t>
            </w:r>
          </w:p>
        </w:tc>
        <w:tc>
          <w:tcPr>
            <w:tcW w:w="0" w:type="auto"/>
            <w:shd w:val="clear" w:color="auto" w:fill="auto"/>
            <w:tcMar>
              <w:top w:w="40" w:type="dxa"/>
              <w:bottom w:w="40" w:type="dxa"/>
              <w:right w:w="20" w:type="dxa"/>
            </w:tcMar>
            <w:vAlign w:val="bottom"/>
          </w:tcPr>
          <w:p w14:paraId="20AE2E29" w14:textId="77777777" w:rsidR="00B626E7" w:rsidRDefault="00175C1D">
            <w:pPr>
              <w:jc w:val="right"/>
              <w:textAlignment w:val="bottom"/>
            </w:pPr>
            <w:r>
              <w:rPr>
                <w:rFonts w:ascii="Arial" w:eastAsia="宋体" w:hAnsi="Arial" w:cs="Arial"/>
                <w:color w:val="333333"/>
                <w:sz w:val="18"/>
                <w:szCs w:val="18"/>
              </w:rPr>
              <w:t>%</w:t>
            </w:r>
          </w:p>
        </w:tc>
        <w:tc>
          <w:tcPr>
            <w:tcW w:w="0" w:type="auto"/>
            <w:gridSpan w:val="3"/>
            <w:shd w:val="clear" w:color="auto" w:fill="auto"/>
            <w:tcMar>
              <w:left w:w="20" w:type="dxa"/>
              <w:right w:w="20" w:type="dxa"/>
            </w:tcMar>
            <w:vAlign w:val="bottom"/>
          </w:tcPr>
          <w:p w14:paraId="20AE2E2A"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E2B" w14:textId="77777777" w:rsidR="00B626E7" w:rsidRDefault="00175C1D">
            <w:pPr>
              <w:jc w:val="right"/>
              <w:textAlignment w:val="bottom"/>
            </w:pPr>
            <w:r>
              <w:rPr>
                <w:rFonts w:ascii="Arial" w:eastAsia="宋体" w:hAnsi="Arial" w:cs="Arial"/>
                <w:color w:val="0071C5"/>
                <w:sz w:val="18"/>
                <w:szCs w:val="18"/>
              </w:rPr>
              <w:t>171 </w:t>
            </w:r>
          </w:p>
        </w:tc>
        <w:tc>
          <w:tcPr>
            <w:tcW w:w="0" w:type="auto"/>
            <w:shd w:val="clear" w:color="auto" w:fill="auto"/>
            <w:tcMar>
              <w:top w:w="40" w:type="dxa"/>
              <w:bottom w:w="40" w:type="dxa"/>
              <w:right w:w="20" w:type="dxa"/>
            </w:tcMar>
            <w:vAlign w:val="bottom"/>
          </w:tcPr>
          <w:p w14:paraId="20AE2E2C"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2E2D"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E2E" w14:textId="77777777" w:rsidR="00B626E7" w:rsidRDefault="00175C1D">
            <w:pPr>
              <w:jc w:val="right"/>
              <w:textAlignment w:val="bottom"/>
            </w:pPr>
            <w:r>
              <w:rPr>
                <w:rFonts w:ascii="Arial" w:eastAsia="宋体" w:hAnsi="Arial" w:cs="Arial"/>
                <w:color w:val="0071C5"/>
                <w:sz w:val="18"/>
                <w:szCs w:val="18"/>
              </w:rPr>
              <w:t>0.4 </w:t>
            </w:r>
          </w:p>
        </w:tc>
        <w:tc>
          <w:tcPr>
            <w:tcW w:w="0" w:type="auto"/>
            <w:shd w:val="clear" w:color="auto" w:fill="auto"/>
            <w:tcMar>
              <w:top w:w="40" w:type="dxa"/>
              <w:bottom w:w="40" w:type="dxa"/>
              <w:right w:w="20" w:type="dxa"/>
            </w:tcMar>
            <w:vAlign w:val="bottom"/>
          </w:tcPr>
          <w:p w14:paraId="20AE2E2F" w14:textId="77777777" w:rsidR="00B626E7" w:rsidRDefault="00175C1D">
            <w:pPr>
              <w:jc w:val="right"/>
              <w:textAlignment w:val="bottom"/>
            </w:pPr>
            <w:r>
              <w:rPr>
                <w:rFonts w:ascii="Arial" w:eastAsia="宋体" w:hAnsi="Arial" w:cs="Arial"/>
                <w:color w:val="0071C5"/>
                <w:sz w:val="18"/>
                <w:szCs w:val="18"/>
              </w:rPr>
              <w:t>%</w:t>
            </w:r>
          </w:p>
        </w:tc>
        <w:tc>
          <w:tcPr>
            <w:tcW w:w="0" w:type="auto"/>
            <w:gridSpan w:val="3"/>
            <w:shd w:val="clear" w:color="auto" w:fill="auto"/>
            <w:tcMar>
              <w:left w:w="20" w:type="dxa"/>
              <w:right w:w="20" w:type="dxa"/>
            </w:tcMar>
            <w:vAlign w:val="bottom"/>
          </w:tcPr>
          <w:p w14:paraId="20AE2E30"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E31" w14:textId="77777777" w:rsidR="00B626E7" w:rsidRDefault="00175C1D">
            <w:pPr>
              <w:jc w:val="right"/>
              <w:textAlignment w:val="bottom"/>
            </w:pPr>
            <w:r>
              <w:rPr>
                <w:rFonts w:ascii="Arial" w:eastAsia="宋体" w:hAnsi="Arial" w:cs="Arial"/>
                <w:color w:val="333333"/>
                <w:sz w:val="18"/>
                <w:szCs w:val="18"/>
              </w:rPr>
              <w:t>184 </w:t>
            </w:r>
          </w:p>
        </w:tc>
        <w:tc>
          <w:tcPr>
            <w:tcW w:w="0" w:type="auto"/>
            <w:shd w:val="clear" w:color="auto" w:fill="auto"/>
            <w:tcMar>
              <w:top w:w="40" w:type="dxa"/>
              <w:bottom w:w="40" w:type="dxa"/>
              <w:right w:w="20" w:type="dxa"/>
            </w:tcMar>
            <w:vAlign w:val="bottom"/>
          </w:tcPr>
          <w:p w14:paraId="20AE2E32"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2E33"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E34" w14:textId="77777777" w:rsidR="00B626E7" w:rsidRDefault="00175C1D">
            <w:pPr>
              <w:jc w:val="right"/>
              <w:textAlignment w:val="bottom"/>
            </w:pPr>
            <w:r>
              <w:rPr>
                <w:rFonts w:ascii="Arial" w:eastAsia="宋体" w:hAnsi="Arial" w:cs="Arial"/>
                <w:color w:val="333333"/>
                <w:sz w:val="18"/>
                <w:szCs w:val="18"/>
              </w:rPr>
              <w:t>0.6 </w:t>
            </w:r>
          </w:p>
        </w:tc>
        <w:tc>
          <w:tcPr>
            <w:tcW w:w="0" w:type="auto"/>
            <w:shd w:val="clear" w:color="auto" w:fill="auto"/>
            <w:tcMar>
              <w:top w:w="40" w:type="dxa"/>
              <w:bottom w:w="40" w:type="dxa"/>
              <w:right w:w="20" w:type="dxa"/>
            </w:tcMar>
            <w:vAlign w:val="bottom"/>
          </w:tcPr>
          <w:p w14:paraId="20AE2E35" w14:textId="77777777" w:rsidR="00B626E7" w:rsidRDefault="00175C1D">
            <w:pPr>
              <w:jc w:val="right"/>
              <w:textAlignment w:val="bottom"/>
            </w:pPr>
            <w:r>
              <w:rPr>
                <w:rFonts w:ascii="Arial" w:eastAsia="宋体" w:hAnsi="Arial" w:cs="Arial"/>
                <w:color w:val="333333"/>
                <w:sz w:val="18"/>
                <w:szCs w:val="18"/>
              </w:rPr>
              <w:t>%</w:t>
            </w:r>
          </w:p>
        </w:tc>
        <w:tc>
          <w:tcPr>
            <w:tcW w:w="0" w:type="auto"/>
            <w:shd w:val="clear" w:color="auto" w:fill="auto"/>
          </w:tcPr>
          <w:p w14:paraId="20AE2E36" w14:textId="77777777" w:rsidR="00B626E7" w:rsidRDefault="00B626E7">
            <w:pPr>
              <w:rPr>
                <w:rFonts w:ascii="宋体"/>
              </w:rPr>
            </w:pPr>
          </w:p>
        </w:tc>
        <w:tc>
          <w:tcPr>
            <w:tcW w:w="0" w:type="auto"/>
            <w:shd w:val="clear" w:color="auto" w:fill="auto"/>
          </w:tcPr>
          <w:p w14:paraId="20AE2E37" w14:textId="77777777" w:rsidR="00B626E7" w:rsidRDefault="00B626E7">
            <w:pPr>
              <w:rPr>
                <w:rFonts w:ascii="宋体"/>
              </w:rPr>
            </w:pPr>
          </w:p>
        </w:tc>
        <w:tc>
          <w:tcPr>
            <w:tcW w:w="0" w:type="auto"/>
            <w:shd w:val="clear" w:color="auto" w:fill="auto"/>
          </w:tcPr>
          <w:p w14:paraId="20AE2E38" w14:textId="77777777" w:rsidR="00B626E7" w:rsidRDefault="00B626E7">
            <w:pPr>
              <w:rPr>
                <w:rFonts w:ascii="宋体"/>
              </w:rPr>
            </w:pPr>
          </w:p>
        </w:tc>
        <w:tc>
          <w:tcPr>
            <w:tcW w:w="0" w:type="auto"/>
            <w:shd w:val="clear" w:color="auto" w:fill="auto"/>
          </w:tcPr>
          <w:p w14:paraId="20AE2E39" w14:textId="77777777" w:rsidR="00B626E7" w:rsidRDefault="00B626E7">
            <w:pPr>
              <w:rPr>
                <w:rFonts w:ascii="宋体"/>
              </w:rPr>
            </w:pPr>
          </w:p>
        </w:tc>
        <w:tc>
          <w:tcPr>
            <w:tcW w:w="0" w:type="auto"/>
            <w:shd w:val="clear" w:color="auto" w:fill="auto"/>
          </w:tcPr>
          <w:p w14:paraId="20AE2E3A" w14:textId="77777777" w:rsidR="00B626E7" w:rsidRDefault="00B626E7">
            <w:pPr>
              <w:rPr>
                <w:rFonts w:ascii="宋体"/>
              </w:rPr>
            </w:pPr>
          </w:p>
        </w:tc>
        <w:tc>
          <w:tcPr>
            <w:tcW w:w="0" w:type="auto"/>
            <w:shd w:val="clear" w:color="auto" w:fill="auto"/>
          </w:tcPr>
          <w:p w14:paraId="20AE2E3B" w14:textId="77777777" w:rsidR="00B626E7" w:rsidRDefault="00B626E7">
            <w:pPr>
              <w:rPr>
                <w:rFonts w:ascii="宋体"/>
              </w:rPr>
            </w:pPr>
          </w:p>
        </w:tc>
        <w:tc>
          <w:tcPr>
            <w:tcW w:w="0" w:type="auto"/>
            <w:shd w:val="clear" w:color="auto" w:fill="auto"/>
          </w:tcPr>
          <w:p w14:paraId="20AE2E3C" w14:textId="77777777" w:rsidR="00B626E7" w:rsidRDefault="00B626E7">
            <w:pPr>
              <w:rPr>
                <w:rFonts w:ascii="宋体"/>
              </w:rPr>
            </w:pPr>
          </w:p>
        </w:tc>
        <w:tc>
          <w:tcPr>
            <w:tcW w:w="0" w:type="auto"/>
            <w:shd w:val="clear" w:color="auto" w:fill="auto"/>
          </w:tcPr>
          <w:p w14:paraId="20AE2E3D" w14:textId="77777777" w:rsidR="00B626E7" w:rsidRDefault="00B626E7">
            <w:pPr>
              <w:rPr>
                <w:rFonts w:ascii="宋体"/>
              </w:rPr>
            </w:pPr>
          </w:p>
        </w:tc>
        <w:tc>
          <w:tcPr>
            <w:tcW w:w="0" w:type="auto"/>
            <w:shd w:val="clear" w:color="auto" w:fill="auto"/>
          </w:tcPr>
          <w:p w14:paraId="20AE2E3E" w14:textId="77777777" w:rsidR="00B626E7" w:rsidRDefault="00B626E7">
            <w:pPr>
              <w:rPr>
                <w:rFonts w:ascii="宋体"/>
              </w:rPr>
            </w:pPr>
          </w:p>
        </w:tc>
        <w:tc>
          <w:tcPr>
            <w:tcW w:w="0" w:type="auto"/>
            <w:shd w:val="clear" w:color="auto" w:fill="auto"/>
          </w:tcPr>
          <w:p w14:paraId="20AE2E3F" w14:textId="77777777" w:rsidR="00B626E7" w:rsidRDefault="00B626E7">
            <w:pPr>
              <w:rPr>
                <w:rFonts w:ascii="宋体"/>
              </w:rPr>
            </w:pPr>
          </w:p>
        </w:tc>
        <w:tc>
          <w:tcPr>
            <w:tcW w:w="0" w:type="auto"/>
            <w:shd w:val="clear" w:color="auto" w:fill="auto"/>
          </w:tcPr>
          <w:p w14:paraId="20AE2E40" w14:textId="77777777" w:rsidR="00B626E7" w:rsidRDefault="00B626E7">
            <w:pPr>
              <w:rPr>
                <w:rFonts w:ascii="宋体"/>
              </w:rPr>
            </w:pPr>
          </w:p>
        </w:tc>
        <w:tc>
          <w:tcPr>
            <w:tcW w:w="0" w:type="auto"/>
            <w:shd w:val="clear" w:color="auto" w:fill="auto"/>
          </w:tcPr>
          <w:p w14:paraId="20AE2E41" w14:textId="77777777" w:rsidR="00B626E7" w:rsidRDefault="00B626E7">
            <w:pPr>
              <w:rPr>
                <w:rFonts w:ascii="宋体"/>
              </w:rPr>
            </w:pPr>
          </w:p>
        </w:tc>
      </w:tr>
      <w:tr w:rsidR="00B626E7" w14:paraId="20AE2E68" w14:textId="77777777">
        <w:tc>
          <w:tcPr>
            <w:tcW w:w="0" w:type="auto"/>
            <w:gridSpan w:val="3"/>
            <w:shd w:val="clear" w:color="auto" w:fill="auto"/>
            <w:tcMar>
              <w:top w:w="40" w:type="dxa"/>
              <w:left w:w="20" w:type="dxa"/>
              <w:bottom w:w="40" w:type="dxa"/>
              <w:right w:w="20" w:type="dxa"/>
            </w:tcMar>
          </w:tcPr>
          <w:p w14:paraId="20AE2E43" w14:textId="77777777" w:rsidR="00B626E7" w:rsidRDefault="00175C1D">
            <w:pPr>
              <w:ind w:hanging="180"/>
              <w:textAlignment w:val="top"/>
            </w:pPr>
            <w:r>
              <w:rPr>
                <w:rFonts w:ascii="Arial" w:eastAsia="宋体" w:hAnsi="Arial" w:cs="Arial"/>
                <w:b/>
                <w:bCs/>
                <w:color w:val="333333"/>
                <w:sz w:val="18"/>
                <w:szCs w:val="18"/>
              </w:rPr>
              <w:t>Operating income</w:t>
            </w:r>
          </w:p>
        </w:tc>
        <w:tc>
          <w:tcPr>
            <w:tcW w:w="0" w:type="auto"/>
            <w:gridSpan w:val="3"/>
            <w:shd w:val="clear" w:color="auto" w:fill="auto"/>
            <w:tcMar>
              <w:left w:w="20" w:type="dxa"/>
              <w:right w:w="20" w:type="dxa"/>
            </w:tcMar>
            <w:vAlign w:val="bottom"/>
          </w:tcPr>
          <w:p w14:paraId="20AE2E44"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2E45" w14:textId="77777777" w:rsidR="00B626E7" w:rsidRDefault="00175C1D">
            <w:pPr>
              <w:jc w:val="right"/>
              <w:textAlignment w:val="bottom"/>
            </w:pPr>
            <w:r>
              <w:rPr>
                <w:rFonts w:ascii="Arial" w:eastAsia="宋体" w:hAnsi="Arial" w:cs="Arial"/>
                <w:b/>
                <w:bCs/>
                <w:color w:val="0071C5"/>
                <w:sz w:val="18"/>
                <w:szCs w:val="18"/>
              </w:rPr>
              <w:t>5,697 </w:t>
            </w:r>
          </w:p>
        </w:tc>
        <w:tc>
          <w:tcPr>
            <w:tcW w:w="0" w:type="auto"/>
            <w:tcBorders>
              <w:top w:val="single" w:sz="8" w:space="0" w:color="333333"/>
            </w:tcBorders>
            <w:shd w:val="clear" w:color="auto" w:fill="auto"/>
            <w:tcMar>
              <w:top w:w="40" w:type="dxa"/>
              <w:bottom w:w="40" w:type="dxa"/>
              <w:right w:w="20" w:type="dxa"/>
            </w:tcMar>
            <w:vAlign w:val="bottom"/>
          </w:tcPr>
          <w:p w14:paraId="20AE2E46"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2E47"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2E48" w14:textId="77777777" w:rsidR="00B626E7" w:rsidRDefault="00175C1D">
            <w:pPr>
              <w:jc w:val="right"/>
              <w:textAlignment w:val="bottom"/>
            </w:pPr>
            <w:r>
              <w:rPr>
                <w:rFonts w:ascii="Arial" w:eastAsia="宋体" w:hAnsi="Arial" w:cs="Arial"/>
                <w:b/>
                <w:bCs/>
                <w:color w:val="0071C5"/>
                <w:sz w:val="18"/>
                <w:szCs w:val="18"/>
              </w:rPr>
              <w:t>28.9 </w:t>
            </w:r>
          </w:p>
        </w:tc>
        <w:tc>
          <w:tcPr>
            <w:tcW w:w="0" w:type="auto"/>
            <w:tcBorders>
              <w:top w:val="single" w:sz="8" w:space="0" w:color="333333"/>
            </w:tcBorders>
            <w:shd w:val="clear" w:color="auto" w:fill="auto"/>
            <w:tcMar>
              <w:top w:w="40" w:type="dxa"/>
              <w:bottom w:w="40" w:type="dxa"/>
              <w:right w:w="20" w:type="dxa"/>
            </w:tcMar>
            <w:vAlign w:val="bottom"/>
          </w:tcPr>
          <w:p w14:paraId="20AE2E49" w14:textId="77777777" w:rsidR="00B626E7" w:rsidRDefault="00175C1D">
            <w:pPr>
              <w:jc w:val="right"/>
              <w:textAlignment w:val="bottom"/>
            </w:pPr>
            <w:r>
              <w:rPr>
                <w:rFonts w:ascii="Arial" w:eastAsia="宋体" w:hAnsi="Arial" w:cs="Arial"/>
                <w:b/>
                <w:bCs/>
                <w:color w:val="0071C5"/>
                <w:sz w:val="18"/>
                <w:szCs w:val="18"/>
              </w:rPr>
              <w:t>%</w:t>
            </w:r>
          </w:p>
        </w:tc>
        <w:tc>
          <w:tcPr>
            <w:tcW w:w="0" w:type="auto"/>
            <w:gridSpan w:val="3"/>
            <w:shd w:val="clear" w:color="auto" w:fill="auto"/>
            <w:tcMar>
              <w:left w:w="20" w:type="dxa"/>
              <w:right w:w="20" w:type="dxa"/>
            </w:tcMar>
            <w:vAlign w:val="bottom"/>
          </w:tcPr>
          <w:p w14:paraId="20AE2E4A"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2E4B" w14:textId="77777777" w:rsidR="00B626E7" w:rsidRDefault="00175C1D">
            <w:pPr>
              <w:jc w:val="right"/>
              <w:textAlignment w:val="bottom"/>
            </w:pPr>
            <w:r>
              <w:rPr>
                <w:rFonts w:ascii="Arial" w:eastAsia="宋体" w:hAnsi="Arial" w:cs="Arial"/>
                <w:b/>
                <w:bCs/>
                <w:color w:val="333333"/>
                <w:sz w:val="18"/>
                <w:szCs w:val="18"/>
              </w:rPr>
              <w:t>4,617 </w:t>
            </w:r>
          </w:p>
        </w:tc>
        <w:tc>
          <w:tcPr>
            <w:tcW w:w="0" w:type="auto"/>
            <w:tcBorders>
              <w:top w:val="single" w:sz="8" w:space="0" w:color="333333"/>
            </w:tcBorders>
            <w:shd w:val="clear" w:color="auto" w:fill="auto"/>
            <w:tcMar>
              <w:top w:w="40" w:type="dxa"/>
              <w:bottom w:w="40" w:type="dxa"/>
              <w:right w:w="20" w:type="dxa"/>
            </w:tcMar>
            <w:vAlign w:val="bottom"/>
          </w:tcPr>
          <w:p w14:paraId="20AE2E4C"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2E4D"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2E4E" w14:textId="77777777" w:rsidR="00B626E7" w:rsidRDefault="00175C1D">
            <w:pPr>
              <w:jc w:val="right"/>
              <w:textAlignment w:val="bottom"/>
            </w:pPr>
            <w:r>
              <w:rPr>
                <w:rFonts w:ascii="Arial" w:eastAsia="宋体" w:hAnsi="Arial" w:cs="Arial"/>
                <w:b/>
                <w:bCs/>
                <w:color w:val="333333"/>
                <w:sz w:val="18"/>
                <w:szCs w:val="18"/>
              </w:rPr>
              <w:t>28.0 </w:t>
            </w:r>
          </w:p>
        </w:tc>
        <w:tc>
          <w:tcPr>
            <w:tcW w:w="0" w:type="auto"/>
            <w:tcBorders>
              <w:top w:val="single" w:sz="8" w:space="0" w:color="333333"/>
            </w:tcBorders>
            <w:shd w:val="clear" w:color="auto" w:fill="auto"/>
            <w:tcMar>
              <w:top w:w="40" w:type="dxa"/>
              <w:bottom w:w="40" w:type="dxa"/>
              <w:right w:w="20" w:type="dxa"/>
            </w:tcMar>
            <w:vAlign w:val="bottom"/>
          </w:tcPr>
          <w:p w14:paraId="20AE2E4F" w14:textId="77777777" w:rsidR="00B626E7" w:rsidRDefault="00175C1D">
            <w:pPr>
              <w:jc w:val="right"/>
              <w:textAlignment w:val="bottom"/>
            </w:pPr>
            <w:r>
              <w:rPr>
                <w:rFonts w:ascii="Arial" w:eastAsia="宋体" w:hAnsi="Arial" w:cs="Arial"/>
                <w:b/>
                <w:bCs/>
                <w:color w:val="333333"/>
                <w:sz w:val="18"/>
                <w:szCs w:val="18"/>
              </w:rPr>
              <w:t>%</w:t>
            </w:r>
          </w:p>
        </w:tc>
        <w:tc>
          <w:tcPr>
            <w:tcW w:w="0" w:type="auto"/>
            <w:gridSpan w:val="3"/>
            <w:shd w:val="clear" w:color="auto" w:fill="auto"/>
            <w:tcMar>
              <w:left w:w="20" w:type="dxa"/>
              <w:right w:w="20" w:type="dxa"/>
            </w:tcMar>
            <w:vAlign w:val="bottom"/>
          </w:tcPr>
          <w:p w14:paraId="20AE2E50"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2E51" w14:textId="77777777" w:rsidR="00B626E7" w:rsidRDefault="00175C1D">
            <w:pPr>
              <w:jc w:val="right"/>
              <w:textAlignment w:val="bottom"/>
            </w:pPr>
            <w:r>
              <w:rPr>
                <w:rFonts w:ascii="Arial" w:eastAsia="宋体" w:hAnsi="Arial" w:cs="Arial"/>
                <w:b/>
                <w:bCs/>
                <w:color w:val="0071C5"/>
                <w:sz w:val="18"/>
                <w:szCs w:val="18"/>
              </w:rPr>
              <w:t>12,735 </w:t>
            </w:r>
          </w:p>
        </w:tc>
        <w:tc>
          <w:tcPr>
            <w:tcW w:w="0" w:type="auto"/>
            <w:tcBorders>
              <w:top w:val="single" w:sz="8" w:space="0" w:color="333333"/>
            </w:tcBorders>
            <w:shd w:val="clear" w:color="auto" w:fill="auto"/>
            <w:tcMar>
              <w:top w:w="40" w:type="dxa"/>
              <w:bottom w:w="40" w:type="dxa"/>
              <w:right w:w="20" w:type="dxa"/>
            </w:tcMar>
            <w:vAlign w:val="bottom"/>
          </w:tcPr>
          <w:p w14:paraId="20AE2E52"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2E53"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2E54" w14:textId="77777777" w:rsidR="00B626E7" w:rsidRDefault="00175C1D">
            <w:pPr>
              <w:jc w:val="right"/>
              <w:textAlignment w:val="bottom"/>
            </w:pPr>
            <w:r>
              <w:rPr>
                <w:rFonts w:ascii="Arial" w:eastAsia="宋体" w:hAnsi="Arial" w:cs="Arial"/>
                <w:b/>
                <w:bCs/>
                <w:color w:val="0071C5"/>
                <w:sz w:val="18"/>
                <w:szCs w:val="18"/>
              </w:rPr>
              <w:t>32.2 </w:t>
            </w:r>
          </w:p>
        </w:tc>
        <w:tc>
          <w:tcPr>
            <w:tcW w:w="0" w:type="auto"/>
            <w:tcBorders>
              <w:top w:val="single" w:sz="8" w:space="0" w:color="333333"/>
            </w:tcBorders>
            <w:shd w:val="clear" w:color="auto" w:fill="auto"/>
            <w:tcMar>
              <w:top w:w="40" w:type="dxa"/>
              <w:bottom w:w="40" w:type="dxa"/>
              <w:right w:w="20" w:type="dxa"/>
            </w:tcMar>
            <w:vAlign w:val="bottom"/>
          </w:tcPr>
          <w:p w14:paraId="20AE2E55" w14:textId="77777777" w:rsidR="00B626E7" w:rsidRDefault="00175C1D">
            <w:pPr>
              <w:jc w:val="right"/>
              <w:textAlignment w:val="bottom"/>
            </w:pPr>
            <w:r>
              <w:rPr>
                <w:rFonts w:ascii="Arial" w:eastAsia="宋体" w:hAnsi="Arial" w:cs="Arial"/>
                <w:b/>
                <w:bCs/>
                <w:color w:val="0071C5"/>
                <w:sz w:val="18"/>
                <w:szCs w:val="18"/>
              </w:rPr>
              <w:t>%</w:t>
            </w:r>
          </w:p>
        </w:tc>
        <w:tc>
          <w:tcPr>
            <w:tcW w:w="0" w:type="auto"/>
            <w:gridSpan w:val="3"/>
            <w:shd w:val="clear" w:color="auto" w:fill="auto"/>
            <w:tcMar>
              <w:left w:w="20" w:type="dxa"/>
              <w:right w:w="20" w:type="dxa"/>
            </w:tcMar>
            <w:vAlign w:val="bottom"/>
          </w:tcPr>
          <w:p w14:paraId="20AE2E56"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2E57" w14:textId="77777777" w:rsidR="00B626E7" w:rsidRDefault="00175C1D">
            <w:pPr>
              <w:jc w:val="right"/>
              <w:textAlignment w:val="bottom"/>
            </w:pPr>
            <w:r>
              <w:rPr>
                <w:rFonts w:ascii="Arial" w:eastAsia="宋体" w:hAnsi="Arial" w:cs="Arial"/>
                <w:b/>
                <w:bCs/>
                <w:color w:val="333333"/>
                <w:sz w:val="18"/>
                <w:szCs w:val="18"/>
              </w:rPr>
              <w:t>8,791 </w:t>
            </w:r>
          </w:p>
        </w:tc>
        <w:tc>
          <w:tcPr>
            <w:tcW w:w="0" w:type="auto"/>
            <w:tcBorders>
              <w:top w:val="single" w:sz="8" w:space="0" w:color="333333"/>
            </w:tcBorders>
            <w:shd w:val="clear" w:color="auto" w:fill="auto"/>
            <w:tcMar>
              <w:top w:w="40" w:type="dxa"/>
              <w:bottom w:w="40" w:type="dxa"/>
              <w:right w:w="20" w:type="dxa"/>
            </w:tcMar>
            <w:vAlign w:val="bottom"/>
          </w:tcPr>
          <w:p w14:paraId="20AE2E58"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2E59"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2E5A" w14:textId="77777777" w:rsidR="00B626E7" w:rsidRDefault="00175C1D">
            <w:pPr>
              <w:jc w:val="right"/>
              <w:textAlignment w:val="bottom"/>
            </w:pPr>
            <w:r>
              <w:rPr>
                <w:rFonts w:ascii="Arial" w:eastAsia="宋体" w:hAnsi="Arial" w:cs="Arial"/>
                <w:b/>
                <w:bCs/>
                <w:color w:val="333333"/>
                <w:sz w:val="18"/>
                <w:szCs w:val="18"/>
              </w:rPr>
              <w:t>27.0 </w:t>
            </w:r>
          </w:p>
        </w:tc>
        <w:tc>
          <w:tcPr>
            <w:tcW w:w="0" w:type="auto"/>
            <w:tcBorders>
              <w:top w:val="single" w:sz="8" w:space="0" w:color="333333"/>
            </w:tcBorders>
            <w:shd w:val="clear" w:color="auto" w:fill="auto"/>
            <w:tcMar>
              <w:top w:w="40" w:type="dxa"/>
              <w:bottom w:w="40" w:type="dxa"/>
              <w:right w:w="20" w:type="dxa"/>
            </w:tcMar>
            <w:vAlign w:val="bottom"/>
          </w:tcPr>
          <w:p w14:paraId="20AE2E5B" w14:textId="77777777" w:rsidR="00B626E7" w:rsidRDefault="00175C1D">
            <w:pPr>
              <w:jc w:val="right"/>
              <w:textAlignment w:val="bottom"/>
            </w:pPr>
            <w:r>
              <w:rPr>
                <w:rFonts w:ascii="Arial" w:eastAsia="宋体" w:hAnsi="Arial" w:cs="Arial"/>
                <w:b/>
                <w:bCs/>
                <w:color w:val="333333"/>
                <w:sz w:val="18"/>
                <w:szCs w:val="18"/>
              </w:rPr>
              <w:t>%</w:t>
            </w:r>
          </w:p>
        </w:tc>
        <w:tc>
          <w:tcPr>
            <w:tcW w:w="0" w:type="auto"/>
            <w:shd w:val="clear" w:color="auto" w:fill="auto"/>
          </w:tcPr>
          <w:p w14:paraId="20AE2E5C" w14:textId="77777777" w:rsidR="00B626E7" w:rsidRDefault="00B626E7">
            <w:pPr>
              <w:rPr>
                <w:rFonts w:ascii="宋体"/>
              </w:rPr>
            </w:pPr>
          </w:p>
        </w:tc>
        <w:tc>
          <w:tcPr>
            <w:tcW w:w="0" w:type="auto"/>
            <w:shd w:val="clear" w:color="auto" w:fill="auto"/>
          </w:tcPr>
          <w:p w14:paraId="20AE2E5D" w14:textId="77777777" w:rsidR="00B626E7" w:rsidRDefault="00B626E7">
            <w:pPr>
              <w:rPr>
                <w:rFonts w:ascii="宋体"/>
              </w:rPr>
            </w:pPr>
          </w:p>
        </w:tc>
        <w:tc>
          <w:tcPr>
            <w:tcW w:w="0" w:type="auto"/>
            <w:shd w:val="clear" w:color="auto" w:fill="auto"/>
          </w:tcPr>
          <w:p w14:paraId="20AE2E5E" w14:textId="77777777" w:rsidR="00B626E7" w:rsidRDefault="00B626E7">
            <w:pPr>
              <w:rPr>
                <w:rFonts w:ascii="宋体"/>
              </w:rPr>
            </w:pPr>
          </w:p>
        </w:tc>
        <w:tc>
          <w:tcPr>
            <w:tcW w:w="0" w:type="auto"/>
            <w:shd w:val="clear" w:color="auto" w:fill="auto"/>
          </w:tcPr>
          <w:p w14:paraId="20AE2E5F" w14:textId="77777777" w:rsidR="00B626E7" w:rsidRDefault="00B626E7">
            <w:pPr>
              <w:rPr>
                <w:rFonts w:ascii="宋体"/>
              </w:rPr>
            </w:pPr>
          </w:p>
        </w:tc>
        <w:tc>
          <w:tcPr>
            <w:tcW w:w="0" w:type="auto"/>
            <w:shd w:val="clear" w:color="auto" w:fill="auto"/>
          </w:tcPr>
          <w:p w14:paraId="20AE2E60" w14:textId="77777777" w:rsidR="00B626E7" w:rsidRDefault="00B626E7">
            <w:pPr>
              <w:rPr>
                <w:rFonts w:ascii="宋体"/>
              </w:rPr>
            </w:pPr>
          </w:p>
        </w:tc>
        <w:tc>
          <w:tcPr>
            <w:tcW w:w="0" w:type="auto"/>
            <w:shd w:val="clear" w:color="auto" w:fill="auto"/>
          </w:tcPr>
          <w:p w14:paraId="20AE2E61" w14:textId="77777777" w:rsidR="00B626E7" w:rsidRDefault="00B626E7">
            <w:pPr>
              <w:rPr>
                <w:rFonts w:ascii="宋体"/>
              </w:rPr>
            </w:pPr>
          </w:p>
        </w:tc>
        <w:tc>
          <w:tcPr>
            <w:tcW w:w="0" w:type="auto"/>
            <w:shd w:val="clear" w:color="auto" w:fill="auto"/>
          </w:tcPr>
          <w:p w14:paraId="20AE2E62" w14:textId="77777777" w:rsidR="00B626E7" w:rsidRDefault="00B626E7">
            <w:pPr>
              <w:rPr>
                <w:rFonts w:ascii="宋体"/>
              </w:rPr>
            </w:pPr>
          </w:p>
        </w:tc>
        <w:tc>
          <w:tcPr>
            <w:tcW w:w="0" w:type="auto"/>
            <w:shd w:val="clear" w:color="auto" w:fill="auto"/>
          </w:tcPr>
          <w:p w14:paraId="20AE2E63" w14:textId="77777777" w:rsidR="00B626E7" w:rsidRDefault="00B626E7">
            <w:pPr>
              <w:rPr>
                <w:rFonts w:ascii="宋体"/>
              </w:rPr>
            </w:pPr>
          </w:p>
        </w:tc>
        <w:tc>
          <w:tcPr>
            <w:tcW w:w="0" w:type="auto"/>
            <w:shd w:val="clear" w:color="auto" w:fill="auto"/>
          </w:tcPr>
          <w:p w14:paraId="20AE2E64" w14:textId="77777777" w:rsidR="00B626E7" w:rsidRDefault="00B626E7">
            <w:pPr>
              <w:rPr>
                <w:rFonts w:ascii="宋体"/>
              </w:rPr>
            </w:pPr>
          </w:p>
        </w:tc>
        <w:tc>
          <w:tcPr>
            <w:tcW w:w="0" w:type="auto"/>
            <w:shd w:val="clear" w:color="auto" w:fill="auto"/>
          </w:tcPr>
          <w:p w14:paraId="20AE2E65" w14:textId="77777777" w:rsidR="00B626E7" w:rsidRDefault="00B626E7">
            <w:pPr>
              <w:rPr>
                <w:rFonts w:ascii="宋体"/>
              </w:rPr>
            </w:pPr>
          </w:p>
        </w:tc>
        <w:tc>
          <w:tcPr>
            <w:tcW w:w="0" w:type="auto"/>
            <w:shd w:val="clear" w:color="auto" w:fill="auto"/>
          </w:tcPr>
          <w:p w14:paraId="20AE2E66" w14:textId="77777777" w:rsidR="00B626E7" w:rsidRDefault="00B626E7">
            <w:pPr>
              <w:rPr>
                <w:rFonts w:ascii="宋体"/>
              </w:rPr>
            </w:pPr>
          </w:p>
        </w:tc>
        <w:tc>
          <w:tcPr>
            <w:tcW w:w="0" w:type="auto"/>
            <w:shd w:val="clear" w:color="auto" w:fill="auto"/>
          </w:tcPr>
          <w:p w14:paraId="20AE2E67" w14:textId="77777777" w:rsidR="00B626E7" w:rsidRDefault="00B626E7">
            <w:pPr>
              <w:rPr>
                <w:rFonts w:ascii="宋体"/>
              </w:rPr>
            </w:pPr>
          </w:p>
        </w:tc>
      </w:tr>
      <w:tr w:rsidR="00B626E7" w14:paraId="20AE2E8E" w14:textId="77777777">
        <w:tc>
          <w:tcPr>
            <w:tcW w:w="0" w:type="auto"/>
            <w:gridSpan w:val="3"/>
            <w:shd w:val="clear" w:color="auto" w:fill="auto"/>
            <w:tcMar>
              <w:top w:w="40" w:type="dxa"/>
              <w:left w:w="20" w:type="dxa"/>
              <w:bottom w:w="40" w:type="dxa"/>
              <w:right w:w="20" w:type="dxa"/>
            </w:tcMar>
            <w:vAlign w:val="bottom"/>
          </w:tcPr>
          <w:p w14:paraId="20AE2E69" w14:textId="77777777" w:rsidR="00B626E7" w:rsidRDefault="00175C1D">
            <w:pPr>
              <w:textAlignment w:val="bottom"/>
            </w:pPr>
            <w:r>
              <w:rPr>
                <w:rFonts w:ascii="Arial" w:eastAsia="宋体" w:hAnsi="Arial" w:cs="Arial"/>
                <w:color w:val="333333"/>
                <w:sz w:val="18"/>
                <w:szCs w:val="18"/>
              </w:rPr>
              <w:t>Gains (losses) on equity investments, net</w:t>
            </w:r>
          </w:p>
        </w:tc>
        <w:tc>
          <w:tcPr>
            <w:tcW w:w="0" w:type="auto"/>
            <w:gridSpan w:val="3"/>
            <w:shd w:val="clear" w:color="auto" w:fill="auto"/>
            <w:tcMar>
              <w:left w:w="20" w:type="dxa"/>
              <w:right w:w="20" w:type="dxa"/>
            </w:tcMar>
            <w:vAlign w:val="bottom"/>
          </w:tcPr>
          <w:p w14:paraId="20AE2E6A"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E6B" w14:textId="77777777" w:rsidR="00B626E7" w:rsidRDefault="00175C1D">
            <w:pPr>
              <w:jc w:val="right"/>
              <w:textAlignment w:val="bottom"/>
            </w:pPr>
            <w:r>
              <w:rPr>
                <w:rFonts w:ascii="Arial" w:eastAsia="宋体" w:hAnsi="Arial" w:cs="Arial"/>
                <w:color w:val="0071C5"/>
                <w:sz w:val="18"/>
                <w:szCs w:val="18"/>
              </w:rPr>
              <w:t>267 </w:t>
            </w:r>
          </w:p>
        </w:tc>
        <w:tc>
          <w:tcPr>
            <w:tcW w:w="0" w:type="auto"/>
            <w:shd w:val="clear" w:color="auto" w:fill="auto"/>
            <w:tcMar>
              <w:top w:w="40" w:type="dxa"/>
              <w:bottom w:w="40" w:type="dxa"/>
              <w:right w:w="20" w:type="dxa"/>
            </w:tcMar>
            <w:vAlign w:val="bottom"/>
          </w:tcPr>
          <w:p w14:paraId="20AE2E6C"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2E6D"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E6E" w14:textId="77777777" w:rsidR="00B626E7" w:rsidRDefault="00175C1D">
            <w:pPr>
              <w:jc w:val="right"/>
              <w:textAlignment w:val="bottom"/>
            </w:pPr>
            <w:r>
              <w:rPr>
                <w:rFonts w:ascii="Arial" w:eastAsia="宋体" w:hAnsi="Arial" w:cs="Arial"/>
                <w:color w:val="0071C5"/>
                <w:sz w:val="18"/>
                <w:szCs w:val="18"/>
              </w:rPr>
              <w:t>1.4 </w:t>
            </w:r>
          </w:p>
        </w:tc>
        <w:tc>
          <w:tcPr>
            <w:tcW w:w="0" w:type="auto"/>
            <w:shd w:val="clear" w:color="auto" w:fill="auto"/>
            <w:tcMar>
              <w:top w:w="40" w:type="dxa"/>
              <w:bottom w:w="40" w:type="dxa"/>
              <w:right w:w="20" w:type="dxa"/>
            </w:tcMar>
            <w:vAlign w:val="bottom"/>
          </w:tcPr>
          <w:p w14:paraId="20AE2E6F" w14:textId="77777777" w:rsidR="00B626E7" w:rsidRDefault="00175C1D">
            <w:pPr>
              <w:jc w:val="right"/>
              <w:textAlignment w:val="bottom"/>
            </w:pPr>
            <w:r>
              <w:rPr>
                <w:rFonts w:ascii="Arial" w:eastAsia="宋体" w:hAnsi="Arial" w:cs="Arial"/>
                <w:color w:val="0071C5"/>
                <w:sz w:val="18"/>
                <w:szCs w:val="18"/>
              </w:rPr>
              <w:t>%</w:t>
            </w:r>
          </w:p>
        </w:tc>
        <w:tc>
          <w:tcPr>
            <w:tcW w:w="0" w:type="auto"/>
            <w:gridSpan w:val="3"/>
            <w:shd w:val="clear" w:color="auto" w:fill="auto"/>
            <w:tcMar>
              <w:left w:w="20" w:type="dxa"/>
              <w:right w:w="20" w:type="dxa"/>
            </w:tcMar>
            <w:vAlign w:val="bottom"/>
          </w:tcPr>
          <w:p w14:paraId="20AE2E70"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E71" w14:textId="77777777" w:rsidR="00B626E7" w:rsidRDefault="00175C1D">
            <w:pPr>
              <w:jc w:val="right"/>
              <w:textAlignment w:val="bottom"/>
            </w:pPr>
            <w:r>
              <w:rPr>
                <w:rFonts w:ascii="Arial" w:eastAsia="宋体" w:hAnsi="Arial" w:cs="Arial"/>
                <w:color w:val="333333"/>
                <w:sz w:val="18"/>
                <w:szCs w:val="18"/>
              </w:rPr>
              <w:t>170 </w:t>
            </w:r>
          </w:p>
        </w:tc>
        <w:tc>
          <w:tcPr>
            <w:tcW w:w="0" w:type="auto"/>
            <w:shd w:val="clear" w:color="auto" w:fill="auto"/>
            <w:tcMar>
              <w:top w:w="40" w:type="dxa"/>
              <w:bottom w:w="40" w:type="dxa"/>
              <w:right w:w="20" w:type="dxa"/>
            </w:tcMar>
            <w:vAlign w:val="bottom"/>
          </w:tcPr>
          <w:p w14:paraId="20AE2E72"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2E73"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E74" w14:textId="77777777" w:rsidR="00B626E7" w:rsidRDefault="00175C1D">
            <w:pPr>
              <w:jc w:val="right"/>
              <w:textAlignment w:val="bottom"/>
            </w:pPr>
            <w:r>
              <w:rPr>
                <w:rFonts w:ascii="Arial" w:eastAsia="宋体" w:hAnsi="Arial" w:cs="Arial"/>
                <w:color w:val="333333"/>
                <w:sz w:val="18"/>
                <w:szCs w:val="18"/>
              </w:rPr>
              <w:t>1.0 </w:t>
            </w:r>
          </w:p>
        </w:tc>
        <w:tc>
          <w:tcPr>
            <w:tcW w:w="0" w:type="auto"/>
            <w:shd w:val="clear" w:color="auto" w:fill="auto"/>
            <w:tcMar>
              <w:top w:w="40" w:type="dxa"/>
              <w:bottom w:w="40" w:type="dxa"/>
              <w:right w:w="20" w:type="dxa"/>
            </w:tcMar>
            <w:vAlign w:val="bottom"/>
          </w:tcPr>
          <w:p w14:paraId="20AE2E75" w14:textId="77777777" w:rsidR="00B626E7" w:rsidRDefault="00175C1D">
            <w:pPr>
              <w:jc w:val="right"/>
              <w:textAlignment w:val="bottom"/>
            </w:pPr>
            <w:r>
              <w:rPr>
                <w:rFonts w:ascii="Arial" w:eastAsia="宋体" w:hAnsi="Arial" w:cs="Arial"/>
                <w:color w:val="333333"/>
                <w:sz w:val="18"/>
                <w:szCs w:val="18"/>
              </w:rPr>
              <w:t>%</w:t>
            </w:r>
          </w:p>
        </w:tc>
        <w:tc>
          <w:tcPr>
            <w:tcW w:w="0" w:type="auto"/>
            <w:gridSpan w:val="3"/>
            <w:shd w:val="clear" w:color="auto" w:fill="auto"/>
            <w:tcMar>
              <w:left w:w="20" w:type="dxa"/>
              <w:right w:w="20" w:type="dxa"/>
            </w:tcMar>
            <w:vAlign w:val="bottom"/>
          </w:tcPr>
          <w:p w14:paraId="20AE2E76"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E77" w14:textId="77777777" w:rsidR="00B626E7" w:rsidRDefault="00175C1D">
            <w:pPr>
              <w:jc w:val="right"/>
              <w:textAlignment w:val="bottom"/>
            </w:pPr>
            <w:r>
              <w:rPr>
                <w:rFonts w:ascii="Arial" w:eastAsia="宋体" w:hAnsi="Arial" w:cs="Arial"/>
                <w:color w:val="0071C5"/>
                <w:sz w:val="18"/>
                <w:szCs w:val="18"/>
              </w:rPr>
              <w:t>156 </w:t>
            </w:r>
          </w:p>
        </w:tc>
        <w:tc>
          <w:tcPr>
            <w:tcW w:w="0" w:type="auto"/>
            <w:shd w:val="clear" w:color="auto" w:fill="auto"/>
            <w:tcMar>
              <w:top w:w="40" w:type="dxa"/>
              <w:bottom w:w="40" w:type="dxa"/>
              <w:right w:w="20" w:type="dxa"/>
            </w:tcMar>
            <w:vAlign w:val="bottom"/>
          </w:tcPr>
          <w:p w14:paraId="20AE2E78"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2E79"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E7A" w14:textId="77777777" w:rsidR="00B626E7" w:rsidRDefault="00175C1D">
            <w:pPr>
              <w:jc w:val="right"/>
              <w:textAlignment w:val="bottom"/>
            </w:pPr>
            <w:r>
              <w:rPr>
                <w:rFonts w:ascii="Arial" w:eastAsia="宋体" w:hAnsi="Arial" w:cs="Arial"/>
                <w:color w:val="0071C5"/>
                <w:sz w:val="18"/>
                <w:szCs w:val="18"/>
              </w:rPr>
              <w:t>0.4 </w:t>
            </w:r>
          </w:p>
        </w:tc>
        <w:tc>
          <w:tcPr>
            <w:tcW w:w="0" w:type="auto"/>
            <w:shd w:val="clear" w:color="auto" w:fill="auto"/>
            <w:tcMar>
              <w:top w:w="40" w:type="dxa"/>
              <w:bottom w:w="40" w:type="dxa"/>
              <w:right w:w="20" w:type="dxa"/>
            </w:tcMar>
            <w:vAlign w:val="bottom"/>
          </w:tcPr>
          <w:p w14:paraId="20AE2E7B" w14:textId="77777777" w:rsidR="00B626E7" w:rsidRDefault="00175C1D">
            <w:pPr>
              <w:jc w:val="right"/>
              <w:textAlignment w:val="bottom"/>
            </w:pPr>
            <w:r>
              <w:rPr>
                <w:rFonts w:ascii="Arial" w:eastAsia="宋体" w:hAnsi="Arial" w:cs="Arial"/>
                <w:color w:val="0071C5"/>
                <w:sz w:val="18"/>
                <w:szCs w:val="18"/>
              </w:rPr>
              <w:t>%</w:t>
            </w:r>
          </w:p>
        </w:tc>
        <w:tc>
          <w:tcPr>
            <w:tcW w:w="0" w:type="auto"/>
            <w:gridSpan w:val="3"/>
            <w:shd w:val="clear" w:color="auto" w:fill="auto"/>
            <w:tcMar>
              <w:left w:w="20" w:type="dxa"/>
              <w:right w:w="20" w:type="dxa"/>
            </w:tcMar>
            <w:vAlign w:val="bottom"/>
          </w:tcPr>
          <w:p w14:paraId="20AE2E7C"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E7D" w14:textId="77777777" w:rsidR="00B626E7" w:rsidRDefault="00175C1D">
            <w:pPr>
              <w:jc w:val="right"/>
              <w:textAlignment w:val="bottom"/>
            </w:pPr>
            <w:r>
              <w:rPr>
                <w:rFonts w:ascii="Arial" w:eastAsia="宋体" w:hAnsi="Arial" w:cs="Arial"/>
                <w:color w:val="333333"/>
                <w:sz w:val="18"/>
                <w:szCs w:val="18"/>
              </w:rPr>
              <w:t>604 </w:t>
            </w:r>
          </w:p>
        </w:tc>
        <w:tc>
          <w:tcPr>
            <w:tcW w:w="0" w:type="auto"/>
            <w:shd w:val="clear" w:color="auto" w:fill="auto"/>
            <w:tcMar>
              <w:top w:w="40" w:type="dxa"/>
              <w:bottom w:w="40" w:type="dxa"/>
              <w:right w:w="20" w:type="dxa"/>
            </w:tcMar>
            <w:vAlign w:val="bottom"/>
          </w:tcPr>
          <w:p w14:paraId="20AE2E7E"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2E7F"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E80" w14:textId="77777777" w:rsidR="00B626E7" w:rsidRDefault="00175C1D">
            <w:pPr>
              <w:jc w:val="right"/>
              <w:textAlignment w:val="bottom"/>
            </w:pPr>
            <w:r>
              <w:rPr>
                <w:rFonts w:ascii="Arial" w:eastAsia="宋体" w:hAnsi="Arial" w:cs="Arial"/>
                <w:color w:val="333333"/>
                <w:sz w:val="18"/>
                <w:szCs w:val="18"/>
              </w:rPr>
              <w:t>1.9 </w:t>
            </w:r>
          </w:p>
        </w:tc>
        <w:tc>
          <w:tcPr>
            <w:tcW w:w="0" w:type="auto"/>
            <w:shd w:val="clear" w:color="auto" w:fill="auto"/>
            <w:tcMar>
              <w:top w:w="40" w:type="dxa"/>
              <w:bottom w:w="40" w:type="dxa"/>
              <w:right w:w="20" w:type="dxa"/>
            </w:tcMar>
            <w:vAlign w:val="bottom"/>
          </w:tcPr>
          <w:p w14:paraId="20AE2E81" w14:textId="77777777" w:rsidR="00B626E7" w:rsidRDefault="00175C1D">
            <w:pPr>
              <w:jc w:val="right"/>
              <w:textAlignment w:val="bottom"/>
            </w:pPr>
            <w:r>
              <w:rPr>
                <w:rFonts w:ascii="Arial" w:eastAsia="宋体" w:hAnsi="Arial" w:cs="Arial"/>
                <w:color w:val="333333"/>
                <w:sz w:val="18"/>
                <w:szCs w:val="18"/>
              </w:rPr>
              <w:t>%</w:t>
            </w:r>
          </w:p>
        </w:tc>
        <w:tc>
          <w:tcPr>
            <w:tcW w:w="0" w:type="auto"/>
            <w:shd w:val="clear" w:color="auto" w:fill="auto"/>
          </w:tcPr>
          <w:p w14:paraId="20AE2E82" w14:textId="77777777" w:rsidR="00B626E7" w:rsidRDefault="00B626E7">
            <w:pPr>
              <w:rPr>
                <w:rFonts w:ascii="宋体"/>
              </w:rPr>
            </w:pPr>
          </w:p>
        </w:tc>
        <w:tc>
          <w:tcPr>
            <w:tcW w:w="0" w:type="auto"/>
            <w:shd w:val="clear" w:color="auto" w:fill="auto"/>
          </w:tcPr>
          <w:p w14:paraId="20AE2E83" w14:textId="77777777" w:rsidR="00B626E7" w:rsidRDefault="00B626E7">
            <w:pPr>
              <w:rPr>
                <w:rFonts w:ascii="宋体"/>
              </w:rPr>
            </w:pPr>
          </w:p>
        </w:tc>
        <w:tc>
          <w:tcPr>
            <w:tcW w:w="0" w:type="auto"/>
            <w:shd w:val="clear" w:color="auto" w:fill="auto"/>
          </w:tcPr>
          <w:p w14:paraId="20AE2E84" w14:textId="77777777" w:rsidR="00B626E7" w:rsidRDefault="00B626E7">
            <w:pPr>
              <w:rPr>
                <w:rFonts w:ascii="宋体"/>
              </w:rPr>
            </w:pPr>
          </w:p>
        </w:tc>
        <w:tc>
          <w:tcPr>
            <w:tcW w:w="0" w:type="auto"/>
            <w:shd w:val="clear" w:color="auto" w:fill="auto"/>
          </w:tcPr>
          <w:p w14:paraId="20AE2E85" w14:textId="77777777" w:rsidR="00B626E7" w:rsidRDefault="00B626E7">
            <w:pPr>
              <w:rPr>
                <w:rFonts w:ascii="宋体"/>
              </w:rPr>
            </w:pPr>
          </w:p>
        </w:tc>
        <w:tc>
          <w:tcPr>
            <w:tcW w:w="0" w:type="auto"/>
            <w:shd w:val="clear" w:color="auto" w:fill="auto"/>
          </w:tcPr>
          <w:p w14:paraId="20AE2E86" w14:textId="77777777" w:rsidR="00B626E7" w:rsidRDefault="00B626E7">
            <w:pPr>
              <w:rPr>
                <w:rFonts w:ascii="宋体"/>
              </w:rPr>
            </w:pPr>
          </w:p>
        </w:tc>
        <w:tc>
          <w:tcPr>
            <w:tcW w:w="0" w:type="auto"/>
            <w:shd w:val="clear" w:color="auto" w:fill="auto"/>
          </w:tcPr>
          <w:p w14:paraId="20AE2E87" w14:textId="77777777" w:rsidR="00B626E7" w:rsidRDefault="00B626E7">
            <w:pPr>
              <w:rPr>
                <w:rFonts w:ascii="宋体"/>
              </w:rPr>
            </w:pPr>
          </w:p>
        </w:tc>
        <w:tc>
          <w:tcPr>
            <w:tcW w:w="0" w:type="auto"/>
            <w:shd w:val="clear" w:color="auto" w:fill="auto"/>
          </w:tcPr>
          <w:p w14:paraId="20AE2E88" w14:textId="77777777" w:rsidR="00B626E7" w:rsidRDefault="00B626E7">
            <w:pPr>
              <w:rPr>
                <w:rFonts w:ascii="宋体"/>
              </w:rPr>
            </w:pPr>
          </w:p>
        </w:tc>
        <w:tc>
          <w:tcPr>
            <w:tcW w:w="0" w:type="auto"/>
            <w:shd w:val="clear" w:color="auto" w:fill="auto"/>
          </w:tcPr>
          <w:p w14:paraId="20AE2E89" w14:textId="77777777" w:rsidR="00B626E7" w:rsidRDefault="00B626E7">
            <w:pPr>
              <w:rPr>
                <w:rFonts w:ascii="宋体"/>
              </w:rPr>
            </w:pPr>
          </w:p>
        </w:tc>
        <w:tc>
          <w:tcPr>
            <w:tcW w:w="0" w:type="auto"/>
            <w:shd w:val="clear" w:color="auto" w:fill="auto"/>
          </w:tcPr>
          <w:p w14:paraId="20AE2E8A" w14:textId="77777777" w:rsidR="00B626E7" w:rsidRDefault="00B626E7">
            <w:pPr>
              <w:rPr>
                <w:rFonts w:ascii="宋体"/>
              </w:rPr>
            </w:pPr>
          </w:p>
        </w:tc>
        <w:tc>
          <w:tcPr>
            <w:tcW w:w="0" w:type="auto"/>
            <w:shd w:val="clear" w:color="auto" w:fill="auto"/>
          </w:tcPr>
          <w:p w14:paraId="20AE2E8B" w14:textId="77777777" w:rsidR="00B626E7" w:rsidRDefault="00B626E7">
            <w:pPr>
              <w:rPr>
                <w:rFonts w:ascii="宋体"/>
              </w:rPr>
            </w:pPr>
          </w:p>
        </w:tc>
        <w:tc>
          <w:tcPr>
            <w:tcW w:w="0" w:type="auto"/>
            <w:shd w:val="clear" w:color="auto" w:fill="auto"/>
          </w:tcPr>
          <w:p w14:paraId="20AE2E8C" w14:textId="77777777" w:rsidR="00B626E7" w:rsidRDefault="00B626E7">
            <w:pPr>
              <w:rPr>
                <w:rFonts w:ascii="宋体"/>
              </w:rPr>
            </w:pPr>
          </w:p>
        </w:tc>
        <w:tc>
          <w:tcPr>
            <w:tcW w:w="0" w:type="auto"/>
            <w:shd w:val="clear" w:color="auto" w:fill="auto"/>
          </w:tcPr>
          <w:p w14:paraId="20AE2E8D" w14:textId="77777777" w:rsidR="00B626E7" w:rsidRDefault="00B626E7">
            <w:pPr>
              <w:rPr>
                <w:rFonts w:ascii="宋体"/>
              </w:rPr>
            </w:pPr>
          </w:p>
        </w:tc>
      </w:tr>
      <w:tr w:rsidR="00B626E7" w14:paraId="20AE2EB4" w14:textId="77777777">
        <w:tc>
          <w:tcPr>
            <w:tcW w:w="0" w:type="auto"/>
            <w:gridSpan w:val="3"/>
            <w:shd w:val="clear" w:color="auto" w:fill="auto"/>
            <w:tcMar>
              <w:top w:w="40" w:type="dxa"/>
              <w:left w:w="20" w:type="dxa"/>
              <w:bottom w:w="40" w:type="dxa"/>
              <w:right w:w="20" w:type="dxa"/>
            </w:tcMar>
          </w:tcPr>
          <w:p w14:paraId="20AE2E8F" w14:textId="77777777" w:rsidR="00B626E7" w:rsidRDefault="00175C1D">
            <w:pPr>
              <w:ind w:hanging="180"/>
              <w:textAlignment w:val="top"/>
            </w:pPr>
            <w:r>
              <w:rPr>
                <w:rFonts w:ascii="Arial" w:eastAsia="宋体" w:hAnsi="Arial" w:cs="Arial"/>
                <w:color w:val="333333"/>
                <w:sz w:val="18"/>
                <w:szCs w:val="18"/>
              </w:rPr>
              <w:t>Interest and other, net</w:t>
            </w:r>
          </w:p>
        </w:tc>
        <w:tc>
          <w:tcPr>
            <w:tcW w:w="0" w:type="auto"/>
            <w:gridSpan w:val="3"/>
            <w:shd w:val="clear" w:color="auto" w:fill="auto"/>
            <w:tcMar>
              <w:left w:w="20" w:type="dxa"/>
              <w:right w:w="20" w:type="dxa"/>
            </w:tcMar>
            <w:vAlign w:val="bottom"/>
          </w:tcPr>
          <w:p w14:paraId="20AE2E90"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E91" w14:textId="77777777" w:rsidR="00B626E7" w:rsidRDefault="00175C1D">
            <w:pPr>
              <w:jc w:val="right"/>
              <w:textAlignment w:val="bottom"/>
            </w:pPr>
            <w:r>
              <w:rPr>
                <w:rFonts w:ascii="Arial" w:eastAsia="宋体" w:hAnsi="Arial" w:cs="Arial"/>
                <w:color w:val="0071C5"/>
                <w:sz w:val="18"/>
                <w:szCs w:val="18"/>
              </w:rPr>
              <w:t>(29)</w:t>
            </w:r>
          </w:p>
        </w:tc>
        <w:tc>
          <w:tcPr>
            <w:tcW w:w="0" w:type="auto"/>
            <w:shd w:val="clear" w:color="auto" w:fill="auto"/>
            <w:tcMar>
              <w:top w:w="40" w:type="dxa"/>
              <w:bottom w:w="40" w:type="dxa"/>
              <w:right w:w="20" w:type="dxa"/>
            </w:tcMar>
            <w:vAlign w:val="bottom"/>
          </w:tcPr>
          <w:p w14:paraId="20AE2E92"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2E93"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E94" w14:textId="77777777" w:rsidR="00B626E7" w:rsidRDefault="00175C1D">
            <w:pPr>
              <w:jc w:val="right"/>
              <w:textAlignment w:val="bottom"/>
            </w:pPr>
            <w:r>
              <w:rPr>
                <w:rFonts w:ascii="Arial" w:eastAsia="宋体" w:hAnsi="Arial" w:cs="Arial"/>
                <w:color w:val="0071C5"/>
                <w:sz w:val="18"/>
                <w:szCs w:val="18"/>
              </w:rPr>
              <w:t>(0.1)</w:t>
            </w:r>
          </w:p>
        </w:tc>
        <w:tc>
          <w:tcPr>
            <w:tcW w:w="0" w:type="auto"/>
            <w:shd w:val="clear" w:color="auto" w:fill="auto"/>
            <w:tcMar>
              <w:top w:w="40" w:type="dxa"/>
              <w:bottom w:w="40" w:type="dxa"/>
              <w:right w:w="20" w:type="dxa"/>
            </w:tcMar>
            <w:vAlign w:val="bottom"/>
          </w:tcPr>
          <w:p w14:paraId="20AE2E95" w14:textId="77777777" w:rsidR="00B626E7" w:rsidRDefault="00175C1D">
            <w:pPr>
              <w:jc w:val="right"/>
              <w:textAlignment w:val="bottom"/>
            </w:pPr>
            <w:r>
              <w:rPr>
                <w:rFonts w:ascii="Arial" w:eastAsia="宋体" w:hAnsi="Arial" w:cs="Arial"/>
                <w:color w:val="0071C5"/>
                <w:sz w:val="18"/>
                <w:szCs w:val="18"/>
              </w:rPr>
              <w:t>%</w:t>
            </w:r>
          </w:p>
        </w:tc>
        <w:tc>
          <w:tcPr>
            <w:tcW w:w="0" w:type="auto"/>
            <w:gridSpan w:val="3"/>
            <w:shd w:val="clear" w:color="auto" w:fill="auto"/>
            <w:tcMar>
              <w:left w:w="20" w:type="dxa"/>
              <w:right w:w="20" w:type="dxa"/>
            </w:tcMar>
            <w:vAlign w:val="bottom"/>
          </w:tcPr>
          <w:p w14:paraId="20AE2E96"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E97" w14:textId="77777777" w:rsidR="00B626E7" w:rsidRDefault="00175C1D">
            <w:pPr>
              <w:jc w:val="right"/>
              <w:textAlignment w:val="bottom"/>
            </w:pPr>
            <w:r>
              <w:rPr>
                <w:rFonts w:ascii="Arial" w:eastAsia="宋体" w:hAnsi="Arial" w:cs="Arial"/>
                <w:color w:val="333333"/>
                <w:sz w:val="18"/>
                <w:szCs w:val="18"/>
              </w:rPr>
              <w:t>(63)</w:t>
            </w:r>
          </w:p>
        </w:tc>
        <w:tc>
          <w:tcPr>
            <w:tcW w:w="0" w:type="auto"/>
            <w:shd w:val="clear" w:color="auto" w:fill="auto"/>
            <w:tcMar>
              <w:top w:w="40" w:type="dxa"/>
              <w:bottom w:w="40" w:type="dxa"/>
              <w:right w:w="20" w:type="dxa"/>
            </w:tcMar>
            <w:vAlign w:val="bottom"/>
          </w:tcPr>
          <w:p w14:paraId="20AE2E98"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2E99"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E9A" w14:textId="77777777" w:rsidR="00B626E7" w:rsidRDefault="00175C1D">
            <w:pPr>
              <w:jc w:val="right"/>
              <w:textAlignment w:val="bottom"/>
            </w:pPr>
            <w:r>
              <w:rPr>
                <w:rFonts w:ascii="Arial" w:eastAsia="宋体" w:hAnsi="Arial" w:cs="Arial"/>
                <w:color w:val="333333"/>
                <w:sz w:val="18"/>
                <w:szCs w:val="18"/>
              </w:rPr>
              <w:t>(0.4)</w:t>
            </w:r>
          </w:p>
        </w:tc>
        <w:tc>
          <w:tcPr>
            <w:tcW w:w="0" w:type="auto"/>
            <w:shd w:val="clear" w:color="auto" w:fill="auto"/>
            <w:tcMar>
              <w:top w:w="40" w:type="dxa"/>
              <w:bottom w:w="40" w:type="dxa"/>
              <w:right w:w="20" w:type="dxa"/>
            </w:tcMar>
            <w:vAlign w:val="bottom"/>
          </w:tcPr>
          <w:p w14:paraId="20AE2E9B" w14:textId="77777777" w:rsidR="00B626E7" w:rsidRDefault="00175C1D">
            <w:pPr>
              <w:jc w:val="right"/>
              <w:textAlignment w:val="bottom"/>
            </w:pPr>
            <w:r>
              <w:rPr>
                <w:rFonts w:ascii="Arial" w:eastAsia="宋体" w:hAnsi="Arial" w:cs="Arial"/>
                <w:color w:val="333333"/>
                <w:sz w:val="18"/>
                <w:szCs w:val="18"/>
              </w:rPr>
              <w:t>%</w:t>
            </w:r>
          </w:p>
        </w:tc>
        <w:tc>
          <w:tcPr>
            <w:tcW w:w="0" w:type="auto"/>
            <w:gridSpan w:val="3"/>
            <w:shd w:val="clear" w:color="auto" w:fill="auto"/>
            <w:tcMar>
              <w:left w:w="20" w:type="dxa"/>
              <w:right w:w="20" w:type="dxa"/>
            </w:tcMar>
            <w:vAlign w:val="bottom"/>
          </w:tcPr>
          <w:p w14:paraId="20AE2E9C"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E9D" w14:textId="77777777" w:rsidR="00B626E7" w:rsidRDefault="00175C1D">
            <w:pPr>
              <w:jc w:val="right"/>
              <w:textAlignment w:val="bottom"/>
            </w:pPr>
            <w:r>
              <w:rPr>
                <w:rFonts w:ascii="Arial" w:eastAsia="宋体" w:hAnsi="Arial" w:cs="Arial"/>
                <w:color w:val="0071C5"/>
                <w:sz w:val="18"/>
                <w:szCs w:val="18"/>
              </w:rPr>
              <w:t>(342)</w:t>
            </w:r>
          </w:p>
        </w:tc>
        <w:tc>
          <w:tcPr>
            <w:tcW w:w="0" w:type="auto"/>
            <w:shd w:val="clear" w:color="auto" w:fill="auto"/>
            <w:tcMar>
              <w:top w:w="40" w:type="dxa"/>
              <w:bottom w:w="40" w:type="dxa"/>
              <w:right w:w="20" w:type="dxa"/>
            </w:tcMar>
            <w:vAlign w:val="bottom"/>
          </w:tcPr>
          <w:p w14:paraId="20AE2E9E"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2E9F"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EA0" w14:textId="77777777" w:rsidR="00B626E7" w:rsidRDefault="00175C1D">
            <w:pPr>
              <w:jc w:val="right"/>
              <w:textAlignment w:val="bottom"/>
            </w:pPr>
            <w:r>
              <w:rPr>
                <w:rFonts w:ascii="Arial" w:eastAsia="宋体" w:hAnsi="Arial" w:cs="Arial"/>
                <w:color w:val="0071C5"/>
                <w:sz w:val="18"/>
                <w:szCs w:val="18"/>
              </w:rPr>
              <w:t>(0.9)</w:t>
            </w:r>
          </w:p>
        </w:tc>
        <w:tc>
          <w:tcPr>
            <w:tcW w:w="0" w:type="auto"/>
            <w:shd w:val="clear" w:color="auto" w:fill="auto"/>
            <w:tcMar>
              <w:top w:w="40" w:type="dxa"/>
              <w:bottom w:w="40" w:type="dxa"/>
              <w:right w:w="20" w:type="dxa"/>
            </w:tcMar>
            <w:vAlign w:val="bottom"/>
          </w:tcPr>
          <w:p w14:paraId="20AE2EA1" w14:textId="77777777" w:rsidR="00B626E7" w:rsidRDefault="00175C1D">
            <w:pPr>
              <w:jc w:val="right"/>
              <w:textAlignment w:val="bottom"/>
            </w:pPr>
            <w:r>
              <w:rPr>
                <w:rFonts w:ascii="Arial" w:eastAsia="宋体" w:hAnsi="Arial" w:cs="Arial"/>
                <w:color w:val="0071C5"/>
                <w:sz w:val="18"/>
                <w:szCs w:val="18"/>
              </w:rPr>
              <w:t>%</w:t>
            </w:r>
          </w:p>
        </w:tc>
        <w:tc>
          <w:tcPr>
            <w:tcW w:w="0" w:type="auto"/>
            <w:gridSpan w:val="3"/>
            <w:shd w:val="clear" w:color="auto" w:fill="auto"/>
            <w:tcMar>
              <w:left w:w="20" w:type="dxa"/>
              <w:right w:w="20" w:type="dxa"/>
            </w:tcMar>
            <w:vAlign w:val="bottom"/>
          </w:tcPr>
          <w:p w14:paraId="20AE2EA2"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EA3" w14:textId="77777777" w:rsidR="00B626E7" w:rsidRDefault="00175C1D">
            <w:pPr>
              <w:jc w:val="right"/>
              <w:textAlignment w:val="bottom"/>
            </w:pPr>
            <w:r>
              <w:rPr>
                <w:rFonts w:ascii="Arial" w:eastAsia="宋体" w:hAnsi="Arial" w:cs="Arial"/>
                <w:color w:val="333333"/>
                <w:sz w:val="18"/>
                <w:szCs w:val="18"/>
              </w:rPr>
              <w:t>(124)</w:t>
            </w:r>
          </w:p>
        </w:tc>
        <w:tc>
          <w:tcPr>
            <w:tcW w:w="0" w:type="auto"/>
            <w:shd w:val="clear" w:color="auto" w:fill="auto"/>
            <w:tcMar>
              <w:top w:w="40" w:type="dxa"/>
              <w:bottom w:w="40" w:type="dxa"/>
              <w:right w:w="20" w:type="dxa"/>
            </w:tcMar>
            <w:vAlign w:val="bottom"/>
          </w:tcPr>
          <w:p w14:paraId="20AE2EA4"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2EA5"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EA6" w14:textId="77777777" w:rsidR="00B626E7" w:rsidRDefault="00175C1D">
            <w:pPr>
              <w:jc w:val="right"/>
              <w:textAlignment w:val="bottom"/>
            </w:pPr>
            <w:r>
              <w:rPr>
                <w:rFonts w:ascii="Arial" w:eastAsia="宋体" w:hAnsi="Arial" w:cs="Arial"/>
                <w:color w:val="333333"/>
                <w:sz w:val="18"/>
                <w:szCs w:val="18"/>
              </w:rPr>
              <w:t>(0.4)</w:t>
            </w:r>
          </w:p>
        </w:tc>
        <w:tc>
          <w:tcPr>
            <w:tcW w:w="0" w:type="auto"/>
            <w:shd w:val="clear" w:color="auto" w:fill="auto"/>
            <w:tcMar>
              <w:top w:w="40" w:type="dxa"/>
              <w:bottom w:w="40" w:type="dxa"/>
              <w:right w:w="20" w:type="dxa"/>
            </w:tcMar>
            <w:vAlign w:val="bottom"/>
          </w:tcPr>
          <w:p w14:paraId="20AE2EA7" w14:textId="77777777" w:rsidR="00B626E7" w:rsidRDefault="00175C1D">
            <w:pPr>
              <w:jc w:val="right"/>
              <w:textAlignment w:val="bottom"/>
            </w:pPr>
            <w:r>
              <w:rPr>
                <w:rFonts w:ascii="Arial" w:eastAsia="宋体" w:hAnsi="Arial" w:cs="Arial"/>
                <w:color w:val="333333"/>
                <w:sz w:val="18"/>
                <w:szCs w:val="18"/>
              </w:rPr>
              <w:t>%</w:t>
            </w:r>
          </w:p>
        </w:tc>
        <w:tc>
          <w:tcPr>
            <w:tcW w:w="0" w:type="auto"/>
            <w:shd w:val="clear" w:color="auto" w:fill="auto"/>
          </w:tcPr>
          <w:p w14:paraId="20AE2EA8" w14:textId="77777777" w:rsidR="00B626E7" w:rsidRDefault="00B626E7">
            <w:pPr>
              <w:rPr>
                <w:rFonts w:ascii="宋体"/>
              </w:rPr>
            </w:pPr>
          </w:p>
        </w:tc>
        <w:tc>
          <w:tcPr>
            <w:tcW w:w="0" w:type="auto"/>
            <w:shd w:val="clear" w:color="auto" w:fill="auto"/>
          </w:tcPr>
          <w:p w14:paraId="20AE2EA9" w14:textId="77777777" w:rsidR="00B626E7" w:rsidRDefault="00B626E7">
            <w:pPr>
              <w:rPr>
                <w:rFonts w:ascii="宋体"/>
              </w:rPr>
            </w:pPr>
          </w:p>
        </w:tc>
        <w:tc>
          <w:tcPr>
            <w:tcW w:w="0" w:type="auto"/>
            <w:shd w:val="clear" w:color="auto" w:fill="auto"/>
          </w:tcPr>
          <w:p w14:paraId="20AE2EAA" w14:textId="77777777" w:rsidR="00B626E7" w:rsidRDefault="00B626E7">
            <w:pPr>
              <w:rPr>
                <w:rFonts w:ascii="宋体"/>
              </w:rPr>
            </w:pPr>
          </w:p>
        </w:tc>
        <w:tc>
          <w:tcPr>
            <w:tcW w:w="0" w:type="auto"/>
            <w:shd w:val="clear" w:color="auto" w:fill="auto"/>
          </w:tcPr>
          <w:p w14:paraId="20AE2EAB" w14:textId="77777777" w:rsidR="00B626E7" w:rsidRDefault="00B626E7">
            <w:pPr>
              <w:rPr>
                <w:rFonts w:ascii="宋体"/>
              </w:rPr>
            </w:pPr>
          </w:p>
        </w:tc>
        <w:tc>
          <w:tcPr>
            <w:tcW w:w="0" w:type="auto"/>
            <w:shd w:val="clear" w:color="auto" w:fill="auto"/>
          </w:tcPr>
          <w:p w14:paraId="20AE2EAC" w14:textId="77777777" w:rsidR="00B626E7" w:rsidRDefault="00B626E7">
            <w:pPr>
              <w:rPr>
                <w:rFonts w:ascii="宋体"/>
              </w:rPr>
            </w:pPr>
          </w:p>
        </w:tc>
        <w:tc>
          <w:tcPr>
            <w:tcW w:w="0" w:type="auto"/>
            <w:shd w:val="clear" w:color="auto" w:fill="auto"/>
          </w:tcPr>
          <w:p w14:paraId="20AE2EAD" w14:textId="77777777" w:rsidR="00B626E7" w:rsidRDefault="00B626E7">
            <w:pPr>
              <w:rPr>
                <w:rFonts w:ascii="宋体"/>
              </w:rPr>
            </w:pPr>
          </w:p>
        </w:tc>
        <w:tc>
          <w:tcPr>
            <w:tcW w:w="0" w:type="auto"/>
            <w:shd w:val="clear" w:color="auto" w:fill="auto"/>
          </w:tcPr>
          <w:p w14:paraId="20AE2EAE" w14:textId="77777777" w:rsidR="00B626E7" w:rsidRDefault="00B626E7">
            <w:pPr>
              <w:rPr>
                <w:rFonts w:ascii="宋体"/>
              </w:rPr>
            </w:pPr>
          </w:p>
        </w:tc>
        <w:tc>
          <w:tcPr>
            <w:tcW w:w="0" w:type="auto"/>
            <w:shd w:val="clear" w:color="auto" w:fill="auto"/>
          </w:tcPr>
          <w:p w14:paraId="20AE2EAF" w14:textId="77777777" w:rsidR="00B626E7" w:rsidRDefault="00B626E7">
            <w:pPr>
              <w:rPr>
                <w:rFonts w:ascii="宋体"/>
              </w:rPr>
            </w:pPr>
          </w:p>
        </w:tc>
        <w:tc>
          <w:tcPr>
            <w:tcW w:w="0" w:type="auto"/>
            <w:shd w:val="clear" w:color="auto" w:fill="auto"/>
          </w:tcPr>
          <w:p w14:paraId="20AE2EB0" w14:textId="77777777" w:rsidR="00B626E7" w:rsidRDefault="00B626E7">
            <w:pPr>
              <w:rPr>
                <w:rFonts w:ascii="宋体"/>
              </w:rPr>
            </w:pPr>
          </w:p>
        </w:tc>
        <w:tc>
          <w:tcPr>
            <w:tcW w:w="0" w:type="auto"/>
            <w:shd w:val="clear" w:color="auto" w:fill="auto"/>
          </w:tcPr>
          <w:p w14:paraId="20AE2EB1" w14:textId="77777777" w:rsidR="00B626E7" w:rsidRDefault="00B626E7">
            <w:pPr>
              <w:rPr>
                <w:rFonts w:ascii="宋体"/>
              </w:rPr>
            </w:pPr>
          </w:p>
        </w:tc>
        <w:tc>
          <w:tcPr>
            <w:tcW w:w="0" w:type="auto"/>
            <w:shd w:val="clear" w:color="auto" w:fill="auto"/>
          </w:tcPr>
          <w:p w14:paraId="20AE2EB2" w14:textId="77777777" w:rsidR="00B626E7" w:rsidRDefault="00B626E7">
            <w:pPr>
              <w:rPr>
                <w:rFonts w:ascii="宋体"/>
              </w:rPr>
            </w:pPr>
          </w:p>
        </w:tc>
        <w:tc>
          <w:tcPr>
            <w:tcW w:w="0" w:type="auto"/>
            <w:shd w:val="clear" w:color="auto" w:fill="auto"/>
          </w:tcPr>
          <w:p w14:paraId="20AE2EB3" w14:textId="77777777" w:rsidR="00B626E7" w:rsidRDefault="00B626E7">
            <w:pPr>
              <w:rPr>
                <w:rFonts w:ascii="宋体"/>
              </w:rPr>
            </w:pPr>
          </w:p>
        </w:tc>
      </w:tr>
      <w:tr w:rsidR="00B626E7" w14:paraId="20AE2EDA" w14:textId="77777777">
        <w:tc>
          <w:tcPr>
            <w:tcW w:w="0" w:type="auto"/>
            <w:gridSpan w:val="3"/>
            <w:shd w:val="clear" w:color="auto" w:fill="auto"/>
            <w:tcMar>
              <w:top w:w="40" w:type="dxa"/>
              <w:left w:w="20" w:type="dxa"/>
              <w:bottom w:w="40" w:type="dxa"/>
              <w:right w:w="20" w:type="dxa"/>
            </w:tcMar>
          </w:tcPr>
          <w:p w14:paraId="20AE2EB5" w14:textId="77777777" w:rsidR="00B626E7" w:rsidRDefault="00175C1D">
            <w:pPr>
              <w:ind w:hanging="180"/>
              <w:textAlignment w:val="top"/>
            </w:pPr>
            <w:r>
              <w:rPr>
                <w:rFonts w:ascii="Arial" w:eastAsia="宋体" w:hAnsi="Arial" w:cs="Arial"/>
                <w:b/>
                <w:bCs/>
                <w:color w:val="333333"/>
                <w:sz w:val="18"/>
                <w:szCs w:val="18"/>
              </w:rPr>
              <w:t>Income before taxes</w:t>
            </w:r>
          </w:p>
        </w:tc>
        <w:tc>
          <w:tcPr>
            <w:tcW w:w="0" w:type="auto"/>
            <w:gridSpan w:val="3"/>
            <w:shd w:val="clear" w:color="auto" w:fill="auto"/>
            <w:tcMar>
              <w:left w:w="20" w:type="dxa"/>
              <w:right w:w="20" w:type="dxa"/>
            </w:tcMar>
            <w:vAlign w:val="bottom"/>
          </w:tcPr>
          <w:p w14:paraId="20AE2EB6"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2EB7" w14:textId="77777777" w:rsidR="00B626E7" w:rsidRDefault="00175C1D">
            <w:pPr>
              <w:jc w:val="right"/>
              <w:textAlignment w:val="bottom"/>
            </w:pPr>
            <w:r>
              <w:rPr>
                <w:rFonts w:ascii="Arial" w:eastAsia="宋体" w:hAnsi="Arial" w:cs="Arial"/>
                <w:b/>
                <w:bCs/>
                <w:color w:val="0071C5"/>
                <w:sz w:val="18"/>
                <w:szCs w:val="18"/>
              </w:rPr>
              <w:t>5,935 </w:t>
            </w:r>
          </w:p>
        </w:tc>
        <w:tc>
          <w:tcPr>
            <w:tcW w:w="0" w:type="auto"/>
            <w:tcBorders>
              <w:top w:val="single" w:sz="8" w:space="0" w:color="333333"/>
            </w:tcBorders>
            <w:shd w:val="clear" w:color="auto" w:fill="auto"/>
            <w:tcMar>
              <w:top w:w="40" w:type="dxa"/>
              <w:bottom w:w="40" w:type="dxa"/>
              <w:right w:w="20" w:type="dxa"/>
            </w:tcMar>
            <w:vAlign w:val="bottom"/>
          </w:tcPr>
          <w:p w14:paraId="20AE2EB8"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2EB9"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2EBA" w14:textId="77777777" w:rsidR="00B626E7" w:rsidRDefault="00175C1D">
            <w:pPr>
              <w:jc w:val="right"/>
              <w:textAlignment w:val="bottom"/>
            </w:pPr>
            <w:r>
              <w:rPr>
                <w:rFonts w:ascii="Arial" w:eastAsia="宋体" w:hAnsi="Arial" w:cs="Arial"/>
                <w:b/>
                <w:bCs/>
                <w:color w:val="0071C5"/>
                <w:sz w:val="18"/>
                <w:szCs w:val="18"/>
              </w:rPr>
              <w:t>30.1 </w:t>
            </w:r>
          </w:p>
        </w:tc>
        <w:tc>
          <w:tcPr>
            <w:tcW w:w="0" w:type="auto"/>
            <w:tcBorders>
              <w:top w:val="single" w:sz="8" w:space="0" w:color="333333"/>
            </w:tcBorders>
            <w:shd w:val="clear" w:color="auto" w:fill="auto"/>
            <w:tcMar>
              <w:top w:w="40" w:type="dxa"/>
              <w:bottom w:w="40" w:type="dxa"/>
              <w:right w:w="20" w:type="dxa"/>
            </w:tcMar>
            <w:vAlign w:val="bottom"/>
          </w:tcPr>
          <w:p w14:paraId="20AE2EBB" w14:textId="77777777" w:rsidR="00B626E7" w:rsidRDefault="00175C1D">
            <w:pPr>
              <w:jc w:val="right"/>
              <w:textAlignment w:val="bottom"/>
            </w:pPr>
            <w:r>
              <w:rPr>
                <w:rFonts w:ascii="Arial" w:eastAsia="宋体" w:hAnsi="Arial" w:cs="Arial"/>
                <w:b/>
                <w:bCs/>
                <w:color w:val="0071C5"/>
                <w:sz w:val="18"/>
                <w:szCs w:val="18"/>
              </w:rPr>
              <w:t>%</w:t>
            </w:r>
          </w:p>
        </w:tc>
        <w:tc>
          <w:tcPr>
            <w:tcW w:w="0" w:type="auto"/>
            <w:gridSpan w:val="3"/>
            <w:shd w:val="clear" w:color="auto" w:fill="auto"/>
            <w:tcMar>
              <w:left w:w="20" w:type="dxa"/>
              <w:right w:w="20" w:type="dxa"/>
            </w:tcMar>
            <w:vAlign w:val="bottom"/>
          </w:tcPr>
          <w:p w14:paraId="20AE2EBC"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2EBD" w14:textId="77777777" w:rsidR="00B626E7" w:rsidRDefault="00175C1D">
            <w:pPr>
              <w:jc w:val="right"/>
              <w:textAlignment w:val="bottom"/>
            </w:pPr>
            <w:r>
              <w:rPr>
                <w:rFonts w:ascii="Arial" w:eastAsia="宋体" w:hAnsi="Arial" w:cs="Arial"/>
                <w:b/>
                <w:bCs/>
                <w:color w:val="333333"/>
                <w:sz w:val="18"/>
                <w:szCs w:val="18"/>
              </w:rPr>
              <w:t>4,724 </w:t>
            </w:r>
          </w:p>
        </w:tc>
        <w:tc>
          <w:tcPr>
            <w:tcW w:w="0" w:type="auto"/>
            <w:tcBorders>
              <w:top w:val="single" w:sz="8" w:space="0" w:color="333333"/>
            </w:tcBorders>
            <w:shd w:val="clear" w:color="auto" w:fill="auto"/>
            <w:tcMar>
              <w:top w:w="40" w:type="dxa"/>
              <w:bottom w:w="40" w:type="dxa"/>
              <w:right w:w="20" w:type="dxa"/>
            </w:tcMar>
            <w:vAlign w:val="bottom"/>
          </w:tcPr>
          <w:p w14:paraId="20AE2EBE"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2EBF"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2EC0" w14:textId="77777777" w:rsidR="00B626E7" w:rsidRDefault="00175C1D">
            <w:pPr>
              <w:jc w:val="right"/>
              <w:textAlignment w:val="bottom"/>
            </w:pPr>
            <w:r>
              <w:rPr>
                <w:rFonts w:ascii="Arial" w:eastAsia="宋体" w:hAnsi="Arial" w:cs="Arial"/>
                <w:b/>
                <w:bCs/>
                <w:color w:val="333333"/>
                <w:sz w:val="18"/>
                <w:szCs w:val="18"/>
              </w:rPr>
              <w:t>28.6 </w:t>
            </w:r>
          </w:p>
        </w:tc>
        <w:tc>
          <w:tcPr>
            <w:tcW w:w="0" w:type="auto"/>
            <w:tcBorders>
              <w:top w:val="single" w:sz="8" w:space="0" w:color="333333"/>
            </w:tcBorders>
            <w:shd w:val="clear" w:color="auto" w:fill="auto"/>
            <w:tcMar>
              <w:top w:w="40" w:type="dxa"/>
              <w:bottom w:w="40" w:type="dxa"/>
              <w:right w:w="20" w:type="dxa"/>
            </w:tcMar>
            <w:vAlign w:val="bottom"/>
          </w:tcPr>
          <w:p w14:paraId="20AE2EC1" w14:textId="77777777" w:rsidR="00B626E7" w:rsidRDefault="00175C1D">
            <w:pPr>
              <w:jc w:val="right"/>
              <w:textAlignment w:val="bottom"/>
            </w:pPr>
            <w:r>
              <w:rPr>
                <w:rFonts w:ascii="Arial" w:eastAsia="宋体" w:hAnsi="Arial" w:cs="Arial"/>
                <w:b/>
                <w:bCs/>
                <w:color w:val="333333"/>
                <w:sz w:val="18"/>
                <w:szCs w:val="18"/>
              </w:rPr>
              <w:t>%</w:t>
            </w:r>
          </w:p>
        </w:tc>
        <w:tc>
          <w:tcPr>
            <w:tcW w:w="0" w:type="auto"/>
            <w:gridSpan w:val="3"/>
            <w:shd w:val="clear" w:color="auto" w:fill="auto"/>
            <w:tcMar>
              <w:left w:w="20" w:type="dxa"/>
              <w:right w:w="20" w:type="dxa"/>
            </w:tcMar>
            <w:vAlign w:val="bottom"/>
          </w:tcPr>
          <w:p w14:paraId="20AE2EC2"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2EC3" w14:textId="77777777" w:rsidR="00B626E7" w:rsidRDefault="00175C1D">
            <w:pPr>
              <w:jc w:val="right"/>
              <w:textAlignment w:val="bottom"/>
            </w:pPr>
            <w:r>
              <w:rPr>
                <w:rFonts w:ascii="Arial" w:eastAsia="宋体" w:hAnsi="Arial" w:cs="Arial"/>
                <w:b/>
                <w:bCs/>
                <w:color w:val="0071C5"/>
                <w:sz w:val="18"/>
                <w:szCs w:val="18"/>
              </w:rPr>
              <w:t>12,549 </w:t>
            </w:r>
          </w:p>
        </w:tc>
        <w:tc>
          <w:tcPr>
            <w:tcW w:w="0" w:type="auto"/>
            <w:tcBorders>
              <w:top w:val="single" w:sz="8" w:space="0" w:color="333333"/>
            </w:tcBorders>
            <w:shd w:val="clear" w:color="auto" w:fill="auto"/>
            <w:tcMar>
              <w:top w:w="40" w:type="dxa"/>
              <w:bottom w:w="40" w:type="dxa"/>
              <w:right w:w="20" w:type="dxa"/>
            </w:tcMar>
            <w:vAlign w:val="bottom"/>
          </w:tcPr>
          <w:p w14:paraId="20AE2EC4"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2EC5"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2EC6" w14:textId="77777777" w:rsidR="00B626E7" w:rsidRDefault="00175C1D">
            <w:pPr>
              <w:jc w:val="right"/>
              <w:textAlignment w:val="bottom"/>
            </w:pPr>
            <w:r>
              <w:rPr>
                <w:rFonts w:ascii="Arial" w:eastAsia="宋体" w:hAnsi="Arial" w:cs="Arial"/>
                <w:b/>
                <w:bCs/>
                <w:color w:val="0071C5"/>
                <w:sz w:val="18"/>
                <w:szCs w:val="18"/>
              </w:rPr>
              <w:t>31.7 </w:t>
            </w:r>
          </w:p>
        </w:tc>
        <w:tc>
          <w:tcPr>
            <w:tcW w:w="0" w:type="auto"/>
            <w:tcBorders>
              <w:top w:val="single" w:sz="8" w:space="0" w:color="333333"/>
            </w:tcBorders>
            <w:shd w:val="clear" w:color="auto" w:fill="auto"/>
            <w:tcMar>
              <w:top w:w="40" w:type="dxa"/>
              <w:bottom w:w="40" w:type="dxa"/>
              <w:right w:w="20" w:type="dxa"/>
            </w:tcMar>
            <w:vAlign w:val="bottom"/>
          </w:tcPr>
          <w:p w14:paraId="20AE2EC7" w14:textId="77777777" w:rsidR="00B626E7" w:rsidRDefault="00175C1D">
            <w:pPr>
              <w:jc w:val="right"/>
              <w:textAlignment w:val="bottom"/>
            </w:pPr>
            <w:r>
              <w:rPr>
                <w:rFonts w:ascii="Arial" w:eastAsia="宋体" w:hAnsi="Arial" w:cs="Arial"/>
                <w:b/>
                <w:bCs/>
                <w:color w:val="0071C5"/>
                <w:sz w:val="18"/>
                <w:szCs w:val="18"/>
              </w:rPr>
              <w:t>%</w:t>
            </w:r>
          </w:p>
        </w:tc>
        <w:tc>
          <w:tcPr>
            <w:tcW w:w="0" w:type="auto"/>
            <w:gridSpan w:val="3"/>
            <w:shd w:val="clear" w:color="auto" w:fill="auto"/>
            <w:tcMar>
              <w:left w:w="20" w:type="dxa"/>
              <w:right w:w="20" w:type="dxa"/>
            </w:tcMar>
            <w:vAlign w:val="bottom"/>
          </w:tcPr>
          <w:p w14:paraId="20AE2EC8"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2EC9" w14:textId="77777777" w:rsidR="00B626E7" w:rsidRDefault="00175C1D">
            <w:pPr>
              <w:jc w:val="right"/>
              <w:textAlignment w:val="bottom"/>
            </w:pPr>
            <w:r>
              <w:rPr>
                <w:rFonts w:ascii="Arial" w:eastAsia="宋体" w:hAnsi="Arial" w:cs="Arial"/>
                <w:b/>
                <w:bCs/>
                <w:color w:val="333333"/>
                <w:sz w:val="18"/>
                <w:szCs w:val="18"/>
              </w:rPr>
              <w:t>9,271 </w:t>
            </w:r>
          </w:p>
        </w:tc>
        <w:tc>
          <w:tcPr>
            <w:tcW w:w="0" w:type="auto"/>
            <w:tcBorders>
              <w:top w:val="single" w:sz="8" w:space="0" w:color="333333"/>
            </w:tcBorders>
            <w:shd w:val="clear" w:color="auto" w:fill="auto"/>
            <w:tcMar>
              <w:top w:w="40" w:type="dxa"/>
              <w:bottom w:w="40" w:type="dxa"/>
              <w:right w:w="20" w:type="dxa"/>
            </w:tcMar>
            <w:vAlign w:val="bottom"/>
          </w:tcPr>
          <w:p w14:paraId="20AE2ECA"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2ECB"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2ECC" w14:textId="77777777" w:rsidR="00B626E7" w:rsidRDefault="00175C1D">
            <w:pPr>
              <w:jc w:val="right"/>
              <w:textAlignment w:val="bottom"/>
            </w:pPr>
            <w:r>
              <w:rPr>
                <w:rFonts w:ascii="Arial" w:eastAsia="宋体" w:hAnsi="Arial" w:cs="Arial"/>
                <w:b/>
                <w:bCs/>
                <w:color w:val="333333"/>
                <w:sz w:val="18"/>
                <w:szCs w:val="18"/>
              </w:rPr>
              <w:t>28.5 </w:t>
            </w:r>
          </w:p>
        </w:tc>
        <w:tc>
          <w:tcPr>
            <w:tcW w:w="0" w:type="auto"/>
            <w:tcBorders>
              <w:top w:val="single" w:sz="8" w:space="0" w:color="333333"/>
            </w:tcBorders>
            <w:shd w:val="clear" w:color="auto" w:fill="auto"/>
            <w:tcMar>
              <w:top w:w="40" w:type="dxa"/>
              <w:bottom w:w="40" w:type="dxa"/>
              <w:right w:w="20" w:type="dxa"/>
            </w:tcMar>
            <w:vAlign w:val="bottom"/>
          </w:tcPr>
          <w:p w14:paraId="20AE2ECD" w14:textId="77777777" w:rsidR="00B626E7" w:rsidRDefault="00175C1D">
            <w:pPr>
              <w:jc w:val="right"/>
              <w:textAlignment w:val="bottom"/>
            </w:pPr>
            <w:r>
              <w:rPr>
                <w:rFonts w:ascii="Arial" w:eastAsia="宋体" w:hAnsi="Arial" w:cs="Arial"/>
                <w:b/>
                <w:bCs/>
                <w:color w:val="333333"/>
                <w:sz w:val="18"/>
                <w:szCs w:val="18"/>
              </w:rPr>
              <w:t>%</w:t>
            </w:r>
          </w:p>
        </w:tc>
        <w:tc>
          <w:tcPr>
            <w:tcW w:w="0" w:type="auto"/>
            <w:shd w:val="clear" w:color="auto" w:fill="auto"/>
          </w:tcPr>
          <w:p w14:paraId="20AE2ECE" w14:textId="77777777" w:rsidR="00B626E7" w:rsidRDefault="00B626E7">
            <w:pPr>
              <w:rPr>
                <w:rFonts w:ascii="宋体"/>
              </w:rPr>
            </w:pPr>
          </w:p>
        </w:tc>
        <w:tc>
          <w:tcPr>
            <w:tcW w:w="0" w:type="auto"/>
            <w:shd w:val="clear" w:color="auto" w:fill="auto"/>
          </w:tcPr>
          <w:p w14:paraId="20AE2ECF" w14:textId="77777777" w:rsidR="00B626E7" w:rsidRDefault="00B626E7">
            <w:pPr>
              <w:rPr>
                <w:rFonts w:ascii="宋体"/>
              </w:rPr>
            </w:pPr>
          </w:p>
        </w:tc>
        <w:tc>
          <w:tcPr>
            <w:tcW w:w="0" w:type="auto"/>
            <w:shd w:val="clear" w:color="auto" w:fill="auto"/>
          </w:tcPr>
          <w:p w14:paraId="20AE2ED0" w14:textId="77777777" w:rsidR="00B626E7" w:rsidRDefault="00B626E7">
            <w:pPr>
              <w:rPr>
                <w:rFonts w:ascii="宋体"/>
              </w:rPr>
            </w:pPr>
          </w:p>
        </w:tc>
        <w:tc>
          <w:tcPr>
            <w:tcW w:w="0" w:type="auto"/>
            <w:shd w:val="clear" w:color="auto" w:fill="auto"/>
          </w:tcPr>
          <w:p w14:paraId="20AE2ED1" w14:textId="77777777" w:rsidR="00B626E7" w:rsidRDefault="00B626E7">
            <w:pPr>
              <w:rPr>
                <w:rFonts w:ascii="宋体"/>
              </w:rPr>
            </w:pPr>
          </w:p>
        </w:tc>
        <w:tc>
          <w:tcPr>
            <w:tcW w:w="0" w:type="auto"/>
            <w:shd w:val="clear" w:color="auto" w:fill="auto"/>
          </w:tcPr>
          <w:p w14:paraId="20AE2ED2" w14:textId="77777777" w:rsidR="00B626E7" w:rsidRDefault="00B626E7">
            <w:pPr>
              <w:rPr>
                <w:rFonts w:ascii="宋体"/>
              </w:rPr>
            </w:pPr>
          </w:p>
        </w:tc>
        <w:tc>
          <w:tcPr>
            <w:tcW w:w="0" w:type="auto"/>
            <w:shd w:val="clear" w:color="auto" w:fill="auto"/>
          </w:tcPr>
          <w:p w14:paraId="20AE2ED3" w14:textId="77777777" w:rsidR="00B626E7" w:rsidRDefault="00B626E7">
            <w:pPr>
              <w:rPr>
                <w:rFonts w:ascii="宋体"/>
              </w:rPr>
            </w:pPr>
          </w:p>
        </w:tc>
        <w:tc>
          <w:tcPr>
            <w:tcW w:w="0" w:type="auto"/>
            <w:shd w:val="clear" w:color="auto" w:fill="auto"/>
          </w:tcPr>
          <w:p w14:paraId="20AE2ED4" w14:textId="77777777" w:rsidR="00B626E7" w:rsidRDefault="00B626E7">
            <w:pPr>
              <w:rPr>
                <w:rFonts w:ascii="宋体"/>
              </w:rPr>
            </w:pPr>
          </w:p>
        </w:tc>
        <w:tc>
          <w:tcPr>
            <w:tcW w:w="0" w:type="auto"/>
            <w:shd w:val="clear" w:color="auto" w:fill="auto"/>
          </w:tcPr>
          <w:p w14:paraId="20AE2ED5" w14:textId="77777777" w:rsidR="00B626E7" w:rsidRDefault="00B626E7">
            <w:pPr>
              <w:rPr>
                <w:rFonts w:ascii="宋体"/>
              </w:rPr>
            </w:pPr>
          </w:p>
        </w:tc>
        <w:tc>
          <w:tcPr>
            <w:tcW w:w="0" w:type="auto"/>
            <w:shd w:val="clear" w:color="auto" w:fill="auto"/>
          </w:tcPr>
          <w:p w14:paraId="20AE2ED6" w14:textId="77777777" w:rsidR="00B626E7" w:rsidRDefault="00B626E7">
            <w:pPr>
              <w:rPr>
                <w:rFonts w:ascii="宋体"/>
              </w:rPr>
            </w:pPr>
          </w:p>
        </w:tc>
        <w:tc>
          <w:tcPr>
            <w:tcW w:w="0" w:type="auto"/>
            <w:shd w:val="clear" w:color="auto" w:fill="auto"/>
          </w:tcPr>
          <w:p w14:paraId="20AE2ED7" w14:textId="77777777" w:rsidR="00B626E7" w:rsidRDefault="00B626E7">
            <w:pPr>
              <w:rPr>
                <w:rFonts w:ascii="宋体"/>
              </w:rPr>
            </w:pPr>
          </w:p>
        </w:tc>
        <w:tc>
          <w:tcPr>
            <w:tcW w:w="0" w:type="auto"/>
            <w:shd w:val="clear" w:color="auto" w:fill="auto"/>
          </w:tcPr>
          <w:p w14:paraId="20AE2ED8" w14:textId="77777777" w:rsidR="00B626E7" w:rsidRDefault="00B626E7">
            <w:pPr>
              <w:rPr>
                <w:rFonts w:ascii="宋体"/>
              </w:rPr>
            </w:pPr>
          </w:p>
        </w:tc>
        <w:tc>
          <w:tcPr>
            <w:tcW w:w="0" w:type="auto"/>
            <w:shd w:val="clear" w:color="auto" w:fill="auto"/>
          </w:tcPr>
          <w:p w14:paraId="20AE2ED9" w14:textId="77777777" w:rsidR="00B626E7" w:rsidRDefault="00B626E7">
            <w:pPr>
              <w:rPr>
                <w:rFonts w:ascii="宋体"/>
              </w:rPr>
            </w:pPr>
          </w:p>
        </w:tc>
      </w:tr>
      <w:tr w:rsidR="00B626E7" w14:paraId="20AE2F00" w14:textId="77777777">
        <w:tc>
          <w:tcPr>
            <w:tcW w:w="0" w:type="auto"/>
            <w:gridSpan w:val="3"/>
            <w:shd w:val="clear" w:color="auto" w:fill="auto"/>
            <w:tcMar>
              <w:top w:w="40" w:type="dxa"/>
              <w:left w:w="20" w:type="dxa"/>
              <w:bottom w:w="40" w:type="dxa"/>
              <w:right w:w="20" w:type="dxa"/>
            </w:tcMar>
          </w:tcPr>
          <w:p w14:paraId="20AE2EDB" w14:textId="77777777" w:rsidR="00B626E7" w:rsidRDefault="00175C1D">
            <w:pPr>
              <w:ind w:hanging="180"/>
              <w:textAlignment w:val="top"/>
            </w:pPr>
            <w:r>
              <w:rPr>
                <w:rFonts w:ascii="Arial" w:eastAsia="宋体" w:hAnsi="Arial" w:cs="Arial"/>
                <w:color w:val="333333"/>
                <w:sz w:val="18"/>
                <w:szCs w:val="18"/>
              </w:rPr>
              <w:t>Provision for taxes</w:t>
            </w:r>
          </w:p>
        </w:tc>
        <w:tc>
          <w:tcPr>
            <w:tcW w:w="0" w:type="auto"/>
            <w:gridSpan w:val="3"/>
            <w:shd w:val="clear" w:color="auto" w:fill="auto"/>
            <w:tcMar>
              <w:left w:w="20" w:type="dxa"/>
              <w:right w:w="20" w:type="dxa"/>
            </w:tcMar>
            <w:vAlign w:val="bottom"/>
          </w:tcPr>
          <w:p w14:paraId="20AE2EDC"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EDD" w14:textId="77777777" w:rsidR="00B626E7" w:rsidRDefault="00175C1D">
            <w:pPr>
              <w:jc w:val="right"/>
              <w:textAlignment w:val="bottom"/>
            </w:pPr>
            <w:r>
              <w:rPr>
                <w:rFonts w:ascii="Arial" w:eastAsia="宋体" w:hAnsi="Arial" w:cs="Arial"/>
                <w:color w:val="0071C5"/>
                <w:sz w:val="18"/>
                <w:szCs w:val="18"/>
              </w:rPr>
              <w:t>830 </w:t>
            </w:r>
          </w:p>
        </w:tc>
        <w:tc>
          <w:tcPr>
            <w:tcW w:w="0" w:type="auto"/>
            <w:shd w:val="clear" w:color="auto" w:fill="auto"/>
            <w:tcMar>
              <w:top w:w="40" w:type="dxa"/>
              <w:bottom w:w="40" w:type="dxa"/>
              <w:right w:w="20" w:type="dxa"/>
            </w:tcMar>
            <w:vAlign w:val="bottom"/>
          </w:tcPr>
          <w:p w14:paraId="20AE2EDE"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2EDF"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EE0" w14:textId="77777777" w:rsidR="00B626E7" w:rsidRDefault="00175C1D">
            <w:pPr>
              <w:jc w:val="right"/>
              <w:textAlignment w:val="bottom"/>
            </w:pPr>
            <w:r>
              <w:rPr>
                <w:rFonts w:ascii="Arial" w:eastAsia="宋体" w:hAnsi="Arial" w:cs="Arial"/>
                <w:color w:val="0071C5"/>
                <w:sz w:val="18"/>
                <w:szCs w:val="18"/>
              </w:rPr>
              <w:t>4.2 </w:t>
            </w:r>
          </w:p>
        </w:tc>
        <w:tc>
          <w:tcPr>
            <w:tcW w:w="0" w:type="auto"/>
            <w:shd w:val="clear" w:color="auto" w:fill="auto"/>
            <w:tcMar>
              <w:top w:w="40" w:type="dxa"/>
              <w:bottom w:w="40" w:type="dxa"/>
              <w:right w:w="20" w:type="dxa"/>
            </w:tcMar>
            <w:vAlign w:val="bottom"/>
          </w:tcPr>
          <w:p w14:paraId="20AE2EE1" w14:textId="77777777" w:rsidR="00B626E7" w:rsidRDefault="00175C1D">
            <w:pPr>
              <w:jc w:val="right"/>
              <w:textAlignment w:val="bottom"/>
            </w:pPr>
            <w:r>
              <w:rPr>
                <w:rFonts w:ascii="Arial" w:eastAsia="宋体" w:hAnsi="Arial" w:cs="Arial"/>
                <w:color w:val="0071C5"/>
                <w:sz w:val="18"/>
                <w:szCs w:val="18"/>
              </w:rPr>
              <w:t>%</w:t>
            </w:r>
          </w:p>
        </w:tc>
        <w:tc>
          <w:tcPr>
            <w:tcW w:w="0" w:type="auto"/>
            <w:gridSpan w:val="3"/>
            <w:shd w:val="clear" w:color="auto" w:fill="auto"/>
            <w:tcMar>
              <w:left w:w="20" w:type="dxa"/>
              <w:right w:w="20" w:type="dxa"/>
            </w:tcMar>
            <w:vAlign w:val="bottom"/>
          </w:tcPr>
          <w:p w14:paraId="20AE2EE2"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EE3" w14:textId="77777777" w:rsidR="00B626E7" w:rsidRDefault="00175C1D">
            <w:pPr>
              <w:jc w:val="right"/>
              <w:textAlignment w:val="bottom"/>
            </w:pPr>
            <w:r>
              <w:rPr>
                <w:rFonts w:ascii="Arial" w:eastAsia="宋体" w:hAnsi="Arial" w:cs="Arial"/>
                <w:color w:val="333333"/>
                <w:sz w:val="18"/>
                <w:szCs w:val="18"/>
              </w:rPr>
              <w:t>545 </w:t>
            </w:r>
          </w:p>
        </w:tc>
        <w:tc>
          <w:tcPr>
            <w:tcW w:w="0" w:type="auto"/>
            <w:shd w:val="clear" w:color="auto" w:fill="auto"/>
            <w:tcMar>
              <w:top w:w="40" w:type="dxa"/>
              <w:bottom w:w="40" w:type="dxa"/>
              <w:right w:w="20" w:type="dxa"/>
            </w:tcMar>
            <w:vAlign w:val="bottom"/>
          </w:tcPr>
          <w:p w14:paraId="20AE2EE4"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2EE5"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EE6" w14:textId="77777777" w:rsidR="00B626E7" w:rsidRDefault="00175C1D">
            <w:pPr>
              <w:jc w:val="right"/>
              <w:textAlignment w:val="bottom"/>
            </w:pPr>
            <w:r>
              <w:rPr>
                <w:rFonts w:ascii="Arial" w:eastAsia="宋体" w:hAnsi="Arial" w:cs="Arial"/>
                <w:color w:val="333333"/>
                <w:sz w:val="18"/>
                <w:szCs w:val="18"/>
              </w:rPr>
              <w:t>3.3 </w:t>
            </w:r>
          </w:p>
        </w:tc>
        <w:tc>
          <w:tcPr>
            <w:tcW w:w="0" w:type="auto"/>
            <w:shd w:val="clear" w:color="auto" w:fill="auto"/>
            <w:tcMar>
              <w:top w:w="40" w:type="dxa"/>
              <w:bottom w:w="40" w:type="dxa"/>
              <w:right w:w="20" w:type="dxa"/>
            </w:tcMar>
            <w:vAlign w:val="bottom"/>
          </w:tcPr>
          <w:p w14:paraId="20AE2EE7" w14:textId="77777777" w:rsidR="00B626E7" w:rsidRDefault="00175C1D">
            <w:pPr>
              <w:jc w:val="right"/>
              <w:textAlignment w:val="bottom"/>
            </w:pPr>
            <w:r>
              <w:rPr>
                <w:rFonts w:ascii="Arial" w:eastAsia="宋体" w:hAnsi="Arial" w:cs="Arial"/>
                <w:color w:val="333333"/>
                <w:sz w:val="18"/>
                <w:szCs w:val="18"/>
              </w:rPr>
              <w:t>%</w:t>
            </w:r>
          </w:p>
        </w:tc>
        <w:tc>
          <w:tcPr>
            <w:tcW w:w="0" w:type="auto"/>
            <w:gridSpan w:val="3"/>
            <w:shd w:val="clear" w:color="auto" w:fill="auto"/>
            <w:tcMar>
              <w:left w:w="20" w:type="dxa"/>
              <w:right w:w="20" w:type="dxa"/>
            </w:tcMar>
            <w:vAlign w:val="bottom"/>
          </w:tcPr>
          <w:p w14:paraId="20AE2EE8"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EE9" w14:textId="77777777" w:rsidR="00B626E7" w:rsidRDefault="00175C1D">
            <w:pPr>
              <w:jc w:val="right"/>
              <w:textAlignment w:val="bottom"/>
            </w:pPr>
            <w:r>
              <w:rPr>
                <w:rFonts w:ascii="Arial" w:eastAsia="宋体" w:hAnsi="Arial" w:cs="Arial"/>
                <w:color w:val="0071C5"/>
                <w:sz w:val="18"/>
                <w:szCs w:val="18"/>
              </w:rPr>
              <w:t>1,783 </w:t>
            </w:r>
          </w:p>
        </w:tc>
        <w:tc>
          <w:tcPr>
            <w:tcW w:w="0" w:type="auto"/>
            <w:shd w:val="clear" w:color="auto" w:fill="auto"/>
            <w:tcMar>
              <w:top w:w="40" w:type="dxa"/>
              <w:bottom w:w="40" w:type="dxa"/>
              <w:right w:w="20" w:type="dxa"/>
            </w:tcMar>
            <w:vAlign w:val="bottom"/>
          </w:tcPr>
          <w:p w14:paraId="20AE2EEA"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2EEB"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EEC" w14:textId="77777777" w:rsidR="00B626E7" w:rsidRDefault="00175C1D">
            <w:pPr>
              <w:jc w:val="right"/>
              <w:textAlignment w:val="bottom"/>
            </w:pPr>
            <w:r>
              <w:rPr>
                <w:rFonts w:ascii="Arial" w:eastAsia="宋体" w:hAnsi="Arial" w:cs="Arial"/>
                <w:color w:val="0071C5"/>
                <w:sz w:val="18"/>
                <w:szCs w:val="18"/>
              </w:rPr>
              <w:t>4.5 </w:t>
            </w:r>
          </w:p>
        </w:tc>
        <w:tc>
          <w:tcPr>
            <w:tcW w:w="0" w:type="auto"/>
            <w:shd w:val="clear" w:color="auto" w:fill="auto"/>
            <w:tcMar>
              <w:top w:w="40" w:type="dxa"/>
              <w:bottom w:w="40" w:type="dxa"/>
              <w:right w:w="20" w:type="dxa"/>
            </w:tcMar>
            <w:vAlign w:val="bottom"/>
          </w:tcPr>
          <w:p w14:paraId="20AE2EED" w14:textId="77777777" w:rsidR="00B626E7" w:rsidRDefault="00175C1D">
            <w:pPr>
              <w:jc w:val="right"/>
              <w:textAlignment w:val="bottom"/>
            </w:pPr>
            <w:r>
              <w:rPr>
                <w:rFonts w:ascii="Arial" w:eastAsia="宋体" w:hAnsi="Arial" w:cs="Arial"/>
                <w:color w:val="0071C5"/>
                <w:sz w:val="18"/>
                <w:szCs w:val="18"/>
              </w:rPr>
              <w:t>%</w:t>
            </w:r>
          </w:p>
        </w:tc>
        <w:tc>
          <w:tcPr>
            <w:tcW w:w="0" w:type="auto"/>
            <w:gridSpan w:val="3"/>
            <w:shd w:val="clear" w:color="auto" w:fill="auto"/>
            <w:tcMar>
              <w:left w:w="20" w:type="dxa"/>
              <w:right w:w="20" w:type="dxa"/>
            </w:tcMar>
            <w:vAlign w:val="bottom"/>
          </w:tcPr>
          <w:p w14:paraId="20AE2EEE"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EEF" w14:textId="77777777" w:rsidR="00B626E7" w:rsidRDefault="00175C1D">
            <w:pPr>
              <w:jc w:val="right"/>
              <w:textAlignment w:val="bottom"/>
            </w:pPr>
            <w:r>
              <w:rPr>
                <w:rFonts w:ascii="Arial" w:eastAsia="宋体" w:hAnsi="Arial" w:cs="Arial"/>
                <w:color w:val="333333"/>
                <w:sz w:val="18"/>
                <w:szCs w:val="18"/>
              </w:rPr>
              <w:t>1,118 </w:t>
            </w:r>
          </w:p>
        </w:tc>
        <w:tc>
          <w:tcPr>
            <w:tcW w:w="0" w:type="auto"/>
            <w:shd w:val="clear" w:color="auto" w:fill="auto"/>
            <w:tcMar>
              <w:top w:w="40" w:type="dxa"/>
              <w:bottom w:w="40" w:type="dxa"/>
              <w:right w:w="20" w:type="dxa"/>
            </w:tcMar>
            <w:vAlign w:val="bottom"/>
          </w:tcPr>
          <w:p w14:paraId="20AE2EF0"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2EF1"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2EF2" w14:textId="77777777" w:rsidR="00B626E7" w:rsidRDefault="00175C1D">
            <w:pPr>
              <w:jc w:val="right"/>
              <w:textAlignment w:val="bottom"/>
            </w:pPr>
            <w:r>
              <w:rPr>
                <w:rFonts w:ascii="Arial" w:eastAsia="宋体" w:hAnsi="Arial" w:cs="Arial"/>
                <w:color w:val="333333"/>
                <w:sz w:val="18"/>
                <w:szCs w:val="18"/>
              </w:rPr>
              <w:t>3.4 </w:t>
            </w:r>
          </w:p>
        </w:tc>
        <w:tc>
          <w:tcPr>
            <w:tcW w:w="0" w:type="auto"/>
            <w:shd w:val="clear" w:color="auto" w:fill="auto"/>
            <w:tcMar>
              <w:top w:w="40" w:type="dxa"/>
              <w:bottom w:w="40" w:type="dxa"/>
              <w:right w:w="20" w:type="dxa"/>
            </w:tcMar>
            <w:vAlign w:val="bottom"/>
          </w:tcPr>
          <w:p w14:paraId="20AE2EF3" w14:textId="77777777" w:rsidR="00B626E7" w:rsidRDefault="00175C1D">
            <w:pPr>
              <w:jc w:val="right"/>
              <w:textAlignment w:val="bottom"/>
            </w:pPr>
            <w:r>
              <w:rPr>
                <w:rFonts w:ascii="Arial" w:eastAsia="宋体" w:hAnsi="Arial" w:cs="Arial"/>
                <w:color w:val="333333"/>
                <w:sz w:val="18"/>
                <w:szCs w:val="18"/>
              </w:rPr>
              <w:t>%</w:t>
            </w:r>
          </w:p>
        </w:tc>
        <w:tc>
          <w:tcPr>
            <w:tcW w:w="0" w:type="auto"/>
            <w:shd w:val="clear" w:color="auto" w:fill="auto"/>
          </w:tcPr>
          <w:p w14:paraId="20AE2EF4" w14:textId="77777777" w:rsidR="00B626E7" w:rsidRDefault="00B626E7">
            <w:pPr>
              <w:rPr>
                <w:rFonts w:ascii="宋体"/>
              </w:rPr>
            </w:pPr>
          </w:p>
        </w:tc>
        <w:tc>
          <w:tcPr>
            <w:tcW w:w="0" w:type="auto"/>
            <w:shd w:val="clear" w:color="auto" w:fill="auto"/>
          </w:tcPr>
          <w:p w14:paraId="20AE2EF5" w14:textId="77777777" w:rsidR="00B626E7" w:rsidRDefault="00B626E7">
            <w:pPr>
              <w:rPr>
                <w:rFonts w:ascii="宋体"/>
              </w:rPr>
            </w:pPr>
          </w:p>
        </w:tc>
        <w:tc>
          <w:tcPr>
            <w:tcW w:w="0" w:type="auto"/>
            <w:shd w:val="clear" w:color="auto" w:fill="auto"/>
          </w:tcPr>
          <w:p w14:paraId="20AE2EF6" w14:textId="77777777" w:rsidR="00B626E7" w:rsidRDefault="00B626E7">
            <w:pPr>
              <w:rPr>
                <w:rFonts w:ascii="宋体"/>
              </w:rPr>
            </w:pPr>
          </w:p>
        </w:tc>
        <w:tc>
          <w:tcPr>
            <w:tcW w:w="0" w:type="auto"/>
            <w:shd w:val="clear" w:color="auto" w:fill="auto"/>
          </w:tcPr>
          <w:p w14:paraId="20AE2EF7" w14:textId="77777777" w:rsidR="00B626E7" w:rsidRDefault="00B626E7">
            <w:pPr>
              <w:rPr>
                <w:rFonts w:ascii="宋体"/>
              </w:rPr>
            </w:pPr>
          </w:p>
        </w:tc>
        <w:tc>
          <w:tcPr>
            <w:tcW w:w="0" w:type="auto"/>
            <w:shd w:val="clear" w:color="auto" w:fill="auto"/>
          </w:tcPr>
          <w:p w14:paraId="20AE2EF8" w14:textId="77777777" w:rsidR="00B626E7" w:rsidRDefault="00B626E7">
            <w:pPr>
              <w:rPr>
                <w:rFonts w:ascii="宋体"/>
              </w:rPr>
            </w:pPr>
          </w:p>
        </w:tc>
        <w:tc>
          <w:tcPr>
            <w:tcW w:w="0" w:type="auto"/>
            <w:shd w:val="clear" w:color="auto" w:fill="auto"/>
          </w:tcPr>
          <w:p w14:paraId="20AE2EF9" w14:textId="77777777" w:rsidR="00B626E7" w:rsidRDefault="00B626E7">
            <w:pPr>
              <w:rPr>
                <w:rFonts w:ascii="宋体"/>
              </w:rPr>
            </w:pPr>
          </w:p>
        </w:tc>
        <w:tc>
          <w:tcPr>
            <w:tcW w:w="0" w:type="auto"/>
            <w:shd w:val="clear" w:color="auto" w:fill="auto"/>
          </w:tcPr>
          <w:p w14:paraId="20AE2EFA" w14:textId="77777777" w:rsidR="00B626E7" w:rsidRDefault="00B626E7">
            <w:pPr>
              <w:rPr>
                <w:rFonts w:ascii="宋体"/>
              </w:rPr>
            </w:pPr>
          </w:p>
        </w:tc>
        <w:tc>
          <w:tcPr>
            <w:tcW w:w="0" w:type="auto"/>
            <w:shd w:val="clear" w:color="auto" w:fill="auto"/>
          </w:tcPr>
          <w:p w14:paraId="20AE2EFB" w14:textId="77777777" w:rsidR="00B626E7" w:rsidRDefault="00B626E7">
            <w:pPr>
              <w:rPr>
                <w:rFonts w:ascii="宋体"/>
              </w:rPr>
            </w:pPr>
          </w:p>
        </w:tc>
        <w:tc>
          <w:tcPr>
            <w:tcW w:w="0" w:type="auto"/>
            <w:shd w:val="clear" w:color="auto" w:fill="auto"/>
          </w:tcPr>
          <w:p w14:paraId="20AE2EFC" w14:textId="77777777" w:rsidR="00B626E7" w:rsidRDefault="00B626E7">
            <w:pPr>
              <w:rPr>
                <w:rFonts w:ascii="宋体"/>
              </w:rPr>
            </w:pPr>
          </w:p>
        </w:tc>
        <w:tc>
          <w:tcPr>
            <w:tcW w:w="0" w:type="auto"/>
            <w:shd w:val="clear" w:color="auto" w:fill="auto"/>
          </w:tcPr>
          <w:p w14:paraId="20AE2EFD" w14:textId="77777777" w:rsidR="00B626E7" w:rsidRDefault="00B626E7">
            <w:pPr>
              <w:rPr>
                <w:rFonts w:ascii="宋体"/>
              </w:rPr>
            </w:pPr>
          </w:p>
        </w:tc>
        <w:tc>
          <w:tcPr>
            <w:tcW w:w="0" w:type="auto"/>
            <w:shd w:val="clear" w:color="auto" w:fill="auto"/>
          </w:tcPr>
          <w:p w14:paraId="20AE2EFE" w14:textId="77777777" w:rsidR="00B626E7" w:rsidRDefault="00B626E7">
            <w:pPr>
              <w:rPr>
                <w:rFonts w:ascii="宋体"/>
              </w:rPr>
            </w:pPr>
          </w:p>
        </w:tc>
        <w:tc>
          <w:tcPr>
            <w:tcW w:w="0" w:type="auto"/>
            <w:shd w:val="clear" w:color="auto" w:fill="auto"/>
          </w:tcPr>
          <w:p w14:paraId="20AE2EFF" w14:textId="77777777" w:rsidR="00B626E7" w:rsidRDefault="00B626E7">
            <w:pPr>
              <w:rPr>
                <w:rFonts w:ascii="宋体"/>
              </w:rPr>
            </w:pPr>
          </w:p>
        </w:tc>
      </w:tr>
      <w:tr w:rsidR="00B626E7" w14:paraId="20AE2F2A" w14:textId="77777777">
        <w:tc>
          <w:tcPr>
            <w:tcW w:w="0" w:type="auto"/>
            <w:gridSpan w:val="3"/>
            <w:shd w:val="clear" w:color="auto" w:fill="auto"/>
            <w:tcMar>
              <w:top w:w="40" w:type="dxa"/>
              <w:left w:w="20" w:type="dxa"/>
              <w:bottom w:w="40" w:type="dxa"/>
              <w:right w:w="20" w:type="dxa"/>
            </w:tcMar>
          </w:tcPr>
          <w:p w14:paraId="20AE2F01" w14:textId="77777777" w:rsidR="00B626E7" w:rsidRDefault="00175C1D">
            <w:pPr>
              <w:ind w:hanging="180"/>
              <w:textAlignment w:val="top"/>
            </w:pPr>
            <w:r>
              <w:rPr>
                <w:rFonts w:ascii="Arial" w:eastAsia="宋体" w:hAnsi="Arial" w:cs="Arial"/>
                <w:b/>
                <w:bCs/>
                <w:color w:val="333333"/>
                <w:sz w:val="18"/>
                <w:szCs w:val="18"/>
              </w:rPr>
              <w:t>Net income</w:t>
            </w:r>
          </w:p>
        </w:tc>
        <w:tc>
          <w:tcPr>
            <w:tcW w:w="0" w:type="auto"/>
            <w:gridSpan w:val="3"/>
            <w:shd w:val="clear" w:color="auto" w:fill="auto"/>
            <w:tcMar>
              <w:left w:w="20" w:type="dxa"/>
              <w:right w:w="20" w:type="dxa"/>
            </w:tcMar>
            <w:vAlign w:val="bottom"/>
          </w:tcPr>
          <w:p w14:paraId="20AE2F02" w14:textId="77777777" w:rsidR="00B626E7" w:rsidRDefault="00B626E7">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20AE2F03" w14:textId="77777777" w:rsidR="00B626E7" w:rsidRDefault="00175C1D">
            <w:pPr>
              <w:textAlignment w:val="bottom"/>
            </w:pPr>
            <w:r>
              <w:rPr>
                <w:rFonts w:ascii="Arial" w:eastAsia="宋体" w:hAnsi="Arial" w:cs="Arial"/>
                <w:b/>
                <w:bCs/>
                <w:color w:val="0071C5"/>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20AE2F04" w14:textId="77777777" w:rsidR="00B626E7" w:rsidRDefault="00175C1D">
            <w:pPr>
              <w:jc w:val="right"/>
              <w:textAlignment w:val="bottom"/>
            </w:pPr>
            <w:r>
              <w:rPr>
                <w:rFonts w:ascii="Arial" w:eastAsia="宋体" w:hAnsi="Arial" w:cs="Arial"/>
                <w:b/>
                <w:bCs/>
                <w:color w:val="0071C5"/>
                <w:sz w:val="18"/>
                <w:szCs w:val="18"/>
              </w:rPr>
              <w:t>5,105 </w:t>
            </w:r>
          </w:p>
        </w:tc>
        <w:tc>
          <w:tcPr>
            <w:tcW w:w="0" w:type="auto"/>
            <w:tcBorders>
              <w:top w:val="single" w:sz="8" w:space="0" w:color="333333"/>
            </w:tcBorders>
            <w:shd w:val="clear" w:color="auto" w:fill="auto"/>
            <w:tcMar>
              <w:top w:w="40" w:type="dxa"/>
              <w:bottom w:w="40" w:type="dxa"/>
              <w:right w:w="20" w:type="dxa"/>
            </w:tcMar>
            <w:vAlign w:val="bottom"/>
          </w:tcPr>
          <w:p w14:paraId="20AE2F05"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2F06"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2F07" w14:textId="77777777" w:rsidR="00B626E7" w:rsidRDefault="00175C1D">
            <w:pPr>
              <w:jc w:val="right"/>
              <w:textAlignment w:val="bottom"/>
            </w:pPr>
            <w:r>
              <w:rPr>
                <w:rFonts w:ascii="Arial" w:eastAsia="宋体" w:hAnsi="Arial" w:cs="Arial"/>
                <w:b/>
                <w:bCs/>
                <w:color w:val="0071C5"/>
                <w:sz w:val="18"/>
                <w:szCs w:val="18"/>
              </w:rPr>
              <w:t>25.9 </w:t>
            </w:r>
          </w:p>
        </w:tc>
        <w:tc>
          <w:tcPr>
            <w:tcW w:w="0" w:type="auto"/>
            <w:tcBorders>
              <w:top w:val="single" w:sz="8" w:space="0" w:color="333333"/>
            </w:tcBorders>
            <w:shd w:val="clear" w:color="auto" w:fill="auto"/>
            <w:tcMar>
              <w:top w:w="40" w:type="dxa"/>
              <w:bottom w:w="40" w:type="dxa"/>
              <w:right w:w="20" w:type="dxa"/>
            </w:tcMar>
            <w:vAlign w:val="bottom"/>
          </w:tcPr>
          <w:p w14:paraId="20AE2F08" w14:textId="77777777" w:rsidR="00B626E7" w:rsidRDefault="00175C1D">
            <w:pPr>
              <w:jc w:val="right"/>
              <w:textAlignment w:val="bottom"/>
            </w:pPr>
            <w:r>
              <w:rPr>
                <w:rFonts w:ascii="Arial" w:eastAsia="宋体" w:hAnsi="Arial" w:cs="Arial"/>
                <w:b/>
                <w:bCs/>
                <w:color w:val="0071C5"/>
                <w:sz w:val="18"/>
                <w:szCs w:val="18"/>
              </w:rPr>
              <w:t>%</w:t>
            </w:r>
          </w:p>
        </w:tc>
        <w:tc>
          <w:tcPr>
            <w:tcW w:w="0" w:type="auto"/>
            <w:gridSpan w:val="3"/>
            <w:shd w:val="clear" w:color="auto" w:fill="auto"/>
            <w:tcMar>
              <w:left w:w="20" w:type="dxa"/>
              <w:right w:w="20" w:type="dxa"/>
            </w:tcMar>
            <w:vAlign w:val="bottom"/>
          </w:tcPr>
          <w:p w14:paraId="20AE2F09" w14:textId="77777777" w:rsidR="00B626E7" w:rsidRDefault="00B626E7">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20AE2F0A"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20AE2F0B" w14:textId="77777777" w:rsidR="00B626E7" w:rsidRDefault="00175C1D">
            <w:pPr>
              <w:jc w:val="right"/>
              <w:textAlignment w:val="bottom"/>
            </w:pPr>
            <w:r>
              <w:rPr>
                <w:rFonts w:ascii="Arial" w:eastAsia="宋体" w:hAnsi="Arial" w:cs="Arial"/>
                <w:b/>
                <w:bCs/>
                <w:color w:val="333333"/>
                <w:sz w:val="18"/>
                <w:szCs w:val="18"/>
              </w:rPr>
              <w:t>4,179 </w:t>
            </w:r>
          </w:p>
        </w:tc>
        <w:tc>
          <w:tcPr>
            <w:tcW w:w="0" w:type="auto"/>
            <w:tcBorders>
              <w:top w:val="single" w:sz="8" w:space="0" w:color="333333"/>
            </w:tcBorders>
            <w:shd w:val="clear" w:color="auto" w:fill="auto"/>
            <w:tcMar>
              <w:top w:w="40" w:type="dxa"/>
              <w:bottom w:w="40" w:type="dxa"/>
              <w:right w:w="20" w:type="dxa"/>
            </w:tcMar>
            <w:vAlign w:val="bottom"/>
          </w:tcPr>
          <w:p w14:paraId="20AE2F0C"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2F0D"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2F0E" w14:textId="77777777" w:rsidR="00B626E7" w:rsidRDefault="00175C1D">
            <w:pPr>
              <w:jc w:val="right"/>
              <w:textAlignment w:val="bottom"/>
            </w:pPr>
            <w:r>
              <w:rPr>
                <w:rFonts w:ascii="Arial" w:eastAsia="宋体" w:hAnsi="Arial" w:cs="Arial"/>
                <w:b/>
                <w:bCs/>
                <w:color w:val="333333"/>
                <w:sz w:val="18"/>
                <w:szCs w:val="18"/>
              </w:rPr>
              <w:t>25.3 </w:t>
            </w:r>
          </w:p>
        </w:tc>
        <w:tc>
          <w:tcPr>
            <w:tcW w:w="0" w:type="auto"/>
            <w:tcBorders>
              <w:top w:val="single" w:sz="8" w:space="0" w:color="333333"/>
            </w:tcBorders>
            <w:shd w:val="clear" w:color="auto" w:fill="auto"/>
            <w:tcMar>
              <w:top w:w="40" w:type="dxa"/>
              <w:bottom w:w="40" w:type="dxa"/>
              <w:right w:w="20" w:type="dxa"/>
            </w:tcMar>
            <w:vAlign w:val="bottom"/>
          </w:tcPr>
          <w:p w14:paraId="20AE2F0F" w14:textId="77777777" w:rsidR="00B626E7" w:rsidRDefault="00175C1D">
            <w:pPr>
              <w:jc w:val="right"/>
              <w:textAlignment w:val="bottom"/>
            </w:pPr>
            <w:r>
              <w:rPr>
                <w:rFonts w:ascii="Arial" w:eastAsia="宋体" w:hAnsi="Arial" w:cs="Arial"/>
                <w:b/>
                <w:bCs/>
                <w:color w:val="333333"/>
                <w:sz w:val="18"/>
                <w:szCs w:val="18"/>
              </w:rPr>
              <w:t>%</w:t>
            </w:r>
          </w:p>
        </w:tc>
        <w:tc>
          <w:tcPr>
            <w:tcW w:w="0" w:type="auto"/>
            <w:gridSpan w:val="3"/>
            <w:shd w:val="clear" w:color="auto" w:fill="auto"/>
            <w:tcMar>
              <w:left w:w="20" w:type="dxa"/>
              <w:right w:w="20" w:type="dxa"/>
            </w:tcMar>
            <w:vAlign w:val="bottom"/>
          </w:tcPr>
          <w:p w14:paraId="20AE2F10" w14:textId="77777777" w:rsidR="00B626E7" w:rsidRDefault="00B626E7">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20AE2F11" w14:textId="77777777" w:rsidR="00B626E7" w:rsidRDefault="00175C1D">
            <w:pPr>
              <w:textAlignment w:val="bottom"/>
            </w:pPr>
            <w:r>
              <w:rPr>
                <w:rFonts w:ascii="Arial" w:eastAsia="宋体" w:hAnsi="Arial" w:cs="Arial"/>
                <w:b/>
                <w:bCs/>
                <w:color w:val="0071C5"/>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20AE2F12" w14:textId="77777777" w:rsidR="00B626E7" w:rsidRDefault="00175C1D">
            <w:pPr>
              <w:jc w:val="right"/>
              <w:textAlignment w:val="bottom"/>
            </w:pPr>
            <w:r>
              <w:rPr>
                <w:rFonts w:ascii="Arial" w:eastAsia="宋体" w:hAnsi="Arial" w:cs="Arial"/>
                <w:b/>
                <w:bCs/>
                <w:color w:val="0071C5"/>
                <w:sz w:val="18"/>
                <w:szCs w:val="18"/>
              </w:rPr>
              <w:t>10,766 </w:t>
            </w:r>
          </w:p>
        </w:tc>
        <w:tc>
          <w:tcPr>
            <w:tcW w:w="0" w:type="auto"/>
            <w:tcBorders>
              <w:top w:val="single" w:sz="8" w:space="0" w:color="333333"/>
            </w:tcBorders>
            <w:shd w:val="clear" w:color="auto" w:fill="auto"/>
            <w:tcMar>
              <w:top w:w="40" w:type="dxa"/>
              <w:bottom w:w="40" w:type="dxa"/>
              <w:right w:w="20" w:type="dxa"/>
            </w:tcMar>
            <w:vAlign w:val="bottom"/>
          </w:tcPr>
          <w:p w14:paraId="20AE2F13"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2F14"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2F15" w14:textId="77777777" w:rsidR="00B626E7" w:rsidRDefault="00175C1D">
            <w:pPr>
              <w:jc w:val="right"/>
              <w:textAlignment w:val="bottom"/>
            </w:pPr>
            <w:r>
              <w:rPr>
                <w:rFonts w:ascii="Arial" w:eastAsia="宋体" w:hAnsi="Arial" w:cs="Arial"/>
                <w:b/>
                <w:bCs/>
                <w:color w:val="0071C5"/>
                <w:sz w:val="18"/>
                <w:szCs w:val="18"/>
              </w:rPr>
              <w:t>27.2 </w:t>
            </w:r>
          </w:p>
        </w:tc>
        <w:tc>
          <w:tcPr>
            <w:tcW w:w="0" w:type="auto"/>
            <w:tcBorders>
              <w:top w:val="single" w:sz="8" w:space="0" w:color="333333"/>
            </w:tcBorders>
            <w:shd w:val="clear" w:color="auto" w:fill="auto"/>
            <w:tcMar>
              <w:top w:w="40" w:type="dxa"/>
              <w:bottom w:w="40" w:type="dxa"/>
              <w:right w:w="20" w:type="dxa"/>
            </w:tcMar>
            <w:vAlign w:val="bottom"/>
          </w:tcPr>
          <w:p w14:paraId="20AE2F16" w14:textId="77777777" w:rsidR="00B626E7" w:rsidRDefault="00175C1D">
            <w:pPr>
              <w:jc w:val="right"/>
              <w:textAlignment w:val="bottom"/>
            </w:pPr>
            <w:r>
              <w:rPr>
                <w:rFonts w:ascii="Arial" w:eastAsia="宋体" w:hAnsi="Arial" w:cs="Arial"/>
                <w:b/>
                <w:bCs/>
                <w:color w:val="0071C5"/>
                <w:sz w:val="18"/>
                <w:szCs w:val="18"/>
              </w:rPr>
              <w:t>%</w:t>
            </w:r>
          </w:p>
        </w:tc>
        <w:tc>
          <w:tcPr>
            <w:tcW w:w="0" w:type="auto"/>
            <w:gridSpan w:val="3"/>
            <w:shd w:val="clear" w:color="auto" w:fill="auto"/>
            <w:tcMar>
              <w:left w:w="20" w:type="dxa"/>
              <w:right w:w="20" w:type="dxa"/>
            </w:tcMar>
            <w:vAlign w:val="bottom"/>
          </w:tcPr>
          <w:p w14:paraId="20AE2F17" w14:textId="77777777" w:rsidR="00B626E7" w:rsidRDefault="00B626E7">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20AE2F18"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20AE2F19" w14:textId="77777777" w:rsidR="00B626E7" w:rsidRDefault="00175C1D">
            <w:pPr>
              <w:jc w:val="right"/>
              <w:textAlignment w:val="bottom"/>
            </w:pPr>
            <w:r>
              <w:rPr>
                <w:rFonts w:ascii="Arial" w:eastAsia="宋体" w:hAnsi="Arial" w:cs="Arial"/>
                <w:b/>
                <w:bCs/>
                <w:color w:val="333333"/>
                <w:sz w:val="18"/>
                <w:szCs w:val="18"/>
              </w:rPr>
              <w:t>8,153 </w:t>
            </w:r>
          </w:p>
        </w:tc>
        <w:tc>
          <w:tcPr>
            <w:tcW w:w="0" w:type="auto"/>
            <w:tcBorders>
              <w:top w:val="single" w:sz="8" w:space="0" w:color="333333"/>
            </w:tcBorders>
            <w:shd w:val="clear" w:color="auto" w:fill="auto"/>
            <w:tcMar>
              <w:top w:w="40" w:type="dxa"/>
              <w:bottom w:w="40" w:type="dxa"/>
              <w:right w:w="20" w:type="dxa"/>
            </w:tcMar>
            <w:vAlign w:val="bottom"/>
          </w:tcPr>
          <w:p w14:paraId="20AE2F1A"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2F1B"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2F1C" w14:textId="77777777" w:rsidR="00B626E7" w:rsidRDefault="00175C1D">
            <w:pPr>
              <w:jc w:val="right"/>
              <w:textAlignment w:val="bottom"/>
            </w:pPr>
            <w:r>
              <w:rPr>
                <w:rFonts w:ascii="Arial" w:eastAsia="宋体" w:hAnsi="Arial" w:cs="Arial"/>
                <w:b/>
                <w:bCs/>
                <w:color w:val="333333"/>
                <w:sz w:val="18"/>
                <w:szCs w:val="18"/>
              </w:rPr>
              <w:t>25.0 </w:t>
            </w:r>
          </w:p>
        </w:tc>
        <w:tc>
          <w:tcPr>
            <w:tcW w:w="0" w:type="auto"/>
            <w:tcBorders>
              <w:top w:val="single" w:sz="8" w:space="0" w:color="333333"/>
            </w:tcBorders>
            <w:shd w:val="clear" w:color="auto" w:fill="auto"/>
            <w:tcMar>
              <w:top w:w="40" w:type="dxa"/>
              <w:bottom w:w="40" w:type="dxa"/>
              <w:right w:w="20" w:type="dxa"/>
            </w:tcMar>
            <w:vAlign w:val="bottom"/>
          </w:tcPr>
          <w:p w14:paraId="20AE2F1D" w14:textId="77777777" w:rsidR="00B626E7" w:rsidRDefault="00175C1D">
            <w:pPr>
              <w:jc w:val="right"/>
              <w:textAlignment w:val="bottom"/>
            </w:pPr>
            <w:r>
              <w:rPr>
                <w:rFonts w:ascii="Arial" w:eastAsia="宋体" w:hAnsi="Arial" w:cs="Arial"/>
                <w:b/>
                <w:bCs/>
                <w:color w:val="333333"/>
                <w:sz w:val="18"/>
                <w:szCs w:val="18"/>
              </w:rPr>
              <w:t>%</w:t>
            </w:r>
          </w:p>
        </w:tc>
        <w:tc>
          <w:tcPr>
            <w:tcW w:w="0" w:type="auto"/>
            <w:shd w:val="clear" w:color="auto" w:fill="auto"/>
          </w:tcPr>
          <w:p w14:paraId="20AE2F1E" w14:textId="77777777" w:rsidR="00B626E7" w:rsidRDefault="00B626E7">
            <w:pPr>
              <w:rPr>
                <w:rFonts w:ascii="宋体"/>
              </w:rPr>
            </w:pPr>
          </w:p>
        </w:tc>
        <w:tc>
          <w:tcPr>
            <w:tcW w:w="0" w:type="auto"/>
            <w:shd w:val="clear" w:color="auto" w:fill="auto"/>
          </w:tcPr>
          <w:p w14:paraId="20AE2F1F" w14:textId="77777777" w:rsidR="00B626E7" w:rsidRDefault="00B626E7">
            <w:pPr>
              <w:rPr>
                <w:rFonts w:ascii="宋体"/>
              </w:rPr>
            </w:pPr>
          </w:p>
        </w:tc>
        <w:tc>
          <w:tcPr>
            <w:tcW w:w="0" w:type="auto"/>
            <w:shd w:val="clear" w:color="auto" w:fill="auto"/>
          </w:tcPr>
          <w:p w14:paraId="20AE2F20" w14:textId="77777777" w:rsidR="00B626E7" w:rsidRDefault="00B626E7">
            <w:pPr>
              <w:rPr>
                <w:rFonts w:ascii="宋体"/>
              </w:rPr>
            </w:pPr>
          </w:p>
        </w:tc>
        <w:tc>
          <w:tcPr>
            <w:tcW w:w="0" w:type="auto"/>
            <w:shd w:val="clear" w:color="auto" w:fill="auto"/>
          </w:tcPr>
          <w:p w14:paraId="20AE2F21" w14:textId="77777777" w:rsidR="00B626E7" w:rsidRDefault="00B626E7">
            <w:pPr>
              <w:rPr>
                <w:rFonts w:ascii="宋体"/>
              </w:rPr>
            </w:pPr>
          </w:p>
        </w:tc>
        <w:tc>
          <w:tcPr>
            <w:tcW w:w="0" w:type="auto"/>
            <w:shd w:val="clear" w:color="auto" w:fill="auto"/>
          </w:tcPr>
          <w:p w14:paraId="20AE2F22" w14:textId="77777777" w:rsidR="00B626E7" w:rsidRDefault="00B626E7">
            <w:pPr>
              <w:rPr>
                <w:rFonts w:ascii="宋体"/>
              </w:rPr>
            </w:pPr>
          </w:p>
        </w:tc>
        <w:tc>
          <w:tcPr>
            <w:tcW w:w="0" w:type="auto"/>
            <w:shd w:val="clear" w:color="auto" w:fill="auto"/>
          </w:tcPr>
          <w:p w14:paraId="20AE2F23" w14:textId="77777777" w:rsidR="00B626E7" w:rsidRDefault="00B626E7">
            <w:pPr>
              <w:rPr>
                <w:rFonts w:ascii="宋体"/>
              </w:rPr>
            </w:pPr>
          </w:p>
        </w:tc>
        <w:tc>
          <w:tcPr>
            <w:tcW w:w="0" w:type="auto"/>
            <w:shd w:val="clear" w:color="auto" w:fill="auto"/>
          </w:tcPr>
          <w:p w14:paraId="20AE2F24" w14:textId="77777777" w:rsidR="00B626E7" w:rsidRDefault="00B626E7">
            <w:pPr>
              <w:rPr>
                <w:rFonts w:ascii="宋体"/>
              </w:rPr>
            </w:pPr>
          </w:p>
        </w:tc>
        <w:tc>
          <w:tcPr>
            <w:tcW w:w="0" w:type="auto"/>
            <w:shd w:val="clear" w:color="auto" w:fill="auto"/>
          </w:tcPr>
          <w:p w14:paraId="20AE2F25" w14:textId="77777777" w:rsidR="00B626E7" w:rsidRDefault="00B626E7">
            <w:pPr>
              <w:rPr>
                <w:rFonts w:ascii="宋体"/>
              </w:rPr>
            </w:pPr>
          </w:p>
        </w:tc>
        <w:tc>
          <w:tcPr>
            <w:tcW w:w="0" w:type="auto"/>
            <w:shd w:val="clear" w:color="auto" w:fill="auto"/>
          </w:tcPr>
          <w:p w14:paraId="20AE2F26" w14:textId="77777777" w:rsidR="00B626E7" w:rsidRDefault="00B626E7">
            <w:pPr>
              <w:rPr>
                <w:rFonts w:ascii="宋体"/>
              </w:rPr>
            </w:pPr>
          </w:p>
        </w:tc>
        <w:tc>
          <w:tcPr>
            <w:tcW w:w="0" w:type="auto"/>
            <w:shd w:val="clear" w:color="auto" w:fill="auto"/>
          </w:tcPr>
          <w:p w14:paraId="20AE2F27" w14:textId="77777777" w:rsidR="00B626E7" w:rsidRDefault="00B626E7">
            <w:pPr>
              <w:rPr>
                <w:rFonts w:ascii="宋体"/>
              </w:rPr>
            </w:pPr>
          </w:p>
        </w:tc>
        <w:tc>
          <w:tcPr>
            <w:tcW w:w="0" w:type="auto"/>
            <w:shd w:val="clear" w:color="auto" w:fill="auto"/>
          </w:tcPr>
          <w:p w14:paraId="20AE2F28" w14:textId="77777777" w:rsidR="00B626E7" w:rsidRDefault="00B626E7">
            <w:pPr>
              <w:rPr>
                <w:rFonts w:ascii="宋体"/>
              </w:rPr>
            </w:pPr>
          </w:p>
        </w:tc>
        <w:tc>
          <w:tcPr>
            <w:tcW w:w="0" w:type="auto"/>
            <w:shd w:val="clear" w:color="auto" w:fill="auto"/>
          </w:tcPr>
          <w:p w14:paraId="20AE2F29" w14:textId="77777777" w:rsidR="00B626E7" w:rsidRDefault="00B626E7">
            <w:pPr>
              <w:rPr>
                <w:rFonts w:ascii="宋体"/>
              </w:rPr>
            </w:pPr>
          </w:p>
        </w:tc>
      </w:tr>
      <w:tr w:rsidR="00B626E7" w14:paraId="20AE2F48" w14:textId="77777777">
        <w:trPr>
          <w:hidden/>
        </w:trPr>
        <w:tc>
          <w:tcPr>
            <w:tcW w:w="0" w:type="auto"/>
            <w:gridSpan w:val="3"/>
            <w:shd w:val="clear" w:color="auto" w:fill="auto"/>
          </w:tcPr>
          <w:p w14:paraId="20AE2F2B" w14:textId="77777777" w:rsidR="00B626E7" w:rsidRDefault="00B626E7">
            <w:pPr>
              <w:rPr>
                <w:rFonts w:ascii="宋体"/>
                <w:vanish/>
              </w:rPr>
            </w:pPr>
          </w:p>
        </w:tc>
        <w:tc>
          <w:tcPr>
            <w:tcW w:w="0" w:type="auto"/>
            <w:gridSpan w:val="3"/>
            <w:shd w:val="clear" w:color="auto" w:fill="auto"/>
          </w:tcPr>
          <w:p w14:paraId="20AE2F2C" w14:textId="77777777" w:rsidR="00B626E7" w:rsidRDefault="00B626E7">
            <w:pPr>
              <w:rPr>
                <w:rFonts w:ascii="宋体"/>
                <w:vanish/>
              </w:rPr>
            </w:pPr>
          </w:p>
        </w:tc>
        <w:tc>
          <w:tcPr>
            <w:tcW w:w="0" w:type="auto"/>
            <w:gridSpan w:val="3"/>
            <w:shd w:val="clear" w:color="auto" w:fill="auto"/>
          </w:tcPr>
          <w:p w14:paraId="20AE2F2D" w14:textId="77777777" w:rsidR="00B626E7" w:rsidRDefault="00B626E7">
            <w:pPr>
              <w:rPr>
                <w:rFonts w:ascii="宋体"/>
                <w:vanish/>
              </w:rPr>
            </w:pPr>
          </w:p>
        </w:tc>
        <w:tc>
          <w:tcPr>
            <w:tcW w:w="0" w:type="auto"/>
            <w:gridSpan w:val="3"/>
            <w:shd w:val="clear" w:color="auto" w:fill="auto"/>
          </w:tcPr>
          <w:p w14:paraId="20AE2F2E" w14:textId="77777777" w:rsidR="00B626E7" w:rsidRDefault="00B626E7">
            <w:pPr>
              <w:rPr>
                <w:rFonts w:ascii="宋体"/>
                <w:vanish/>
              </w:rPr>
            </w:pPr>
          </w:p>
        </w:tc>
        <w:tc>
          <w:tcPr>
            <w:tcW w:w="0" w:type="auto"/>
            <w:gridSpan w:val="3"/>
            <w:shd w:val="clear" w:color="auto" w:fill="auto"/>
          </w:tcPr>
          <w:p w14:paraId="20AE2F2F" w14:textId="77777777" w:rsidR="00B626E7" w:rsidRDefault="00B626E7">
            <w:pPr>
              <w:rPr>
                <w:rFonts w:ascii="宋体"/>
                <w:vanish/>
              </w:rPr>
            </w:pPr>
          </w:p>
        </w:tc>
        <w:tc>
          <w:tcPr>
            <w:tcW w:w="0" w:type="auto"/>
            <w:gridSpan w:val="3"/>
            <w:shd w:val="clear" w:color="auto" w:fill="auto"/>
          </w:tcPr>
          <w:p w14:paraId="20AE2F30" w14:textId="77777777" w:rsidR="00B626E7" w:rsidRDefault="00B626E7">
            <w:pPr>
              <w:rPr>
                <w:rFonts w:ascii="宋体"/>
                <w:vanish/>
              </w:rPr>
            </w:pPr>
          </w:p>
        </w:tc>
        <w:tc>
          <w:tcPr>
            <w:tcW w:w="0" w:type="auto"/>
            <w:gridSpan w:val="3"/>
            <w:shd w:val="clear" w:color="auto" w:fill="auto"/>
          </w:tcPr>
          <w:p w14:paraId="20AE2F31" w14:textId="77777777" w:rsidR="00B626E7" w:rsidRDefault="00B626E7">
            <w:pPr>
              <w:rPr>
                <w:rFonts w:ascii="宋体"/>
                <w:vanish/>
              </w:rPr>
            </w:pPr>
          </w:p>
        </w:tc>
        <w:tc>
          <w:tcPr>
            <w:tcW w:w="0" w:type="auto"/>
            <w:gridSpan w:val="3"/>
            <w:shd w:val="clear" w:color="auto" w:fill="auto"/>
          </w:tcPr>
          <w:p w14:paraId="20AE2F32" w14:textId="77777777" w:rsidR="00B626E7" w:rsidRDefault="00B626E7">
            <w:pPr>
              <w:rPr>
                <w:rFonts w:ascii="宋体"/>
                <w:vanish/>
              </w:rPr>
            </w:pPr>
          </w:p>
        </w:tc>
        <w:tc>
          <w:tcPr>
            <w:tcW w:w="0" w:type="auto"/>
            <w:gridSpan w:val="3"/>
            <w:shd w:val="clear" w:color="auto" w:fill="auto"/>
          </w:tcPr>
          <w:p w14:paraId="20AE2F33" w14:textId="77777777" w:rsidR="00B626E7" w:rsidRDefault="00B626E7">
            <w:pPr>
              <w:rPr>
                <w:rFonts w:ascii="宋体"/>
                <w:vanish/>
              </w:rPr>
            </w:pPr>
          </w:p>
        </w:tc>
        <w:tc>
          <w:tcPr>
            <w:tcW w:w="0" w:type="auto"/>
            <w:gridSpan w:val="3"/>
            <w:shd w:val="clear" w:color="auto" w:fill="auto"/>
          </w:tcPr>
          <w:p w14:paraId="20AE2F34" w14:textId="77777777" w:rsidR="00B626E7" w:rsidRDefault="00B626E7">
            <w:pPr>
              <w:rPr>
                <w:rFonts w:ascii="宋体"/>
                <w:vanish/>
              </w:rPr>
            </w:pPr>
          </w:p>
        </w:tc>
        <w:tc>
          <w:tcPr>
            <w:tcW w:w="0" w:type="auto"/>
            <w:gridSpan w:val="3"/>
            <w:shd w:val="clear" w:color="auto" w:fill="auto"/>
          </w:tcPr>
          <w:p w14:paraId="20AE2F35" w14:textId="77777777" w:rsidR="00B626E7" w:rsidRDefault="00B626E7">
            <w:pPr>
              <w:rPr>
                <w:rFonts w:ascii="宋体"/>
                <w:vanish/>
              </w:rPr>
            </w:pPr>
          </w:p>
        </w:tc>
        <w:tc>
          <w:tcPr>
            <w:tcW w:w="0" w:type="auto"/>
            <w:gridSpan w:val="3"/>
            <w:shd w:val="clear" w:color="auto" w:fill="auto"/>
          </w:tcPr>
          <w:p w14:paraId="20AE2F36" w14:textId="77777777" w:rsidR="00B626E7" w:rsidRDefault="00B626E7">
            <w:pPr>
              <w:rPr>
                <w:rFonts w:ascii="宋体"/>
                <w:vanish/>
              </w:rPr>
            </w:pPr>
          </w:p>
        </w:tc>
        <w:tc>
          <w:tcPr>
            <w:tcW w:w="0" w:type="auto"/>
            <w:gridSpan w:val="3"/>
            <w:shd w:val="clear" w:color="auto" w:fill="auto"/>
          </w:tcPr>
          <w:p w14:paraId="20AE2F37" w14:textId="77777777" w:rsidR="00B626E7" w:rsidRDefault="00B626E7">
            <w:pPr>
              <w:rPr>
                <w:rFonts w:ascii="宋体"/>
                <w:vanish/>
              </w:rPr>
            </w:pPr>
          </w:p>
        </w:tc>
        <w:tc>
          <w:tcPr>
            <w:tcW w:w="0" w:type="auto"/>
            <w:gridSpan w:val="3"/>
            <w:shd w:val="clear" w:color="auto" w:fill="auto"/>
          </w:tcPr>
          <w:p w14:paraId="20AE2F38" w14:textId="77777777" w:rsidR="00B626E7" w:rsidRDefault="00B626E7">
            <w:pPr>
              <w:rPr>
                <w:rFonts w:ascii="宋体"/>
                <w:vanish/>
              </w:rPr>
            </w:pPr>
          </w:p>
        </w:tc>
        <w:tc>
          <w:tcPr>
            <w:tcW w:w="0" w:type="auto"/>
            <w:gridSpan w:val="3"/>
            <w:shd w:val="clear" w:color="auto" w:fill="auto"/>
          </w:tcPr>
          <w:p w14:paraId="20AE2F39" w14:textId="77777777" w:rsidR="00B626E7" w:rsidRDefault="00B626E7">
            <w:pPr>
              <w:rPr>
                <w:rFonts w:ascii="宋体"/>
                <w:vanish/>
              </w:rPr>
            </w:pPr>
          </w:p>
        </w:tc>
        <w:tc>
          <w:tcPr>
            <w:tcW w:w="0" w:type="auto"/>
            <w:gridSpan w:val="3"/>
            <w:shd w:val="clear" w:color="auto" w:fill="auto"/>
          </w:tcPr>
          <w:p w14:paraId="20AE2F3A" w14:textId="77777777" w:rsidR="00B626E7" w:rsidRDefault="00B626E7">
            <w:pPr>
              <w:rPr>
                <w:rFonts w:ascii="宋体"/>
                <w:vanish/>
              </w:rPr>
            </w:pPr>
          </w:p>
        </w:tc>
        <w:tc>
          <w:tcPr>
            <w:tcW w:w="0" w:type="auto"/>
            <w:gridSpan w:val="3"/>
            <w:shd w:val="clear" w:color="auto" w:fill="auto"/>
          </w:tcPr>
          <w:p w14:paraId="20AE2F3B" w14:textId="77777777" w:rsidR="00B626E7" w:rsidRDefault="00B626E7">
            <w:pPr>
              <w:rPr>
                <w:rFonts w:ascii="宋体"/>
                <w:vanish/>
              </w:rPr>
            </w:pPr>
          </w:p>
        </w:tc>
        <w:tc>
          <w:tcPr>
            <w:tcW w:w="0" w:type="auto"/>
            <w:shd w:val="clear" w:color="auto" w:fill="auto"/>
          </w:tcPr>
          <w:p w14:paraId="20AE2F3C" w14:textId="77777777" w:rsidR="00B626E7" w:rsidRDefault="00B626E7">
            <w:pPr>
              <w:rPr>
                <w:rFonts w:ascii="宋体"/>
              </w:rPr>
            </w:pPr>
          </w:p>
        </w:tc>
        <w:tc>
          <w:tcPr>
            <w:tcW w:w="0" w:type="auto"/>
            <w:shd w:val="clear" w:color="auto" w:fill="auto"/>
          </w:tcPr>
          <w:p w14:paraId="20AE2F3D" w14:textId="77777777" w:rsidR="00B626E7" w:rsidRDefault="00B626E7">
            <w:pPr>
              <w:rPr>
                <w:rFonts w:ascii="宋体"/>
              </w:rPr>
            </w:pPr>
          </w:p>
        </w:tc>
        <w:tc>
          <w:tcPr>
            <w:tcW w:w="0" w:type="auto"/>
            <w:shd w:val="clear" w:color="auto" w:fill="auto"/>
          </w:tcPr>
          <w:p w14:paraId="20AE2F3E" w14:textId="77777777" w:rsidR="00B626E7" w:rsidRDefault="00B626E7">
            <w:pPr>
              <w:rPr>
                <w:rFonts w:ascii="宋体"/>
              </w:rPr>
            </w:pPr>
          </w:p>
        </w:tc>
        <w:tc>
          <w:tcPr>
            <w:tcW w:w="0" w:type="auto"/>
            <w:shd w:val="clear" w:color="auto" w:fill="auto"/>
          </w:tcPr>
          <w:p w14:paraId="20AE2F3F" w14:textId="77777777" w:rsidR="00B626E7" w:rsidRDefault="00B626E7">
            <w:pPr>
              <w:rPr>
                <w:rFonts w:ascii="宋体"/>
              </w:rPr>
            </w:pPr>
          </w:p>
        </w:tc>
        <w:tc>
          <w:tcPr>
            <w:tcW w:w="0" w:type="auto"/>
            <w:shd w:val="clear" w:color="auto" w:fill="auto"/>
          </w:tcPr>
          <w:p w14:paraId="20AE2F40" w14:textId="77777777" w:rsidR="00B626E7" w:rsidRDefault="00B626E7">
            <w:pPr>
              <w:rPr>
                <w:rFonts w:ascii="宋体"/>
              </w:rPr>
            </w:pPr>
          </w:p>
        </w:tc>
        <w:tc>
          <w:tcPr>
            <w:tcW w:w="0" w:type="auto"/>
            <w:shd w:val="clear" w:color="auto" w:fill="auto"/>
          </w:tcPr>
          <w:p w14:paraId="20AE2F41" w14:textId="77777777" w:rsidR="00B626E7" w:rsidRDefault="00B626E7">
            <w:pPr>
              <w:rPr>
                <w:rFonts w:ascii="宋体"/>
              </w:rPr>
            </w:pPr>
          </w:p>
        </w:tc>
        <w:tc>
          <w:tcPr>
            <w:tcW w:w="0" w:type="auto"/>
            <w:shd w:val="clear" w:color="auto" w:fill="auto"/>
          </w:tcPr>
          <w:p w14:paraId="20AE2F42" w14:textId="77777777" w:rsidR="00B626E7" w:rsidRDefault="00B626E7">
            <w:pPr>
              <w:rPr>
                <w:rFonts w:ascii="宋体"/>
              </w:rPr>
            </w:pPr>
          </w:p>
        </w:tc>
        <w:tc>
          <w:tcPr>
            <w:tcW w:w="0" w:type="auto"/>
            <w:shd w:val="clear" w:color="auto" w:fill="auto"/>
          </w:tcPr>
          <w:p w14:paraId="20AE2F43" w14:textId="77777777" w:rsidR="00B626E7" w:rsidRDefault="00B626E7">
            <w:pPr>
              <w:rPr>
                <w:rFonts w:ascii="宋体"/>
              </w:rPr>
            </w:pPr>
          </w:p>
        </w:tc>
        <w:tc>
          <w:tcPr>
            <w:tcW w:w="0" w:type="auto"/>
            <w:shd w:val="clear" w:color="auto" w:fill="auto"/>
          </w:tcPr>
          <w:p w14:paraId="20AE2F44" w14:textId="77777777" w:rsidR="00B626E7" w:rsidRDefault="00B626E7">
            <w:pPr>
              <w:rPr>
                <w:rFonts w:ascii="宋体"/>
              </w:rPr>
            </w:pPr>
          </w:p>
        </w:tc>
        <w:tc>
          <w:tcPr>
            <w:tcW w:w="0" w:type="auto"/>
            <w:shd w:val="clear" w:color="auto" w:fill="auto"/>
          </w:tcPr>
          <w:p w14:paraId="20AE2F45" w14:textId="77777777" w:rsidR="00B626E7" w:rsidRDefault="00B626E7">
            <w:pPr>
              <w:rPr>
                <w:rFonts w:ascii="宋体"/>
              </w:rPr>
            </w:pPr>
          </w:p>
        </w:tc>
        <w:tc>
          <w:tcPr>
            <w:tcW w:w="0" w:type="auto"/>
            <w:shd w:val="clear" w:color="auto" w:fill="auto"/>
          </w:tcPr>
          <w:p w14:paraId="20AE2F46" w14:textId="77777777" w:rsidR="00B626E7" w:rsidRDefault="00B626E7">
            <w:pPr>
              <w:rPr>
                <w:rFonts w:ascii="宋体"/>
              </w:rPr>
            </w:pPr>
          </w:p>
        </w:tc>
        <w:tc>
          <w:tcPr>
            <w:tcW w:w="0" w:type="auto"/>
            <w:shd w:val="clear" w:color="auto" w:fill="auto"/>
          </w:tcPr>
          <w:p w14:paraId="20AE2F47" w14:textId="77777777" w:rsidR="00B626E7" w:rsidRDefault="00B626E7">
            <w:pPr>
              <w:rPr>
                <w:rFonts w:ascii="宋体"/>
              </w:rPr>
            </w:pPr>
          </w:p>
        </w:tc>
      </w:tr>
      <w:tr w:rsidR="00B626E7" w14:paraId="20AE2F6E" w14:textId="77777777">
        <w:tc>
          <w:tcPr>
            <w:tcW w:w="0" w:type="auto"/>
            <w:gridSpan w:val="3"/>
            <w:shd w:val="clear" w:color="auto" w:fill="auto"/>
            <w:tcMar>
              <w:top w:w="40" w:type="dxa"/>
              <w:left w:w="20" w:type="dxa"/>
              <w:bottom w:w="40" w:type="dxa"/>
              <w:right w:w="20" w:type="dxa"/>
            </w:tcMar>
          </w:tcPr>
          <w:p w14:paraId="20AE2F49" w14:textId="77777777" w:rsidR="00B626E7" w:rsidRDefault="00175C1D">
            <w:pPr>
              <w:ind w:hanging="180"/>
              <w:textAlignment w:val="top"/>
            </w:pPr>
            <w:r>
              <w:rPr>
                <w:rFonts w:ascii="Arial" w:eastAsia="宋体" w:hAnsi="Arial" w:cs="Arial"/>
                <w:b/>
                <w:bCs/>
                <w:color w:val="333333"/>
                <w:sz w:val="18"/>
                <w:szCs w:val="18"/>
              </w:rPr>
              <w:t>Earnings per share—diluted</w:t>
            </w:r>
          </w:p>
        </w:tc>
        <w:tc>
          <w:tcPr>
            <w:tcW w:w="0" w:type="auto"/>
            <w:gridSpan w:val="3"/>
            <w:shd w:val="clear" w:color="auto" w:fill="auto"/>
            <w:tcMar>
              <w:left w:w="20" w:type="dxa"/>
              <w:right w:w="20" w:type="dxa"/>
            </w:tcMar>
            <w:vAlign w:val="bottom"/>
          </w:tcPr>
          <w:p w14:paraId="20AE2F4A" w14:textId="77777777" w:rsidR="00B626E7" w:rsidRDefault="00B626E7">
            <w:pPr>
              <w:rPr>
                <w:rFonts w:ascii="宋体"/>
              </w:rPr>
            </w:pPr>
          </w:p>
        </w:tc>
        <w:tc>
          <w:tcPr>
            <w:tcW w:w="0" w:type="auto"/>
            <w:tcBorders>
              <w:top w:val="double" w:sz="6" w:space="0" w:color="333333"/>
              <w:bottom w:val="double" w:sz="6" w:space="0" w:color="333333"/>
            </w:tcBorders>
            <w:shd w:val="clear" w:color="auto" w:fill="auto"/>
            <w:tcMar>
              <w:top w:w="40" w:type="dxa"/>
              <w:left w:w="20" w:type="dxa"/>
              <w:bottom w:w="40" w:type="dxa"/>
            </w:tcMar>
            <w:vAlign w:val="bottom"/>
          </w:tcPr>
          <w:p w14:paraId="20AE2F4B" w14:textId="77777777" w:rsidR="00B626E7" w:rsidRDefault="00175C1D">
            <w:pPr>
              <w:textAlignment w:val="bottom"/>
            </w:pPr>
            <w:r>
              <w:rPr>
                <w:rFonts w:ascii="Arial" w:eastAsia="宋体" w:hAnsi="Arial" w:cs="Arial"/>
                <w:b/>
                <w:bCs/>
                <w:color w:val="0071C5"/>
                <w:sz w:val="18"/>
                <w:szCs w:val="18"/>
              </w:rPr>
              <w:t>$</w:t>
            </w:r>
          </w:p>
        </w:tc>
        <w:tc>
          <w:tcPr>
            <w:tcW w:w="0" w:type="auto"/>
            <w:tcBorders>
              <w:top w:val="double" w:sz="6" w:space="0" w:color="333333"/>
              <w:bottom w:val="double" w:sz="6" w:space="0" w:color="333333"/>
            </w:tcBorders>
            <w:shd w:val="clear" w:color="auto" w:fill="auto"/>
            <w:tcMar>
              <w:top w:w="40" w:type="dxa"/>
              <w:bottom w:w="40" w:type="dxa"/>
              <w:right w:w="0" w:type="dxa"/>
            </w:tcMar>
            <w:vAlign w:val="bottom"/>
          </w:tcPr>
          <w:p w14:paraId="20AE2F4C" w14:textId="77777777" w:rsidR="00B626E7" w:rsidRDefault="00175C1D">
            <w:pPr>
              <w:jc w:val="right"/>
              <w:textAlignment w:val="bottom"/>
            </w:pPr>
            <w:r>
              <w:rPr>
                <w:rFonts w:ascii="Arial" w:eastAsia="宋体" w:hAnsi="Arial" w:cs="Arial"/>
                <w:b/>
                <w:bCs/>
                <w:color w:val="0071C5"/>
                <w:sz w:val="18"/>
                <w:szCs w:val="18"/>
              </w:rPr>
              <w:t>1.19 </w:t>
            </w:r>
          </w:p>
        </w:tc>
        <w:tc>
          <w:tcPr>
            <w:tcW w:w="0" w:type="auto"/>
            <w:tcBorders>
              <w:top w:val="double" w:sz="6" w:space="0" w:color="333333"/>
              <w:bottom w:val="double" w:sz="6" w:space="0" w:color="333333"/>
            </w:tcBorders>
            <w:shd w:val="clear" w:color="auto" w:fill="auto"/>
            <w:tcMar>
              <w:top w:w="40" w:type="dxa"/>
              <w:bottom w:w="40" w:type="dxa"/>
              <w:right w:w="20" w:type="dxa"/>
            </w:tcMar>
            <w:vAlign w:val="bottom"/>
          </w:tcPr>
          <w:p w14:paraId="20AE2F4D"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2F4E" w14:textId="77777777" w:rsidR="00B626E7" w:rsidRDefault="00B626E7">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20AE2F4F"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F50" w14:textId="77777777" w:rsidR="00B626E7" w:rsidRDefault="00B626E7">
            <w:pPr>
              <w:rPr>
                <w:rFonts w:ascii="宋体"/>
              </w:rPr>
            </w:pPr>
          </w:p>
        </w:tc>
        <w:tc>
          <w:tcPr>
            <w:tcW w:w="0" w:type="auto"/>
            <w:tcBorders>
              <w:top w:val="double" w:sz="6" w:space="0" w:color="333333"/>
              <w:bottom w:val="double" w:sz="6" w:space="0" w:color="333333"/>
            </w:tcBorders>
            <w:shd w:val="clear" w:color="auto" w:fill="auto"/>
            <w:tcMar>
              <w:top w:w="40" w:type="dxa"/>
              <w:left w:w="20" w:type="dxa"/>
              <w:bottom w:w="40" w:type="dxa"/>
            </w:tcMar>
            <w:vAlign w:val="bottom"/>
          </w:tcPr>
          <w:p w14:paraId="20AE2F51" w14:textId="77777777" w:rsidR="00B626E7" w:rsidRDefault="00175C1D">
            <w:pPr>
              <w:textAlignment w:val="bottom"/>
            </w:pPr>
            <w:r>
              <w:rPr>
                <w:rFonts w:ascii="Arial" w:eastAsia="宋体" w:hAnsi="Arial" w:cs="Arial"/>
                <w:b/>
                <w:bCs/>
                <w:color w:val="333333"/>
                <w:sz w:val="18"/>
                <w:szCs w:val="18"/>
              </w:rPr>
              <w:t>$</w:t>
            </w:r>
          </w:p>
        </w:tc>
        <w:tc>
          <w:tcPr>
            <w:tcW w:w="0" w:type="auto"/>
            <w:tcBorders>
              <w:top w:val="double" w:sz="6" w:space="0" w:color="333333"/>
              <w:bottom w:val="double" w:sz="6" w:space="0" w:color="333333"/>
            </w:tcBorders>
            <w:shd w:val="clear" w:color="auto" w:fill="auto"/>
            <w:tcMar>
              <w:top w:w="40" w:type="dxa"/>
              <w:bottom w:w="40" w:type="dxa"/>
              <w:right w:w="0" w:type="dxa"/>
            </w:tcMar>
            <w:vAlign w:val="bottom"/>
          </w:tcPr>
          <w:p w14:paraId="20AE2F52" w14:textId="77777777" w:rsidR="00B626E7" w:rsidRDefault="00175C1D">
            <w:pPr>
              <w:jc w:val="right"/>
              <w:textAlignment w:val="bottom"/>
            </w:pPr>
            <w:r>
              <w:rPr>
                <w:rFonts w:ascii="Arial" w:eastAsia="宋体" w:hAnsi="Arial" w:cs="Arial"/>
                <w:b/>
                <w:bCs/>
                <w:color w:val="333333"/>
                <w:sz w:val="18"/>
                <w:szCs w:val="18"/>
              </w:rPr>
              <w:t>0.92 </w:t>
            </w:r>
          </w:p>
        </w:tc>
        <w:tc>
          <w:tcPr>
            <w:tcW w:w="0" w:type="auto"/>
            <w:tcBorders>
              <w:top w:val="double" w:sz="6" w:space="0" w:color="333333"/>
              <w:bottom w:val="double" w:sz="6" w:space="0" w:color="333333"/>
            </w:tcBorders>
            <w:shd w:val="clear" w:color="auto" w:fill="auto"/>
            <w:tcMar>
              <w:top w:w="40" w:type="dxa"/>
              <w:bottom w:w="40" w:type="dxa"/>
              <w:right w:w="20" w:type="dxa"/>
            </w:tcMar>
            <w:vAlign w:val="bottom"/>
          </w:tcPr>
          <w:p w14:paraId="20AE2F53"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2F54" w14:textId="77777777" w:rsidR="00B626E7" w:rsidRDefault="00B626E7">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20AE2F55"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F56" w14:textId="77777777" w:rsidR="00B626E7" w:rsidRDefault="00B626E7">
            <w:pPr>
              <w:rPr>
                <w:rFonts w:ascii="宋体"/>
              </w:rPr>
            </w:pPr>
          </w:p>
        </w:tc>
        <w:tc>
          <w:tcPr>
            <w:tcW w:w="0" w:type="auto"/>
            <w:tcBorders>
              <w:top w:val="double" w:sz="6" w:space="0" w:color="333333"/>
              <w:bottom w:val="double" w:sz="6" w:space="0" w:color="333333"/>
            </w:tcBorders>
            <w:shd w:val="clear" w:color="auto" w:fill="auto"/>
            <w:tcMar>
              <w:top w:w="40" w:type="dxa"/>
              <w:left w:w="20" w:type="dxa"/>
              <w:bottom w:w="40" w:type="dxa"/>
            </w:tcMar>
            <w:vAlign w:val="bottom"/>
          </w:tcPr>
          <w:p w14:paraId="20AE2F57" w14:textId="77777777" w:rsidR="00B626E7" w:rsidRDefault="00175C1D">
            <w:pPr>
              <w:textAlignment w:val="bottom"/>
            </w:pPr>
            <w:r>
              <w:rPr>
                <w:rFonts w:ascii="Arial" w:eastAsia="宋体" w:hAnsi="Arial" w:cs="Arial"/>
                <w:b/>
                <w:bCs/>
                <w:color w:val="0071C5"/>
                <w:sz w:val="18"/>
                <w:szCs w:val="18"/>
              </w:rPr>
              <w:t>$</w:t>
            </w:r>
          </w:p>
        </w:tc>
        <w:tc>
          <w:tcPr>
            <w:tcW w:w="0" w:type="auto"/>
            <w:tcBorders>
              <w:top w:val="double" w:sz="6" w:space="0" w:color="333333"/>
              <w:bottom w:val="double" w:sz="6" w:space="0" w:color="333333"/>
            </w:tcBorders>
            <w:shd w:val="clear" w:color="auto" w:fill="auto"/>
            <w:tcMar>
              <w:top w:w="40" w:type="dxa"/>
              <w:bottom w:w="40" w:type="dxa"/>
              <w:right w:w="0" w:type="dxa"/>
            </w:tcMar>
            <w:vAlign w:val="bottom"/>
          </w:tcPr>
          <w:p w14:paraId="20AE2F58" w14:textId="77777777" w:rsidR="00B626E7" w:rsidRDefault="00175C1D">
            <w:pPr>
              <w:jc w:val="right"/>
              <w:textAlignment w:val="bottom"/>
            </w:pPr>
            <w:r>
              <w:rPr>
                <w:rFonts w:ascii="Arial" w:eastAsia="宋体" w:hAnsi="Arial" w:cs="Arial"/>
                <w:b/>
                <w:bCs/>
                <w:color w:val="0071C5"/>
                <w:sz w:val="18"/>
                <w:szCs w:val="18"/>
              </w:rPr>
              <w:t>2.50 </w:t>
            </w:r>
          </w:p>
        </w:tc>
        <w:tc>
          <w:tcPr>
            <w:tcW w:w="0" w:type="auto"/>
            <w:tcBorders>
              <w:top w:val="double" w:sz="6" w:space="0" w:color="333333"/>
              <w:bottom w:val="double" w:sz="6" w:space="0" w:color="333333"/>
            </w:tcBorders>
            <w:shd w:val="clear" w:color="auto" w:fill="auto"/>
            <w:tcMar>
              <w:top w:w="40" w:type="dxa"/>
              <w:bottom w:w="40" w:type="dxa"/>
              <w:right w:w="20" w:type="dxa"/>
            </w:tcMar>
            <w:vAlign w:val="bottom"/>
          </w:tcPr>
          <w:p w14:paraId="20AE2F59"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2F5A" w14:textId="77777777" w:rsidR="00B626E7" w:rsidRDefault="00B626E7">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20AE2F5B"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F5C" w14:textId="77777777" w:rsidR="00B626E7" w:rsidRDefault="00B626E7">
            <w:pPr>
              <w:rPr>
                <w:rFonts w:ascii="宋体"/>
              </w:rPr>
            </w:pPr>
          </w:p>
        </w:tc>
        <w:tc>
          <w:tcPr>
            <w:tcW w:w="0" w:type="auto"/>
            <w:tcBorders>
              <w:top w:val="double" w:sz="6" w:space="0" w:color="333333"/>
              <w:bottom w:val="double" w:sz="6" w:space="0" w:color="333333"/>
            </w:tcBorders>
            <w:shd w:val="clear" w:color="auto" w:fill="auto"/>
            <w:tcMar>
              <w:top w:w="40" w:type="dxa"/>
              <w:left w:w="20" w:type="dxa"/>
              <w:bottom w:w="40" w:type="dxa"/>
            </w:tcMar>
            <w:vAlign w:val="bottom"/>
          </w:tcPr>
          <w:p w14:paraId="20AE2F5D" w14:textId="77777777" w:rsidR="00B626E7" w:rsidRDefault="00175C1D">
            <w:pPr>
              <w:textAlignment w:val="bottom"/>
            </w:pPr>
            <w:r>
              <w:rPr>
                <w:rFonts w:ascii="Arial" w:eastAsia="宋体" w:hAnsi="Arial" w:cs="Arial"/>
                <w:b/>
                <w:bCs/>
                <w:color w:val="333333"/>
                <w:sz w:val="18"/>
                <w:szCs w:val="18"/>
              </w:rPr>
              <w:t>$</w:t>
            </w:r>
          </w:p>
        </w:tc>
        <w:tc>
          <w:tcPr>
            <w:tcW w:w="0" w:type="auto"/>
            <w:tcBorders>
              <w:top w:val="double" w:sz="6" w:space="0" w:color="333333"/>
              <w:bottom w:val="double" w:sz="6" w:space="0" w:color="333333"/>
            </w:tcBorders>
            <w:shd w:val="clear" w:color="auto" w:fill="auto"/>
            <w:tcMar>
              <w:top w:w="40" w:type="dxa"/>
              <w:bottom w:w="40" w:type="dxa"/>
              <w:right w:w="0" w:type="dxa"/>
            </w:tcMar>
            <w:vAlign w:val="bottom"/>
          </w:tcPr>
          <w:p w14:paraId="20AE2F5E" w14:textId="77777777" w:rsidR="00B626E7" w:rsidRDefault="00175C1D">
            <w:pPr>
              <w:jc w:val="right"/>
              <w:textAlignment w:val="bottom"/>
            </w:pPr>
            <w:r>
              <w:rPr>
                <w:rFonts w:ascii="Arial" w:eastAsia="宋体" w:hAnsi="Arial" w:cs="Arial"/>
                <w:b/>
                <w:bCs/>
                <w:color w:val="333333"/>
                <w:sz w:val="18"/>
                <w:szCs w:val="18"/>
              </w:rPr>
              <w:t>1.79 </w:t>
            </w:r>
          </w:p>
        </w:tc>
        <w:tc>
          <w:tcPr>
            <w:tcW w:w="0" w:type="auto"/>
            <w:tcBorders>
              <w:top w:val="double" w:sz="6" w:space="0" w:color="333333"/>
              <w:bottom w:val="double" w:sz="6" w:space="0" w:color="333333"/>
            </w:tcBorders>
            <w:shd w:val="clear" w:color="auto" w:fill="auto"/>
            <w:tcMar>
              <w:top w:w="40" w:type="dxa"/>
              <w:bottom w:w="40" w:type="dxa"/>
              <w:right w:w="20" w:type="dxa"/>
            </w:tcMar>
            <w:vAlign w:val="bottom"/>
          </w:tcPr>
          <w:p w14:paraId="20AE2F5F"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2F60" w14:textId="77777777" w:rsidR="00B626E7" w:rsidRDefault="00B626E7">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20AE2F61" w14:textId="77777777" w:rsidR="00B626E7" w:rsidRDefault="00B626E7">
            <w:pPr>
              <w:rPr>
                <w:rFonts w:ascii="宋体"/>
              </w:rPr>
            </w:pPr>
          </w:p>
        </w:tc>
        <w:tc>
          <w:tcPr>
            <w:tcW w:w="0" w:type="auto"/>
            <w:shd w:val="clear" w:color="auto" w:fill="auto"/>
          </w:tcPr>
          <w:p w14:paraId="20AE2F62" w14:textId="77777777" w:rsidR="00B626E7" w:rsidRDefault="00B626E7">
            <w:pPr>
              <w:rPr>
                <w:rFonts w:ascii="宋体"/>
              </w:rPr>
            </w:pPr>
          </w:p>
        </w:tc>
        <w:tc>
          <w:tcPr>
            <w:tcW w:w="0" w:type="auto"/>
            <w:shd w:val="clear" w:color="auto" w:fill="auto"/>
          </w:tcPr>
          <w:p w14:paraId="20AE2F63" w14:textId="77777777" w:rsidR="00B626E7" w:rsidRDefault="00B626E7">
            <w:pPr>
              <w:rPr>
                <w:rFonts w:ascii="宋体"/>
              </w:rPr>
            </w:pPr>
          </w:p>
        </w:tc>
        <w:tc>
          <w:tcPr>
            <w:tcW w:w="0" w:type="auto"/>
            <w:shd w:val="clear" w:color="auto" w:fill="auto"/>
          </w:tcPr>
          <w:p w14:paraId="20AE2F64" w14:textId="77777777" w:rsidR="00B626E7" w:rsidRDefault="00B626E7">
            <w:pPr>
              <w:rPr>
                <w:rFonts w:ascii="宋体"/>
              </w:rPr>
            </w:pPr>
          </w:p>
        </w:tc>
        <w:tc>
          <w:tcPr>
            <w:tcW w:w="0" w:type="auto"/>
            <w:shd w:val="clear" w:color="auto" w:fill="auto"/>
          </w:tcPr>
          <w:p w14:paraId="20AE2F65" w14:textId="77777777" w:rsidR="00B626E7" w:rsidRDefault="00B626E7">
            <w:pPr>
              <w:rPr>
                <w:rFonts w:ascii="宋体"/>
              </w:rPr>
            </w:pPr>
          </w:p>
        </w:tc>
        <w:tc>
          <w:tcPr>
            <w:tcW w:w="0" w:type="auto"/>
            <w:shd w:val="clear" w:color="auto" w:fill="auto"/>
          </w:tcPr>
          <w:p w14:paraId="20AE2F66" w14:textId="77777777" w:rsidR="00B626E7" w:rsidRDefault="00B626E7">
            <w:pPr>
              <w:rPr>
                <w:rFonts w:ascii="宋体"/>
              </w:rPr>
            </w:pPr>
          </w:p>
        </w:tc>
        <w:tc>
          <w:tcPr>
            <w:tcW w:w="0" w:type="auto"/>
            <w:shd w:val="clear" w:color="auto" w:fill="auto"/>
          </w:tcPr>
          <w:p w14:paraId="20AE2F67" w14:textId="77777777" w:rsidR="00B626E7" w:rsidRDefault="00B626E7">
            <w:pPr>
              <w:rPr>
                <w:rFonts w:ascii="宋体"/>
              </w:rPr>
            </w:pPr>
          </w:p>
        </w:tc>
        <w:tc>
          <w:tcPr>
            <w:tcW w:w="0" w:type="auto"/>
            <w:shd w:val="clear" w:color="auto" w:fill="auto"/>
          </w:tcPr>
          <w:p w14:paraId="20AE2F68" w14:textId="77777777" w:rsidR="00B626E7" w:rsidRDefault="00B626E7">
            <w:pPr>
              <w:rPr>
                <w:rFonts w:ascii="宋体"/>
              </w:rPr>
            </w:pPr>
          </w:p>
        </w:tc>
        <w:tc>
          <w:tcPr>
            <w:tcW w:w="0" w:type="auto"/>
            <w:shd w:val="clear" w:color="auto" w:fill="auto"/>
          </w:tcPr>
          <w:p w14:paraId="20AE2F69" w14:textId="77777777" w:rsidR="00B626E7" w:rsidRDefault="00B626E7">
            <w:pPr>
              <w:rPr>
                <w:rFonts w:ascii="宋体"/>
              </w:rPr>
            </w:pPr>
          </w:p>
        </w:tc>
        <w:tc>
          <w:tcPr>
            <w:tcW w:w="0" w:type="auto"/>
            <w:shd w:val="clear" w:color="auto" w:fill="auto"/>
          </w:tcPr>
          <w:p w14:paraId="20AE2F6A" w14:textId="77777777" w:rsidR="00B626E7" w:rsidRDefault="00B626E7">
            <w:pPr>
              <w:rPr>
                <w:rFonts w:ascii="宋体"/>
              </w:rPr>
            </w:pPr>
          </w:p>
        </w:tc>
        <w:tc>
          <w:tcPr>
            <w:tcW w:w="0" w:type="auto"/>
            <w:shd w:val="clear" w:color="auto" w:fill="auto"/>
          </w:tcPr>
          <w:p w14:paraId="20AE2F6B" w14:textId="77777777" w:rsidR="00B626E7" w:rsidRDefault="00B626E7">
            <w:pPr>
              <w:rPr>
                <w:rFonts w:ascii="宋体"/>
              </w:rPr>
            </w:pPr>
          </w:p>
        </w:tc>
        <w:tc>
          <w:tcPr>
            <w:tcW w:w="0" w:type="auto"/>
            <w:shd w:val="clear" w:color="auto" w:fill="auto"/>
          </w:tcPr>
          <w:p w14:paraId="20AE2F6C" w14:textId="77777777" w:rsidR="00B626E7" w:rsidRDefault="00B626E7">
            <w:pPr>
              <w:rPr>
                <w:rFonts w:ascii="宋体"/>
              </w:rPr>
            </w:pPr>
          </w:p>
        </w:tc>
        <w:tc>
          <w:tcPr>
            <w:tcW w:w="0" w:type="auto"/>
            <w:shd w:val="clear" w:color="auto" w:fill="auto"/>
          </w:tcPr>
          <w:p w14:paraId="20AE2F6D" w14:textId="77777777" w:rsidR="00B626E7" w:rsidRDefault="00B626E7">
            <w:pPr>
              <w:rPr>
                <w:rFonts w:ascii="宋体"/>
              </w:rPr>
            </w:pPr>
          </w:p>
        </w:tc>
      </w:tr>
    </w:tbl>
    <w:p w14:paraId="20AE2F6F" w14:textId="77777777" w:rsidR="00B626E7" w:rsidRDefault="00B626E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84"/>
        <w:gridCol w:w="2423"/>
        <w:gridCol w:w="84"/>
        <w:gridCol w:w="83"/>
        <w:gridCol w:w="3471"/>
        <w:gridCol w:w="83"/>
        <w:gridCol w:w="83"/>
        <w:gridCol w:w="1942"/>
        <w:gridCol w:w="83"/>
      </w:tblGrid>
      <w:tr w:rsidR="00B626E7" w14:paraId="20AE2F79" w14:textId="77777777">
        <w:tc>
          <w:tcPr>
            <w:tcW w:w="50" w:type="pct"/>
            <w:shd w:val="clear" w:color="auto" w:fill="auto"/>
            <w:vAlign w:val="bottom"/>
          </w:tcPr>
          <w:p w14:paraId="20AE2F70" w14:textId="77777777" w:rsidR="00B626E7" w:rsidRDefault="00B626E7">
            <w:pPr>
              <w:rPr>
                <w:rFonts w:ascii="宋体"/>
              </w:rPr>
            </w:pPr>
          </w:p>
        </w:tc>
        <w:tc>
          <w:tcPr>
            <w:tcW w:w="1452" w:type="pct"/>
            <w:shd w:val="clear" w:color="auto" w:fill="auto"/>
            <w:vAlign w:val="bottom"/>
          </w:tcPr>
          <w:p w14:paraId="20AE2F71" w14:textId="77777777" w:rsidR="00B626E7" w:rsidRDefault="00B626E7">
            <w:pPr>
              <w:rPr>
                <w:rFonts w:ascii="宋体"/>
              </w:rPr>
            </w:pPr>
          </w:p>
        </w:tc>
        <w:tc>
          <w:tcPr>
            <w:tcW w:w="50" w:type="pct"/>
            <w:shd w:val="clear" w:color="auto" w:fill="auto"/>
            <w:vAlign w:val="bottom"/>
          </w:tcPr>
          <w:p w14:paraId="20AE2F72" w14:textId="77777777" w:rsidR="00B626E7" w:rsidRDefault="00B626E7">
            <w:pPr>
              <w:rPr>
                <w:rFonts w:ascii="宋体"/>
              </w:rPr>
            </w:pPr>
          </w:p>
        </w:tc>
        <w:tc>
          <w:tcPr>
            <w:tcW w:w="50" w:type="pct"/>
            <w:shd w:val="clear" w:color="auto" w:fill="auto"/>
            <w:vAlign w:val="bottom"/>
          </w:tcPr>
          <w:p w14:paraId="20AE2F73" w14:textId="77777777" w:rsidR="00B626E7" w:rsidRDefault="00B626E7">
            <w:pPr>
              <w:rPr>
                <w:rFonts w:ascii="宋体"/>
              </w:rPr>
            </w:pPr>
          </w:p>
        </w:tc>
        <w:tc>
          <w:tcPr>
            <w:tcW w:w="2081" w:type="pct"/>
            <w:shd w:val="clear" w:color="auto" w:fill="auto"/>
            <w:vAlign w:val="bottom"/>
          </w:tcPr>
          <w:p w14:paraId="20AE2F74" w14:textId="77777777" w:rsidR="00B626E7" w:rsidRDefault="00B626E7">
            <w:pPr>
              <w:rPr>
                <w:rFonts w:ascii="宋体"/>
              </w:rPr>
            </w:pPr>
          </w:p>
        </w:tc>
        <w:tc>
          <w:tcPr>
            <w:tcW w:w="50" w:type="pct"/>
            <w:shd w:val="clear" w:color="auto" w:fill="auto"/>
            <w:vAlign w:val="bottom"/>
          </w:tcPr>
          <w:p w14:paraId="20AE2F75" w14:textId="77777777" w:rsidR="00B626E7" w:rsidRDefault="00B626E7">
            <w:pPr>
              <w:rPr>
                <w:rFonts w:ascii="宋体"/>
              </w:rPr>
            </w:pPr>
          </w:p>
        </w:tc>
        <w:tc>
          <w:tcPr>
            <w:tcW w:w="50" w:type="pct"/>
            <w:shd w:val="clear" w:color="auto" w:fill="auto"/>
            <w:vAlign w:val="bottom"/>
          </w:tcPr>
          <w:p w14:paraId="20AE2F76" w14:textId="77777777" w:rsidR="00B626E7" w:rsidRDefault="00B626E7">
            <w:pPr>
              <w:rPr>
                <w:rFonts w:ascii="宋体"/>
              </w:rPr>
            </w:pPr>
          </w:p>
        </w:tc>
        <w:tc>
          <w:tcPr>
            <w:tcW w:w="1165" w:type="pct"/>
            <w:shd w:val="clear" w:color="auto" w:fill="auto"/>
            <w:vAlign w:val="bottom"/>
          </w:tcPr>
          <w:p w14:paraId="20AE2F77" w14:textId="77777777" w:rsidR="00B626E7" w:rsidRDefault="00B626E7">
            <w:pPr>
              <w:rPr>
                <w:rFonts w:ascii="宋体"/>
              </w:rPr>
            </w:pPr>
          </w:p>
        </w:tc>
        <w:tc>
          <w:tcPr>
            <w:tcW w:w="50" w:type="pct"/>
            <w:shd w:val="clear" w:color="auto" w:fill="auto"/>
            <w:vAlign w:val="bottom"/>
          </w:tcPr>
          <w:p w14:paraId="20AE2F78" w14:textId="77777777" w:rsidR="00B626E7" w:rsidRDefault="00B626E7">
            <w:pPr>
              <w:rPr>
                <w:rFonts w:ascii="宋体"/>
              </w:rPr>
            </w:pPr>
          </w:p>
        </w:tc>
      </w:tr>
      <w:tr w:rsidR="00B626E7" w14:paraId="20AE2F7D" w14:textId="77777777">
        <w:tc>
          <w:tcPr>
            <w:tcW w:w="0" w:type="auto"/>
            <w:gridSpan w:val="3"/>
            <w:tcBorders>
              <w:top w:val="single" w:sz="8" w:space="0" w:color="0071C5"/>
            </w:tcBorders>
            <w:shd w:val="clear" w:color="auto" w:fill="auto"/>
            <w:tcMar>
              <w:top w:w="40" w:type="dxa"/>
              <w:left w:w="20" w:type="dxa"/>
              <w:bottom w:w="40" w:type="dxa"/>
              <w:right w:w="20" w:type="dxa"/>
            </w:tcMar>
            <w:vAlign w:val="center"/>
          </w:tcPr>
          <w:p w14:paraId="20AE2F7A" w14:textId="77777777" w:rsidR="00B626E7" w:rsidRDefault="00175C1D">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Viewer10_files/intc-20200627_g36.jpg"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94" wp14:editId="20AE3C95">
                  <wp:extent cx="304800" cy="304800"/>
                  <wp:effectExtent l="0" t="0" r="0" b="0"/>
                  <wp:docPr id="73" name="图片 119"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19" descr="IMG_32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Arial" w:eastAsia="宋体" w:hAnsi="Arial" w:cs="Arial"/>
                <w:color w:val="333333"/>
                <w:sz w:val="16"/>
                <w:szCs w:val="16"/>
              </w:rPr>
              <w:t>MD&amp;A</w:t>
            </w:r>
          </w:p>
        </w:tc>
        <w:tc>
          <w:tcPr>
            <w:tcW w:w="0" w:type="auto"/>
            <w:gridSpan w:val="3"/>
            <w:tcBorders>
              <w:top w:val="single" w:sz="8" w:space="0" w:color="0071C5"/>
            </w:tcBorders>
            <w:shd w:val="clear" w:color="auto" w:fill="auto"/>
            <w:tcMar>
              <w:left w:w="20" w:type="dxa"/>
              <w:right w:w="20" w:type="dxa"/>
            </w:tcMar>
            <w:vAlign w:val="bottom"/>
          </w:tcPr>
          <w:p w14:paraId="20AE2F7B"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2F7C" w14:textId="77777777" w:rsidR="00B626E7" w:rsidRDefault="00175C1D">
            <w:pPr>
              <w:jc w:val="right"/>
              <w:textAlignment w:val="bottom"/>
            </w:pPr>
            <w:r>
              <w:rPr>
                <w:rFonts w:ascii="Arial" w:eastAsia="宋体" w:hAnsi="Arial" w:cs="Arial"/>
                <w:color w:val="333333"/>
                <w:sz w:val="16"/>
                <w:szCs w:val="16"/>
              </w:rPr>
              <w:t>35</w:t>
            </w:r>
          </w:p>
        </w:tc>
      </w:tr>
    </w:tbl>
    <w:p w14:paraId="20AE2F7E" w14:textId="77777777" w:rsidR="00B626E7" w:rsidRDefault="00175C1D">
      <w:r>
        <w:pict w14:anchorId="20AE3C96">
          <v:rect id="_x0000_i1061" style="width:415.3pt;height:1.5pt" o:hralign="center" o:hrstd="t" o:hr="t" fillcolor="#a0a0a0" stroked="f"/>
        </w:pict>
      </w:r>
    </w:p>
    <w:p w14:paraId="20AE2F7F" w14:textId="77777777" w:rsidR="00B626E7" w:rsidRDefault="00175C1D">
      <w:pPr>
        <w:spacing w:after="180"/>
        <w:jc w:val="right"/>
      </w:pPr>
      <w:hyperlink r:id="rId62" w:anchor="ib035cc8759904e51927d703ec8414366_7" w:history="1">
        <w:r>
          <w:rPr>
            <w:rStyle w:val="a5"/>
            <w:rFonts w:ascii="Arial" w:eastAsia="宋体" w:hAnsi="Arial" w:cs="Arial"/>
            <w:b/>
            <w:bCs/>
            <w:sz w:val="16"/>
            <w:szCs w:val="16"/>
          </w:rPr>
          <w:t>Table of Contents</w:t>
        </w:r>
      </w:hyperlink>
    </w:p>
    <w:p w14:paraId="20AE2F80" w14:textId="77777777" w:rsidR="00B626E7" w:rsidRDefault="00B626E7">
      <w:pPr>
        <w:spacing w:after="180"/>
        <w:jc w:val="right"/>
      </w:pPr>
    </w:p>
    <w:p w14:paraId="20AE2F81" w14:textId="77777777" w:rsidR="00B626E7" w:rsidRDefault="00175C1D">
      <w:pPr>
        <w:spacing w:after="180"/>
      </w:pPr>
      <w:r>
        <w:rPr>
          <w:rFonts w:ascii="Arial" w:eastAsia="宋体" w:hAnsi="Arial" w:cs="Arial"/>
          <w:b/>
          <w:bCs/>
          <w:color w:val="0071C5"/>
          <w:sz w:val="28"/>
          <w:szCs w:val="28"/>
        </w:rPr>
        <w:t>REVENUE</w:t>
      </w:r>
    </w:p>
    <w:tbl>
      <w:tblPr>
        <w:tblW w:w="10980" w:type="dxa"/>
        <w:tblCellMar>
          <w:top w:w="15" w:type="dxa"/>
          <w:left w:w="15" w:type="dxa"/>
          <w:bottom w:w="15" w:type="dxa"/>
          <w:right w:w="15" w:type="dxa"/>
        </w:tblCellMar>
        <w:tblLook w:val="04A0" w:firstRow="1" w:lastRow="0" w:firstColumn="1" w:lastColumn="0" w:noHBand="0" w:noVBand="1"/>
      </w:tblPr>
      <w:tblGrid>
        <w:gridCol w:w="36"/>
        <w:gridCol w:w="79"/>
        <w:gridCol w:w="36"/>
        <w:gridCol w:w="36"/>
        <w:gridCol w:w="5255"/>
        <w:gridCol w:w="36"/>
        <w:gridCol w:w="36"/>
        <w:gridCol w:w="5250"/>
        <w:gridCol w:w="36"/>
        <w:gridCol w:w="36"/>
        <w:gridCol w:w="36"/>
        <w:gridCol w:w="36"/>
        <w:gridCol w:w="36"/>
        <w:gridCol w:w="36"/>
      </w:tblGrid>
      <w:tr w:rsidR="00B626E7" w14:paraId="20AE2F8D" w14:textId="77777777">
        <w:trPr>
          <w:gridAfter w:val="3"/>
        </w:trPr>
        <w:tc>
          <w:tcPr>
            <w:tcW w:w="20" w:type="dxa"/>
            <w:shd w:val="clear" w:color="auto" w:fill="auto"/>
          </w:tcPr>
          <w:p w14:paraId="20AE2F82" w14:textId="77777777" w:rsidR="00B626E7" w:rsidRDefault="00B626E7">
            <w:pPr>
              <w:rPr>
                <w:rFonts w:ascii="宋体"/>
              </w:rPr>
            </w:pPr>
          </w:p>
        </w:tc>
        <w:tc>
          <w:tcPr>
            <w:tcW w:w="80" w:type="dxa"/>
            <w:shd w:val="clear" w:color="auto" w:fill="auto"/>
          </w:tcPr>
          <w:p w14:paraId="20AE2F83" w14:textId="77777777" w:rsidR="00B626E7" w:rsidRDefault="00B626E7">
            <w:pPr>
              <w:rPr>
                <w:rFonts w:ascii="宋体"/>
              </w:rPr>
            </w:pPr>
          </w:p>
        </w:tc>
        <w:tc>
          <w:tcPr>
            <w:tcW w:w="20" w:type="dxa"/>
            <w:shd w:val="clear" w:color="auto" w:fill="auto"/>
          </w:tcPr>
          <w:p w14:paraId="20AE2F84" w14:textId="77777777" w:rsidR="00B626E7" w:rsidRDefault="00B626E7">
            <w:pPr>
              <w:rPr>
                <w:rFonts w:ascii="宋体"/>
              </w:rPr>
            </w:pPr>
          </w:p>
        </w:tc>
        <w:tc>
          <w:tcPr>
            <w:tcW w:w="20" w:type="dxa"/>
            <w:shd w:val="clear" w:color="auto" w:fill="auto"/>
          </w:tcPr>
          <w:p w14:paraId="20AE2F85" w14:textId="77777777" w:rsidR="00B626E7" w:rsidRDefault="00B626E7">
            <w:pPr>
              <w:rPr>
                <w:rFonts w:ascii="宋体"/>
              </w:rPr>
            </w:pPr>
          </w:p>
        </w:tc>
        <w:tc>
          <w:tcPr>
            <w:tcW w:w="5390" w:type="dxa"/>
            <w:shd w:val="clear" w:color="auto" w:fill="auto"/>
          </w:tcPr>
          <w:p w14:paraId="20AE2F86" w14:textId="77777777" w:rsidR="00B626E7" w:rsidRDefault="00B626E7">
            <w:pPr>
              <w:rPr>
                <w:rFonts w:ascii="宋体"/>
              </w:rPr>
            </w:pPr>
          </w:p>
        </w:tc>
        <w:tc>
          <w:tcPr>
            <w:tcW w:w="20" w:type="dxa"/>
            <w:shd w:val="clear" w:color="auto" w:fill="auto"/>
          </w:tcPr>
          <w:p w14:paraId="20AE2F87" w14:textId="77777777" w:rsidR="00B626E7" w:rsidRDefault="00B626E7">
            <w:pPr>
              <w:rPr>
                <w:rFonts w:ascii="宋体"/>
              </w:rPr>
            </w:pPr>
          </w:p>
        </w:tc>
        <w:tc>
          <w:tcPr>
            <w:tcW w:w="20" w:type="dxa"/>
            <w:shd w:val="clear" w:color="auto" w:fill="auto"/>
          </w:tcPr>
          <w:p w14:paraId="20AE2F88" w14:textId="77777777" w:rsidR="00B626E7" w:rsidRDefault="00B626E7">
            <w:pPr>
              <w:rPr>
                <w:rFonts w:ascii="宋体"/>
              </w:rPr>
            </w:pPr>
          </w:p>
        </w:tc>
        <w:tc>
          <w:tcPr>
            <w:tcW w:w="5390" w:type="dxa"/>
            <w:shd w:val="clear" w:color="auto" w:fill="auto"/>
          </w:tcPr>
          <w:p w14:paraId="20AE2F89" w14:textId="77777777" w:rsidR="00B626E7" w:rsidRDefault="00B626E7">
            <w:pPr>
              <w:rPr>
                <w:rFonts w:ascii="宋体"/>
              </w:rPr>
            </w:pPr>
          </w:p>
        </w:tc>
        <w:tc>
          <w:tcPr>
            <w:tcW w:w="20" w:type="dxa"/>
            <w:shd w:val="clear" w:color="auto" w:fill="auto"/>
          </w:tcPr>
          <w:p w14:paraId="20AE2F8A" w14:textId="77777777" w:rsidR="00B626E7" w:rsidRDefault="00B626E7">
            <w:pPr>
              <w:rPr>
                <w:rFonts w:ascii="宋体"/>
              </w:rPr>
            </w:pPr>
          </w:p>
        </w:tc>
        <w:tc>
          <w:tcPr>
            <w:tcW w:w="0" w:type="auto"/>
            <w:shd w:val="clear" w:color="auto" w:fill="auto"/>
          </w:tcPr>
          <w:p w14:paraId="20AE2F8B" w14:textId="77777777" w:rsidR="00B626E7" w:rsidRDefault="00B626E7">
            <w:pPr>
              <w:rPr>
                <w:rFonts w:ascii="宋体"/>
                <w:vanish/>
              </w:rPr>
            </w:pPr>
          </w:p>
        </w:tc>
        <w:tc>
          <w:tcPr>
            <w:tcW w:w="0" w:type="auto"/>
            <w:shd w:val="clear" w:color="auto" w:fill="auto"/>
          </w:tcPr>
          <w:p w14:paraId="20AE2F8C" w14:textId="77777777" w:rsidR="00B626E7" w:rsidRDefault="00B626E7">
            <w:pPr>
              <w:rPr>
                <w:rFonts w:ascii="宋体"/>
                <w:vanish/>
              </w:rPr>
            </w:pPr>
          </w:p>
        </w:tc>
      </w:tr>
      <w:tr w:rsidR="00B626E7" w14:paraId="20AE2F93" w14:textId="77777777">
        <w:tc>
          <w:tcPr>
            <w:tcW w:w="0" w:type="auto"/>
            <w:gridSpan w:val="3"/>
            <w:tcBorders>
              <w:bottom w:val="single" w:sz="8" w:space="0" w:color="333333"/>
            </w:tcBorders>
            <w:shd w:val="clear" w:color="auto" w:fill="auto"/>
            <w:tcMar>
              <w:left w:w="20" w:type="dxa"/>
              <w:right w:w="20" w:type="dxa"/>
            </w:tcMar>
            <w:vAlign w:val="bottom"/>
          </w:tcPr>
          <w:p w14:paraId="20AE2F8E" w14:textId="77777777" w:rsidR="00B626E7" w:rsidRDefault="00B626E7">
            <w:pPr>
              <w:rPr>
                <w:rFonts w:ascii="宋体"/>
              </w:rPr>
            </w:pPr>
          </w:p>
        </w:tc>
        <w:tc>
          <w:tcPr>
            <w:tcW w:w="0" w:type="auto"/>
            <w:gridSpan w:val="6"/>
            <w:tcBorders>
              <w:bottom w:val="single" w:sz="8" w:space="0" w:color="333333"/>
            </w:tcBorders>
            <w:shd w:val="clear" w:color="auto" w:fill="auto"/>
            <w:tcMar>
              <w:top w:w="40" w:type="dxa"/>
              <w:left w:w="20" w:type="dxa"/>
              <w:bottom w:w="40" w:type="dxa"/>
              <w:right w:w="20" w:type="dxa"/>
            </w:tcMar>
            <w:vAlign w:val="center"/>
          </w:tcPr>
          <w:p w14:paraId="20AE2F8F" w14:textId="77777777" w:rsidR="00B626E7" w:rsidRDefault="00175C1D">
            <w:pPr>
              <w:jc w:val="center"/>
              <w:textAlignment w:val="center"/>
            </w:pPr>
            <w:r>
              <w:rPr>
                <w:rFonts w:ascii="Arial" w:eastAsia="宋体" w:hAnsi="Arial" w:cs="Arial"/>
                <w:b/>
                <w:bCs/>
                <w:color w:val="0071C5"/>
                <w:sz w:val="20"/>
                <w:szCs w:val="20"/>
              </w:rPr>
              <w:t>SEGMENT REVENUE WALK $B</w:t>
            </w:r>
          </w:p>
        </w:tc>
        <w:tc>
          <w:tcPr>
            <w:tcW w:w="0" w:type="auto"/>
            <w:shd w:val="clear" w:color="auto" w:fill="auto"/>
          </w:tcPr>
          <w:p w14:paraId="20AE2F90" w14:textId="77777777" w:rsidR="00B626E7" w:rsidRDefault="00B626E7">
            <w:pPr>
              <w:rPr>
                <w:rFonts w:ascii="宋体"/>
                <w:vanish/>
              </w:rPr>
            </w:pPr>
          </w:p>
        </w:tc>
        <w:tc>
          <w:tcPr>
            <w:tcW w:w="0" w:type="auto"/>
            <w:shd w:val="clear" w:color="auto" w:fill="auto"/>
          </w:tcPr>
          <w:p w14:paraId="20AE2F91" w14:textId="77777777" w:rsidR="00B626E7" w:rsidRDefault="00B626E7">
            <w:pPr>
              <w:rPr>
                <w:rFonts w:ascii="宋体"/>
                <w:vanish/>
              </w:rPr>
            </w:pPr>
          </w:p>
        </w:tc>
        <w:tc>
          <w:tcPr>
            <w:tcW w:w="0" w:type="auto"/>
            <w:gridSpan w:val="3"/>
            <w:shd w:val="clear" w:color="auto" w:fill="auto"/>
          </w:tcPr>
          <w:p w14:paraId="20AE2F92" w14:textId="77777777" w:rsidR="00B626E7" w:rsidRDefault="00B626E7">
            <w:pPr>
              <w:rPr>
                <w:rFonts w:ascii="宋体"/>
                <w:vanish/>
              </w:rPr>
            </w:pPr>
          </w:p>
        </w:tc>
      </w:tr>
      <w:tr w:rsidR="00B626E7" w14:paraId="20AE2F9C" w14:textId="77777777">
        <w:trPr>
          <w:hidden/>
        </w:trPr>
        <w:tc>
          <w:tcPr>
            <w:tcW w:w="0" w:type="auto"/>
            <w:gridSpan w:val="3"/>
            <w:shd w:val="clear" w:color="auto" w:fill="auto"/>
          </w:tcPr>
          <w:p w14:paraId="20AE2F94" w14:textId="77777777" w:rsidR="00B626E7" w:rsidRDefault="00B626E7">
            <w:pPr>
              <w:rPr>
                <w:rFonts w:ascii="宋体"/>
                <w:vanish/>
              </w:rPr>
            </w:pPr>
          </w:p>
        </w:tc>
        <w:tc>
          <w:tcPr>
            <w:tcW w:w="0" w:type="auto"/>
            <w:gridSpan w:val="3"/>
            <w:shd w:val="clear" w:color="auto" w:fill="auto"/>
          </w:tcPr>
          <w:p w14:paraId="20AE2F95" w14:textId="77777777" w:rsidR="00B626E7" w:rsidRDefault="00B626E7">
            <w:pPr>
              <w:rPr>
                <w:rFonts w:ascii="宋体"/>
                <w:vanish/>
              </w:rPr>
            </w:pPr>
          </w:p>
        </w:tc>
        <w:tc>
          <w:tcPr>
            <w:tcW w:w="0" w:type="auto"/>
            <w:gridSpan w:val="3"/>
            <w:shd w:val="clear" w:color="auto" w:fill="auto"/>
          </w:tcPr>
          <w:p w14:paraId="20AE2F96" w14:textId="77777777" w:rsidR="00B626E7" w:rsidRDefault="00B626E7">
            <w:pPr>
              <w:rPr>
                <w:rFonts w:ascii="宋体"/>
                <w:vanish/>
              </w:rPr>
            </w:pPr>
          </w:p>
        </w:tc>
        <w:tc>
          <w:tcPr>
            <w:tcW w:w="0" w:type="auto"/>
            <w:shd w:val="clear" w:color="auto" w:fill="auto"/>
          </w:tcPr>
          <w:p w14:paraId="20AE2F97" w14:textId="77777777" w:rsidR="00B626E7" w:rsidRDefault="00B626E7">
            <w:pPr>
              <w:rPr>
                <w:rFonts w:ascii="宋体"/>
                <w:vanish/>
              </w:rPr>
            </w:pPr>
          </w:p>
        </w:tc>
        <w:tc>
          <w:tcPr>
            <w:tcW w:w="0" w:type="auto"/>
            <w:shd w:val="clear" w:color="auto" w:fill="auto"/>
          </w:tcPr>
          <w:p w14:paraId="20AE2F98" w14:textId="77777777" w:rsidR="00B626E7" w:rsidRDefault="00B626E7">
            <w:pPr>
              <w:rPr>
                <w:rFonts w:ascii="宋体"/>
                <w:vanish/>
              </w:rPr>
            </w:pPr>
          </w:p>
        </w:tc>
        <w:tc>
          <w:tcPr>
            <w:tcW w:w="0" w:type="auto"/>
            <w:shd w:val="clear" w:color="auto" w:fill="auto"/>
          </w:tcPr>
          <w:p w14:paraId="20AE2F99" w14:textId="77777777" w:rsidR="00B626E7" w:rsidRDefault="00B626E7">
            <w:pPr>
              <w:rPr>
                <w:rFonts w:ascii="宋体"/>
              </w:rPr>
            </w:pPr>
          </w:p>
        </w:tc>
        <w:tc>
          <w:tcPr>
            <w:tcW w:w="0" w:type="auto"/>
            <w:shd w:val="clear" w:color="auto" w:fill="auto"/>
          </w:tcPr>
          <w:p w14:paraId="20AE2F9A" w14:textId="77777777" w:rsidR="00B626E7" w:rsidRDefault="00B626E7">
            <w:pPr>
              <w:rPr>
                <w:rFonts w:ascii="宋体"/>
              </w:rPr>
            </w:pPr>
          </w:p>
        </w:tc>
        <w:tc>
          <w:tcPr>
            <w:tcW w:w="0" w:type="auto"/>
            <w:shd w:val="clear" w:color="auto" w:fill="auto"/>
          </w:tcPr>
          <w:p w14:paraId="20AE2F9B" w14:textId="77777777" w:rsidR="00B626E7" w:rsidRDefault="00B626E7">
            <w:pPr>
              <w:rPr>
                <w:rFonts w:ascii="宋体"/>
              </w:rPr>
            </w:pPr>
          </w:p>
        </w:tc>
      </w:tr>
    </w:tbl>
    <w:p w14:paraId="20AE2F9D" w14:textId="77777777" w:rsidR="00B626E7" w:rsidRDefault="00175C1D">
      <w:pPr>
        <w:spacing w:after="18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Viewer10_files/intc-20200627_g51.jpg"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97" wp14:editId="20AE3C98">
            <wp:extent cx="304800" cy="304800"/>
            <wp:effectExtent l="0" t="0" r="0" b="0"/>
            <wp:docPr id="74" name="图片 121"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21" descr="IMG_30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Viewer10_files/intc-202</w:instrText>
      </w:r>
      <w:r>
        <w:rPr>
          <w:rFonts w:ascii="宋体" w:eastAsia="宋体" w:hAnsi="宋体" w:cs="宋体"/>
        </w:rPr>
        <w:instrText xml:space="preserve">00627_g52.jpg"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99" wp14:editId="20AE3C9A">
            <wp:extent cx="304800" cy="304800"/>
            <wp:effectExtent l="0" t="0" r="0" b="0"/>
            <wp:docPr id="68" name="图片 122"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22" descr="IMG_30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20AE2F9E" w14:textId="77777777" w:rsidR="00B626E7" w:rsidRDefault="00175C1D">
      <w:pPr>
        <w:spacing w:after="120"/>
      </w:pPr>
      <w:r>
        <w:rPr>
          <w:rFonts w:ascii="Arial" w:eastAsia="宋体" w:hAnsi="Arial" w:cs="Arial"/>
          <w:b/>
          <w:bCs/>
          <w:color w:val="333333"/>
          <w:sz w:val="20"/>
          <w:szCs w:val="20"/>
        </w:rPr>
        <w:t xml:space="preserve">Q2 2020 vs. Q2 2019 </w:t>
      </w:r>
    </w:p>
    <w:p w14:paraId="20AE2F9F" w14:textId="77777777" w:rsidR="00B626E7" w:rsidRDefault="00175C1D">
      <w:pPr>
        <w:spacing w:after="180"/>
      </w:pPr>
      <w:r>
        <w:rPr>
          <w:rFonts w:ascii="Arial" w:eastAsia="宋体" w:hAnsi="Arial" w:cs="Arial"/>
          <w:color w:val="333333"/>
          <w:sz w:val="18"/>
          <w:szCs w:val="18"/>
        </w:rPr>
        <w:t>Our Q2 2020 revenue was $19.7 billion, up $3.2 billion or 20% from Q2 2019. Compared to a year ago, our data-centric businesses were collectively up 34% as demand from data center customers continued to strengthen as cloud service providers increased capac</w:t>
      </w:r>
      <w:r>
        <w:rPr>
          <w:rFonts w:ascii="Arial" w:eastAsia="宋体" w:hAnsi="Arial" w:cs="Arial"/>
          <w:color w:val="333333"/>
          <w:sz w:val="18"/>
          <w:szCs w:val="18"/>
        </w:rPr>
        <w:t xml:space="preserve">ity to serve customer demand. We also saw NSG bit growth and improved NAND pricing, partially offset by weaker demand in IOTG. Revenue in our PC-centric business was up 7% year over year driven by strength in notebook platform ASP and higher LTE modem and </w:t>
      </w:r>
      <w:r>
        <w:rPr>
          <w:rFonts w:ascii="Arial" w:eastAsia="宋体" w:hAnsi="Arial" w:cs="Arial"/>
          <w:color w:val="333333"/>
          <w:sz w:val="18"/>
          <w:szCs w:val="18"/>
        </w:rPr>
        <w:t xml:space="preserve">Wi-Fi sales. </w:t>
      </w:r>
    </w:p>
    <w:p w14:paraId="20AE2FA0" w14:textId="77777777" w:rsidR="00B626E7" w:rsidRDefault="00175C1D">
      <w:pPr>
        <w:spacing w:after="120"/>
      </w:pPr>
      <w:r>
        <w:rPr>
          <w:rFonts w:ascii="Arial" w:eastAsia="宋体" w:hAnsi="Arial" w:cs="Arial"/>
          <w:b/>
          <w:bCs/>
          <w:color w:val="333333"/>
          <w:sz w:val="20"/>
          <w:szCs w:val="20"/>
        </w:rPr>
        <w:t>YTD 2020 vs. YTD 2019</w:t>
      </w:r>
    </w:p>
    <w:p w14:paraId="20AE2FA1" w14:textId="77777777" w:rsidR="00B626E7" w:rsidRDefault="00175C1D">
      <w:pPr>
        <w:spacing w:after="180"/>
      </w:pPr>
      <w:r>
        <w:rPr>
          <w:rFonts w:ascii="Arial" w:eastAsia="宋体" w:hAnsi="Arial" w:cs="Arial"/>
          <w:color w:val="333333"/>
          <w:sz w:val="18"/>
          <w:szCs w:val="18"/>
        </w:rPr>
        <w:t>Our YTD 2020 revenue was $39.6 billion, up $7.0 billion or 21% from YTD 2019. Our data-centric businesses were collectively up 34% as demand from data center customers continued to strengthen as cloud service providers i</w:t>
      </w:r>
      <w:r>
        <w:rPr>
          <w:rFonts w:ascii="Arial" w:eastAsia="宋体" w:hAnsi="Arial" w:cs="Arial"/>
          <w:color w:val="333333"/>
          <w:sz w:val="18"/>
          <w:szCs w:val="18"/>
        </w:rPr>
        <w:t>ncreased capacity to serve customer demand. We also saw NSG bit growth and improved NAND pricing, partially offset from weaker demand in IOTG. Our PC-centric business was up 11% year over year driven by strong demand for notebook platform products and high</w:t>
      </w:r>
      <w:r>
        <w:rPr>
          <w:rFonts w:ascii="Arial" w:eastAsia="宋体" w:hAnsi="Arial" w:cs="Arial"/>
          <w:color w:val="333333"/>
          <w:sz w:val="18"/>
          <w:szCs w:val="18"/>
        </w:rPr>
        <w:t>er LTE modem and Wi-Fi sales.</w:t>
      </w:r>
    </w:p>
    <w:p w14:paraId="20AE2FA2" w14:textId="77777777" w:rsidR="00B626E7" w:rsidRDefault="00B626E7">
      <w:pPr>
        <w:spacing w:before="300" w:after="180"/>
      </w:pPr>
    </w:p>
    <w:p w14:paraId="20AE2FA3" w14:textId="77777777" w:rsidR="00B626E7" w:rsidRDefault="00B626E7">
      <w:pPr>
        <w:spacing w:after="180"/>
      </w:pPr>
    </w:p>
    <w:p w14:paraId="20AE2FA4" w14:textId="77777777" w:rsidR="00B626E7" w:rsidRDefault="00B626E7">
      <w:pPr>
        <w:spacing w:after="180"/>
      </w:pPr>
    </w:p>
    <w:p w14:paraId="20AE2FA5" w14:textId="77777777" w:rsidR="00B626E7" w:rsidRDefault="00B626E7">
      <w:pPr>
        <w:spacing w:after="180"/>
      </w:pPr>
    </w:p>
    <w:p w14:paraId="20AE2FA6" w14:textId="77777777" w:rsidR="00B626E7" w:rsidRDefault="00B626E7">
      <w:pPr>
        <w:spacing w:after="180"/>
      </w:pPr>
    </w:p>
    <w:p w14:paraId="20AE2FA7" w14:textId="77777777" w:rsidR="00B626E7" w:rsidRDefault="00B626E7">
      <w:pPr>
        <w:spacing w:after="180"/>
      </w:pPr>
    </w:p>
    <w:p w14:paraId="20AE2FA8" w14:textId="77777777" w:rsidR="00B626E7" w:rsidRDefault="00B626E7">
      <w:pPr>
        <w:spacing w:after="180"/>
      </w:pPr>
    </w:p>
    <w:p w14:paraId="20AE2FA9" w14:textId="77777777" w:rsidR="00B626E7" w:rsidRDefault="00B626E7">
      <w:pPr>
        <w:spacing w:after="180"/>
      </w:pPr>
    </w:p>
    <w:p w14:paraId="20AE2FAA" w14:textId="77777777" w:rsidR="00B626E7" w:rsidRDefault="00B626E7">
      <w:pPr>
        <w:spacing w:after="180"/>
      </w:pPr>
    </w:p>
    <w:p w14:paraId="20AE2FAB" w14:textId="77777777" w:rsidR="00B626E7" w:rsidRDefault="00B626E7">
      <w:pPr>
        <w:spacing w:after="180"/>
      </w:pPr>
    </w:p>
    <w:p w14:paraId="20AE2FAC" w14:textId="77777777" w:rsidR="00B626E7" w:rsidRDefault="00B626E7">
      <w:pPr>
        <w:spacing w:after="180"/>
      </w:pPr>
    </w:p>
    <w:p w14:paraId="20AE2FAD" w14:textId="77777777" w:rsidR="00B626E7" w:rsidRDefault="00B626E7">
      <w:pPr>
        <w:spacing w:after="180"/>
      </w:pPr>
    </w:p>
    <w:p w14:paraId="20AE2FAE" w14:textId="77777777" w:rsidR="00B626E7" w:rsidRDefault="00B626E7">
      <w:pPr>
        <w:spacing w:after="180"/>
      </w:pPr>
    </w:p>
    <w:p w14:paraId="20AE2FAF" w14:textId="77777777" w:rsidR="00B626E7" w:rsidRDefault="00B626E7">
      <w:pPr>
        <w:spacing w:after="180"/>
      </w:pPr>
    </w:p>
    <w:p w14:paraId="20AE2FB0" w14:textId="77777777" w:rsidR="00B626E7" w:rsidRDefault="00B626E7">
      <w:pPr>
        <w:spacing w:after="180"/>
      </w:pPr>
    </w:p>
    <w:p w14:paraId="20AE2FB1" w14:textId="77777777" w:rsidR="00B626E7" w:rsidRDefault="00B626E7">
      <w:pPr>
        <w:spacing w:after="180"/>
      </w:pPr>
    </w:p>
    <w:p w14:paraId="20AE2FB2" w14:textId="77777777" w:rsidR="00B626E7" w:rsidRDefault="00B626E7">
      <w:pPr>
        <w:spacing w:after="180"/>
      </w:pPr>
    </w:p>
    <w:p w14:paraId="20AE2FB3" w14:textId="77777777" w:rsidR="00B626E7" w:rsidRDefault="00B626E7">
      <w:pPr>
        <w:spacing w:after="180"/>
      </w:pPr>
    </w:p>
    <w:p w14:paraId="20AE2FB4" w14:textId="77777777" w:rsidR="00B626E7" w:rsidRDefault="00B626E7">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4"/>
        <w:gridCol w:w="2423"/>
        <w:gridCol w:w="84"/>
        <w:gridCol w:w="83"/>
        <w:gridCol w:w="3471"/>
        <w:gridCol w:w="83"/>
        <w:gridCol w:w="83"/>
        <w:gridCol w:w="1942"/>
        <w:gridCol w:w="83"/>
      </w:tblGrid>
      <w:tr w:rsidR="00B626E7" w14:paraId="20AE2FBE" w14:textId="77777777">
        <w:tc>
          <w:tcPr>
            <w:tcW w:w="50" w:type="pct"/>
            <w:shd w:val="clear" w:color="auto" w:fill="auto"/>
            <w:vAlign w:val="bottom"/>
          </w:tcPr>
          <w:p w14:paraId="20AE2FB5" w14:textId="77777777" w:rsidR="00B626E7" w:rsidRDefault="00B626E7">
            <w:pPr>
              <w:rPr>
                <w:rFonts w:ascii="宋体"/>
              </w:rPr>
            </w:pPr>
          </w:p>
        </w:tc>
        <w:tc>
          <w:tcPr>
            <w:tcW w:w="1452" w:type="pct"/>
            <w:shd w:val="clear" w:color="auto" w:fill="auto"/>
            <w:vAlign w:val="bottom"/>
          </w:tcPr>
          <w:p w14:paraId="20AE2FB6" w14:textId="77777777" w:rsidR="00B626E7" w:rsidRDefault="00B626E7">
            <w:pPr>
              <w:rPr>
                <w:rFonts w:ascii="宋体"/>
              </w:rPr>
            </w:pPr>
          </w:p>
        </w:tc>
        <w:tc>
          <w:tcPr>
            <w:tcW w:w="50" w:type="pct"/>
            <w:shd w:val="clear" w:color="auto" w:fill="auto"/>
            <w:vAlign w:val="bottom"/>
          </w:tcPr>
          <w:p w14:paraId="20AE2FB7" w14:textId="77777777" w:rsidR="00B626E7" w:rsidRDefault="00B626E7">
            <w:pPr>
              <w:rPr>
                <w:rFonts w:ascii="宋体"/>
              </w:rPr>
            </w:pPr>
          </w:p>
        </w:tc>
        <w:tc>
          <w:tcPr>
            <w:tcW w:w="50" w:type="pct"/>
            <w:shd w:val="clear" w:color="auto" w:fill="auto"/>
            <w:vAlign w:val="bottom"/>
          </w:tcPr>
          <w:p w14:paraId="20AE2FB8" w14:textId="77777777" w:rsidR="00B626E7" w:rsidRDefault="00B626E7">
            <w:pPr>
              <w:rPr>
                <w:rFonts w:ascii="宋体"/>
              </w:rPr>
            </w:pPr>
          </w:p>
        </w:tc>
        <w:tc>
          <w:tcPr>
            <w:tcW w:w="2081" w:type="pct"/>
            <w:shd w:val="clear" w:color="auto" w:fill="auto"/>
            <w:vAlign w:val="bottom"/>
          </w:tcPr>
          <w:p w14:paraId="20AE2FB9" w14:textId="77777777" w:rsidR="00B626E7" w:rsidRDefault="00B626E7">
            <w:pPr>
              <w:rPr>
                <w:rFonts w:ascii="宋体"/>
              </w:rPr>
            </w:pPr>
          </w:p>
        </w:tc>
        <w:tc>
          <w:tcPr>
            <w:tcW w:w="50" w:type="pct"/>
            <w:shd w:val="clear" w:color="auto" w:fill="auto"/>
            <w:vAlign w:val="bottom"/>
          </w:tcPr>
          <w:p w14:paraId="20AE2FBA" w14:textId="77777777" w:rsidR="00B626E7" w:rsidRDefault="00B626E7">
            <w:pPr>
              <w:rPr>
                <w:rFonts w:ascii="宋体"/>
              </w:rPr>
            </w:pPr>
          </w:p>
        </w:tc>
        <w:tc>
          <w:tcPr>
            <w:tcW w:w="50" w:type="pct"/>
            <w:shd w:val="clear" w:color="auto" w:fill="auto"/>
            <w:vAlign w:val="bottom"/>
          </w:tcPr>
          <w:p w14:paraId="20AE2FBB" w14:textId="77777777" w:rsidR="00B626E7" w:rsidRDefault="00B626E7">
            <w:pPr>
              <w:rPr>
                <w:rFonts w:ascii="宋体"/>
              </w:rPr>
            </w:pPr>
          </w:p>
        </w:tc>
        <w:tc>
          <w:tcPr>
            <w:tcW w:w="1165" w:type="pct"/>
            <w:shd w:val="clear" w:color="auto" w:fill="auto"/>
            <w:vAlign w:val="bottom"/>
          </w:tcPr>
          <w:p w14:paraId="20AE2FBC" w14:textId="77777777" w:rsidR="00B626E7" w:rsidRDefault="00B626E7">
            <w:pPr>
              <w:rPr>
                <w:rFonts w:ascii="宋体"/>
              </w:rPr>
            </w:pPr>
          </w:p>
        </w:tc>
        <w:tc>
          <w:tcPr>
            <w:tcW w:w="50" w:type="pct"/>
            <w:shd w:val="clear" w:color="auto" w:fill="auto"/>
            <w:vAlign w:val="bottom"/>
          </w:tcPr>
          <w:p w14:paraId="20AE2FBD" w14:textId="77777777" w:rsidR="00B626E7" w:rsidRDefault="00B626E7">
            <w:pPr>
              <w:rPr>
                <w:rFonts w:ascii="宋体"/>
              </w:rPr>
            </w:pPr>
          </w:p>
        </w:tc>
      </w:tr>
      <w:tr w:rsidR="00B626E7" w14:paraId="20AE2FC2" w14:textId="77777777">
        <w:tc>
          <w:tcPr>
            <w:tcW w:w="0" w:type="auto"/>
            <w:gridSpan w:val="3"/>
            <w:tcBorders>
              <w:top w:val="single" w:sz="8" w:space="0" w:color="0071C5"/>
            </w:tcBorders>
            <w:shd w:val="clear" w:color="auto" w:fill="auto"/>
            <w:tcMar>
              <w:top w:w="40" w:type="dxa"/>
              <w:left w:w="20" w:type="dxa"/>
              <w:bottom w:w="40" w:type="dxa"/>
              <w:right w:w="20" w:type="dxa"/>
            </w:tcMar>
            <w:vAlign w:val="center"/>
          </w:tcPr>
          <w:p w14:paraId="20AE2FBF" w14:textId="77777777" w:rsidR="00B626E7" w:rsidRDefault="00175C1D">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Viewer10_files/intc-20200627_g36.jpg"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9B" wp14:editId="20AE3C9C">
                  <wp:extent cx="304800" cy="304800"/>
                  <wp:effectExtent l="0" t="0" r="0" b="0"/>
                  <wp:docPr id="67" name="图片 123"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23" descr="IMG_32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Arial" w:eastAsia="宋体" w:hAnsi="Arial" w:cs="Arial"/>
                <w:color w:val="333333"/>
                <w:sz w:val="16"/>
                <w:szCs w:val="16"/>
              </w:rPr>
              <w:t>MD&amp;A</w:t>
            </w:r>
          </w:p>
        </w:tc>
        <w:tc>
          <w:tcPr>
            <w:tcW w:w="0" w:type="auto"/>
            <w:gridSpan w:val="3"/>
            <w:tcBorders>
              <w:top w:val="single" w:sz="8" w:space="0" w:color="0071C5"/>
            </w:tcBorders>
            <w:shd w:val="clear" w:color="auto" w:fill="auto"/>
            <w:tcMar>
              <w:left w:w="20" w:type="dxa"/>
              <w:right w:w="20" w:type="dxa"/>
            </w:tcMar>
            <w:vAlign w:val="bottom"/>
          </w:tcPr>
          <w:p w14:paraId="20AE2FC0"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2FC1" w14:textId="77777777" w:rsidR="00B626E7" w:rsidRDefault="00175C1D">
            <w:pPr>
              <w:jc w:val="right"/>
              <w:textAlignment w:val="bottom"/>
            </w:pPr>
            <w:r>
              <w:rPr>
                <w:rFonts w:ascii="Arial" w:eastAsia="宋体" w:hAnsi="Arial" w:cs="Arial"/>
                <w:color w:val="333333"/>
                <w:sz w:val="16"/>
                <w:szCs w:val="16"/>
              </w:rPr>
              <w:t>36</w:t>
            </w:r>
          </w:p>
        </w:tc>
      </w:tr>
    </w:tbl>
    <w:p w14:paraId="20AE2FC3" w14:textId="77777777" w:rsidR="00B626E7" w:rsidRDefault="00175C1D">
      <w:r>
        <w:pict w14:anchorId="20AE3C9D">
          <v:rect id="_x0000_i1062" style="width:415.3pt;height:1.5pt" o:hralign="center" o:hrstd="t" o:hr="t" fillcolor="#a0a0a0" stroked="f"/>
        </w:pict>
      </w:r>
    </w:p>
    <w:p w14:paraId="20AE2FC4" w14:textId="77777777" w:rsidR="00B626E7" w:rsidRDefault="00175C1D">
      <w:pPr>
        <w:spacing w:after="180"/>
        <w:jc w:val="right"/>
      </w:pPr>
      <w:hyperlink r:id="rId63" w:anchor="ib035cc8759904e51927d703ec8414366_7" w:history="1">
        <w:r>
          <w:rPr>
            <w:rStyle w:val="a5"/>
            <w:rFonts w:ascii="Arial" w:eastAsia="宋体" w:hAnsi="Arial" w:cs="Arial"/>
            <w:b/>
            <w:bCs/>
            <w:sz w:val="16"/>
            <w:szCs w:val="16"/>
          </w:rPr>
          <w:t>Table of Contents</w:t>
        </w:r>
      </w:hyperlink>
    </w:p>
    <w:p w14:paraId="20AE2FC5" w14:textId="77777777" w:rsidR="00B626E7" w:rsidRDefault="00B626E7">
      <w:pPr>
        <w:spacing w:after="180"/>
        <w:jc w:val="right"/>
      </w:pPr>
    </w:p>
    <w:p w14:paraId="20AE2FC6" w14:textId="77777777" w:rsidR="00B626E7" w:rsidRDefault="00175C1D">
      <w:r>
        <w:rPr>
          <w:rFonts w:ascii="Arial" w:eastAsia="宋体" w:hAnsi="Arial" w:cs="Arial"/>
          <w:b/>
          <w:bCs/>
          <w:color w:val="0071C5"/>
          <w:sz w:val="28"/>
          <w:szCs w:val="28"/>
        </w:rPr>
        <w:t>GROSS MARGIN</w:t>
      </w:r>
    </w:p>
    <w:p w14:paraId="20AE2FC7" w14:textId="77777777" w:rsidR="00B626E7" w:rsidRDefault="00175C1D">
      <w:pPr>
        <w:spacing w:after="180"/>
      </w:pPr>
      <w:r>
        <w:rPr>
          <w:rFonts w:ascii="Arial" w:eastAsia="宋体" w:hAnsi="Arial" w:cs="Arial"/>
          <w:color w:val="333333"/>
          <w:sz w:val="18"/>
          <w:szCs w:val="18"/>
        </w:rPr>
        <w:t xml:space="preserve">We derived most of our overall gross margin from the sale of </w:t>
      </w:r>
      <w:r>
        <w:rPr>
          <w:rFonts w:ascii="Arial" w:eastAsia="宋体" w:hAnsi="Arial" w:cs="Arial"/>
          <w:color w:val="333333"/>
          <w:sz w:val="18"/>
          <w:szCs w:val="18"/>
        </w:rPr>
        <w:t>platform products in the DCG and CCG operating segments. Our overall gross margin dollars in Q2 2020 increased by $629 million, or 6.4% compared to Q2 2019. Our gross margin percentage was down as the increase in platform revenue was offset by higher platf</w:t>
      </w:r>
      <w:r>
        <w:rPr>
          <w:rFonts w:ascii="Arial" w:eastAsia="宋体" w:hAnsi="Arial" w:cs="Arial"/>
          <w:color w:val="333333"/>
          <w:sz w:val="18"/>
          <w:szCs w:val="18"/>
        </w:rPr>
        <w:t>orm unit costs, platform reserves and a higher proportion of our revenue from lower margin adjacent businesses.</w:t>
      </w:r>
    </w:p>
    <w:tbl>
      <w:tblPr>
        <w:tblW w:w="10980" w:type="dxa"/>
        <w:tblCellMar>
          <w:top w:w="15" w:type="dxa"/>
          <w:left w:w="15" w:type="dxa"/>
          <w:bottom w:w="15" w:type="dxa"/>
          <w:right w:w="15" w:type="dxa"/>
        </w:tblCellMar>
        <w:tblLook w:val="04A0" w:firstRow="1" w:lastRow="0" w:firstColumn="1" w:lastColumn="0" w:noHBand="0" w:noVBand="1"/>
      </w:tblPr>
      <w:tblGrid>
        <w:gridCol w:w="36"/>
        <w:gridCol w:w="10908"/>
        <w:gridCol w:w="36"/>
      </w:tblGrid>
      <w:tr w:rsidR="00B626E7" w14:paraId="20AE2FCB" w14:textId="77777777">
        <w:tc>
          <w:tcPr>
            <w:tcW w:w="20" w:type="dxa"/>
            <w:shd w:val="clear" w:color="auto" w:fill="auto"/>
          </w:tcPr>
          <w:p w14:paraId="20AE2FC8" w14:textId="77777777" w:rsidR="00B626E7" w:rsidRDefault="00B626E7">
            <w:pPr>
              <w:rPr>
                <w:rFonts w:ascii="宋体"/>
              </w:rPr>
            </w:pPr>
          </w:p>
        </w:tc>
        <w:tc>
          <w:tcPr>
            <w:tcW w:w="10940" w:type="dxa"/>
            <w:shd w:val="clear" w:color="auto" w:fill="auto"/>
          </w:tcPr>
          <w:p w14:paraId="20AE2FC9" w14:textId="77777777" w:rsidR="00B626E7" w:rsidRDefault="00B626E7">
            <w:pPr>
              <w:rPr>
                <w:rFonts w:ascii="宋体"/>
              </w:rPr>
            </w:pPr>
          </w:p>
        </w:tc>
        <w:tc>
          <w:tcPr>
            <w:tcW w:w="20" w:type="dxa"/>
            <w:shd w:val="clear" w:color="auto" w:fill="auto"/>
          </w:tcPr>
          <w:p w14:paraId="20AE2FCA" w14:textId="77777777" w:rsidR="00B626E7" w:rsidRDefault="00B626E7">
            <w:pPr>
              <w:rPr>
                <w:rFonts w:ascii="宋体"/>
              </w:rPr>
            </w:pPr>
          </w:p>
        </w:tc>
      </w:tr>
      <w:tr w:rsidR="00B626E7" w14:paraId="20AE2FCD" w14:textId="77777777">
        <w:tc>
          <w:tcPr>
            <w:tcW w:w="0" w:type="auto"/>
            <w:gridSpan w:val="3"/>
            <w:tcBorders>
              <w:bottom w:val="single" w:sz="8" w:space="0" w:color="333333"/>
            </w:tcBorders>
            <w:shd w:val="clear" w:color="auto" w:fill="auto"/>
            <w:tcMar>
              <w:top w:w="40" w:type="dxa"/>
              <w:left w:w="20" w:type="dxa"/>
              <w:bottom w:w="40" w:type="dxa"/>
              <w:right w:w="20" w:type="dxa"/>
            </w:tcMar>
            <w:vAlign w:val="bottom"/>
          </w:tcPr>
          <w:p w14:paraId="20AE2FCC" w14:textId="77777777" w:rsidR="00B626E7" w:rsidRDefault="00175C1D">
            <w:pPr>
              <w:jc w:val="center"/>
              <w:textAlignment w:val="bottom"/>
            </w:pPr>
            <w:r>
              <w:rPr>
                <w:rFonts w:ascii="Arial" w:eastAsia="宋体" w:hAnsi="Arial" w:cs="Arial"/>
                <w:b/>
                <w:bCs/>
                <w:color w:val="0071C5"/>
                <w:sz w:val="20"/>
                <w:szCs w:val="20"/>
              </w:rPr>
              <w:t>GROSS MARGIN $B</w:t>
            </w:r>
          </w:p>
        </w:tc>
      </w:tr>
      <w:tr w:rsidR="00B626E7" w14:paraId="20AE2FCF" w14:textId="77777777">
        <w:trPr>
          <w:hidden/>
        </w:trPr>
        <w:tc>
          <w:tcPr>
            <w:tcW w:w="0" w:type="auto"/>
            <w:gridSpan w:val="3"/>
            <w:shd w:val="clear" w:color="auto" w:fill="auto"/>
          </w:tcPr>
          <w:p w14:paraId="20AE2FCE" w14:textId="77777777" w:rsidR="00B626E7" w:rsidRDefault="00B626E7">
            <w:pPr>
              <w:rPr>
                <w:rFonts w:ascii="宋体"/>
                <w:vanish/>
              </w:rPr>
            </w:pPr>
          </w:p>
        </w:tc>
      </w:tr>
    </w:tbl>
    <w:p w14:paraId="20AE2FD0" w14:textId="77777777" w:rsidR="00B626E7" w:rsidRDefault="00175C1D">
      <w:pPr>
        <w:spacing w:after="60"/>
      </w:pPr>
      <w:r>
        <w:rPr>
          <w:rFonts w:ascii="Arial" w:eastAsia="宋体" w:hAnsi="Arial" w:cs="Arial"/>
          <w:color w:val="333333"/>
          <w:sz w:val="18"/>
          <w:szCs w:val="18"/>
        </w:rPr>
        <w:t>        (Percentages in chart indicate gross margin as a percentage of total revenue)</w:t>
      </w:r>
    </w:p>
    <w:p w14:paraId="20AE2FD1" w14:textId="77777777" w:rsidR="00B626E7" w:rsidRDefault="00175C1D">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Viewer10_files/intc-20200627_g54.jpg"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9E" wp14:editId="20AE3C9F">
            <wp:extent cx="304800" cy="304800"/>
            <wp:effectExtent l="0" t="0" r="0" b="0"/>
            <wp:docPr id="66" name="图片 125"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25" descr="IMG_30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Viewer10_files/intc-202</w:instrText>
      </w:r>
      <w:r>
        <w:rPr>
          <w:rFonts w:ascii="宋体" w:eastAsia="宋体" w:hAnsi="宋体" w:cs="宋体"/>
        </w:rPr>
        <w:instrText xml:space="preserve">00627_g55.jpg"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A0" wp14:editId="20AE3CA1">
            <wp:extent cx="304800" cy="304800"/>
            <wp:effectExtent l="0" t="0" r="0" b="0"/>
            <wp:docPr id="72" name="图片 126"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26" descr="IMG_31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000" w:type="pct"/>
        <w:tblCellMar>
          <w:top w:w="15" w:type="dxa"/>
          <w:left w:w="15" w:type="dxa"/>
          <w:bottom w:w="15" w:type="dxa"/>
          <w:right w:w="15" w:type="dxa"/>
        </w:tblCellMar>
        <w:tblLook w:val="04A0" w:firstRow="1" w:lastRow="0" w:firstColumn="1" w:lastColumn="0" w:noHBand="0" w:noVBand="1"/>
      </w:tblPr>
      <w:tblGrid>
        <w:gridCol w:w="136"/>
        <w:gridCol w:w="802"/>
        <w:gridCol w:w="86"/>
        <w:gridCol w:w="36"/>
        <w:gridCol w:w="36"/>
        <w:gridCol w:w="36"/>
        <w:gridCol w:w="43"/>
        <w:gridCol w:w="7100"/>
        <w:gridCol w:w="61"/>
      </w:tblGrid>
      <w:tr w:rsidR="00B626E7" w14:paraId="20AE2FDB" w14:textId="77777777">
        <w:tc>
          <w:tcPr>
            <w:tcW w:w="50" w:type="pct"/>
            <w:shd w:val="clear" w:color="auto" w:fill="auto"/>
          </w:tcPr>
          <w:p w14:paraId="20AE2FD2" w14:textId="77777777" w:rsidR="00B626E7" w:rsidRDefault="00B626E7">
            <w:pPr>
              <w:rPr>
                <w:rFonts w:ascii="宋体"/>
              </w:rPr>
            </w:pPr>
          </w:p>
        </w:tc>
        <w:tc>
          <w:tcPr>
            <w:tcW w:w="494" w:type="pct"/>
            <w:shd w:val="clear" w:color="auto" w:fill="auto"/>
          </w:tcPr>
          <w:p w14:paraId="20AE2FD3" w14:textId="77777777" w:rsidR="00B626E7" w:rsidRDefault="00B626E7">
            <w:pPr>
              <w:rPr>
                <w:rFonts w:ascii="宋体"/>
              </w:rPr>
            </w:pPr>
          </w:p>
        </w:tc>
        <w:tc>
          <w:tcPr>
            <w:tcW w:w="50" w:type="pct"/>
            <w:shd w:val="clear" w:color="auto" w:fill="auto"/>
          </w:tcPr>
          <w:p w14:paraId="20AE2FD4" w14:textId="77777777" w:rsidR="00B626E7" w:rsidRDefault="00B626E7">
            <w:pPr>
              <w:rPr>
                <w:rFonts w:ascii="宋体"/>
              </w:rPr>
            </w:pPr>
          </w:p>
        </w:tc>
        <w:tc>
          <w:tcPr>
            <w:tcW w:w="5" w:type="pct"/>
            <w:shd w:val="clear" w:color="auto" w:fill="auto"/>
          </w:tcPr>
          <w:p w14:paraId="20AE2FD5" w14:textId="77777777" w:rsidR="00B626E7" w:rsidRDefault="00B626E7">
            <w:pPr>
              <w:rPr>
                <w:rFonts w:ascii="宋体"/>
              </w:rPr>
            </w:pPr>
          </w:p>
        </w:tc>
        <w:tc>
          <w:tcPr>
            <w:tcW w:w="24" w:type="pct"/>
            <w:shd w:val="clear" w:color="auto" w:fill="auto"/>
          </w:tcPr>
          <w:p w14:paraId="20AE2FD6" w14:textId="77777777" w:rsidR="00B626E7" w:rsidRDefault="00B626E7">
            <w:pPr>
              <w:rPr>
                <w:rFonts w:ascii="宋体"/>
              </w:rPr>
            </w:pPr>
          </w:p>
        </w:tc>
        <w:tc>
          <w:tcPr>
            <w:tcW w:w="5" w:type="pct"/>
            <w:shd w:val="clear" w:color="auto" w:fill="auto"/>
          </w:tcPr>
          <w:p w14:paraId="20AE2FD7" w14:textId="77777777" w:rsidR="00B626E7" w:rsidRDefault="00B626E7">
            <w:pPr>
              <w:rPr>
                <w:rFonts w:ascii="宋体"/>
              </w:rPr>
            </w:pPr>
          </w:p>
        </w:tc>
        <w:tc>
          <w:tcPr>
            <w:tcW w:w="50" w:type="pct"/>
            <w:shd w:val="clear" w:color="auto" w:fill="auto"/>
          </w:tcPr>
          <w:p w14:paraId="20AE2FD8" w14:textId="77777777" w:rsidR="00B626E7" w:rsidRDefault="00B626E7">
            <w:pPr>
              <w:rPr>
                <w:rFonts w:ascii="宋体"/>
              </w:rPr>
            </w:pPr>
          </w:p>
        </w:tc>
        <w:tc>
          <w:tcPr>
            <w:tcW w:w="4271" w:type="pct"/>
            <w:shd w:val="clear" w:color="auto" w:fill="auto"/>
          </w:tcPr>
          <w:p w14:paraId="20AE2FD9" w14:textId="77777777" w:rsidR="00B626E7" w:rsidRDefault="00B626E7">
            <w:pPr>
              <w:rPr>
                <w:rFonts w:ascii="宋体"/>
              </w:rPr>
            </w:pPr>
          </w:p>
        </w:tc>
        <w:tc>
          <w:tcPr>
            <w:tcW w:w="50" w:type="pct"/>
            <w:shd w:val="clear" w:color="auto" w:fill="auto"/>
          </w:tcPr>
          <w:p w14:paraId="20AE2FDA" w14:textId="77777777" w:rsidR="00B626E7" w:rsidRDefault="00B626E7">
            <w:pPr>
              <w:rPr>
                <w:rFonts w:ascii="宋体"/>
              </w:rPr>
            </w:pPr>
          </w:p>
        </w:tc>
      </w:tr>
      <w:tr w:rsidR="00B626E7" w14:paraId="20AE2FDF" w14:textId="77777777">
        <w:tc>
          <w:tcPr>
            <w:tcW w:w="0" w:type="auto"/>
            <w:gridSpan w:val="3"/>
            <w:shd w:val="clear" w:color="auto" w:fill="auto"/>
            <w:tcMar>
              <w:top w:w="40" w:type="dxa"/>
              <w:left w:w="20" w:type="dxa"/>
              <w:bottom w:w="40" w:type="dxa"/>
              <w:right w:w="20" w:type="dxa"/>
            </w:tcMar>
            <w:vAlign w:val="bottom"/>
          </w:tcPr>
          <w:p w14:paraId="20AE2FDC" w14:textId="77777777" w:rsidR="00B626E7" w:rsidRDefault="00175C1D">
            <w:pPr>
              <w:textAlignment w:val="bottom"/>
            </w:pPr>
            <w:r>
              <w:rPr>
                <w:rFonts w:ascii="Arial" w:eastAsia="宋体" w:hAnsi="Arial" w:cs="Arial"/>
                <w:b/>
                <w:bCs/>
                <w:color w:val="333333"/>
                <w:sz w:val="18"/>
                <w:szCs w:val="18"/>
              </w:rPr>
              <w:t>(In Millions)</w:t>
            </w:r>
          </w:p>
        </w:tc>
        <w:tc>
          <w:tcPr>
            <w:tcW w:w="0" w:type="auto"/>
            <w:gridSpan w:val="3"/>
            <w:shd w:val="clear" w:color="auto" w:fill="auto"/>
            <w:tcMar>
              <w:left w:w="20" w:type="dxa"/>
              <w:right w:w="20" w:type="dxa"/>
            </w:tcMar>
            <w:vAlign w:val="bottom"/>
          </w:tcPr>
          <w:p w14:paraId="20AE2FDD"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2FDE" w14:textId="77777777" w:rsidR="00B626E7" w:rsidRDefault="00B626E7">
            <w:pPr>
              <w:rPr>
                <w:rFonts w:ascii="宋体"/>
              </w:rPr>
            </w:pPr>
          </w:p>
        </w:tc>
      </w:tr>
      <w:tr w:rsidR="00B626E7" w14:paraId="20AE2FE5" w14:textId="77777777">
        <w:tc>
          <w:tcPr>
            <w:tcW w:w="0" w:type="auto"/>
            <w:tcBorders>
              <w:top w:val="single" w:sz="8" w:space="0" w:color="0071C5"/>
            </w:tcBorders>
            <w:shd w:val="clear" w:color="auto" w:fill="auto"/>
            <w:tcMar>
              <w:top w:w="40" w:type="dxa"/>
              <w:left w:w="20" w:type="dxa"/>
              <w:bottom w:w="40" w:type="dxa"/>
            </w:tcMar>
            <w:vAlign w:val="bottom"/>
          </w:tcPr>
          <w:p w14:paraId="20AE2FE0" w14:textId="77777777" w:rsidR="00B626E7" w:rsidRDefault="00175C1D">
            <w:pPr>
              <w:textAlignment w:val="bottom"/>
            </w:pPr>
            <w:r>
              <w:rPr>
                <w:rFonts w:ascii="Arial" w:eastAsia="宋体" w:hAnsi="Arial" w:cs="Arial"/>
                <w:b/>
                <w:bCs/>
                <w:color w:val="0071C5"/>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2FE1" w14:textId="77777777" w:rsidR="00B626E7" w:rsidRDefault="00175C1D">
            <w:pPr>
              <w:jc w:val="right"/>
              <w:textAlignment w:val="bottom"/>
            </w:pPr>
            <w:r>
              <w:rPr>
                <w:rFonts w:ascii="Arial" w:eastAsia="宋体" w:hAnsi="Arial" w:cs="Arial"/>
                <w:b/>
                <w:bCs/>
                <w:color w:val="0071C5"/>
                <w:sz w:val="18"/>
                <w:szCs w:val="18"/>
              </w:rPr>
              <w:t>10,507 </w:t>
            </w:r>
          </w:p>
        </w:tc>
        <w:tc>
          <w:tcPr>
            <w:tcW w:w="0" w:type="auto"/>
            <w:tcBorders>
              <w:top w:val="single" w:sz="8" w:space="0" w:color="0071C5"/>
            </w:tcBorders>
            <w:shd w:val="clear" w:color="auto" w:fill="auto"/>
            <w:tcMar>
              <w:top w:w="40" w:type="dxa"/>
              <w:bottom w:w="40" w:type="dxa"/>
              <w:right w:w="20" w:type="dxa"/>
            </w:tcMar>
            <w:vAlign w:val="bottom"/>
          </w:tcPr>
          <w:p w14:paraId="20AE2FE2"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2FE3"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2FE4" w14:textId="77777777" w:rsidR="00B626E7" w:rsidRDefault="00175C1D">
            <w:pPr>
              <w:textAlignment w:val="bottom"/>
            </w:pPr>
            <w:r>
              <w:rPr>
                <w:rFonts w:ascii="Arial" w:eastAsia="宋体" w:hAnsi="Arial" w:cs="Arial"/>
                <w:b/>
                <w:bCs/>
                <w:color w:val="333333"/>
                <w:sz w:val="18"/>
                <w:szCs w:val="18"/>
              </w:rPr>
              <w:t>Q2 2020 Gross Margin</w:t>
            </w:r>
          </w:p>
        </w:tc>
      </w:tr>
      <w:tr w:rsidR="00B626E7" w14:paraId="20AE2FEA" w14:textId="77777777">
        <w:tc>
          <w:tcPr>
            <w:tcW w:w="0" w:type="auto"/>
            <w:gridSpan w:val="2"/>
            <w:tcBorders>
              <w:top w:val="single" w:sz="8" w:space="0" w:color="333333"/>
            </w:tcBorders>
            <w:shd w:val="clear" w:color="auto" w:fill="auto"/>
            <w:tcMar>
              <w:top w:w="40" w:type="dxa"/>
              <w:left w:w="20" w:type="dxa"/>
              <w:bottom w:w="40" w:type="dxa"/>
              <w:right w:w="0" w:type="dxa"/>
            </w:tcMar>
            <w:vAlign w:val="center"/>
          </w:tcPr>
          <w:p w14:paraId="20AE2FE6" w14:textId="77777777" w:rsidR="00B626E7" w:rsidRDefault="00175C1D">
            <w:pPr>
              <w:jc w:val="right"/>
              <w:textAlignment w:val="center"/>
            </w:pPr>
            <w:r>
              <w:rPr>
                <w:rFonts w:ascii="Arial" w:eastAsia="宋体" w:hAnsi="Arial" w:cs="Arial"/>
                <w:color w:val="0071C5"/>
                <w:sz w:val="18"/>
                <w:szCs w:val="18"/>
              </w:rPr>
              <w:t>1,550 </w:t>
            </w:r>
          </w:p>
        </w:tc>
        <w:tc>
          <w:tcPr>
            <w:tcW w:w="0" w:type="auto"/>
            <w:tcBorders>
              <w:top w:val="single" w:sz="8" w:space="0" w:color="333333"/>
            </w:tcBorders>
            <w:shd w:val="clear" w:color="auto" w:fill="auto"/>
            <w:tcMar>
              <w:top w:w="40" w:type="dxa"/>
              <w:bottom w:w="40" w:type="dxa"/>
              <w:right w:w="20" w:type="dxa"/>
            </w:tcMar>
            <w:vAlign w:val="center"/>
          </w:tcPr>
          <w:p w14:paraId="20AE2FE7" w14:textId="77777777" w:rsidR="00B626E7" w:rsidRDefault="00175C1D">
            <w:pPr>
              <w:jc w:val="right"/>
              <w:textAlignment w:val="center"/>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2FE8" w14:textId="77777777" w:rsidR="00B626E7" w:rsidRDefault="00B626E7">
            <w:pPr>
              <w:rPr>
                <w:rFonts w:ascii="宋体"/>
              </w:rPr>
            </w:pPr>
          </w:p>
        </w:tc>
        <w:tc>
          <w:tcPr>
            <w:tcW w:w="0" w:type="auto"/>
            <w:gridSpan w:val="3"/>
            <w:tcBorders>
              <w:top w:val="single" w:sz="8" w:space="0" w:color="333333"/>
            </w:tcBorders>
            <w:shd w:val="clear" w:color="auto" w:fill="auto"/>
            <w:tcMar>
              <w:top w:w="40" w:type="dxa"/>
              <w:left w:w="20" w:type="dxa"/>
              <w:bottom w:w="40" w:type="dxa"/>
              <w:right w:w="20" w:type="dxa"/>
            </w:tcMar>
          </w:tcPr>
          <w:p w14:paraId="20AE2FE9" w14:textId="77777777" w:rsidR="00B626E7" w:rsidRDefault="00175C1D">
            <w:pPr>
              <w:textAlignment w:val="top"/>
            </w:pPr>
            <w:r>
              <w:rPr>
                <w:rFonts w:ascii="Arial" w:eastAsia="宋体" w:hAnsi="Arial" w:cs="Arial"/>
                <w:color w:val="0071C5"/>
                <w:sz w:val="18"/>
                <w:szCs w:val="18"/>
              </w:rPr>
              <w:t>Higher gross margin from platform revenue</w:t>
            </w:r>
          </w:p>
        </w:tc>
      </w:tr>
      <w:tr w:rsidR="00B626E7" w14:paraId="20AE2FEF" w14:textId="77777777">
        <w:tc>
          <w:tcPr>
            <w:tcW w:w="0" w:type="auto"/>
            <w:gridSpan w:val="2"/>
            <w:shd w:val="clear" w:color="auto" w:fill="auto"/>
            <w:tcMar>
              <w:top w:w="40" w:type="dxa"/>
              <w:left w:w="20" w:type="dxa"/>
              <w:bottom w:w="40" w:type="dxa"/>
              <w:right w:w="0" w:type="dxa"/>
            </w:tcMar>
          </w:tcPr>
          <w:p w14:paraId="20AE2FEB" w14:textId="77777777" w:rsidR="00B626E7" w:rsidRDefault="00175C1D">
            <w:pPr>
              <w:jc w:val="right"/>
              <w:textAlignment w:val="top"/>
            </w:pPr>
            <w:r>
              <w:rPr>
                <w:rFonts w:ascii="Arial" w:eastAsia="宋体" w:hAnsi="Arial" w:cs="Arial"/>
                <w:color w:val="0071C5"/>
                <w:sz w:val="18"/>
                <w:szCs w:val="18"/>
              </w:rPr>
              <w:t>815 </w:t>
            </w:r>
          </w:p>
        </w:tc>
        <w:tc>
          <w:tcPr>
            <w:tcW w:w="0" w:type="auto"/>
            <w:shd w:val="clear" w:color="auto" w:fill="auto"/>
            <w:tcMar>
              <w:top w:w="40" w:type="dxa"/>
              <w:bottom w:w="40" w:type="dxa"/>
              <w:right w:w="20" w:type="dxa"/>
            </w:tcMar>
          </w:tcPr>
          <w:p w14:paraId="20AE2FEC" w14:textId="77777777" w:rsidR="00B626E7" w:rsidRDefault="00175C1D">
            <w:pPr>
              <w:jc w:val="right"/>
              <w:textAlignment w:val="top"/>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2FED"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2FEE" w14:textId="77777777" w:rsidR="00B626E7" w:rsidRDefault="00175C1D">
            <w:pPr>
              <w:textAlignment w:val="top"/>
            </w:pPr>
            <w:r>
              <w:rPr>
                <w:rFonts w:ascii="Arial" w:eastAsia="宋体" w:hAnsi="Arial" w:cs="Arial"/>
                <w:color w:val="0071C5"/>
                <w:sz w:val="18"/>
                <w:szCs w:val="18"/>
              </w:rPr>
              <w:t xml:space="preserve">Higher gross margin from adjacent businesses primarily due to higher margins on NAND and </w:t>
            </w:r>
            <w:r>
              <w:rPr>
                <w:rFonts w:ascii="Arial" w:eastAsia="宋体" w:hAnsi="Arial" w:cs="Arial"/>
                <w:color w:val="0071C5"/>
                <w:sz w:val="18"/>
                <w:szCs w:val="18"/>
              </w:rPr>
              <w:t>modem</w:t>
            </w:r>
          </w:p>
        </w:tc>
      </w:tr>
      <w:tr w:rsidR="00B626E7" w14:paraId="20AE2FF4" w14:textId="77777777">
        <w:tc>
          <w:tcPr>
            <w:tcW w:w="0" w:type="auto"/>
            <w:gridSpan w:val="2"/>
            <w:shd w:val="clear" w:color="auto" w:fill="auto"/>
            <w:tcMar>
              <w:top w:w="40" w:type="dxa"/>
              <w:left w:w="20" w:type="dxa"/>
              <w:bottom w:w="40" w:type="dxa"/>
              <w:right w:w="0" w:type="dxa"/>
            </w:tcMar>
          </w:tcPr>
          <w:p w14:paraId="20AE2FF0" w14:textId="77777777" w:rsidR="00B626E7" w:rsidRDefault="00175C1D">
            <w:pPr>
              <w:jc w:val="right"/>
              <w:textAlignment w:val="top"/>
            </w:pPr>
            <w:r>
              <w:rPr>
                <w:rFonts w:ascii="Arial" w:eastAsia="宋体" w:hAnsi="Arial" w:cs="Arial"/>
                <w:color w:val="0071C5"/>
                <w:sz w:val="18"/>
                <w:szCs w:val="18"/>
              </w:rPr>
              <w:t>(1,215)</w:t>
            </w:r>
          </w:p>
        </w:tc>
        <w:tc>
          <w:tcPr>
            <w:tcW w:w="0" w:type="auto"/>
            <w:shd w:val="clear" w:color="auto" w:fill="auto"/>
            <w:tcMar>
              <w:top w:w="40" w:type="dxa"/>
              <w:bottom w:w="40" w:type="dxa"/>
              <w:right w:w="20" w:type="dxa"/>
            </w:tcMar>
          </w:tcPr>
          <w:p w14:paraId="20AE2FF1" w14:textId="77777777" w:rsidR="00B626E7" w:rsidRDefault="00175C1D">
            <w:pPr>
              <w:jc w:val="right"/>
              <w:textAlignment w:val="top"/>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2FF2"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2FF3" w14:textId="77777777" w:rsidR="00B626E7" w:rsidRDefault="00175C1D">
            <w:pPr>
              <w:textAlignment w:val="top"/>
            </w:pPr>
            <w:r>
              <w:rPr>
                <w:rFonts w:ascii="Arial" w:eastAsia="宋体" w:hAnsi="Arial" w:cs="Arial"/>
                <w:color w:val="0071C5"/>
                <w:sz w:val="18"/>
                <w:szCs w:val="18"/>
              </w:rPr>
              <w:t>Higher platform unit cost primarily from increased mix of 10nm and performance products</w:t>
            </w:r>
          </w:p>
        </w:tc>
      </w:tr>
      <w:tr w:rsidR="00B626E7" w14:paraId="20AE2FF9" w14:textId="77777777">
        <w:tc>
          <w:tcPr>
            <w:tcW w:w="0" w:type="auto"/>
            <w:gridSpan w:val="2"/>
            <w:shd w:val="clear" w:color="auto" w:fill="auto"/>
            <w:tcMar>
              <w:top w:w="40" w:type="dxa"/>
              <w:left w:w="20" w:type="dxa"/>
              <w:bottom w:w="40" w:type="dxa"/>
              <w:right w:w="0" w:type="dxa"/>
            </w:tcMar>
          </w:tcPr>
          <w:p w14:paraId="20AE2FF5" w14:textId="77777777" w:rsidR="00B626E7" w:rsidRDefault="00175C1D">
            <w:pPr>
              <w:jc w:val="right"/>
              <w:textAlignment w:val="top"/>
            </w:pPr>
            <w:r>
              <w:rPr>
                <w:rFonts w:ascii="Arial" w:eastAsia="宋体" w:hAnsi="Arial" w:cs="Arial"/>
                <w:color w:val="0071C5"/>
                <w:sz w:val="18"/>
                <w:szCs w:val="18"/>
              </w:rPr>
              <w:t>(440)</w:t>
            </w:r>
          </w:p>
        </w:tc>
        <w:tc>
          <w:tcPr>
            <w:tcW w:w="0" w:type="auto"/>
            <w:shd w:val="clear" w:color="auto" w:fill="auto"/>
            <w:tcMar>
              <w:top w:w="40" w:type="dxa"/>
              <w:bottom w:w="40" w:type="dxa"/>
              <w:right w:w="20" w:type="dxa"/>
            </w:tcMar>
          </w:tcPr>
          <w:p w14:paraId="20AE2FF6" w14:textId="77777777" w:rsidR="00B626E7" w:rsidRDefault="00175C1D">
            <w:pPr>
              <w:jc w:val="right"/>
              <w:textAlignment w:val="top"/>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2FF7"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2FF8" w14:textId="77777777" w:rsidR="00B626E7" w:rsidRDefault="00175C1D">
            <w:pPr>
              <w:textAlignment w:val="top"/>
            </w:pPr>
            <w:r>
              <w:rPr>
                <w:rFonts w:ascii="Arial" w:eastAsia="宋体" w:hAnsi="Arial" w:cs="Arial"/>
                <w:color w:val="0071C5"/>
                <w:sz w:val="18"/>
                <w:szCs w:val="18"/>
              </w:rPr>
              <w:t xml:space="preserve">Higher period charges primarily due to reserved non-qualified platform product related to our 10nm process technology, partially </w:t>
            </w:r>
            <w:r>
              <w:rPr>
                <w:rFonts w:ascii="Arial" w:eastAsia="宋体" w:hAnsi="Arial" w:cs="Arial"/>
                <w:color w:val="0071C5"/>
                <w:sz w:val="18"/>
                <w:szCs w:val="18"/>
              </w:rPr>
              <w:t>offset by lower factory start-up costs associated with our 10nm products</w:t>
            </w:r>
          </w:p>
        </w:tc>
      </w:tr>
      <w:tr w:rsidR="00B626E7" w14:paraId="20AE2FFD" w14:textId="77777777">
        <w:trPr>
          <w:hidden/>
        </w:trPr>
        <w:tc>
          <w:tcPr>
            <w:tcW w:w="0" w:type="auto"/>
            <w:gridSpan w:val="3"/>
            <w:shd w:val="clear" w:color="auto" w:fill="auto"/>
          </w:tcPr>
          <w:p w14:paraId="20AE2FFA" w14:textId="77777777" w:rsidR="00B626E7" w:rsidRDefault="00B626E7">
            <w:pPr>
              <w:rPr>
                <w:rFonts w:ascii="宋体"/>
                <w:vanish/>
              </w:rPr>
            </w:pPr>
          </w:p>
        </w:tc>
        <w:tc>
          <w:tcPr>
            <w:tcW w:w="0" w:type="auto"/>
            <w:gridSpan w:val="3"/>
            <w:shd w:val="clear" w:color="auto" w:fill="auto"/>
          </w:tcPr>
          <w:p w14:paraId="20AE2FFB" w14:textId="77777777" w:rsidR="00B626E7" w:rsidRDefault="00B626E7">
            <w:pPr>
              <w:rPr>
                <w:rFonts w:ascii="宋体"/>
                <w:vanish/>
              </w:rPr>
            </w:pPr>
          </w:p>
        </w:tc>
        <w:tc>
          <w:tcPr>
            <w:tcW w:w="0" w:type="auto"/>
            <w:gridSpan w:val="3"/>
            <w:shd w:val="clear" w:color="auto" w:fill="auto"/>
          </w:tcPr>
          <w:p w14:paraId="20AE2FFC" w14:textId="77777777" w:rsidR="00B626E7" w:rsidRDefault="00B626E7">
            <w:pPr>
              <w:rPr>
                <w:rFonts w:ascii="宋体"/>
                <w:vanish/>
              </w:rPr>
            </w:pPr>
          </w:p>
        </w:tc>
      </w:tr>
      <w:tr w:rsidR="00B626E7" w14:paraId="20AE3001" w14:textId="77777777">
        <w:trPr>
          <w:hidden/>
        </w:trPr>
        <w:tc>
          <w:tcPr>
            <w:tcW w:w="0" w:type="auto"/>
            <w:gridSpan w:val="3"/>
            <w:shd w:val="clear" w:color="auto" w:fill="auto"/>
          </w:tcPr>
          <w:p w14:paraId="20AE2FFE" w14:textId="77777777" w:rsidR="00B626E7" w:rsidRDefault="00B626E7">
            <w:pPr>
              <w:rPr>
                <w:rFonts w:ascii="宋体"/>
                <w:vanish/>
              </w:rPr>
            </w:pPr>
          </w:p>
        </w:tc>
        <w:tc>
          <w:tcPr>
            <w:tcW w:w="0" w:type="auto"/>
            <w:gridSpan w:val="3"/>
            <w:shd w:val="clear" w:color="auto" w:fill="auto"/>
          </w:tcPr>
          <w:p w14:paraId="20AE2FFF" w14:textId="77777777" w:rsidR="00B626E7" w:rsidRDefault="00B626E7">
            <w:pPr>
              <w:rPr>
                <w:rFonts w:ascii="宋体"/>
                <w:vanish/>
              </w:rPr>
            </w:pPr>
          </w:p>
        </w:tc>
        <w:tc>
          <w:tcPr>
            <w:tcW w:w="0" w:type="auto"/>
            <w:gridSpan w:val="3"/>
            <w:shd w:val="clear" w:color="auto" w:fill="auto"/>
          </w:tcPr>
          <w:p w14:paraId="20AE3000" w14:textId="77777777" w:rsidR="00B626E7" w:rsidRDefault="00B626E7">
            <w:pPr>
              <w:rPr>
                <w:rFonts w:ascii="宋体"/>
                <w:vanish/>
              </w:rPr>
            </w:pPr>
          </w:p>
        </w:tc>
      </w:tr>
      <w:tr w:rsidR="00B626E7" w14:paraId="20AE3005" w14:textId="77777777">
        <w:trPr>
          <w:hidden/>
        </w:trPr>
        <w:tc>
          <w:tcPr>
            <w:tcW w:w="0" w:type="auto"/>
            <w:gridSpan w:val="3"/>
            <w:shd w:val="clear" w:color="auto" w:fill="auto"/>
          </w:tcPr>
          <w:p w14:paraId="20AE3002" w14:textId="77777777" w:rsidR="00B626E7" w:rsidRDefault="00B626E7">
            <w:pPr>
              <w:rPr>
                <w:rFonts w:ascii="宋体"/>
                <w:vanish/>
              </w:rPr>
            </w:pPr>
          </w:p>
        </w:tc>
        <w:tc>
          <w:tcPr>
            <w:tcW w:w="0" w:type="auto"/>
            <w:gridSpan w:val="3"/>
            <w:shd w:val="clear" w:color="auto" w:fill="auto"/>
          </w:tcPr>
          <w:p w14:paraId="20AE3003" w14:textId="77777777" w:rsidR="00B626E7" w:rsidRDefault="00B626E7">
            <w:pPr>
              <w:rPr>
                <w:rFonts w:ascii="宋体"/>
                <w:vanish/>
              </w:rPr>
            </w:pPr>
          </w:p>
        </w:tc>
        <w:tc>
          <w:tcPr>
            <w:tcW w:w="0" w:type="auto"/>
            <w:gridSpan w:val="3"/>
            <w:shd w:val="clear" w:color="auto" w:fill="auto"/>
          </w:tcPr>
          <w:p w14:paraId="20AE3004" w14:textId="77777777" w:rsidR="00B626E7" w:rsidRDefault="00B626E7">
            <w:pPr>
              <w:rPr>
                <w:rFonts w:ascii="宋体"/>
                <w:vanish/>
              </w:rPr>
            </w:pPr>
          </w:p>
        </w:tc>
      </w:tr>
      <w:tr w:rsidR="00B626E7" w14:paraId="20AE3009" w14:textId="77777777">
        <w:trPr>
          <w:hidden/>
        </w:trPr>
        <w:tc>
          <w:tcPr>
            <w:tcW w:w="0" w:type="auto"/>
            <w:gridSpan w:val="3"/>
            <w:shd w:val="clear" w:color="auto" w:fill="auto"/>
          </w:tcPr>
          <w:p w14:paraId="20AE3006" w14:textId="77777777" w:rsidR="00B626E7" w:rsidRDefault="00B626E7">
            <w:pPr>
              <w:rPr>
                <w:rFonts w:ascii="宋体"/>
                <w:vanish/>
              </w:rPr>
            </w:pPr>
          </w:p>
        </w:tc>
        <w:tc>
          <w:tcPr>
            <w:tcW w:w="0" w:type="auto"/>
            <w:gridSpan w:val="3"/>
            <w:shd w:val="clear" w:color="auto" w:fill="auto"/>
          </w:tcPr>
          <w:p w14:paraId="20AE3007" w14:textId="77777777" w:rsidR="00B626E7" w:rsidRDefault="00B626E7">
            <w:pPr>
              <w:rPr>
                <w:rFonts w:ascii="宋体"/>
                <w:vanish/>
              </w:rPr>
            </w:pPr>
          </w:p>
        </w:tc>
        <w:tc>
          <w:tcPr>
            <w:tcW w:w="0" w:type="auto"/>
            <w:gridSpan w:val="3"/>
            <w:shd w:val="clear" w:color="auto" w:fill="auto"/>
          </w:tcPr>
          <w:p w14:paraId="20AE3008" w14:textId="77777777" w:rsidR="00B626E7" w:rsidRDefault="00B626E7">
            <w:pPr>
              <w:rPr>
                <w:rFonts w:ascii="宋体"/>
                <w:vanish/>
              </w:rPr>
            </w:pPr>
          </w:p>
        </w:tc>
      </w:tr>
      <w:tr w:rsidR="00B626E7" w14:paraId="20AE300D" w14:textId="77777777">
        <w:trPr>
          <w:hidden/>
        </w:trPr>
        <w:tc>
          <w:tcPr>
            <w:tcW w:w="0" w:type="auto"/>
            <w:gridSpan w:val="3"/>
            <w:shd w:val="clear" w:color="auto" w:fill="auto"/>
          </w:tcPr>
          <w:p w14:paraId="20AE300A" w14:textId="77777777" w:rsidR="00B626E7" w:rsidRDefault="00B626E7">
            <w:pPr>
              <w:rPr>
                <w:rFonts w:ascii="宋体"/>
                <w:vanish/>
              </w:rPr>
            </w:pPr>
          </w:p>
        </w:tc>
        <w:tc>
          <w:tcPr>
            <w:tcW w:w="0" w:type="auto"/>
            <w:gridSpan w:val="3"/>
            <w:shd w:val="clear" w:color="auto" w:fill="auto"/>
          </w:tcPr>
          <w:p w14:paraId="20AE300B" w14:textId="77777777" w:rsidR="00B626E7" w:rsidRDefault="00B626E7">
            <w:pPr>
              <w:rPr>
                <w:rFonts w:ascii="宋体"/>
                <w:vanish/>
              </w:rPr>
            </w:pPr>
          </w:p>
        </w:tc>
        <w:tc>
          <w:tcPr>
            <w:tcW w:w="0" w:type="auto"/>
            <w:gridSpan w:val="3"/>
            <w:shd w:val="clear" w:color="auto" w:fill="auto"/>
          </w:tcPr>
          <w:p w14:paraId="20AE300C" w14:textId="77777777" w:rsidR="00B626E7" w:rsidRDefault="00B626E7">
            <w:pPr>
              <w:rPr>
                <w:rFonts w:ascii="宋体"/>
                <w:vanish/>
              </w:rPr>
            </w:pPr>
          </w:p>
        </w:tc>
      </w:tr>
      <w:tr w:rsidR="00B626E7" w14:paraId="20AE3011" w14:textId="77777777">
        <w:trPr>
          <w:hidden/>
        </w:trPr>
        <w:tc>
          <w:tcPr>
            <w:tcW w:w="0" w:type="auto"/>
            <w:gridSpan w:val="3"/>
            <w:shd w:val="clear" w:color="auto" w:fill="auto"/>
          </w:tcPr>
          <w:p w14:paraId="20AE300E" w14:textId="77777777" w:rsidR="00B626E7" w:rsidRDefault="00B626E7">
            <w:pPr>
              <w:rPr>
                <w:rFonts w:ascii="宋体"/>
                <w:vanish/>
              </w:rPr>
            </w:pPr>
          </w:p>
        </w:tc>
        <w:tc>
          <w:tcPr>
            <w:tcW w:w="0" w:type="auto"/>
            <w:gridSpan w:val="3"/>
            <w:shd w:val="clear" w:color="auto" w:fill="auto"/>
          </w:tcPr>
          <w:p w14:paraId="20AE300F" w14:textId="77777777" w:rsidR="00B626E7" w:rsidRDefault="00B626E7">
            <w:pPr>
              <w:rPr>
                <w:rFonts w:ascii="宋体"/>
                <w:vanish/>
              </w:rPr>
            </w:pPr>
          </w:p>
        </w:tc>
        <w:tc>
          <w:tcPr>
            <w:tcW w:w="0" w:type="auto"/>
            <w:gridSpan w:val="3"/>
            <w:shd w:val="clear" w:color="auto" w:fill="auto"/>
          </w:tcPr>
          <w:p w14:paraId="20AE3010" w14:textId="77777777" w:rsidR="00B626E7" w:rsidRDefault="00B626E7">
            <w:pPr>
              <w:rPr>
                <w:rFonts w:ascii="宋体"/>
                <w:vanish/>
              </w:rPr>
            </w:pPr>
          </w:p>
        </w:tc>
      </w:tr>
      <w:tr w:rsidR="00B626E7" w14:paraId="20AE3015" w14:textId="77777777">
        <w:trPr>
          <w:hidden/>
        </w:trPr>
        <w:tc>
          <w:tcPr>
            <w:tcW w:w="0" w:type="auto"/>
            <w:gridSpan w:val="3"/>
            <w:shd w:val="clear" w:color="auto" w:fill="auto"/>
          </w:tcPr>
          <w:p w14:paraId="20AE3012" w14:textId="77777777" w:rsidR="00B626E7" w:rsidRDefault="00B626E7">
            <w:pPr>
              <w:rPr>
                <w:rFonts w:ascii="宋体"/>
                <w:vanish/>
              </w:rPr>
            </w:pPr>
          </w:p>
        </w:tc>
        <w:tc>
          <w:tcPr>
            <w:tcW w:w="0" w:type="auto"/>
            <w:gridSpan w:val="3"/>
            <w:shd w:val="clear" w:color="auto" w:fill="auto"/>
          </w:tcPr>
          <w:p w14:paraId="20AE3013" w14:textId="77777777" w:rsidR="00B626E7" w:rsidRDefault="00B626E7">
            <w:pPr>
              <w:rPr>
                <w:rFonts w:ascii="宋体"/>
                <w:vanish/>
              </w:rPr>
            </w:pPr>
          </w:p>
        </w:tc>
        <w:tc>
          <w:tcPr>
            <w:tcW w:w="0" w:type="auto"/>
            <w:gridSpan w:val="3"/>
            <w:shd w:val="clear" w:color="auto" w:fill="auto"/>
          </w:tcPr>
          <w:p w14:paraId="20AE3014" w14:textId="77777777" w:rsidR="00B626E7" w:rsidRDefault="00B626E7">
            <w:pPr>
              <w:rPr>
                <w:rFonts w:ascii="宋体"/>
                <w:vanish/>
              </w:rPr>
            </w:pPr>
          </w:p>
        </w:tc>
      </w:tr>
      <w:tr w:rsidR="00B626E7" w14:paraId="20AE301A" w14:textId="77777777">
        <w:tc>
          <w:tcPr>
            <w:tcW w:w="0" w:type="auto"/>
            <w:gridSpan w:val="2"/>
            <w:shd w:val="clear" w:color="auto" w:fill="auto"/>
            <w:tcMar>
              <w:top w:w="40" w:type="dxa"/>
              <w:left w:w="20" w:type="dxa"/>
              <w:bottom w:w="40" w:type="dxa"/>
              <w:right w:w="0" w:type="dxa"/>
            </w:tcMar>
          </w:tcPr>
          <w:p w14:paraId="20AE3016" w14:textId="77777777" w:rsidR="00B626E7" w:rsidRDefault="00175C1D">
            <w:pPr>
              <w:jc w:val="right"/>
              <w:textAlignment w:val="top"/>
            </w:pPr>
            <w:r>
              <w:rPr>
                <w:rFonts w:ascii="Arial" w:eastAsia="宋体" w:hAnsi="Arial" w:cs="Arial"/>
                <w:color w:val="0071C5"/>
                <w:sz w:val="18"/>
                <w:szCs w:val="18"/>
              </w:rPr>
              <w:t>(81)</w:t>
            </w:r>
          </w:p>
        </w:tc>
        <w:tc>
          <w:tcPr>
            <w:tcW w:w="0" w:type="auto"/>
            <w:shd w:val="clear" w:color="auto" w:fill="auto"/>
            <w:tcMar>
              <w:top w:w="40" w:type="dxa"/>
              <w:bottom w:w="40" w:type="dxa"/>
              <w:right w:w="20" w:type="dxa"/>
            </w:tcMar>
          </w:tcPr>
          <w:p w14:paraId="20AE3017" w14:textId="77777777" w:rsidR="00B626E7" w:rsidRDefault="00175C1D">
            <w:pPr>
              <w:jc w:val="right"/>
              <w:textAlignment w:val="top"/>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3018"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3019" w14:textId="77777777" w:rsidR="00B626E7" w:rsidRDefault="00175C1D">
            <w:pPr>
              <w:textAlignment w:val="top"/>
            </w:pPr>
            <w:r>
              <w:rPr>
                <w:rFonts w:ascii="Arial" w:eastAsia="宋体" w:hAnsi="Arial" w:cs="Arial"/>
                <w:color w:val="0071C5"/>
                <w:sz w:val="18"/>
                <w:szCs w:val="18"/>
              </w:rPr>
              <w:t>Other</w:t>
            </w:r>
          </w:p>
        </w:tc>
      </w:tr>
      <w:tr w:rsidR="00B626E7" w14:paraId="20AE3020" w14:textId="77777777">
        <w:tc>
          <w:tcPr>
            <w:tcW w:w="0" w:type="auto"/>
            <w:tcBorders>
              <w:top w:val="single" w:sz="8" w:space="0" w:color="333333"/>
            </w:tcBorders>
            <w:shd w:val="clear" w:color="auto" w:fill="auto"/>
            <w:tcMar>
              <w:top w:w="40" w:type="dxa"/>
              <w:left w:w="20" w:type="dxa"/>
              <w:bottom w:w="40" w:type="dxa"/>
            </w:tcMar>
            <w:vAlign w:val="bottom"/>
          </w:tcPr>
          <w:p w14:paraId="20AE301B"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20AE301C" w14:textId="77777777" w:rsidR="00B626E7" w:rsidRDefault="00175C1D">
            <w:pPr>
              <w:jc w:val="right"/>
              <w:textAlignment w:val="bottom"/>
            </w:pPr>
            <w:r>
              <w:rPr>
                <w:rFonts w:ascii="Arial" w:eastAsia="宋体" w:hAnsi="Arial" w:cs="Arial"/>
                <w:b/>
                <w:bCs/>
                <w:color w:val="333333"/>
                <w:sz w:val="18"/>
                <w:szCs w:val="18"/>
              </w:rPr>
              <w:t>9,878 </w:t>
            </w:r>
          </w:p>
        </w:tc>
        <w:tc>
          <w:tcPr>
            <w:tcW w:w="0" w:type="auto"/>
            <w:tcBorders>
              <w:top w:val="single" w:sz="8" w:space="0" w:color="333333"/>
            </w:tcBorders>
            <w:shd w:val="clear" w:color="auto" w:fill="auto"/>
            <w:tcMar>
              <w:top w:w="40" w:type="dxa"/>
              <w:bottom w:w="40" w:type="dxa"/>
              <w:right w:w="20" w:type="dxa"/>
            </w:tcMar>
            <w:vAlign w:val="bottom"/>
          </w:tcPr>
          <w:p w14:paraId="20AE301D"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301E" w14:textId="77777777" w:rsidR="00B626E7" w:rsidRDefault="00B626E7">
            <w:pPr>
              <w:rPr>
                <w:rFonts w:ascii="宋体"/>
              </w:rPr>
            </w:pPr>
          </w:p>
        </w:tc>
        <w:tc>
          <w:tcPr>
            <w:tcW w:w="0" w:type="auto"/>
            <w:gridSpan w:val="3"/>
            <w:tcBorders>
              <w:top w:val="single" w:sz="8" w:space="0" w:color="333333"/>
            </w:tcBorders>
            <w:shd w:val="clear" w:color="auto" w:fill="auto"/>
            <w:tcMar>
              <w:top w:w="40" w:type="dxa"/>
              <w:left w:w="20" w:type="dxa"/>
              <w:bottom w:w="40" w:type="dxa"/>
              <w:right w:w="20" w:type="dxa"/>
            </w:tcMar>
            <w:vAlign w:val="bottom"/>
          </w:tcPr>
          <w:p w14:paraId="20AE301F" w14:textId="77777777" w:rsidR="00B626E7" w:rsidRDefault="00175C1D">
            <w:pPr>
              <w:textAlignment w:val="bottom"/>
            </w:pPr>
            <w:r>
              <w:rPr>
                <w:rFonts w:ascii="Arial" w:eastAsia="宋体" w:hAnsi="Arial" w:cs="Arial"/>
                <w:b/>
                <w:bCs/>
                <w:color w:val="333333"/>
                <w:sz w:val="18"/>
                <w:szCs w:val="18"/>
              </w:rPr>
              <w:t>Q2 2019 Gross Margin</w:t>
            </w:r>
          </w:p>
        </w:tc>
      </w:tr>
      <w:tr w:rsidR="00B626E7" w14:paraId="20AE3024" w14:textId="77777777">
        <w:trPr>
          <w:trHeight w:val="160"/>
        </w:trPr>
        <w:tc>
          <w:tcPr>
            <w:tcW w:w="0" w:type="auto"/>
            <w:gridSpan w:val="3"/>
            <w:tcBorders>
              <w:top w:val="single" w:sz="8" w:space="0" w:color="000000"/>
            </w:tcBorders>
            <w:shd w:val="clear" w:color="auto" w:fill="auto"/>
            <w:tcMar>
              <w:left w:w="20" w:type="dxa"/>
              <w:right w:w="20" w:type="dxa"/>
            </w:tcMar>
            <w:vAlign w:val="bottom"/>
          </w:tcPr>
          <w:p w14:paraId="20AE3021"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022" w14:textId="77777777" w:rsidR="00B626E7" w:rsidRDefault="00B626E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0AE3023" w14:textId="77777777" w:rsidR="00B626E7" w:rsidRDefault="00B626E7">
            <w:pPr>
              <w:rPr>
                <w:rFonts w:ascii="宋体"/>
              </w:rPr>
            </w:pPr>
          </w:p>
        </w:tc>
      </w:tr>
      <w:tr w:rsidR="00B626E7" w14:paraId="20AE302A" w14:textId="77777777">
        <w:tc>
          <w:tcPr>
            <w:tcW w:w="0" w:type="auto"/>
            <w:tcBorders>
              <w:top w:val="single" w:sz="8" w:space="0" w:color="333333"/>
            </w:tcBorders>
            <w:shd w:val="clear" w:color="auto" w:fill="auto"/>
            <w:tcMar>
              <w:top w:w="40" w:type="dxa"/>
              <w:left w:w="20" w:type="dxa"/>
              <w:bottom w:w="40" w:type="dxa"/>
            </w:tcMar>
            <w:vAlign w:val="bottom"/>
          </w:tcPr>
          <w:p w14:paraId="20AE3025" w14:textId="77777777" w:rsidR="00B626E7" w:rsidRDefault="00175C1D">
            <w:pPr>
              <w:textAlignment w:val="bottom"/>
            </w:pPr>
            <w:r>
              <w:rPr>
                <w:rFonts w:ascii="Arial" w:eastAsia="宋体" w:hAnsi="Arial" w:cs="Arial"/>
                <w:b/>
                <w:bCs/>
                <w:color w:val="0071C5"/>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20AE3026" w14:textId="77777777" w:rsidR="00B626E7" w:rsidRDefault="00175C1D">
            <w:pPr>
              <w:jc w:val="right"/>
              <w:textAlignment w:val="bottom"/>
            </w:pPr>
            <w:r>
              <w:rPr>
                <w:rFonts w:ascii="Arial" w:eastAsia="宋体" w:hAnsi="Arial" w:cs="Arial"/>
                <w:b/>
                <w:bCs/>
                <w:color w:val="0071C5"/>
                <w:sz w:val="18"/>
                <w:szCs w:val="18"/>
              </w:rPr>
              <w:t>22,523 </w:t>
            </w:r>
          </w:p>
        </w:tc>
        <w:tc>
          <w:tcPr>
            <w:tcW w:w="0" w:type="auto"/>
            <w:tcBorders>
              <w:top w:val="single" w:sz="8" w:space="0" w:color="333333"/>
            </w:tcBorders>
            <w:shd w:val="clear" w:color="auto" w:fill="auto"/>
            <w:tcMar>
              <w:top w:w="40" w:type="dxa"/>
              <w:bottom w:w="40" w:type="dxa"/>
              <w:right w:w="20" w:type="dxa"/>
            </w:tcMar>
            <w:vAlign w:val="bottom"/>
          </w:tcPr>
          <w:p w14:paraId="20AE3027"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3028" w14:textId="77777777" w:rsidR="00B626E7" w:rsidRDefault="00B626E7">
            <w:pPr>
              <w:rPr>
                <w:rFonts w:ascii="宋体"/>
              </w:rPr>
            </w:pPr>
          </w:p>
        </w:tc>
        <w:tc>
          <w:tcPr>
            <w:tcW w:w="0" w:type="auto"/>
            <w:gridSpan w:val="3"/>
            <w:tcBorders>
              <w:top w:val="single" w:sz="8" w:space="0" w:color="333333"/>
            </w:tcBorders>
            <w:shd w:val="clear" w:color="auto" w:fill="auto"/>
            <w:tcMar>
              <w:top w:w="40" w:type="dxa"/>
              <w:left w:w="20" w:type="dxa"/>
              <w:bottom w:w="40" w:type="dxa"/>
              <w:right w:w="20" w:type="dxa"/>
            </w:tcMar>
            <w:vAlign w:val="bottom"/>
          </w:tcPr>
          <w:p w14:paraId="20AE3029" w14:textId="77777777" w:rsidR="00B626E7" w:rsidRDefault="00175C1D">
            <w:pPr>
              <w:textAlignment w:val="bottom"/>
            </w:pPr>
            <w:r>
              <w:rPr>
                <w:rFonts w:ascii="Arial" w:eastAsia="宋体" w:hAnsi="Arial" w:cs="Arial"/>
                <w:b/>
                <w:bCs/>
                <w:color w:val="333333"/>
                <w:sz w:val="18"/>
                <w:szCs w:val="18"/>
              </w:rPr>
              <w:t>YTD 2020 Gross Margin</w:t>
            </w:r>
          </w:p>
        </w:tc>
      </w:tr>
      <w:tr w:rsidR="00B626E7" w14:paraId="20AE302F" w14:textId="77777777">
        <w:tc>
          <w:tcPr>
            <w:tcW w:w="0" w:type="auto"/>
            <w:gridSpan w:val="2"/>
            <w:tcBorders>
              <w:top w:val="single" w:sz="8" w:space="0" w:color="333333"/>
            </w:tcBorders>
            <w:shd w:val="clear" w:color="auto" w:fill="auto"/>
            <w:tcMar>
              <w:top w:w="40" w:type="dxa"/>
              <w:left w:w="20" w:type="dxa"/>
              <w:bottom w:w="40" w:type="dxa"/>
              <w:right w:w="0" w:type="dxa"/>
            </w:tcMar>
          </w:tcPr>
          <w:p w14:paraId="20AE302B" w14:textId="77777777" w:rsidR="00B626E7" w:rsidRDefault="00175C1D">
            <w:pPr>
              <w:jc w:val="right"/>
              <w:textAlignment w:val="top"/>
            </w:pPr>
            <w:r>
              <w:rPr>
                <w:rFonts w:ascii="Arial" w:eastAsia="宋体" w:hAnsi="Arial" w:cs="Arial"/>
                <w:color w:val="0071C5"/>
                <w:sz w:val="18"/>
                <w:szCs w:val="18"/>
              </w:rPr>
              <w:t>4,025 </w:t>
            </w:r>
          </w:p>
        </w:tc>
        <w:tc>
          <w:tcPr>
            <w:tcW w:w="0" w:type="auto"/>
            <w:tcBorders>
              <w:top w:val="single" w:sz="8" w:space="0" w:color="333333"/>
            </w:tcBorders>
            <w:shd w:val="clear" w:color="auto" w:fill="auto"/>
            <w:tcMar>
              <w:top w:w="40" w:type="dxa"/>
              <w:bottom w:w="40" w:type="dxa"/>
              <w:right w:w="20" w:type="dxa"/>
            </w:tcMar>
          </w:tcPr>
          <w:p w14:paraId="20AE302C" w14:textId="77777777" w:rsidR="00B626E7" w:rsidRDefault="00175C1D">
            <w:pPr>
              <w:jc w:val="right"/>
              <w:textAlignment w:val="top"/>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302D" w14:textId="77777777" w:rsidR="00B626E7" w:rsidRDefault="00B626E7">
            <w:pPr>
              <w:rPr>
                <w:rFonts w:ascii="宋体"/>
              </w:rPr>
            </w:pPr>
          </w:p>
        </w:tc>
        <w:tc>
          <w:tcPr>
            <w:tcW w:w="0" w:type="auto"/>
            <w:gridSpan w:val="3"/>
            <w:tcBorders>
              <w:top w:val="single" w:sz="8" w:space="0" w:color="333333"/>
            </w:tcBorders>
            <w:shd w:val="clear" w:color="auto" w:fill="auto"/>
            <w:tcMar>
              <w:top w:w="40" w:type="dxa"/>
              <w:left w:w="20" w:type="dxa"/>
              <w:bottom w:w="40" w:type="dxa"/>
              <w:right w:w="20" w:type="dxa"/>
            </w:tcMar>
          </w:tcPr>
          <w:p w14:paraId="20AE302E" w14:textId="77777777" w:rsidR="00B626E7" w:rsidRDefault="00175C1D">
            <w:pPr>
              <w:textAlignment w:val="top"/>
            </w:pPr>
            <w:r>
              <w:rPr>
                <w:rFonts w:ascii="Arial" w:eastAsia="宋体" w:hAnsi="Arial" w:cs="Arial"/>
                <w:color w:val="0071C5"/>
                <w:sz w:val="18"/>
                <w:szCs w:val="18"/>
              </w:rPr>
              <w:t>Higher gross margin from platform revenue</w:t>
            </w:r>
          </w:p>
        </w:tc>
      </w:tr>
      <w:tr w:rsidR="00B626E7" w14:paraId="20AE3034" w14:textId="77777777">
        <w:tc>
          <w:tcPr>
            <w:tcW w:w="0" w:type="auto"/>
            <w:gridSpan w:val="2"/>
            <w:shd w:val="clear" w:color="auto" w:fill="auto"/>
            <w:tcMar>
              <w:top w:w="40" w:type="dxa"/>
              <w:left w:w="20" w:type="dxa"/>
              <w:bottom w:w="40" w:type="dxa"/>
              <w:right w:w="0" w:type="dxa"/>
            </w:tcMar>
          </w:tcPr>
          <w:p w14:paraId="20AE3030" w14:textId="77777777" w:rsidR="00B626E7" w:rsidRDefault="00175C1D">
            <w:pPr>
              <w:jc w:val="right"/>
              <w:textAlignment w:val="top"/>
            </w:pPr>
            <w:r>
              <w:rPr>
                <w:rFonts w:ascii="Arial" w:eastAsia="宋体" w:hAnsi="Arial" w:cs="Arial"/>
                <w:color w:val="0071C5"/>
                <w:sz w:val="18"/>
                <w:szCs w:val="18"/>
              </w:rPr>
              <w:t>1,150 </w:t>
            </w:r>
          </w:p>
        </w:tc>
        <w:tc>
          <w:tcPr>
            <w:tcW w:w="0" w:type="auto"/>
            <w:shd w:val="clear" w:color="auto" w:fill="auto"/>
            <w:tcMar>
              <w:top w:w="40" w:type="dxa"/>
              <w:bottom w:w="40" w:type="dxa"/>
              <w:right w:w="20" w:type="dxa"/>
            </w:tcMar>
          </w:tcPr>
          <w:p w14:paraId="20AE3031" w14:textId="77777777" w:rsidR="00B626E7" w:rsidRDefault="00175C1D">
            <w:pPr>
              <w:jc w:val="right"/>
              <w:textAlignment w:val="top"/>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3032"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3033" w14:textId="77777777" w:rsidR="00B626E7" w:rsidRDefault="00175C1D">
            <w:pPr>
              <w:textAlignment w:val="top"/>
            </w:pPr>
            <w:r>
              <w:rPr>
                <w:rFonts w:ascii="Arial" w:eastAsia="宋体" w:hAnsi="Arial" w:cs="Arial"/>
                <w:color w:val="0071C5"/>
                <w:sz w:val="18"/>
                <w:szCs w:val="18"/>
              </w:rPr>
              <w:t>Higher gross margin from adjacent businesses primarily due to higher margins on NAND and modem partially offset by lower margins on DCG adjacencies</w:t>
            </w:r>
          </w:p>
        </w:tc>
      </w:tr>
      <w:tr w:rsidR="00B626E7" w14:paraId="20AE3039" w14:textId="77777777">
        <w:tc>
          <w:tcPr>
            <w:tcW w:w="0" w:type="auto"/>
            <w:gridSpan w:val="2"/>
            <w:shd w:val="clear" w:color="auto" w:fill="auto"/>
            <w:tcMar>
              <w:top w:w="40" w:type="dxa"/>
              <w:left w:w="20" w:type="dxa"/>
              <w:bottom w:w="40" w:type="dxa"/>
              <w:right w:w="0" w:type="dxa"/>
            </w:tcMar>
          </w:tcPr>
          <w:p w14:paraId="20AE3035" w14:textId="77777777" w:rsidR="00B626E7" w:rsidRDefault="00175C1D">
            <w:pPr>
              <w:jc w:val="right"/>
              <w:textAlignment w:val="top"/>
            </w:pPr>
            <w:r>
              <w:rPr>
                <w:rFonts w:ascii="Arial" w:eastAsia="宋体" w:hAnsi="Arial" w:cs="Arial"/>
                <w:color w:val="0071C5"/>
                <w:sz w:val="18"/>
                <w:szCs w:val="18"/>
              </w:rPr>
              <w:t>320 </w:t>
            </w:r>
          </w:p>
        </w:tc>
        <w:tc>
          <w:tcPr>
            <w:tcW w:w="0" w:type="auto"/>
            <w:shd w:val="clear" w:color="auto" w:fill="auto"/>
            <w:tcMar>
              <w:top w:w="40" w:type="dxa"/>
              <w:bottom w:w="40" w:type="dxa"/>
              <w:right w:w="20" w:type="dxa"/>
            </w:tcMar>
          </w:tcPr>
          <w:p w14:paraId="20AE3036" w14:textId="77777777" w:rsidR="00B626E7" w:rsidRDefault="00175C1D">
            <w:pPr>
              <w:jc w:val="right"/>
              <w:textAlignment w:val="top"/>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3037"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3038" w14:textId="77777777" w:rsidR="00B626E7" w:rsidRDefault="00175C1D">
            <w:pPr>
              <w:textAlignment w:val="top"/>
            </w:pPr>
            <w:r>
              <w:rPr>
                <w:rFonts w:ascii="Arial" w:eastAsia="宋体" w:hAnsi="Arial" w:cs="Arial"/>
                <w:color w:val="0071C5"/>
                <w:sz w:val="18"/>
                <w:szCs w:val="18"/>
              </w:rPr>
              <w:t xml:space="preserve">Lower period charges primarily due to lower factory start-up costs associated with our 10nm </w:t>
            </w:r>
            <w:r>
              <w:rPr>
                <w:rFonts w:ascii="Arial" w:eastAsia="宋体" w:hAnsi="Arial" w:cs="Arial"/>
                <w:color w:val="0071C5"/>
                <w:sz w:val="18"/>
                <w:szCs w:val="18"/>
              </w:rPr>
              <w:t>products</w:t>
            </w:r>
          </w:p>
        </w:tc>
      </w:tr>
      <w:tr w:rsidR="00B626E7" w14:paraId="20AE303E" w14:textId="77777777">
        <w:tc>
          <w:tcPr>
            <w:tcW w:w="0" w:type="auto"/>
            <w:gridSpan w:val="2"/>
            <w:shd w:val="clear" w:color="auto" w:fill="auto"/>
            <w:tcMar>
              <w:top w:w="40" w:type="dxa"/>
              <w:left w:w="20" w:type="dxa"/>
              <w:bottom w:w="40" w:type="dxa"/>
              <w:right w:w="0" w:type="dxa"/>
            </w:tcMar>
          </w:tcPr>
          <w:p w14:paraId="20AE303A" w14:textId="77777777" w:rsidR="00B626E7" w:rsidRDefault="00175C1D">
            <w:pPr>
              <w:jc w:val="right"/>
              <w:textAlignment w:val="top"/>
            </w:pPr>
            <w:r>
              <w:rPr>
                <w:rFonts w:ascii="Arial" w:eastAsia="宋体" w:hAnsi="Arial" w:cs="Arial"/>
                <w:color w:val="0071C5"/>
                <w:sz w:val="18"/>
                <w:szCs w:val="18"/>
              </w:rPr>
              <w:t>(1,800)</w:t>
            </w:r>
          </w:p>
        </w:tc>
        <w:tc>
          <w:tcPr>
            <w:tcW w:w="0" w:type="auto"/>
            <w:shd w:val="clear" w:color="auto" w:fill="auto"/>
            <w:tcMar>
              <w:top w:w="40" w:type="dxa"/>
              <w:bottom w:w="40" w:type="dxa"/>
              <w:right w:w="20" w:type="dxa"/>
            </w:tcMar>
          </w:tcPr>
          <w:p w14:paraId="20AE303B" w14:textId="77777777" w:rsidR="00B626E7" w:rsidRDefault="00175C1D">
            <w:pPr>
              <w:jc w:val="right"/>
              <w:textAlignment w:val="top"/>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303C"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303D" w14:textId="77777777" w:rsidR="00B626E7" w:rsidRDefault="00175C1D">
            <w:pPr>
              <w:textAlignment w:val="top"/>
            </w:pPr>
            <w:r>
              <w:rPr>
                <w:rFonts w:ascii="Arial" w:eastAsia="宋体" w:hAnsi="Arial" w:cs="Arial"/>
                <w:color w:val="0071C5"/>
                <w:sz w:val="18"/>
                <w:szCs w:val="18"/>
              </w:rPr>
              <w:t>Higher platform unit cost primarily from increased mix of 10nm and performance products</w:t>
            </w:r>
          </w:p>
        </w:tc>
      </w:tr>
      <w:tr w:rsidR="00B626E7" w14:paraId="20AE3042" w14:textId="77777777">
        <w:trPr>
          <w:hidden/>
        </w:trPr>
        <w:tc>
          <w:tcPr>
            <w:tcW w:w="0" w:type="auto"/>
            <w:gridSpan w:val="3"/>
            <w:shd w:val="clear" w:color="auto" w:fill="auto"/>
          </w:tcPr>
          <w:p w14:paraId="20AE303F" w14:textId="77777777" w:rsidR="00B626E7" w:rsidRDefault="00B626E7">
            <w:pPr>
              <w:rPr>
                <w:rFonts w:ascii="宋体"/>
                <w:vanish/>
              </w:rPr>
            </w:pPr>
          </w:p>
        </w:tc>
        <w:tc>
          <w:tcPr>
            <w:tcW w:w="0" w:type="auto"/>
            <w:gridSpan w:val="3"/>
            <w:shd w:val="clear" w:color="auto" w:fill="auto"/>
          </w:tcPr>
          <w:p w14:paraId="20AE3040" w14:textId="77777777" w:rsidR="00B626E7" w:rsidRDefault="00B626E7">
            <w:pPr>
              <w:rPr>
                <w:rFonts w:ascii="宋体"/>
                <w:vanish/>
              </w:rPr>
            </w:pPr>
          </w:p>
        </w:tc>
        <w:tc>
          <w:tcPr>
            <w:tcW w:w="0" w:type="auto"/>
            <w:gridSpan w:val="3"/>
            <w:shd w:val="clear" w:color="auto" w:fill="auto"/>
          </w:tcPr>
          <w:p w14:paraId="20AE3041" w14:textId="77777777" w:rsidR="00B626E7" w:rsidRDefault="00B626E7">
            <w:pPr>
              <w:rPr>
                <w:rFonts w:ascii="宋体"/>
                <w:vanish/>
              </w:rPr>
            </w:pPr>
          </w:p>
        </w:tc>
      </w:tr>
      <w:tr w:rsidR="00B626E7" w14:paraId="20AE3046" w14:textId="77777777">
        <w:trPr>
          <w:hidden/>
        </w:trPr>
        <w:tc>
          <w:tcPr>
            <w:tcW w:w="0" w:type="auto"/>
            <w:gridSpan w:val="3"/>
            <w:shd w:val="clear" w:color="auto" w:fill="auto"/>
          </w:tcPr>
          <w:p w14:paraId="20AE3043" w14:textId="77777777" w:rsidR="00B626E7" w:rsidRDefault="00B626E7">
            <w:pPr>
              <w:rPr>
                <w:rFonts w:ascii="宋体"/>
                <w:vanish/>
              </w:rPr>
            </w:pPr>
          </w:p>
        </w:tc>
        <w:tc>
          <w:tcPr>
            <w:tcW w:w="0" w:type="auto"/>
            <w:gridSpan w:val="3"/>
            <w:shd w:val="clear" w:color="auto" w:fill="auto"/>
          </w:tcPr>
          <w:p w14:paraId="20AE3044" w14:textId="77777777" w:rsidR="00B626E7" w:rsidRDefault="00B626E7">
            <w:pPr>
              <w:rPr>
                <w:rFonts w:ascii="宋体"/>
                <w:vanish/>
              </w:rPr>
            </w:pPr>
          </w:p>
        </w:tc>
        <w:tc>
          <w:tcPr>
            <w:tcW w:w="0" w:type="auto"/>
            <w:gridSpan w:val="3"/>
            <w:shd w:val="clear" w:color="auto" w:fill="auto"/>
          </w:tcPr>
          <w:p w14:paraId="20AE3045" w14:textId="77777777" w:rsidR="00B626E7" w:rsidRDefault="00B626E7">
            <w:pPr>
              <w:rPr>
                <w:rFonts w:ascii="宋体"/>
                <w:vanish/>
              </w:rPr>
            </w:pPr>
          </w:p>
        </w:tc>
      </w:tr>
      <w:tr w:rsidR="00B626E7" w14:paraId="20AE304A" w14:textId="77777777">
        <w:trPr>
          <w:hidden/>
        </w:trPr>
        <w:tc>
          <w:tcPr>
            <w:tcW w:w="0" w:type="auto"/>
            <w:gridSpan w:val="3"/>
            <w:shd w:val="clear" w:color="auto" w:fill="auto"/>
          </w:tcPr>
          <w:p w14:paraId="20AE3047" w14:textId="77777777" w:rsidR="00B626E7" w:rsidRDefault="00B626E7">
            <w:pPr>
              <w:rPr>
                <w:rFonts w:ascii="宋体"/>
                <w:vanish/>
              </w:rPr>
            </w:pPr>
          </w:p>
        </w:tc>
        <w:tc>
          <w:tcPr>
            <w:tcW w:w="0" w:type="auto"/>
            <w:gridSpan w:val="3"/>
            <w:shd w:val="clear" w:color="auto" w:fill="auto"/>
          </w:tcPr>
          <w:p w14:paraId="20AE3048" w14:textId="77777777" w:rsidR="00B626E7" w:rsidRDefault="00B626E7">
            <w:pPr>
              <w:rPr>
                <w:rFonts w:ascii="宋体"/>
                <w:vanish/>
              </w:rPr>
            </w:pPr>
          </w:p>
        </w:tc>
        <w:tc>
          <w:tcPr>
            <w:tcW w:w="0" w:type="auto"/>
            <w:gridSpan w:val="3"/>
            <w:shd w:val="clear" w:color="auto" w:fill="auto"/>
          </w:tcPr>
          <w:p w14:paraId="20AE3049" w14:textId="77777777" w:rsidR="00B626E7" w:rsidRDefault="00B626E7">
            <w:pPr>
              <w:rPr>
                <w:rFonts w:ascii="宋体"/>
                <w:vanish/>
              </w:rPr>
            </w:pPr>
          </w:p>
        </w:tc>
      </w:tr>
      <w:tr w:rsidR="00B626E7" w14:paraId="20AE304E" w14:textId="77777777">
        <w:trPr>
          <w:hidden/>
        </w:trPr>
        <w:tc>
          <w:tcPr>
            <w:tcW w:w="0" w:type="auto"/>
            <w:gridSpan w:val="3"/>
            <w:shd w:val="clear" w:color="auto" w:fill="auto"/>
          </w:tcPr>
          <w:p w14:paraId="20AE304B" w14:textId="77777777" w:rsidR="00B626E7" w:rsidRDefault="00B626E7">
            <w:pPr>
              <w:rPr>
                <w:rFonts w:ascii="宋体"/>
                <w:vanish/>
              </w:rPr>
            </w:pPr>
          </w:p>
        </w:tc>
        <w:tc>
          <w:tcPr>
            <w:tcW w:w="0" w:type="auto"/>
            <w:gridSpan w:val="3"/>
            <w:shd w:val="clear" w:color="auto" w:fill="auto"/>
          </w:tcPr>
          <w:p w14:paraId="20AE304C" w14:textId="77777777" w:rsidR="00B626E7" w:rsidRDefault="00B626E7">
            <w:pPr>
              <w:rPr>
                <w:rFonts w:ascii="宋体"/>
                <w:vanish/>
              </w:rPr>
            </w:pPr>
          </w:p>
        </w:tc>
        <w:tc>
          <w:tcPr>
            <w:tcW w:w="0" w:type="auto"/>
            <w:gridSpan w:val="3"/>
            <w:shd w:val="clear" w:color="auto" w:fill="auto"/>
          </w:tcPr>
          <w:p w14:paraId="20AE304D" w14:textId="77777777" w:rsidR="00B626E7" w:rsidRDefault="00B626E7">
            <w:pPr>
              <w:rPr>
                <w:rFonts w:ascii="宋体"/>
                <w:vanish/>
              </w:rPr>
            </w:pPr>
          </w:p>
        </w:tc>
      </w:tr>
      <w:tr w:rsidR="00B626E7" w14:paraId="20AE3052" w14:textId="77777777">
        <w:trPr>
          <w:hidden/>
        </w:trPr>
        <w:tc>
          <w:tcPr>
            <w:tcW w:w="0" w:type="auto"/>
            <w:gridSpan w:val="3"/>
            <w:shd w:val="clear" w:color="auto" w:fill="auto"/>
          </w:tcPr>
          <w:p w14:paraId="20AE304F" w14:textId="77777777" w:rsidR="00B626E7" w:rsidRDefault="00B626E7">
            <w:pPr>
              <w:rPr>
                <w:rFonts w:ascii="宋体"/>
                <w:vanish/>
              </w:rPr>
            </w:pPr>
          </w:p>
        </w:tc>
        <w:tc>
          <w:tcPr>
            <w:tcW w:w="0" w:type="auto"/>
            <w:gridSpan w:val="3"/>
            <w:shd w:val="clear" w:color="auto" w:fill="auto"/>
          </w:tcPr>
          <w:p w14:paraId="20AE3050" w14:textId="77777777" w:rsidR="00B626E7" w:rsidRDefault="00B626E7">
            <w:pPr>
              <w:rPr>
                <w:rFonts w:ascii="宋体"/>
                <w:vanish/>
              </w:rPr>
            </w:pPr>
          </w:p>
        </w:tc>
        <w:tc>
          <w:tcPr>
            <w:tcW w:w="0" w:type="auto"/>
            <w:gridSpan w:val="3"/>
            <w:shd w:val="clear" w:color="auto" w:fill="auto"/>
          </w:tcPr>
          <w:p w14:paraId="20AE3051" w14:textId="77777777" w:rsidR="00B626E7" w:rsidRDefault="00B626E7">
            <w:pPr>
              <w:rPr>
                <w:rFonts w:ascii="宋体"/>
                <w:vanish/>
              </w:rPr>
            </w:pPr>
          </w:p>
        </w:tc>
      </w:tr>
      <w:tr w:rsidR="00B626E7" w14:paraId="20AE3056" w14:textId="77777777">
        <w:trPr>
          <w:hidden/>
        </w:trPr>
        <w:tc>
          <w:tcPr>
            <w:tcW w:w="0" w:type="auto"/>
            <w:gridSpan w:val="3"/>
            <w:shd w:val="clear" w:color="auto" w:fill="auto"/>
          </w:tcPr>
          <w:p w14:paraId="20AE3053" w14:textId="77777777" w:rsidR="00B626E7" w:rsidRDefault="00B626E7">
            <w:pPr>
              <w:rPr>
                <w:rFonts w:ascii="宋体"/>
                <w:vanish/>
              </w:rPr>
            </w:pPr>
          </w:p>
        </w:tc>
        <w:tc>
          <w:tcPr>
            <w:tcW w:w="0" w:type="auto"/>
            <w:gridSpan w:val="3"/>
            <w:shd w:val="clear" w:color="auto" w:fill="auto"/>
          </w:tcPr>
          <w:p w14:paraId="20AE3054" w14:textId="77777777" w:rsidR="00B626E7" w:rsidRDefault="00B626E7">
            <w:pPr>
              <w:rPr>
                <w:rFonts w:ascii="宋体"/>
                <w:vanish/>
              </w:rPr>
            </w:pPr>
          </w:p>
        </w:tc>
        <w:tc>
          <w:tcPr>
            <w:tcW w:w="0" w:type="auto"/>
            <w:gridSpan w:val="3"/>
            <w:shd w:val="clear" w:color="auto" w:fill="auto"/>
          </w:tcPr>
          <w:p w14:paraId="20AE3055" w14:textId="77777777" w:rsidR="00B626E7" w:rsidRDefault="00B626E7">
            <w:pPr>
              <w:rPr>
                <w:rFonts w:ascii="宋体"/>
                <w:vanish/>
              </w:rPr>
            </w:pPr>
          </w:p>
        </w:tc>
      </w:tr>
      <w:tr w:rsidR="00B626E7" w14:paraId="20AE305A" w14:textId="77777777">
        <w:trPr>
          <w:hidden/>
        </w:trPr>
        <w:tc>
          <w:tcPr>
            <w:tcW w:w="0" w:type="auto"/>
            <w:gridSpan w:val="3"/>
            <w:shd w:val="clear" w:color="auto" w:fill="auto"/>
          </w:tcPr>
          <w:p w14:paraId="20AE3057" w14:textId="77777777" w:rsidR="00B626E7" w:rsidRDefault="00B626E7">
            <w:pPr>
              <w:rPr>
                <w:rFonts w:ascii="宋体"/>
                <w:vanish/>
              </w:rPr>
            </w:pPr>
          </w:p>
        </w:tc>
        <w:tc>
          <w:tcPr>
            <w:tcW w:w="0" w:type="auto"/>
            <w:gridSpan w:val="3"/>
            <w:shd w:val="clear" w:color="auto" w:fill="auto"/>
          </w:tcPr>
          <w:p w14:paraId="20AE3058" w14:textId="77777777" w:rsidR="00B626E7" w:rsidRDefault="00B626E7">
            <w:pPr>
              <w:rPr>
                <w:rFonts w:ascii="宋体"/>
                <w:vanish/>
              </w:rPr>
            </w:pPr>
          </w:p>
        </w:tc>
        <w:tc>
          <w:tcPr>
            <w:tcW w:w="0" w:type="auto"/>
            <w:gridSpan w:val="3"/>
            <w:shd w:val="clear" w:color="auto" w:fill="auto"/>
          </w:tcPr>
          <w:p w14:paraId="20AE3059" w14:textId="77777777" w:rsidR="00B626E7" w:rsidRDefault="00B626E7">
            <w:pPr>
              <w:rPr>
                <w:rFonts w:ascii="宋体"/>
                <w:vanish/>
              </w:rPr>
            </w:pPr>
          </w:p>
        </w:tc>
      </w:tr>
      <w:tr w:rsidR="00B626E7" w14:paraId="20AE305F" w14:textId="77777777">
        <w:tc>
          <w:tcPr>
            <w:tcW w:w="0" w:type="auto"/>
            <w:gridSpan w:val="2"/>
            <w:shd w:val="clear" w:color="auto" w:fill="auto"/>
            <w:tcMar>
              <w:top w:w="40" w:type="dxa"/>
              <w:left w:w="20" w:type="dxa"/>
              <w:bottom w:w="40" w:type="dxa"/>
              <w:right w:w="0" w:type="dxa"/>
            </w:tcMar>
          </w:tcPr>
          <w:p w14:paraId="20AE305B" w14:textId="77777777" w:rsidR="00B626E7" w:rsidRDefault="00175C1D">
            <w:pPr>
              <w:jc w:val="right"/>
              <w:textAlignment w:val="top"/>
            </w:pPr>
            <w:r>
              <w:rPr>
                <w:rFonts w:ascii="Arial" w:eastAsia="宋体" w:hAnsi="Arial" w:cs="Arial"/>
                <w:color w:val="0071C5"/>
                <w:sz w:val="18"/>
                <w:szCs w:val="18"/>
              </w:rPr>
              <w:t>(139)</w:t>
            </w:r>
          </w:p>
        </w:tc>
        <w:tc>
          <w:tcPr>
            <w:tcW w:w="0" w:type="auto"/>
            <w:shd w:val="clear" w:color="auto" w:fill="auto"/>
            <w:tcMar>
              <w:top w:w="40" w:type="dxa"/>
              <w:bottom w:w="40" w:type="dxa"/>
              <w:right w:w="20" w:type="dxa"/>
            </w:tcMar>
          </w:tcPr>
          <w:p w14:paraId="20AE305C" w14:textId="77777777" w:rsidR="00B626E7" w:rsidRDefault="00175C1D">
            <w:pPr>
              <w:jc w:val="right"/>
              <w:textAlignment w:val="top"/>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305D"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305E" w14:textId="77777777" w:rsidR="00B626E7" w:rsidRDefault="00175C1D">
            <w:pPr>
              <w:textAlignment w:val="top"/>
            </w:pPr>
            <w:r>
              <w:rPr>
                <w:rFonts w:ascii="Arial" w:eastAsia="宋体" w:hAnsi="Arial" w:cs="Arial"/>
                <w:color w:val="0071C5"/>
                <w:sz w:val="18"/>
                <w:szCs w:val="18"/>
              </w:rPr>
              <w:t>Other</w:t>
            </w:r>
          </w:p>
        </w:tc>
      </w:tr>
      <w:tr w:rsidR="00B626E7" w14:paraId="20AE3065" w14:textId="77777777">
        <w:tc>
          <w:tcPr>
            <w:tcW w:w="0" w:type="auto"/>
            <w:tcBorders>
              <w:top w:val="single" w:sz="8" w:space="0" w:color="333333"/>
              <w:bottom w:val="single" w:sz="8" w:space="0" w:color="333333"/>
            </w:tcBorders>
            <w:shd w:val="clear" w:color="auto" w:fill="auto"/>
            <w:tcMar>
              <w:top w:w="40" w:type="dxa"/>
              <w:left w:w="20" w:type="dxa"/>
              <w:bottom w:w="40" w:type="dxa"/>
            </w:tcMar>
            <w:vAlign w:val="bottom"/>
          </w:tcPr>
          <w:p w14:paraId="20AE3060"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bottom w:val="single" w:sz="8" w:space="0" w:color="333333"/>
            </w:tcBorders>
            <w:shd w:val="clear" w:color="auto" w:fill="auto"/>
            <w:tcMar>
              <w:top w:w="40" w:type="dxa"/>
              <w:bottom w:w="40" w:type="dxa"/>
              <w:right w:w="0" w:type="dxa"/>
            </w:tcMar>
            <w:vAlign w:val="bottom"/>
          </w:tcPr>
          <w:p w14:paraId="20AE3061" w14:textId="77777777" w:rsidR="00B626E7" w:rsidRDefault="00175C1D">
            <w:pPr>
              <w:jc w:val="right"/>
              <w:textAlignment w:val="bottom"/>
            </w:pPr>
            <w:r>
              <w:rPr>
                <w:rFonts w:ascii="Arial" w:eastAsia="宋体" w:hAnsi="Arial" w:cs="Arial"/>
                <w:b/>
                <w:bCs/>
                <w:color w:val="333333"/>
                <w:sz w:val="18"/>
                <w:szCs w:val="18"/>
              </w:rPr>
              <w:t>18,967 </w:t>
            </w:r>
          </w:p>
        </w:tc>
        <w:tc>
          <w:tcPr>
            <w:tcW w:w="0" w:type="auto"/>
            <w:tcBorders>
              <w:top w:val="single" w:sz="8" w:space="0" w:color="333333"/>
              <w:bottom w:val="single" w:sz="8" w:space="0" w:color="333333"/>
            </w:tcBorders>
            <w:shd w:val="clear" w:color="auto" w:fill="auto"/>
            <w:tcMar>
              <w:top w:w="40" w:type="dxa"/>
              <w:bottom w:w="40" w:type="dxa"/>
              <w:right w:w="20" w:type="dxa"/>
            </w:tcMar>
            <w:vAlign w:val="bottom"/>
          </w:tcPr>
          <w:p w14:paraId="20AE3062"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3063" w14:textId="77777777" w:rsidR="00B626E7" w:rsidRDefault="00B626E7">
            <w:pPr>
              <w:rPr>
                <w:rFonts w:ascii="宋体"/>
              </w:rPr>
            </w:pPr>
          </w:p>
        </w:tc>
        <w:tc>
          <w:tcPr>
            <w:tcW w:w="0" w:type="auto"/>
            <w:gridSpan w:val="3"/>
            <w:tcBorders>
              <w:top w:val="single" w:sz="8" w:space="0" w:color="333333"/>
              <w:bottom w:val="single" w:sz="8" w:space="0" w:color="333333"/>
            </w:tcBorders>
            <w:shd w:val="clear" w:color="auto" w:fill="auto"/>
            <w:tcMar>
              <w:top w:w="40" w:type="dxa"/>
              <w:left w:w="20" w:type="dxa"/>
              <w:bottom w:w="40" w:type="dxa"/>
              <w:right w:w="20" w:type="dxa"/>
            </w:tcMar>
            <w:vAlign w:val="bottom"/>
          </w:tcPr>
          <w:p w14:paraId="20AE3064" w14:textId="77777777" w:rsidR="00B626E7" w:rsidRDefault="00175C1D">
            <w:pPr>
              <w:textAlignment w:val="bottom"/>
            </w:pPr>
            <w:r>
              <w:rPr>
                <w:rFonts w:ascii="Arial" w:eastAsia="宋体" w:hAnsi="Arial" w:cs="Arial"/>
                <w:b/>
                <w:bCs/>
                <w:color w:val="333333"/>
                <w:sz w:val="18"/>
                <w:szCs w:val="18"/>
              </w:rPr>
              <w:t>YTD 2019 Gross Margin</w:t>
            </w:r>
          </w:p>
        </w:tc>
      </w:tr>
    </w:tbl>
    <w:p w14:paraId="20AE3066" w14:textId="77777777" w:rsidR="00B626E7" w:rsidRDefault="00B626E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84"/>
        <w:gridCol w:w="2423"/>
        <w:gridCol w:w="84"/>
        <w:gridCol w:w="83"/>
        <w:gridCol w:w="3471"/>
        <w:gridCol w:w="83"/>
        <w:gridCol w:w="83"/>
        <w:gridCol w:w="1942"/>
        <w:gridCol w:w="83"/>
      </w:tblGrid>
      <w:tr w:rsidR="00B626E7" w14:paraId="20AE3070" w14:textId="77777777">
        <w:tc>
          <w:tcPr>
            <w:tcW w:w="50" w:type="pct"/>
            <w:shd w:val="clear" w:color="auto" w:fill="auto"/>
            <w:vAlign w:val="bottom"/>
          </w:tcPr>
          <w:p w14:paraId="20AE3067" w14:textId="77777777" w:rsidR="00B626E7" w:rsidRDefault="00B626E7">
            <w:pPr>
              <w:rPr>
                <w:rFonts w:ascii="宋体"/>
              </w:rPr>
            </w:pPr>
          </w:p>
        </w:tc>
        <w:tc>
          <w:tcPr>
            <w:tcW w:w="1452" w:type="pct"/>
            <w:shd w:val="clear" w:color="auto" w:fill="auto"/>
            <w:vAlign w:val="bottom"/>
          </w:tcPr>
          <w:p w14:paraId="20AE3068" w14:textId="77777777" w:rsidR="00B626E7" w:rsidRDefault="00B626E7">
            <w:pPr>
              <w:rPr>
                <w:rFonts w:ascii="宋体"/>
              </w:rPr>
            </w:pPr>
          </w:p>
        </w:tc>
        <w:tc>
          <w:tcPr>
            <w:tcW w:w="50" w:type="pct"/>
            <w:shd w:val="clear" w:color="auto" w:fill="auto"/>
            <w:vAlign w:val="bottom"/>
          </w:tcPr>
          <w:p w14:paraId="20AE3069" w14:textId="77777777" w:rsidR="00B626E7" w:rsidRDefault="00B626E7">
            <w:pPr>
              <w:rPr>
                <w:rFonts w:ascii="宋体"/>
              </w:rPr>
            </w:pPr>
          </w:p>
        </w:tc>
        <w:tc>
          <w:tcPr>
            <w:tcW w:w="50" w:type="pct"/>
            <w:shd w:val="clear" w:color="auto" w:fill="auto"/>
            <w:vAlign w:val="bottom"/>
          </w:tcPr>
          <w:p w14:paraId="20AE306A" w14:textId="77777777" w:rsidR="00B626E7" w:rsidRDefault="00B626E7">
            <w:pPr>
              <w:rPr>
                <w:rFonts w:ascii="宋体"/>
              </w:rPr>
            </w:pPr>
          </w:p>
        </w:tc>
        <w:tc>
          <w:tcPr>
            <w:tcW w:w="2081" w:type="pct"/>
            <w:shd w:val="clear" w:color="auto" w:fill="auto"/>
            <w:vAlign w:val="bottom"/>
          </w:tcPr>
          <w:p w14:paraId="20AE306B" w14:textId="77777777" w:rsidR="00B626E7" w:rsidRDefault="00B626E7">
            <w:pPr>
              <w:rPr>
                <w:rFonts w:ascii="宋体"/>
              </w:rPr>
            </w:pPr>
          </w:p>
        </w:tc>
        <w:tc>
          <w:tcPr>
            <w:tcW w:w="50" w:type="pct"/>
            <w:shd w:val="clear" w:color="auto" w:fill="auto"/>
            <w:vAlign w:val="bottom"/>
          </w:tcPr>
          <w:p w14:paraId="20AE306C" w14:textId="77777777" w:rsidR="00B626E7" w:rsidRDefault="00B626E7">
            <w:pPr>
              <w:rPr>
                <w:rFonts w:ascii="宋体"/>
              </w:rPr>
            </w:pPr>
          </w:p>
        </w:tc>
        <w:tc>
          <w:tcPr>
            <w:tcW w:w="50" w:type="pct"/>
            <w:shd w:val="clear" w:color="auto" w:fill="auto"/>
            <w:vAlign w:val="bottom"/>
          </w:tcPr>
          <w:p w14:paraId="20AE306D" w14:textId="77777777" w:rsidR="00B626E7" w:rsidRDefault="00B626E7">
            <w:pPr>
              <w:rPr>
                <w:rFonts w:ascii="宋体"/>
              </w:rPr>
            </w:pPr>
          </w:p>
        </w:tc>
        <w:tc>
          <w:tcPr>
            <w:tcW w:w="1165" w:type="pct"/>
            <w:shd w:val="clear" w:color="auto" w:fill="auto"/>
            <w:vAlign w:val="bottom"/>
          </w:tcPr>
          <w:p w14:paraId="20AE306E" w14:textId="77777777" w:rsidR="00B626E7" w:rsidRDefault="00B626E7">
            <w:pPr>
              <w:rPr>
                <w:rFonts w:ascii="宋体"/>
              </w:rPr>
            </w:pPr>
          </w:p>
        </w:tc>
        <w:tc>
          <w:tcPr>
            <w:tcW w:w="50" w:type="pct"/>
            <w:shd w:val="clear" w:color="auto" w:fill="auto"/>
            <w:vAlign w:val="bottom"/>
          </w:tcPr>
          <w:p w14:paraId="20AE306F" w14:textId="77777777" w:rsidR="00B626E7" w:rsidRDefault="00B626E7">
            <w:pPr>
              <w:rPr>
                <w:rFonts w:ascii="宋体"/>
              </w:rPr>
            </w:pPr>
          </w:p>
        </w:tc>
      </w:tr>
      <w:tr w:rsidR="00B626E7" w14:paraId="20AE3074" w14:textId="77777777">
        <w:tc>
          <w:tcPr>
            <w:tcW w:w="0" w:type="auto"/>
            <w:gridSpan w:val="3"/>
            <w:tcBorders>
              <w:top w:val="single" w:sz="8" w:space="0" w:color="0071C5"/>
            </w:tcBorders>
            <w:shd w:val="clear" w:color="auto" w:fill="auto"/>
            <w:tcMar>
              <w:top w:w="40" w:type="dxa"/>
              <w:left w:w="20" w:type="dxa"/>
              <w:bottom w:w="40" w:type="dxa"/>
              <w:right w:w="20" w:type="dxa"/>
            </w:tcMar>
            <w:vAlign w:val="center"/>
          </w:tcPr>
          <w:p w14:paraId="20AE3071" w14:textId="77777777" w:rsidR="00B626E7" w:rsidRDefault="00175C1D">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Viewer10_files/intc-20200627_g36.jpg"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A2" wp14:editId="20AE3CA3">
                  <wp:extent cx="304800" cy="304800"/>
                  <wp:effectExtent l="0" t="0" r="0" b="0"/>
                  <wp:docPr id="75" name="图片 127"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27" descr="IMG_32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Arial" w:eastAsia="宋体" w:hAnsi="Arial" w:cs="Arial"/>
                <w:color w:val="333333"/>
                <w:sz w:val="16"/>
                <w:szCs w:val="16"/>
              </w:rPr>
              <w:t>MD&amp;A</w:t>
            </w:r>
          </w:p>
        </w:tc>
        <w:tc>
          <w:tcPr>
            <w:tcW w:w="0" w:type="auto"/>
            <w:gridSpan w:val="3"/>
            <w:tcBorders>
              <w:top w:val="single" w:sz="8" w:space="0" w:color="0071C5"/>
            </w:tcBorders>
            <w:shd w:val="clear" w:color="auto" w:fill="auto"/>
            <w:tcMar>
              <w:left w:w="20" w:type="dxa"/>
              <w:right w:w="20" w:type="dxa"/>
            </w:tcMar>
            <w:vAlign w:val="bottom"/>
          </w:tcPr>
          <w:p w14:paraId="20AE3072"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3073" w14:textId="77777777" w:rsidR="00B626E7" w:rsidRDefault="00175C1D">
            <w:pPr>
              <w:jc w:val="right"/>
              <w:textAlignment w:val="bottom"/>
            </w:pPr>
            <w:r>
              <w:rPr>
                <w:rFonts w:ascii="Arial" w:eastAsia="宋体" w:hAnsi="Arial" w:cs="Arial"/>
                <w:color w:val="333333"/>
                <w:sz w:val="16"/>
                <w:szCs w:val="16"/>
              </w:rPr>
              <w:t>37</w:t>
            </w:r>
          </w:p>
        </w:tc>
      </w:tr>
    </w:tbl>
    <w:p w14:paraId="20AE3075" w14:textId="77777777" w:rsidR="00B626E7" w:rsidRDefault="00175C1D">
      <w:r>
        <w:pict w14:anchorId="20AE3CA4">
          <v:rect id="_x0000_i1063" style="width:415.3pt;height:1.5pt" o:hralign="center" o:hrstd="t" o:hr="t" fillcolor="#a0a0a0" stroked="f"/>
        </w:pict>
      </w:r>
    </w:p>
    <w:p w14:paraId="20AE3076" w14:textId="77777777" w:rsidR="00B626E7" w:rsidRDefault="00175C1D">
      <w:pPr>
        <w:spacing w:after="180"/>
        <w:jc w:val="right"/>
      </w:pPr>
      <w:hyperlink r:id="rId64" w:anchor="ib035cc8759904e51927d703ec8414366_7" w:history="1">
        <w:r>
          <w:rPr>
            <w:rStyle w:val="a5"/>
            <w:rFonts w:ascii="Arial" w:eastAsia="宋体" w:hAnsi="Arial" w:cs="Arial"/>
            <w:b/>
            <w:bCs/>
            <w:sz w:val="16"/>
            <w:szCs w:val="16"/>
          </w:rPr>
          <w:t>Table of Contents</w:t>
        </w:r>
      </w:hyperlink>
    </w:p>
    <w:p w14:paraId="20AE3077" w14:textId="77777777" w:rsidR="00B626E7" w:rsidRDefault="00B626E7">
      <w:pPr>
        <w:spacing w:after="180"/>
        <w:jc w:val="right"/>
      </w:pPr>
    </w:p>
    <w:p w14:paraId="20AE3078" w14:textId="77777777" w:rsidR="00B626E7" w:rsidRDefault="00175C1D">
      <w:pPr>
        <w:spacing w:after="180"/>
      </w:pPr>
      <w:r>
        <w:rPr>
          <w:rFonts w:ascii="Arial" w:eastAsia="宋体" w:hAnsi="Arial" w:cs="Arial"/>
          <w:b/>
          <w:bCs/>
          <w:color w:val="0071C5"/>
          <w:sz w:val="28"/>
          <w:szCs w:val="28"/>
        </w:rPr>
        <w:t>OPERATING EXPENSES</w:t>
      </w:r>
    </w:p>
    <w:p w14:paraId="20AE3079" w14:textId="77777777" w:rsidR="00B626E7" w:rsidRDefault="00175C1D">
      <w:pPr>
        <w:spacing w:after="180"/>
      </w:pPr>
      <w:r>
        <w:rPr>
          <w:rFonts w:ascii="Arial" w:eastAsia="宋体" w:hAnsi="Arial" w:cs="Arial"/>
          <w:color w:val="333333"/>
          <w:sz w:val="18"/>
          <w:szCs w:val="18"/>
        </w:rPr>
        <w:t xml:space="preserve">Total R&amp;D and MG&amp;A expenses for Q2 2020 were $4.8 </w:t>
      </w:r>
      <w:r>
        <w:rPr>
          <w:rFonts w:ascii="Arial" w:eastAsia="宋体" w:hAnsi="Arial" w:cs="Arial"/>
          <w:color w:val="333333"/>
          <w:sz w:val="18"/>
          <w:szCs w:val="18"/>
        </w:rPr>
        <w:t>billion, down 5% from Q2 2019, and $9.6 billion for YTD 2020, down 4% from YTD 2019. These expenses represent 24.3% of revenue for Q2 2020 and 30.8% of revenue for Q2 2019, and 24.3% of revenue in the first six months of 2020 and 30.7% of revenue in the fi</w:t>
      </w:r>
      <w:r>
        <w:rPr>
          <w:rFonts w:ascii="Arial" w:eastAsia="宋体" w:hAnsi="Arial" w:cs="Arial"/>
          <w:color w:val="333333"/>
          <w:sz w:val="18"/>
          <w:szCs w:val="18"/>
        </w:rPr>
        <w:t>rst six months of 2019.</w:t>
      </w:r>
    </w:p>
    <w:tbl>
      <w:tblPr>
        <w:tblW w:w="10680" w:type="dxa"/>
        <w:tblCellMar>
          <w:top w:w="15" w:type="dxa"/>
          <w:left w:w="15" w:type="dxa"/>
          <w:bottom w:w="15" w:type="dxa"/>
          <w:right w:w="15" w:type="dxa"/>
        </w:tblCellMar>
        <w:tblLook w:val="04A0" w:firstRow="1" w:lastRow="0" w:firstColumn="1" w:lastColumn="0" w:noHBand="0" w:noVBand="1"/>
      </w:tblPr>
      <w:tblGrid>
        <w:gridCol w:w="36"/>
        <w:gridCol w:w="300"/>
        <w:gridCol w:w="36"/>
        <w:gridCol w:w="36"/>
        <w:gridCol w:w="4983"/>
        <w:gridCol w:w="36"/>
        <w:gridCol w:w="36"/>
        <w:gridCol w:w="182"/>
        <w:gridCol w:w="36"/>
        <w:gridCol w:w="36"/>
        <w:gridCol w:w="4927"/>
        <w:gridCol w:w="36"/>
      </w:tblGrid>
      <w:tr w:rsidR="00B626E7" w14:paraId="20AE3086" w14:textId="77777777">
        <w:tc>
          <w:tcPr>
            <w:tcW w:w="20" w:type="dxa"/>
            <w:shd w:val="clear" w:color="auto" w:fill="auto"/>
          </w:tcPr>
          <w:p w14:paraId="20AE307A" w14:textId="77777777" w:rsidR="00B626E7" w:rsidRDefault="00B626E7">
            <w:pPr>
              <w:rPr>
                <w:rFonts w:ascii="宋体"/>
              </w:rPr>
            </w:pPr>
          </w:p>
        </w:tc>
        <w:tc>
          <w:tcPr>
            <w:tcW w:w="305" w:type="dxa"/>
            <w:shd w:val="clear" w:color="auto" w:fill="auto"/>
          </w:tcPr>
          <w:p w14:paraId="20AE307B" w14:textId="77777777" w:rsidR="00B626E7" w:rsidRDefault="00B626E7">
            <w:pPr>
              <w:rPr>
                <w:rFonts w:ascii="宋体"/>
              </w:rPr>
            </w:pPr>
          </w:p>
        </w:tc>
        <w:tc>
          <w:tcPr>
            <w:tcW w:w="20" w:type="dxa"/>
            <w:shd w:val="clear" w:color="auto" w:fill="auto"/>
          </w:tcPr>
          <w:p w14:paraId="20AE307C" w14:textId="77777777" w:rsidR="00B626E7" w:rsidRDefault="00B626E7">
            <w:pPr>
              <w:rPr>
                <w:rFonts w:ascii="宋体"/>
              </w:rPr>
            </w:pPr>
          </w:p>
        </w:tc>
        <w:tc>
          <w:tcPr>
            <w:tcW w:w="20" w:type="dxa"/>
            <w:shd w:val="clear" w:color="auto" w:fill="auto"/>
          </w:tcPr>
          <w:p w14:paraId="20AE307D" w14:textId="77777777" w:rsidR="00B626E7" w:rsidRDefault="00B626E7">
            <w:pPr>
              <w:rPr>
                <w:rFonts w:ascii="宋体"/>
              </w:rPr>
            </w:pPr>
          </w:p>
        </w:tc>
        <w:tc>
          <w:tcPr>
            <w:tcW w:w="5045" w:type="dxa"/>
            <w:shd w:val="clear" w:color="auto" w:fill="auto"/>
          </w:tcPr>
          <w:p w14:paraId="20AE307E" w14:textId="77777777" w:rsidR="00B626E7" w:rsidRDefault="00B626E7">
            <w:pPr>
              <w:rPr>
                <w:rFonts w:ascii="宋体"/>
              </w:rPr>
            </w:pPr>
          </w:p>
        </w:tc>
        <w:tc>
          <w:tcPr>
            <w:tcW w:w="20" w:type="dxa"/>
            <w:shd w:val="clear" w:color="auto" w:fill="auto"/>
          </w:tcPr>
          <w:p w14:paraId="20AE307F" w14:textId="77777777" w:rsidR="00B626E7" w:rsidRDefault="00B626E7">
            <w:pPr>
              <w:rPr>
                <w:rFonts w:ascii="宋体"/>
              </w:rPr>
            </w:pPr>
          </w:p>
        </w:tc>
        <w:tc>
          <w:tcPr>
            <w:tcW w:w="20" w:type="dxa"/>
            <w:shd w:val="clear" w:color="auto" w:fill="auto"/>
          </w:tcPr>
          <w:p w14:paraId="20AE3080" w14:textId="77777777" w:rsidR="00B626E7" w:rsidRDefault="00B626E7">
            <w:pPr>
              <w:rPr>
                <w:rFonts w:ascii="宋体"/>
              </w:rPr>
            </w:pPr>
          </w:p>
        </w:tc>
        <w:tc>
          <w:tcPr>
            <w:tcW w:w="185" w:type="dxa"/>
            <w:shd w:val="clear" w:color="auto" w:fill="auto"/>
          </w:tcPr>
          <w:p w14:paraId="20AE3081" w14:textId="77777777" w:rsidR="00B626E7" w:rsidRDefault="00B626E7">
            <w:pPr>
              <w:rPr>
                <w:rFonts w:ascii="宋体"/>
              </w:rPr>
            </w:pPr>
          </w:p>
        </w:tc>
        <w:tc>
          <w:tcPr>
            <w:tcW w:w="20" w:type="dxa"/>
            <w:shd w:val="clear" w:color="auto" w:fill="auto"/>
          </w:tcPr>
          <w:p w14:paraId="20AE3082" w14:textId="77777777" w:rsidR="00B626E7" w:rsidRDefault="00B626E7">
            <w:pPr>
              <w:rPr>
                <w:rFonts w:ascii="宋体"/>
              </w:rPr>
            </w:pPr>
          </w:p>
        </w:tc>
        <w:tc>
          <w:tcPr>
            <w:tcW w:w="20" w:type="dxa"/>
            <w:shd w:val="clear" w:color="auto" w:fill="auto"/>
          </w:tcPr>
          <w:p w14:paraId="20AE3083" w14:textId="77777777" w:rsidR="00B626E7" w:rsidRDefault="00B626E7">
            <w:pPr>
              <w:rPr>
                <w:rFonts w:ascii="宋体"/>
              </w:rPr>
            </w:pPr>
          </w:p>
        </w:tc>
        <w:tc>
          <w:tcPr>
            <w:tcW w:w="4985" w:type="dxa"/>
            <w:shd w:val="clear" w:color="auto" w:fill="auto"/>
          </w:tcPr>
          <w:p w14:paraId="20AE3084" w14:textId="77777777" w:rsidR="00B626E7" w:rsidRDefault="00B626E7">
            <w:pPr>
              <w:rPr>
                <w:rFonts w:ascii="宋体"/>
              </w:rPr>
            </w:pPr>
          </w:p>
        </w:tc>
        <w:tc>
          <w:tcPr>
            <w:tcW w:w="20" w:type="dxa"/>
            <w:shd w:val="clear" w:color="auto" w:fill="auto"/>
          </w:tcPr>
          <w:p w14:paraId="20AE3085" w14:textId="77777777" w:rsidR="00B626E7" w:rsidRDefault="00B626E7">
            <w:pPr>
              <w:rPr>
                <w:rFonts w:ascii="宋体"/>
              </w:rPr>
            </w:pPr>
          </w:p>
        </w:tc>
      </w:tr>
      <w:tr w:rsidR="00B626E7" w14:paraId="20AE308B" w14:textId="77777777">
        <w:tc>
          <w:tcPr>
            <w:tcW w:w="0" w:type="auto"/>
            <w:gridSpan w:val="3"/>
            <w:shd w:val="clear" w:color="auto" w:fill="auto"/>
            <w:tcMar>
              <w:left w:w="20" w:type="dxa"/>
              <w:right w:w="20" w:type="dxa"/>
            </w:tcMar>
            <w:vAlign w:val="bottom"/>
          </w:tcPr>
          <w:p w14:paraId="20AE3087" w14:textId="77777777" w:rsidR="00B626E7" w:rsidRDefault="00B626E7">
            <w:pPr>
              <w:rPr>
                <w:rFonts w:ascii="宋体"/>
              </w:rPr>
            </w:pPr>
          </w:p>
        </w:tc>
        <w:tc>
          <w:tcPr>
            <w:tcW w:w="0" w:type="auto"/>
            <w:gridSpan w:val="3"/>
            <w:tcBorders>
              <w:bottom w:val="single" w:sz="8" w:space="0" w:color="333333"/>
            </w:tcBorders>
            <w:shd w:val="clear" w:color="auto" w:fill="auto"/>
            <w:tcMar>
              <w:top w:w="40" w:type="dxa"/>
              <w:left w:w="20" w:type="dxa"/>
              <w:bottom w:w="40" w:type="dxa"/>
              <w:right w:w="20" w:type="dxa"/>
            </w:tcMar>
            <w:vAlign w:val="bottom"/>
          </w:tcPr>
          <w:p w14:paraId="20AE3088" w14:textId="77777777" w:rsidR="00B626E7" w:rsidRDefault="00175C1D">
            <w:pPr>
              <w:jc w:val="center"/>
              <w:textAlignment w:val="bottom"/>
            </w:pPr>
            <w:r>
              <w:rPr>
                <w:rFonts w:ascii="Arial" w:eastAsia="宋体" w:hAnsi="Arial" w:cs="Arial"/>
                <w:b/>
                <w:bCs/>
                <w:color w:val="0071C5"/>
                <w:sz w:val="20"/>
                <w:szCs w:val="20"/>
              </w:rPr>
              <w:t>RESEARCH AND DEVELOPMENT $B</w:t>
            </w:r>
          </w:p>
        </w:tc>
        <w:tc>
          <w:tcPr>
            <w:tcW w:w="0" w:type="auto"/>
            <w:gridSpan w:val="3"/>
            <w:shd w:val="clear" w:color="auto" w:fill="auto"/>
            <w:tcMar>
              <w:left w:w="20" w:type="dxa"/>
              <w:right w:w="20" w:type="dxa"/>
            </w:tcMar>
            <w:vAlign w:val="bottom"/>
          </w:tcPr>
          <w:p w14:paraId="20AE3089" w14:textId="77777777" w:rsidR="00B626E7" w:rsidRDefault="00B626E7">
            <w:pPr>
              <w:rPr>
                <w:rFonts w:ascii="宋体"/>
              </w:rPr>
            </w:pPr>
          </w:p>
        </w:tc>
        <w:tc>
          <w:tcPr>
            <w:tcW w:w="0" w:type="auto"/>
            <w:gridSpan w:val="3"/>
            <w:tcBorders>
              <w:bottom w:val="single" w:sz="8" w:space="0" w:color="333333"/>
            </w:tcBorders>
            <w:shd w:val="clear" w:color="auto" w:fill="auto"/>
            <w:tcMar>
              <w:top w:w="40" w:type="dxa"/>
              <w:left w:w="20" w:type="dxa"/>
              <w:bottom w:w="40" w:type="dxa"/>
              <w:right w:w="20" w:type="dxa"/>
            </w:tcMar>
            <w:vAlign w:val="bottom"/>
          </w:tcPr>
          <w:p w14:paraId="20AE308A" w14:textId="77777777" w:rsidR="00B626E7" w:rsidRDefault="00175C1D">
            <w:pPr>
              <w:jc w:val="center"/>
              <w:textAlignment w:val="bottom"/>
            </w:pPr>
            <w:r>
              <w:rPr>
                <w:rFonts w:ascii="Arial" w:eastAsia="宋体" w:hAnsi="Arial" w:cs="Arial"/>
                <w:b/>
                <w:bCs/>
                <w:color w:val="0071C5"/>
                <w:sz w:val="20"/>
                <w:szCs w:val="20"/>
              </w:rPr>
              <w:t>MARKETING, GENERAL AND ADMINISTRATIVE $B</w:t>
            </w:r>
          </w:p>
        </w:tc>
      </w:tr>
      <w:tr w:rsidR="00B626E7" w14:paraId="20AE3090" w14:textId="77777777">
        <w:trPr>
          <w:hidden/>
        </w:trPr>
        <w:tc>
          <w:tcPr>
            <w:tcW w:w="0" w:type="auto"/>
            <w:gridSpan w:val="3"/>
            <w:shd w:val="clear" w:color="auto" w:fill="auto"/>
          </w:tcPr>
          <w:p w14:paraId="20AE308C" w14:textId="77777777" w:rsidR="00B626E7" w:rsidRDefault="00B626E7">
            <w:pPr>
              <w:rPr>
                <w:rFonts w:ascii="宋体"/>
                <w:vanish/>
              </w:rPr>
            </w:pPr>
          </w:p>
        </w:tc>
        <w:tc>
          <w:tcPr>
            <w:tcW w:w="0" w:type="auto"/>
            <w:gridSpan w:val="3"/>
            <w:shd w:val="clear" w:color="auto" w:fill="auto"/>
          </w:tcPr>
          <w:p w14:paraId="20AE308D" w14:textId="77777777" w:rsidR="00B626E7" w:rsidRDefault="00B626E7">
            <w:pPr>
              <w:rPr>
                <w:rFonts w:ascii="宋体"/>
                <w:vanish/>
              </w:rPr>
            </w:pPr>
          </w:p>
        </w:tc>
        <w:tc>
          <w:tcPr>
            <w:tcW w:w="0" w:type="auto"/>
            <w:gridSpan w:val="3"/>
            <w:shd w:val="clear" w:color="auto" w:fill="auto"/>
          </w:tcPr>
          <w:p w14:paraId="20AE308E" w14:textId="77777777" w:rsidR="00B626E7" w:rsidRDefault="00B626E7">
            <w:pPr>
              <w:rPr>
                <w:rFonts w:ascii="宋体"/>
                <w:vanish/>
              </w:rPr>
            </w:pPr>
          </w:p>
        </w:tc>
        <w:tc>
          <w:tcPr>
            <w:tcW w:w="0" w:type="auto"/>
            <w:gridSpan w:val="3"/>
            <w:shd w:val="clear" w:color="auto" w:fill="auto"/>
          </w:tcPr>
          <w:p w14:paraId="20AE308F" w14:textId="77777777" w:rsidR="00B626E7" w:rsidRDefault="00B626E7">
            <w:pPr>
              <w:rPr>
                <w:rFonts w:ascii="宋体"/>
                <w:vanish/>
              </w:rPr>
            </w:pPr>
          </w:p>
        </w:tc>
      </w:tr>
    </w:tbl>
    <w:p w14:paraId="20AE3091" w14:textId="77777777" w:rsidR="00B626E7" w:rsidRDefault="00175C1D">
      <w:pPr>
        <w:spacing w:after="300"/>
      </w:pPr>
      <w:r>
        <w:rPr>
          <w:rFonts w:ascii="Arial" w:eastAsia="宋体" w:hAnsi="Arial" w:cs="Arial"/>
          <w:color w:val="333333"/>
          <w:sz w:val="18"/>
          <w:szCs w:val="18"/>
        </w:rPr>
        <w:t>(Percentages indicate expenses as a percentage of total revenue)</w:t>
      </w:r>
    </w:p>
    <w:p w14:paraId="20AE3092" w14:textId="77777777" w:rsidR="00B626E7" w:rsidRDefault="00175C1D">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Viewer10_files/intc-20200627_g57.jpg"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A5" wp14:editId="20AE3CA6">
            <wp:extent cx="304800" cy="304800"/>
            <wp:effectExtent l="0" t="0" r="0" b="0"/>
            <wp:docPr id="29" name="图片 129"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29" descr="IMG_31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Viewer10_files/intc-202</w:instrText>
      </w:r>
      <w:r>
        <w:rPr>
          <w:rFonts w:ascii="宋体" w:eastAsia="宋体" w:hAnsi="宋体" w:cs="宋体"/>
        </w:rPr>
        <w:instrText xml:space="preserve">00627_g58.jpg"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A7" wp14:editId="20AE3CA8">
            <wp:extent cx="304800" cy="304800"/>
            <wp:effectExtent l="0" t="0" r="0" b="0"/>
            <wp:docPr id="23" name="图片 130"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0" descr="IMG_31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Viewer10_files/intc-20200627_g59.jpg"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A9" wp14:editId="20AE3CAA">
            <wp:extent cx="304800" cy="304800"/>
            <wp:effectExtent l="0" t="0" r="0" b="0"/>
            <wp:docPr id="24" name="图片 131"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1" descr="IMG_31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w:instrText>
      </w:r>
      <w:r>
        <w:rPr>
          <w:rFonts w:ascii="宋体" w:eastAsia="宋体" w:hAnsi="宋体" w:cs="宋体"/>
        </w:rPr>
        <w:instrText xml:space="preserve">/./Inline XBRL Viewer10_files/intc-20200627_g60.jpg"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AB" wp14:editId="20AE3CAC">
            <wp:extent cx="304800" cy="304800"/>
            <wp:effectExtent l="0" t="0" r="0" b="0"/>
            <wp:docPr id="25" name="图片 132"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2" descr="IMG_31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000" w:type="pct"/>
        <w:tblCellMar>
          <w:top w:w="15" w:type="dxa"/>
          <w:left w:w="15" w:type="dxa"/>
          <w:bottom w:w="15" w:type="dxa"/>
          <w:right w:w="15" w:type="dxa"/>
        </w:tblCellMar>
        <w:tblLook w:val="04A0" w:firstRow="1" w:lastRow="0" w:firstColumn="1" w:lastColumn="0" w:noHBand="0" w:noVBand="1"/>
      </w:tblPr>
      <w:tblGrid>
        <w:gridCol w:w="84"/>
        <w:gridCol w:w="8169"/>
        <w:gridCol w:w="83"/>
      </w:tblGrid>
      <w:tr w:rsidR="00B626E7" w14:paraId="20AE3096" w14:textId="77777777">
        <w:tc>
          <w:tcPr>
            <w:tcW w:w="50" w:type="pct"/>
            <w:shd w:val="clear" w:color="auto" w:fill="auto"/>
          </w:tcPr>
          <w:p w14:paraId="20AE3093" w14:textId="77777777" w:rsidR="00B626E7" w:rsidRDefault="00B626E7">
            <w:pPr>
              <w:rPr>
                <w:rFonts w:ascii="宋体"/>
              </w:rPr>
            </w:pPr>
          </w:p>
        </w:tc>
        <w:tc>
          <w:tcPr>
            <w:tcW w:w="4900" w:type="pct"/>
            <w:shd w:val="clear" w:color="auto" w:fill="auto"/>
          </w:tcPr>
          <w:p w14:paraId="20AE3094" w14:textId="77777777" w:rsidR="00B626E7" w:rsidRDefault="00B626E7">
            <w:pPr>
              <w:rPr>
                <w:rFonts w:ascii="宋体"/>
              </w:rPr>
            </w:pPr>
          </w:p>
        </w:tc>
        <w:tc>
          <w:tcPr>
            <w:tcW w:w="50" w:type="pct"/>
            <w:shd w:val="clear" w:color="auto" w:fill="auto"/>
          </w:tcPr>
          <w:p w14:paraId="20AE3095" w14:textId="77777777" w:rsidR="00B626E7" w:rsidRDefault="00B626E7">
            <w:pPr>
              <w:rPr>
                <w:rFonts w:ascii="宋体"/>
              </w:rPr>
            </w:pPr>
          </w:p>
        </w:tc>
      </w:tr>
      <w:tr w:rsidR="00B626E7" w14:paraId="20AE3098" w14:textId="77777777">
        <w:tc>
          <w:tcPr>
            <w:tcW w:w="0" w:type="auto"/>
            <w:gridSpan w:val="3"/>
            <w:tcBorders>
              <w:bottom w:val="single" w:sz="8" w:space="0" w:color="333333"/>
            </w:tcBorders>
            <w:shd w:val="clear" w:color="auto" w:fill="auto"/>
            <w:tcMar>
              <w:top w:w="40" w:type="dxa"/>
              <w:left w:w="20" w:type="dxa"/>
              <w:bottom w:w="40" w:type="dxa"/>
              <w:right w:w="20" w:type="dxa"/>
            </w:tcMar>
            <w:vAlign w:val="bottom"/>
          </w:tcPr>
          <w:p w14:paraId="20AE3097" w14:textId="77777777" w:rsidR="00B626E7" w:rsidRDefault="00175C1D">
            <w:pPr>
              <w:textAlignment w:val="bottom"/>
            </w:pPr>
            <w:r>
              <w:rPr>
                <w:rFonts w:ascii="Arial" w:eastAsia="宋体" w:hAnsi="Arial" w:cs="Arial"/>
                <w:b/>
                <w:bCs/>
                <w:color w:val="0071C5"/>
                <w:sz w:val="20"/>
                <w:szCs w:val="20"/>
              </w:rPr>
              <w:t>RESEARCH AND DEVELOPMENT</w:t>
            </w:r>
          </w:p>
        </w:tc>
      </w:tr>
    </w:tbl>
    <w:p w14:paraId="20AE3099" w14:textId="77777777" w:rsidR="00B626E7" w:rsidRDefault="00175C1D">
      <w:pPr>
        <w:spacing w:before="180" w:after="60"/>
      </w:pPr>
      <w:r>
        <w:rPr>
          <w:rFonts w:ascii="Arial" w:eastAsia="宋体" w:hAnsi="Arial" w:cs="Arial"/>
          <w:b/>
          <w:bCs/>
          <w:color w:val="333333"/>
          <w:sz w:val="20"/>
          <w:szCs w:val="20"/>
        </w:rPr>
        <w:t>Q2 2020 vs. Q2 2019</w:t>
      </w:r>
      <w:r>
        <w:rPr>
          <w:rFonts w:ascii="Arial" w:eastAsia="宋体" w:hAnsi="Arial" w:cs="Arial"/>
          <w:color w:val="333333"/>
          <w:sz w:val="18"/>
          <w:szCs w:val="18"/>
        </w:rPr>
        <w:t xml:space="preserve"> </w:t>
      </w:r>
    </w:p>
    <w:tbl>
      <w:tblPr>
        <w:tblW w:w="2548" w:type="pct"/>
        <w:tblCellMar>
          <w:top w:w="15" w:type="dxa"/>
          <w:left w:w="15" w:type="dxa"/>
          <w:bottom w:w="15" w:type="dxa"/>
          <w:right w:w="15" w:type="dxa"/>
        </w:tblCellMar>
        <w:tblLook w:val="04A0" w:firstRow="1" w:lastRow="0" w:firstColumn="1" w:lastColumn="0" w:noHBand="0" w:noVBand="1"/>
      </w:tblPr>
      <w:tblGrid>
        <w:gridCol w:w="41"/>
        <w:gridCol w:w="93"/>
        <w:gridCol w:w="42"/>
        <w:gridCol w:w="42"/>
        <w:gridCol w:w="3880"/>
        <w:gridCol w:w="42"/>
        <w:gridCol w:w="36"/>
        <w:gridCol w:w="36"/>
        <w:gridCol w:w="36"/>
      </w:tblGrid>
      <w:tr w:rsidR="00B626E7" w14:paraId="20AE30A0" w14:textId="77777777">
        <w:trPr>
          <w:gridAfter w:val="3"/>
        </w:trPr>
        <w:tc>
          <w:tcPr>
            <w:tcW w:w="50" w:type="pct"/>
            <w:shd w:val="clear" w:color="auto" w:fill="auto"/>
          </w:tcPr>
          <w:p w14:paraId="20AE309A" w14:textId="77777777" w:rsidR="00B626E7" w:rsidRDefault="00B626E7">
            <w:pPr>
              <w:rPr>
                <w:rFonts w:ascii="宋体"/>
              </w:rPr>
            </w:pPr>
          </w:p>
        </w:tc>
        <w:tc>
          <w:tcPr>
            <w:tcW w:w="114" w:type="pct"/>
            <w:shd w:val="clear" w:color="auto" w:fill="auto"/>
          </w:tcPr>
          <w:p w14:paraId="20AE309B" w14:textId="77777777" w:rsidR="00B626E7" w:rsidRDefault="00B626E7">
            <w:pPr>
              <w:rPr>
                <w:rFonts w:ascii="宋体"/>
              </w:rPr>
            </w:pPr>
          </w:p>
        </w:tc>
        <w:tc>
          <w:tcPr>
            <w:tcW w:w="50" w:type="pct"/>
            <w:shd w:val="clear" w:color="auto" w:fill="auto"/>
          </w:tcPr>
          <w:p w14:paraId="20AE309C" w14:textId="77777777" w:rsidR="00B626E7" w:rsidRDefault="00B626E7">
            <w:pPr>
              <w:rPr>
                <w:rFonts w:ascii="宋体"/>
              </w:rPr>
            </w:pPr>
          </w:p>
        </w:tc>
        <w:tc>
          <w:tcPr>
            <w:tcW w:w="50" w:type="pct"/>
            <w:shd w:val="clear" w:color="auto" w:fill="auto"/>
          </w:tcPr>
          <w:p w14:paraId="20AE309D" w14:textId="77777777" w:rsidR="00B626E7" w:rsidRDefault="00B626E7">
            <w:pPr>
              <w:rPr>
                <w:rFonts w:ascii="宋体"/>
              </w:rPr>
            </w:pPr>
          </w:p>
        </w:tc>
        <w:tc>
          <w:tcPr>
            <w:tcW w:w="4685" w:type="pct"/>
            <w:shd w:val="clear" w:color="auto" w:fill="auto"/>
          </w:tcPr>
          <w:p w14:paraId="20AE309E" w14:textId="77777777" w:rsidR="00B626E7" w:rsidRDefault="00B626E7">
            <w:pPr>
              <w:rPr>
                <w:rFonts w:ascii="宋体"/>
              </w:rPr>
            </w:pPr>
          </w:p>
        </w:tc>
        <w:tc>
          <w:tcPr>
            <w:tcW w:w="50" w:type="pct"/>
            <w:shd w:val="clear" w:color="auto" w:fill="auto"/>
          </w:tcPr>
          <w:p w14:paraId="20AE309F" w14:textId="77777777" w:rsidR="00B626E7" w:rsidRDefault="00B626E7">
            <w:pPr>
              <w:rPr>
                <w:rFonts w:ascii="宋体"/>
              </w:rPr>
            </w:pPr>
          </w:p>
        </w:tc>
      </w:tr>
      <w:tr w:rsidR="00B626E7" w14:paraId="20AE30A3" w14:textId="77777777">
        <w:tc>
          <w:tcPr>
            <w:tcW w:w="0" w:type="auto"/>
            <w:gridSpan w:val="6"/>
            <w:shd w:val="clear" w:color="auto" w:fill="auto"/>
            <w:tcMar>
              <w:top w:w="40" w:type="dxa"/>
              <w:left w:w="20" w:type="dxa"/>
              <w:bottom w:w="40" w:type="dxa"/>
              <w:right w:w="20" w:type="dxa"/>
            </w:tcMar>
            <w:vAlign w:val="bottom"/>
          </w:tcPr>
          <w:p w14:paraId="20AE30A1" w14:textId="77777777" w:rsidR="00B626E7" w:rsidRDefault="00175C1D">
            <w:pPr>
              <w:textAlignment w:val="bottom"/>
            </w:pPr>
            <w:r>
              <w:rPr>
                <w:rFonts w:ascii="Arial" w:eastAsia="宋体" w:hAnsi="Arial" w:cs="Arial"/>
                <w:color w:val="000000"/>
                <w:sz w:val="18"/>
                <w:szCs w:val="18"/>
              </w:rPr>
              <w:t>R&amp;D decreased $84 million, or 2.4% driven by the following:</w:t>
            </w:r>
          </w:p>
        </w:tc>
        <w:tc>
          <w:tcPr>
            <w:tcW w:w="0" w:type="auto"/>
            <w:gridSpan w:val="3"/>
            <w:shd w:val="clear" w:color="auto" w:fill="auto"/>
          </w:tcPr>
          <w:p w14:paraId="20AE30A2" w14:textId="77777777" w:rsidR="00B626E7" w:rsidRDefault="00B626E7">
            <w:pPr>
              <w:rPr>
                <w:rFonts w:ascii="宋体"/>
                <w:vanish/>
              </w:rPr>
            </w:pPr>
          </w:p>
        </w:tc>
      </w:tr>
      <w:tr w:rsidR="00B626E7" w14:paraId="20AE30A9" w14:textId="77777777">
        <w:trPr>
          <w:trHeight w:val="60"/>
        </w:trPr>
        <w:tc>
          <w:tcPr>
            <w:tcW w:w="0" w:type="auto"/>
            <w:gridSpan w:val="3"/>
            <w:shd w:val="clear" w:color="auto" w:fill="auto"/>
            <w:tcMar>
              <w:left w:w="20" w:type="dxa"/>
              <w:right w:w="20" w:type="dxa"/>
            </w:tcMar>
            <w:vAlign w:val="bottom"/>
          </w:tcPr>
          <w:p w14:paraId="20AE30A4"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0A5" w14:textId="77777777" w:rsidR="00B626E7" w:rsidRDefault="00B626E7">
            <w:pPr>
              <w:rPr>
                <w:rFonts w:ascii="宋体"/>
              </w:rPr>
            </w:pPr>
          </w:p>
        </w:tc>
        <w:tc>
          <w:tcPr>
            <w:tcW w:w="0" w:type="auto"/>
            <w:shd w:val="clear" w:color="auto" w:fill="auto"/>
          </w:tcPr>
          <w:p w14:paraId="20AE30A6" w14:textId="77777777" w:rsidR="00B626E7" w:rsidRDefault="00B626E7">
            <w:pPr>
              <w:rPr>
                <w:rFonts w:ascii="宋体"/>
              </w:rPr>
            </w:pPr>
          </w:p>
        </w:tc>
        <w:tc>
          <w:tcPr>
            <w:tcW w:w="0" w:type="auto"/>
            <w:shd w:val="clear" w:color="auto" w:fill="auto"/>
          </w:tcPr>
          <w:p w14:paraId="20AE30A7" w14:textId="77777777" w:rsidR="00B626E7" w:rsidRDefault="00B626E7">
            <w:pPr>
              <w:rPr>
                <w:rFonts w:ascii="宋体"/>
              </w:rPr>
            </w:pPr>
          </w:p>
        </w:tc>
        <w:tc>
          <w:tcPr>
            <w:tcW w:w="0" w:type="auto"/>
            <w:shd w:val="clear" w:color="auto" w:fill="auto"/>
          </w:tcPr>
          <w:p w14:paraId="20AE30A8" w14:textId="77777777" w:rsidR="00B626E7" w:rsidRDefault="00B626E7">
            <w:pPr>
              <w:rPr>
                <w:rFonts w:ascii="宋体"/>
              </w:rPr>
            </w:pPr>
          </w:p>
        </w:tc>
      </w:tr>
      <w:tr w:rsidR="00B626E7" w14:paraId="20AE30AF" w14:textId="77777777">
        <w:tc>
          <w:tcPr>
            <w:tcW w:w="0" w:type="auto"/>
            <w:gridSpan w:val="3"/>
            <w:shd w:val="clear" w:color="auto" w:fill="auto"/>
            <w:tcMar>
              <w:top w:w="40" w:type="dxa"/>
              <w:left w:w="20" w:type="dxa"/>
              <w:bottom w:w="40" w:type="dxa"/>
              <w:right w:w="20" w:type="dxa"/>
            </w:tcMar>
            <w:vAlign w:val="bottom"/>
          </w:tcPr>
          <w:p w14:paraId="20AE30AA" w14:textId="77777777" w:rsidR="00B626E7" w:rsidRDefault="00175C1D">
            <w:pPr>
              <w:jc w:val="center"/>
              <w:textAlignment w:val="bottom"/>
            </w:pPr>
            <w:r>
              <w:rPr>
                <w:rFonts w:ascii="Arial" w:eastAsia="宋体" w:hAnsi="Arial" w:cs="Arial"/>
                <w:b/>
                <w:bCs/>
                <w:color w:val="FAAC16"/>
                <w:sz w:val="18"/>
                <w:szCs w:val="18"/>
              </w:rPr>
              <w:t>-</w:t>
            </w:r>
          </w:p>
        </w:tc>
        <w:tc>
          <w:tcPr>
            <w:tcW w:w="0" w:type="auto"/>
            <w:gridSpan w:val="3"/>
            <w:shd w:val="clear" w:color="auto" w:fill="auto"/>
            <w:tcMar>
              <w:top w:w="40" w:type="dxa"/>
              <w:left w:w="20" w:type="dxa"/>
              <w:bottom w:w="40" w:type="dxa"/>
              <w:right w:w="20" w:type="dxa"/>
            </w:tcMar>
            <w:vAlign w:val="bottom"/>
          </w:tcPr>
          <w:p w14:paraId="20AE30AB" w14:textId="77777777" w:rsidR="00B626E7" w:rsidRDefault="00175C1D">
            <w:pPr>
              <w:textAlignment w:val="bottom"/>
            </w:pPr>
            <w:r>
              <w:rPr>
                <w:rFonts w:ascii="Arial" w:eastAsia="宋体" w:hAnsi="Arial" w:cs="Arial"/>
                <w:color w:val="333333"/>
                <w:sz w:val="18"/>
                <w:szCs w:val="18"/>
              </w:rPr>
              <w:t>Ramp down of 5G smartphone modem business</w:t>
            </w:r>
          </w:p>
        </w:tc>
        <w:tc>
          <w:tcPr>
            <w:tcW w:w="0" w:type="auto"/>
            <w:shd w:val="clear" w:color="auto" w:fill="auto"/>
          </w:tcPr>
          <w:p w14:paraId="20AE30AC" w14:textId="77777777" w:rsidR="00B626E7" w:rsidRDefault="00B626E7">
            <w:pPr>
              <w:rPr>
                <w:rFonts w:ascii="宋体"/>
              </w:rPr>
            </w:pPr>
          </w:p>
        </w:tc>
        <w:tc>
          <w:tcPr>
            <w:tcW w:w="0" w:type="auto"/>
            <w:shd w:val="clear" w:color="auto" w:fill="auto"/>
          </w:tcPr>
          <w:p w14:paraId="20AE30AD" w14:textId="77777777" w:rsidR="00B626E7" w:rsidRDefault="00B626E7">
            <w:pPr>
              <w:rPr>
                <w:rFonts w:ascii="宋体"/>
              </w:rPr>
            </w:pPr>
          </w:p>
        </w:tc>
        <w:tc>
          <w:tcPr>
            <w:tcW w:w="0" w:type="auto"/>
            <w:shd w:val="clear" w:color="auto" w:fill="auto"/>
          </w:tcPr>
          <w:p w14:paraId="20AE30AE" w14:textId="77777777" w:rsidR="00B626E7" w:rsidRDefault="00B626E7">
            <w:pPr>
              <w:rPr>
                <w:rFonts w:ascii="宋体"/>
              </w:rPr>
            </w:pPr>
          </w:p>
        </w:tc>
      </w:tr>
      <w:tr w:rsidR="00B626E7" w14:paraId="20AE30B5" w14:textId="77777777">
        <w:tc>
          <w:tcPr>
            <w:tcW w:w="0" w:type="auto"/>
            <w:gridSpan w:val="3"/>
            <w:shd w:val="clear" w:color="auto" w:fill="auto"/>
            <w:tcMar>
              <w:top w:w="40" w:type="dxa"/>
              <w:left w:w="20" w:type="dxa"/>
              <w:bottom w:w="40" w:type="dxa"/>
              <w:right w:w="20" w:type="dxa"/>
            </w:tcMar>
            <w:vAlign w:val="bottom"/>
          </w:tcPr>
          <w:p w14:paraId="20AE30B0" w14:textId="77777777" w:rsidR="00B626E7" w:rsidRDefault="00175C1D">
            <w:pPr>
              <w:jc w:val="center"/>
              <w:textAlignment w:val="bottom"/>
            </w:pPr>
            <w:r>
              <w:rPr>
                <w:rFonts w:ascii="Arial" w:eastAsia="宋体" w:hAnsi="Arial" w:cs="Arial"/>
                <w:b/>
                <w:bCs/>
                <w:color w:val="00AEEF"/>
                <w:sz w:val="18"/>
                <w:szCs w:val="18"/>
              </w:rPr>
              <w:t>+</w:t>
            </w:r>
          </w:p>
        </w:tc>
        <w:tc>
          <w:tcPr>
            <w:tcW w:w="0" w:type="auto"/>
            <w:gridSpan w:val="3"/>
            <w:shd w:val="clear" w:color="auto" w:fill="auto"/>
            <w:tcMar>
              <w:top w:w="40" w:type="dxa"/>
              <w:left w:w="20" w:type="dxa"/>
              <w:bottom w:w="40" w:type="dxa"/>
              <w:right w:w="20" w:type="dxa"/>
            </w:tcMar>
            <w:vAlign w:val="bottom"/>
          </w:tcPr>
          <w:p w14:paraId="20AE30B1" w14:textId="77777777" w:rsidR="00B626E7" w:rsidRDefault="00175C1D">
            <w:pPr>
              <w:textAlignment w:val="bottom"/>
            </w:pPr>
            <w:r>
              <w:rPr>
                <w:rFonts w:ascii="Arial" w:eastAsia="宋体" w:hAnsi="Arial" w:cs="Arial"/>
                <w:color w:val="333333"/>
                <w:sz w:val="18"/>
                <w:szCs w:val="18"/>
              </w:rPr>
              <w:t>Investments in our PC and data-centric businesses</w:t>
            </w:r>
          </w:p>
        </w:tc>
        <w:tc>
          <w:tcPr>
            <w:tcW w:w="0" w:type="auto"/>
            <w:shd w:val="clear" w:color="auto" w:fill="auto"/>
          </w:tcPr>
          <w:p w14:paraId="20AE30B2" w14:textId="77777777" w:rsidR="00B626E7" w:rsidRDefault="00B626E7">
            <w:pPr>
              <w:rPr>
                <w:rFonts w:ascii="宋体"/>
              </w:rPr>
            </w:pPr>
          </w:p>
        </w:tc>
        <w:tc>
          <w:tcPr>
            <w:tcW w:w="0" w:type="auto"/>
            <w:shd w:val="clear" w:color="auto" w:fill="auto"/>
          </w:tcPr>
          <w:p w14:paraId="20AE30B3" w14:textId="77777777" w:rsidR="00B626E7" w:rsidRDefault="00B626E7">
            <w:pPr>
              <w:rPr>
                <w:rFonts w:ascii="宋体"/>
              </w:rPr>
            </w:pPr>
          </w:p>
        </w:tc>
        <w:tc>
          <w:tcPr>
            <w:tcW w:w="0" w:type="auto"/>
            <w:shd w:val="clear" w:color="auto" w:fill="auto"/>
          </w:tcPr>
          <w:p w14:paraId="20AE30B4" w14:textId="77777777" w:rsidR="00B626E7" w:rsidRDefault="00B626E7">
            <w:pPr>
              <w:rPr>
                <w:rFonts w:ascii="宋体"/>
              </w:rPr>
            </w:pPr>
          </w:p>
        </w:tc>
      </w:tr>
      <w:tr w:rsidR="00B626E7" w14:paraId="20AE30BB" w14:textId="77777777">
        <w:tc>
          <w:tcPr>
            <w:tcW w:w="0" w:type="auto"/>
            <w:gridSpan w:val="3"/>
            <w:shd w:val="clear" w:color="auto" w:fill="auto"/>
            <w:tcMar>
              <w:top w:w="40" w:type="dxa"/>
              <w:left w:w="20" w:type="dxa"/>
              <w:bottom w:w="40" w:type="dxa"/>
              <w:right w:w="20" w:type="dxa"/>
            </w:tcMar>
            <w:vAlign w:val="bottom"/>
          </w:tcPr>
          <w:p w14:paraId="20AE30B6" w14:textId="77777777" w:rsidR="00B626E7" w:rsidRDefault="00175C1D">
            <w:pPr>
              <w:jc w:val="center"/>
              <w:textAlignment w:val="bottom"/>
            </w:pPr>
            <w:r>
              <w:rPr>
                <w:rFonts w:ascii="Arial" w:eastAsia="宋体" w:hAnsi="Arial" w:cs="Arial"/>
                <w:b/>
                <w:bCs/>
                <w:color w:val="00AEEF"/>
                <w:sz w:val="18"/>
                <w:szCs w:val="18"/>
              </w:rPr>
              <w:t>+</w:t>
            </w:r>
          </w:p>
        </w:tc>
        <w:tc>
          <w:tcPr>
            <w:tcW w:w="0" w:type="auto"/>
            <w:gridSpan w:val="3"/>
            <w:shd w:val="clear" w:color="auto" w:fill="auto"/>
            <w:tcMar>
              <w:top w:w="40" w:type="dxa"/>
              <w:left w:w="20" w:type="dxa"/>
              <w:bottom w:w="40" w:type="dxa"/>
              <w:right w:w="20" w:type="dxa"/>
            </w:tcMar>
            <w:vAlign w:val="bottom"/>
          </w:tcPr>
          <w:p w14:paraId="20AE30B7" w14:textId="77777777" w:rsidR="00B626E7" w:rsidRDefault="00175C1D">
            <w:pPr>
              <w:textAlignment w:val="bottom"/>
            </w:pPr>
            <w:r>
              <w:rPr>
                <w:rFonts w:ascii="Arial" w:eastAsia="宋体" w:hAnsi="Arial" w:cs="Arial"/>
                <w:color w:val="333333"/>
                <w:sz w:val="18"/>
                <w:szCs w:val="18"/>
              </w:rPr>
              <w:t>Investments in our process technology</w:t>
            </w:r>
          </w:p>
        </w:tc>
        <w:tc>
          <w:tcPr>
            <w:tcW w:w="0" w:type="auto"/>
            <w:shd w:val="clear" w:color="auto" w:fill="auto"/>
          </w:tcPr>
          <w:p w14:paraId="20AE30B8" w14:textId="77777777" w:rsidR="00B626E7" w:rsidRDefault="00B626E7">
            <w:pPr>
              <w:rPr>
                <w:rFonts w:ascii="宋体"/>
              </w:rPr>
            </w:pPr>
          </w:p>
        </w:tc>
        <w:tc>
          <w:tcPr>
            <w:tcW w:w="0" w:type="auto"/>
            <w:shd w:val="clear" w:color="auto" w:fill="auto"/>
          </w:tcPr>
          <w:p w14:paraId="20AE30B9" w14:textId="77777777" w:rsidR="00B626E7" w:rsidRDefault="00B626E7">
            <w:pPr>
              <w:rPr>
                <w:rFonts w:ascii="宋体"/>
              </w:rPr>
            </w:pPr>
          </w:p>
        </w:tc>
        <w:tc>
          <w:tcPr>
            <w:tcW w:w="0" w:type="auto"/>
            <w:shd w:val="clear" w:color="auto" w:fill="auto"/>
          </w:tcPr>
          <w:p w14:paraId="20AE30BA" w14:textId="77777777" w:rsidR="00B626E7" w:rsidRDefault="00B626E7">
            <w:pPr>
              <w:rPr>
                <w:rFonts w:ascii="宋体"/>
              </w:rPr>
            </w:pPr>
          </w:p>
        </w:tc>
      </w:tr>
      <w:tr w:rsidR="00B626E7" w14:paraId="20AE30C1" w14:textId="77777777">
        <w:tc>
          <w:tcPr>
            <w:tcW w:w="0" w:type="auto"/>
            <w:gridSpan w:val="3"/>
            <w:shd w:val="clear" w:color="auto" w:fill="auto"/>
            <w:tcMar>
              <w:top w:w="40" w:type="dxa"/>
              <w:left w:w="20" w:type="dxa"/>
              <w:bottom w:w="40" w:type="dxa"/>
              <w:right w:w="20" w:type="dxa"/>
            </w:tcMar>
            <w:vAlign w:val="bottom"/>
          </w:tcPr>
          <w:p w14:paraId="20AE30BC" w14:textId="77777777" w:rsidR="00B626E7" w:rsidRDefault="00175C1D">
            <w:pPr>
              <w:jc w:val="center"/>
              <w:textAlignment w:val="bottom"/>
            </w:pPr>
            <w:r>
              <w:rPr>
                <w:rFonts w:ascii="Arial" w:eastAsia="宋体" w:hAnsi="Arial" w:cs="Arial"/>
                <w:b/>
                <w:bCs/>
                <w:color w:val="00AEEF"/>
                <w:sz w:val="18"/>
                <w:szCs w:val="18"/>
              </w:rPr>
              <w:t>+</w:t>
            </w:r>
          </w:p>
        </w:tc>
        <w:tc>
          <w:tcPr>
            <w:tcW w:w="0" w:type="auto"/>
            <w:gridSpan w:val="3"/>
            <w:shd w:val="clear" w:color="auto" w:fill="auto"/>
            <w:tcMar>
              <w:top w:w="40" w:type="dxa"/>
              <w:left w:w="20" w:type="dxa"/>
              <w:bottom w:w="40" w:type="dxa"/>
              <w:right w:w="20" w:type="dxa"/>
            </w:tcMar>
            <w:vAlign w:val="bottom"/>
          </w:tcPr>
          <w:p w14:paraId="20AE30BD" w14:textId="77777777" w:rsidR="00B626E7" w:rsidRDefault="00175C1D">
            <w:pPr>
              <w:textAlignment w:val="bottom"/>
            </w:pPr>
            <w:r>
              <w:rPr>
                <w:rFonts w:ascii="Arial" w:eastAsia="宋体" w:hAnsi="Arial" w:cs="Arial"/>
                <w:color w:val="333333"/>
                <w:sz w:val="18"/>
                <w:szCs w:val="18"/>
              </w:rPr>
              <w:t>Profit dependent compensation</w:t>
            </w:r>
          </w:p>
        </w:tc>
        <w:tc>
          <w:tcPr>
            <w:tcW w:w="0" w:type="auto"/>
            <w:shd w:val="clear" w:color="auto" w:fill="auto"/>
          </w:tcPr>
          <w:p w14:paraId="20AE30BE" w14:textId="77777777" w:rsidR="00B626E7" w:rsidRDefault="00B626E7">
            <w:pPr>
              <w:rPr>
                <w:rFonts w:ascii="宋体"/>
              </w:rPr>
            </w:pPr>
          </w:p>
        </w:tc>
        <w:tc>
          <w:tcPr>
            <w:tcW w:w="0" w:type="auto"/>
            <w:shd w:val="clear" w:color="auto" w:fill="auto"/>
          </w:tcPr>
          <w:p w14:paraId="20AE30BF" w14:textId="77777777" w:rsidR="00B626E7" w:rsidRDefault="00B626E7">
            <w:pPr>
              <w:rPr>
                <w:rFonts w:ascii="宋体"/>
              </w:rPr>
            </w:pPr>
          </w:p>
        </w:tc>
        <w:tc>
          <w:tcPr>
            <w:tcW w:w="0" w:type="auto"/>
            <w:shd w:val="clear" w:color="auto" w:fill="auto"/>
          </w:tcPr>
          <w:p w14:paraId="20AE30C0" w14:textId="77777777" w:rsidR="00B626E7" w:rsidRDefault="00B626E7">
            <w:pPr>
              <w:rPr>
                <w:rFonts w:ascii="宋体"/>
              </w:rPr>
            </w:pPr>
          </w:p>
        </w:tc>
      </w:tr>
      <w:tr w:rsidR="00B626E7" w14:paraId="20AE30C7" w14:textId="77777777">
        <w:trPr>
          <w:hidden/>
        </w:trPr>
        <w:tc>
          <w:tcPr>
            <w:tcW w:w="0" w:type="auto"/>
            <w:gridSpan w:val="3"/>
            <w:shd w:val="clear" w:color="auto" w:fill="auto"/>
          </w:tcPr>
          <w:p w14:paraId="20AE30C2" w14:textId="77777777" w:rsidR="00B626E7" w:rsidRDefault="00B626E7">
            <w:pPr>
              <w:rPr>
                <w:rFonts w:ascii="宋体"/>
                <w:vanish/>
              </w:rPr>
            </w:pPr>
          </w:p>
        </w:tc>
        <w:tc>
          <w:tcPr>
            <w:tcW w:w="0" w:type="auto"/>
            <w:gridSpan w:val="3"/>
            <w:shd w:val="clear" w:color="auto" w:fill="auto"/>
          </w:tcPr>
          <w:p w14:paraId="20AE30C3" w14:textId="77777777" w:rsidR="00B626E7" w:rsidRDefault="00B626E7">
            <w:pPr>
              <w:rPr>
                <w:rFonts w:ascii="宋体"/>
                <w:vanish/>
              </w:rPr>
            </w:pPr>
          </w:p>
        </w:tc>
        <w:tc>
          <w:tcPr>
            <w:tcW w:w="0" w:type="auto"/>
            <w:shd w:val="clear" w:color="auto" w:fill="auto"/>
          </w:tcPr>
          <w:p w14:paraId="20AE30C4" w14:textId="77777777" w:rsidR="00B626E7" w:rsidRDefault="00B626E7">
            <w:pPr>
              <w:rPr>
                <w:rFonts w:ascii="宋体"/>
              </w:rPr>
            </w:pPr>
          </w:p>
        </w:tc>
        <w:tc>
          <w:tcPr>
            <w:tcW w:w="0" w:type="auto"/>
            <w:shd w:val="clear" w:color="auto" w:fill="auto"/>
          </w:tcPr>
          <w:p w14:paraId="20AE30C5" w14:textId="77777777" w:rsidR="00B626E7" w:rsidRDefault="00B626E7">
            <w:pPr>
              <w:rPr>
                <w:rFonts w:ascii="宋体"/>
              </w:rPr>
            </w:pPr>
          </w:p>
        </w:tc>
        <w:tc>
          <w:tcPr>
            <w:tcW w:w="0" w:type="auto"/>
            <w:shd w:val="clear" w:color="auto" w:fill="auto"/>
          </w:tcPr>
          <w:p w14:paraId="20AE30C6" w14:textId="77777777" w:rsidR="00B626E7" w:rsidRDefault="00B626E7">
            <w:pPr>
              <w:rPr>
                <w:rFonts w:ascii="宋体"/>
              </w:rPr>
            </w:pPr>
          </w:p>
        </w:tc>
      </w:tr>
    </w:tbl>
    <w:p w14:paraId="20AE30C8" w14:textId="77777777" w:rsidR="00B626E7" w:rsidRDefault="00175C1D">
      <w:pPr>
        <w:spacing w:before="240" w:after="120"/>
      </w:pPr>
      <w:r>
        <w:rPr>
          <w:rFonts w:ascii="Arial" w:eastAsia="宋体" w:hAnsi="Arial" w:cs="Arial"/>
          <w:b/>
          <w:bCs/>
          <w:color w:val="333333"/>
          <w:sz w:val="20"/>
          <w:szCs w:val="20"/>
        </w:rPr>
        <w:t>YTD 2020 vs. YTD 2019</w:t>
      </w:r>
    </w:p>
    <w:tbl>
      <w:tblPr>
        <w:tblW w:w="3914" w:type="pct"/>
        <w:tblCellMar>
          <w:top w:w="15" w:type="dxa"/>
          <w:left w:w="15" w:type="dxa"/>
          <w:bottom w:w="15" w:type="dxa"/>
          <w:right w:w="15" w:type="dxa"/>
        </w:tblCellMar>
        <w:tblLook w:val="04A0" w:firstRow="1" w:lastRow="0" w:firstColumn="1" w:lastColumn="0" w:noHBand="0" w:noVBand="1"/>
      </w:tblPr>
      <w:tblGrid>
        <w:gridCol w:w="38"/>
        <w:gridCol w:w="156"/>
        <w:gridCol w:w="38"/>
        <w:gridCol w:w="56"/>
        <w:gridCol w:w="3798"/>
        <w:gridCol w:w="57"/>
        <w:gridCol w:w="57"/>
        <w:gridCol w:w="969"/>
        <w:gridCol w:w="57"/>
        <w:gridCol w:w="57"/>
        <w:gridCol w:w="969"/>
        <w:gridCol w:w="57"/>
        <w:gridCol w:w="36"/>
        <w:gridCol w:w="36"/>
        <w:gridCol w:w="36"/>
        <w:gridCol w:w="36"/>
        <w:gridCol w:w="36"/>
        <w:gridCol w:w="36"/>
      </w:tblGrid>
      <w:tr w:rsidR="00B626E7" w14:paraId="20AE30D5" w14:textId="77777777">
        <w:trPr>
          <w:gridAfter w:val="6"/>
        </w:trPr>
        <w:tc>
          <w:tcPr>
            <w:tcW w:w="5" w:type="pct"/>
            <w:shd w:val="clear" w:color="auto" w:fill="auto"/>
          </w:tcPr>
          <w:p w14:paraId="20AE30C9" w14:textId="77777777" w:rsidR="00B626E7" w:rsidRDefault="00B626E7">
            <w:pPr>
              <w:rPr>
                <w:rFonts w:ascii="宋体"/>
              </w:rPr>
            </w:pPr>
          </w:p>
        </w:tc>
        <w:tc>
          <w:tcPr>
            <w:tcW w:w="129" w:type="pct"/>
            <w:shd w:val="clear" w:color="auto" w:fill="auto"/>
          </w:tcPr>
          <w:p w14:paraId="20AE30CA" w14:textId="77777777" w:rsidR="00B626E7" w:rsidRDefault="00B626E7">
            <w:pPr>
              <w:rPr>
                <w:rFonts w:ascii="宋体"/>
              </w:rPr>
            </w:pPr>
          </w:p>
        </w:tc>
        <w:tc>
          <w:tcPr>
            <w:tcW w:w="5" w:type="pct"/>
            <w:shd w:val="clear" w:color="auto" w:fill="auto"/>
          </w:tcPr>
          <w:p w14:paraId="20AE30CB" w14:textId="77777777" w:rsidR="00B626E7" w:rsidRDefault="00B626E7">
            <w:pPr>
              <w:rPr>
                <w:rFonts w:ascii="宋体"/>
              </w:rPr>
            </w:pPr>
          </w:p>
        </w:tc>
        <w:tc>
          <w:tcPr>
            <w:tcW w:w="50" w:type="pct"/>
            <w:shd w:val="clear" w:color="auto" w:fill="auto"/>
          </w:tcPr>
          <w:p w14:paraId="20AE30CC" w14:textId="77777777" w:rsidR="00B626E7" w:rsidRDefault="00B626E7">
            <w:pPr>
              <w:rPr>
                <w:rFonts w:ascii="宋体"/>
              </w:rPr>
            </w:pPr>
          </w:p>
        </w:tc>
        <w:tc>
          <w:tcPr>
            <w:tcW w:w="3015" w:type="pct"/>
            <w:shd w:val="clear" w:color="auto" w:fill="auto"/>
          </w:tcPr>
          <w:p w14:paraId="20AE30CD" w14:textId="77777777" w:rsidR="00B626E7" w:rsidRDefault="00B626E7">
            <w:pPr>
              <w:rPr>
                <w:rFonts w:ascii="宋体"/>
              </w:rPr>
            </w:pPr>
          </w:p>
        </w:tc>
        <w:tc>
          <w:tcPr>
            <w:tcW w:w="50" w:type="pct"/>
            <w:shd w:val="clear" w:color="auto" w:fill="auto"/>
          </w:tcPr>
          <w:p w14:paraId="20AE30CE" w14:textId="77777777" w:rsidR="00B626E7" w:rsidRDefault="00B626E7">
            <w:pPr>
              <w:rPr>
                <w:rFonts w:ascii="宋体"/>
              </w:rPr>
            </w:pPr>
          </w:p>
        </w:tc>
        <w:tc>
          <w:tcPr>
            <w:tcW w:w="50" w:type="pct"/>
            <w:shd w:val="clear" w:color="auto" w:fill="auto"/>
          </w:tcPr>
          <w:p w14:paraId="20AE30CF" w14:textId="77777777" w:rsidR="00B626E7" w:rsidRDefault="00B626E7">
            <w:pPr>
              <w:rPr>
                <w:rFonts w:ascii="宋体"/>
              </w:rPr>
            </w:pPr>
          </w:p>
        </w:tc>
        <w:tc>
          <w:tcPr>
            <w:tcW w:w="772" w:type="pct"/>
            <w:shd w:val="clear" w:color="auto" w:fill="auto"/>
          </w:tcPr>
          <w:p w14:paraId="20AE30D0" w14:textId="77777777" w:rsidR="00B626E7" w:rsidRDefault="00B626E7">
            <w:pPr>
              <w:rPr>
                <w:rFonts w:ascii="宋体"/>
              </w:rPr>
            </w:pPr>
          </w:p>
        </w:tc>
        <w:tc>
          <w:tcPr>
            <w:tcW w:w="50" w:type="pct"/>
            <w:shd w:val="clear" w:color="auto" w:fill="auto"/>
          </w:tcPr>
          <w:p w14:paraId="20AE30D1" w14:textId="77777777" w:rsidR="00B626E7" w:rsidRDefault="00B626E7">
            <w:pPr>
              <w:rPr>
                <w:rFonts w:ascii="宋体"/>
              </w:rPr>
            </w:pPr>
          </w:p>
        </w:tc>
        <w:tc>
          <w:tcPr>
            <w:tcW w:w="50" w:type="pct"/>
            <w:shd w:val="clear" w:color="auto" w:fill="auto"/>
          </w:tcPr>
          <w:p w14:paraId="20AE30D2" w14:textId="77777777" w:rsidR="00B626E7" w:rsidRDefault="00B626E7">
            <w:pPr>
              <w:rPr>
                <w:rFonts w:ascii="宋体"/>
              </w:rPr>
            </w:pPr>
          </w:p>
        </w:tc>
        <w:tc>
          <w:tcPr>
            <w:tcW w:w="772" w:type="pct"/>
            <w:shd w:val="clear" w:color="auto" w:fill="auto"/>
          </w:tcPr>
          <w:p w14:paraId="20AE30D3" w14:textId="77777777" w:rsidR="00B626E7" w:rsidRDefault="00B626E7">
            <w:pPr>
              <w:rPr>
                <w:rFonts w:ascii="宋体"/>
              </w:rPr>
            </w:pPr>
          </w:p>
        </w:tc>
        <w:tc>
          <w:tcPr>
            <w:tcW w:w="50" w:type="pct"/>
            <w:shd w:val="clear" w:color="auto" w:fill="auto"/>
          </w:tcPr>
          <w:p w14:paraId="20AE30D4" w14:textId="77777777" w:rsidR="00B626E7" w:rsidRDefault="00B626E7">
            <w:pPr>
              <w:rPr>
                <w:rFonts w:ascii="宋体"/>
              </w:rPr>
            </w:pPr>
          </w:p>
        </w:tc>
      </w:tr>
      <w:tr w:rsidR="00B626E7" w14:paraId="20AE30DA" w14:textId="77777777">
        <w:tc>
          <w:tcPr>
            <w:tcW w:w="0" w:type="auto"/>
            <w:gridSpan w:val="6"/>
            <w:shd w:val="clear" w:color="auto" w:fill="auto"/>
            <w:tcMar>
              <w:top w:w="40" w:type="dxa"/>
              <w:left w:w="20" w:type="dxa"/>
              <w:bottom w:w="40" w:type="dxa"/>
              <w:right w:w="20" w:type="dxa"/>
            </w:tcMar>
            <w:vAlign w:val="bottom"/>
          </w:tcPr>
          <w:p w14:paraId="20AE30D6" w14:textId="77777777" w:rsidR="00B626E7" w:rsidRDefault="00175C1D">
            <w:pPr>
              <w:textAlignment w:val="bottom"/>
            </w:pPr>
            <w:r>
              <w:rPr>
                <w:rFonts w:ascii="Arial" w:eastAsia="宋体" w:hAnsi="Arial" w:cs="Arial"/>
                <w:color w:val="333333"/>
                <w:sz w:val="18"/>
                <w:szCs w:val="18"/>
              </w:rPr>
              <w:t>R&amp;D decreased by $141 million, or 2.1%, driven by the following:</w:t>
            </w:r>
          </w:p>
        </w:tc>
        <w:tc>
          <w:tcPr>
            <w:tcW w:w="0" w:type="auto"/>
            <w:gridSpan w:val="3"/>
            <w:shd w:val="clear" w:color="auto" w:fill="auto"/>
          </w:tcPr>
          <w:p w14:paraId="20AE30D7" w14:textId="77777777" w:rsidR="00B626E7" w:rsidRDefault="00B626E7">
            <w:pPr>
              <w:rPr>
                <w:rFonts w:ascii="宋体"/>
                <w:vanish/>
              </w:rPr>
            </w:pPr>
          </w:p>
        </w:tc>
        <w:tc>
          <w:tcPr>
            <w:tcW w:w="0" w:type="auto"/>
            <w:gridSpan w:val="6"/>
            <w:shd w:val="clear" w:color="auto" w:fill="auto"/>
            <w:tcMar>
              <w:left w:w="20" w:type="dxa"/>
              <w:right w:w="20" w:type="dxa"/>
            </w:tcMar>
            <w:vAlign w:val="bottom"/>
          </w:tcPr>
          <w:p w14:paraId="20AE30D8" w14:textId="77777777" w:rsidR="00B626E7" w:rsidRDefault="00B626E7">
            <w:pPr>
              <w:rPr>
                <w:rFonts w:ascii="宋体"/>
              </w:rPr>
            </w:pPr>
          </w:p>
        </w:tc>
        <w:tc>
          <w:tcPr>
            <w:tcW w:w="0" w:type="auto"/>
            <w:gridSpan w:val="3"/>
            <w:shd w:val="clear" w:color="auto" w:fill="auto"/>
          </w:tcPr>
          <w:p w14:paraId="20AE30D9" w14:textId="77777777" w:rsidR="00B626E7" w:rsidRDefault="00B626E7">
            <w:pPr>
              <w:rPr>
                <w:rFonts w:ascii="宋体"/>
                <w:vanish/>
              </w:rPr>
            </w:pPr>
          </w:p>
        </w:tc>
      </w:tr>
      <w:tr w:rsidR="00B626E7" w14:paraId="20AE30E5" w14:textId="77777777">
        <w:trPr>
          <w:trHeight w:val="60"/>
        </w:trPr>
        <w:tc>
          <w:tcPr>
            <w:tcW w:w="0" w:type="auto"/>
            <w:gridSpan w:val="3"/>
            <w:shd w:val="clear" w:color="auto" w:fill="auto"/>
            <w:tcMar>
              <w:left w:w="20" w:type="dxa"/>
              <w:right w:w="20" w:type="dxa"/>
            </w:tcMar>
            <w:vAlign w:val="bottom"/>
          </w:tcPr>
          <w:p w14:paraId="20AE30DB"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0DC"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0DD"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0DE" w14:textId="77777777" w:rsidR="00B626E7" w:rsidRDefault="00B626E7">
            <w:pPr>
              <w:rPr>
                <w:rFonts w:ascii="宋体"/>
              </w:rPr>
            </w:pPr>
          </w:p>
        </w:tc>
        <w:tc>
          <w:tcPr>
            <w:tcW w:w="0" w:type="auto"/>
            <w:shd w:val="clear" w:color="auto" w:fill="auto"/>
          </w:tcPr>
          <w:p w14:paraId="20AE30DF" w14:textId="77777777" w:rsidR="00B626E7" w:rsidRDefault="00B626E7">
            <w:pPr>
              <w:rPr>
                <w:rFonts w:ascii="宋体"/>
              </w:rPr>
            </w:pPr>
          </w:p>
        </w:tc>
        <w:tc>
          <w:tcPr>
            <w:tcW w:w="0" w:type="auto"/>
            <w:shd w:val="clear" w:color="auto" w:fill="auto"/>
          </w:tcPr>
          <w:p w14:paraId="20AE30E0" w14:textId="77777777" w:rsidR="00B626E7" w:rsidRDefault="00B626E7">
            <w:pPr>
              <w:rPr>
                <w:rFonts w:ascii="宋体"/>
              </w:rPr>
            </w:pPr>
          </w:p>
        </w:tc>
        <w:tc>
          <w:tcPr>
            <w:tcW w:w="0" w:type="auto"/>
            <w:shd w:val="clear" w:color="auto" w:fill="auto"/>
          </w:tcPr>
          <w:p w14:paraId="20AE30E1" w14:textId="77777777" w:rsidR="00B626E7" w:rsidRDefault="00B626E7">
            <w:pPr>
              <w:rPr>
                <w:rFonts w:ascii="宋体"/>
              </w:rPr>
            </w:pPr>
          </w:p>
        </w:tc>
        <w:tc>
          <w:tcPr>
            <w:tcW w:w="0" w:type="auto"/>
            <w:shd w:val="clear" w:color="auto" w:fill="auto"/>
          </w:tcPr>
          <w:p w14:paraId="20AE30E2" w14:textId="77777777" w:rsidR="00B626E7" w:rsidRDefault="00B626E7">
            <w:pPr>
              <w:rPr>
                <w:rFonts w:ascii="宋体"/>
              </w:rPr>
            </w:pPr>
          </w:p>
        </w:tc>
        <w:tc>
          <w:tcPr>
            <w:tcW w:w="0" w:type="auto"/>
            <w:shd w:val="clear" w:color="auto" w:fill="auto"/>
          </w:tcPr>
          <w:p w14:paraId="20AE30E3" w14:textId="77777777" w:rsidR="00B626E7" w:rsidRDefault="00B626E7">
            <w:pPr>
              <w:rPr>
                <w:rFonts w:ascii="宋体"/>
              </w:rPr>
            </w:pPr>
          </w:p>
        </w:tc>
        <w:tc>
          <w:tcPr>
            <w:tcW w:w="0" w:type="auto"/>
            <w:shd w:val="clear" w:color="auto" w:fill="auto"/>
          </w:tcPr>
          <w:p w14:paraId="20AE30E4" w14:textId="77777777" w:rsidR="00B626E7" w:rsidRDefault="00B626E7">
            <w:pPr>
              <w:rPr>
                <w:rFonts w:ascii="宋体"/>
              </w:rPr>
            </w:pPr>
          </w:p>
        </w:tc>
      </w:tr>
      <w:tr w:rsidR="00B626E7" w14:paraId="20AE30F0" w14:textId="77777777">
        <w:tc>
          <w:tcPr>
            <w:tcW w:w="0" w:type="auto"/>
            <w:gridSpan w:val="3"/>
            <w:shd w:val="clear" w:color="auto" w:fill="auto"/>
            <w:tcMar>
              <w:top w:w="40" w:type="dxa"/>
              <w:left w:w="20" w:type="dxa"/>
              <w:bottom w:w="40" w:type="dxa"/>
              <w:right w:w="20" w:type="dxa"/>
            </w:tcMar>
            <w:vAlign w:val="bottom"/>
          </w:tcPr>
          <w:p w14:paraId="20AE30E6" w14:textId="77777777" w:rsidR="00B626E7" w:rsidRDefault="00175C1D">
            <w:pPr>
              <w:jc w:val="center"/>
              <w:textAlignment w:val="bottom"/>
            </w:pPr>
            <w:r>
              <w:rPr>
                <w:rFonts w:ascii="Arial" w:eastAsia="宋体" w:hAnsi="Arial" w:cs="Arial"/>
                <w:b/>
                <w:bCs/>
                <w:color w:val="FAAC16"/>
                <w:sz w:val="18"/>
                <w:szCs w:val="18"/>
              </w:rPr>
              <w:t>-</w:t>
            </w:r>
          </w:p>
        </w:tc>
        <w:tc>
          <w:tcPr>
            <w:tcW w:w="0" w:type="auto"/>
            <w:gridSpan w:val="3"/>
            <w:shd w:val="clear" w:color="auto" w:fill="auto"/>
            <w:tcMar>
              <w:top w:w="40" w:type="dxa"/>
              <w:left w:w="20" w:type="dxa"/>
              <w:bottom w:w="40" w:type="dxa"/>
              <w:right w:w="20" w:type="dxa"/>
            </w:tcMar>
            <w:vAlign w:val="bottom"/>
          </w:tcPr>
          <w:p w14:paraId="20AE30E7" w14:textId="77777777" w:rsidR="00B626E7" w:rsidRDefault="00175C1D">
            <w:pPr>
              <w:textAlignment w:val="bottom"/>
            </w:pPr>
            <w:r>
              <w:rPr>
                <w:rFonts w:ascii="Arial" w:eastAsia="宋体" w:hAnsi="Arial" w:cs="Arial"/>
                <w:color w:val="333333"/>
                <w:sz w:val="18"/>
                <w:szCs w:val="18"/>
              </w:rPr>
              <w:t>Ramp down of 5G smartphone modem business</w:t>
            </w:r>
          </w:p>
        </w:tc>
        <w:tc>
          <w:tcPr>
            <w:tcW w:w="0" w:type="auto"/>
            <w:gridSpan w:val="3"/>
            <w:shd w:val="clear" w:color="auto" w:fill="auto"/>
            <w:tcMar>
              <w:left w:w="20" w:type="dxa"/>
              <w:right w:w="20" w:type="dxa"/>
            </w:tcMar>
            <w:vAlign w:val="bottom"/>
          </w:tcPr>
          <w:p w14:paraId="20AE30E8"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0E9" w14:textId="77777777" w:rsidR="00B626E7" w:rsidRDefault="00B626E7">
            <w:pPr>
              <w:rPr>
                <w:rFonts w:ascii="宋体"/>
              </w:rPr>
            </w:pPr>
          </w:p>
        </w:tc>
        <w:tc>
          <w:tcPr>
            <w:tcW w:w="0" w:type="auto"/>
            <w:shd w:val="clear" w:color="auto" w:fill="auto"/>
          </w:tcPr>
          <w:p w14:paraId="20AE30EA" w14:textId="77777777" w:rsidR="00B626E7" w:rsidRDefault="00B626E7">
            <w:pPr>
              <w:rPr>
                <w:rFonts w:ascii="宋体"/>
              </w:rPr>
            </w:pPr>
          </w:p>
        </w:tc>
        <w:tc>
          <w:tcPr>
            <w:tcW w:w="0" w:type="auto"/>
            <w:shd w:val="clear" w:color="auto" w:fill="auto"/>
          </w:tcPr>
          <w:p w14:paraId="20AE30EB" w14:textId="77777777" w:rsidR="00B626E7" w:rsidRDefault="00B626E7">
            <w:pPr>
              <w:rPr>
                <w:rFonts w:ascii="宋体"/>
              </w:rPr>
            </w:pPr>
          </w:p>
        </w:tc>
        <w:tc>
          <w:tcPr>
            <w:tcW w:w="0" w:type="auto"/>
            <w:shd w:val="clear" w:color="auto" w:fill="auto"/>
          </w:tcPr>
          <w:p w14:paraId="20AE30EC" w14:textId="77777777" w:rsidR="00B626E7" w:rsidRDefault="00B626E7">
            <w:pPr>
              <w:rPr>
                <w:rFonts w:ascii="宋体"/>
              </w:rPr>
            </w:pPr>
          </w:p>
        </w:tc>
        <w:tc>
          <w:tcPr>
            <w:tcW w:w="0" w:type="auto"/>
            <w:shd w:val="clear" w:color="auto" w:fill="auto"/>
          </w:tcPr>
          <w:p w14:paraId="20AE30ED" w14:textId="77777777" w:rsidR="00B626E7" w:rsidRDefault="00B626E7">
            <w:pPr>
              <w:rPr>
                <w:rFonts w:ascii="宋体"/>
              </w:rPr>
            </w:pPr>
          </w:p>
        </w:tc>
        <w:tc>
          <w:tcPr>
            <w:tcW w:w="0" w:type="auto"/>
            <w:shd w:val="clear" w:color="auto" w:fill="auto"/>
          </w:tcPr>
          <w:p w14:paraId="20AE30EE" w14:textId="77777777" w:rsidR="00B626E7" w:rsidRDefault="00B626E7">
            <w:pPr>
              <w:rPr>
                <w:rFonts w:ascii="宋体"/>
              </w:rPr>
            </w:pPr>
          </w:p>
        </w:tc>
        <w:tc>
          <w:tcPr>
            <w:tcW w:w="0" w:type="auto"/>
            <w:shd w:val="clear" w:color="auto" w:fill="auto"/>
          </w:tcPr>
          <w:p w14:paraId="20AE30EF" w14:textId="77777777" w:rsidR="00B626E7" w:rsidRDefault="00B626E7">
            <w:pPr>
              <w:rPr>
                <w:rFonts w:ascii="宋体"/>
              </w:rPr>
            </w:pPr>
          </w:p>
        </w:tc>
      </w:tr>
      <w:tr w:rsidR="00B626E7" w14:paraId="20AE30FB" w14:textId="77777777">
        <w:tc>
          <w:tcPr>
            <w:tcW w:w="0" w:type="auto"/>
            <w:gridSpan w:val="3"/>
            <w:shd w:val="clear" w:color="auto" w:fill="auto"/>
            <w:tcMar>
              <w:top w:w="40" w:type="dxa"/>
              <w:left w:w="20" w:type="dxa"/>
              <w:bottom w:w="40" w:type="dxa"/>
              <w:right w:w="20" w:type="dxa"/>
            </w:tcMar>
            <w:vAlign w:val="bottom"/>
          </w:tcPr>
          <w:p w14:paraId="20AE30F1" w14:textId="77777777" w:rsidR="00B626E7" w:rsidRDefault="00175C1D">
            <w:pPr>
              <w:jc w:val="center"/>
              <w:textAlignment w:val="bottom"/>
            </w:pPr>
            <w:r>
              <w:rPr>
                <w:rFonts w:ascii="Arial" w:eastAsia="宋体" w:hAnsi="Arial" w:cs="Arial"/>
                <w:b/>
                <w:bCs/>
                <w:color w:val="00AEEF"/>
                <w:sz w:val="18"/>
                <w:szCs w:val="18"/>
              </w:rPr>
              <w:t>+</w:t>
            </w:r>
          </w:p>
        </w:tc>
        <w:tc>
          <w:tcPr>
            <w:tcW w:w="0" w:type="auto"/>
            <w:gridSpan w:val="3"/>
            <w:shd w:val="clear" w:color="auto" w:fill="auto"/>
            <w:tcMar>
              <w:top w:w="40" w:type="dxa"/>
              <w:left w:w="20" w:type="dxa"/>
              <w:bottom w:w="40" w:type="dxa"/>
              <w:right w:w="20" w:type="dxa"/>
            </w:tcMar>
            <w:vAlign w:val="bottom"/>
          </w:tcPr>
          <w:p w14:paraId="20AE30F2" w14:textId="77777777" w:rsidR="00B626E7" w:rsidRDefault="00175C1D">
            <w:pPr>
              <w:textAlignment w:val="bottom"/>
            </w:pPr>
            <w:r>
              <w:rPr>
                <w:rFonts w:ascii="Arial" w:eastAsia="宋体" w:hAnsi="Arial" w:cs="Arial"/>
                <w:color w:val="333333"/>
                <w:sz w:val="18"/>
                <w:szCs w:val="18"/>
              </w:rPr>
              <w:t>Investments in our PC and data-centric businesses</w:t>
            </w:r>
          </w:p>
        </w:tc>
        <w:tc>
          <w:tcPr>
            <w:tcW w:w="0" w:type="auto"/>
            <w:gridSpan w:val="3"/>
            <w:shd w:val="clear" w:color="auto" w:fill="auto"/>
            <w:tcMar>
              <w:left w:w="20" w:type="dxa"/>
              <w:right w:w="20" w:type="dxa"/>
            </w:tcMar>
            <w:vAlign w:val="bottom"/>
          </w:tcPr>
          <w:p w14:paraId="20AE30F3"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0F4" w14:textId="77777777" w:rsidR="00B626E7" w:rsidRDefault="00B626E7">
            <w:pPr>
              <w:rPr>
                <w:rFonts w:ascii="宋体"/>
              </w:rPr>
            </w:pPr>
          </w:p>
        </w:tc>
        <w:tc>
          <w:tcPr>
            <w:tcW w:w="0" w:type="auto"/>
            <w:shd w:val="clear" w:color="auto" w:fill="auto"/>
          </w:tcPr>
          <w:p w14:paraId="20AE30F5" w14:textId="77777777" w:rsidR="00B626E7" w:rsidRDefault="00B626E7">
            <w:pPr>
              <w:rPr>
                <w:rFonts w:ascii="宋体"/>
              </w:rPr>
            </w:pPr>
          </w:p>
        </w:tc>
        <w:tc>
          <w:tcPr>
            <w:tcW w:w="0" w:type="auto"/>
            <w:shd w:val="clear" w:color="auto" w:fill="auto"/>
          </w:tcPr>
          <w:p w14:paraId="20AE30F6" w14:textId="77777777" w:rsidR="00B626E7" w:rsidRDefault="00B626E7">
            <w:pPr>
              <w:rPr>
                <w:rFonts w:ascii="宋体"/>
              </w:rPr>
            </w:pPr>
          </w:p>
        </w:tc>
        <w:tc>
          <w:tcPr>
            <w:tcW w:w="0" w:type="auto"/>
            <w:shd w:val="clear" w:color="auto" w:fill="auto"/>
          </w:tcPr>
          <w:p w14:paraId="20AE30F7" w14:textId="77777777" w:rsidR="00B626E7" w:rsidRDefault="00B626E7">
            <w:pPr>
              <w:rPr>
                <w:rFonts w:ascii="宋体"/>
              </w:rPr>
            </w:pPr>
          </w:p>
        </w:tc>
        <w:tc>
          <w:tcPr>
            <w:tcW w:w="0" w:type="auto"/>
            <w:shd w:val="clear" w:color="auto" w:fill="auto"/>
          </w:tcPr>
          <w:p w14:paraId="20AE30F8" w14:textId="77777777" w:rsidR="00B626E7" w:rsidRDefault="00B626E7">
            <w:pPr>
              <w:rPr>
                <w:rFonts w:ascii="宋体"/>
              </w:rPr>
            </w:pPr>
          </w:p>
        </w:tc>
        <w:tc>
          <w:tcPr>
            <w:tcW w:w="0" w:type="auto"/>
            <w:shd w:val="clear" w:color="auto" w:fill="auto"/>
          </w:tcPr>
          <w:p w14:paraId="20AE30F9" w14:textId="77777777" w:rsidR="00B626E7" w:rsidRDefault="00B626E7">
            <w:pPr>
              <w:rPr>
                <w:rFonts w:ascii="宋体"/>
              </w:rPr>
            </w:pPr>
          </w:p>
        </w:tc>
        <w:tc>
          <w:tcPr>
            <w:tcW w:w="0" w:type="auto"/>
            <w:shd w:val="clear" w:color="auto" w:fill="auto"/>
          </w:tcPr>
          <w:p w14:paraId="20AE30FA" w14:textId="77777777" w:rsidR="00B626E7" w:rsidRDefault="00B626E7">
            <w:pPr>
              <w:rPr>
                <w:rFonts w:ascii="宋体"/>
              </w:rPr>
            </w:pPr>
          </w:p>
        </w:tc>
      </w:tr>
      <w:tr w:rsidR="00B626E7" w14:paraId="20AE3106" w14:textId="77777777">
        <w:tc>
          <w:tcPr>
            <w:tcW w:w="0" w:type="auto"/>
            <w:gridSpan w:val="3"/>
            <w:shd w:val="clear" w:color="auto" w:fill="auto"/>
            <w:tcMar>
              <w:top w:w="40" w:type="dxa"/>
              <w:left w:w="20" w:type="dxa"/>
              <w:bottom w:w="40" w:type="dxa"/>
              <w:right w:w="20" w:type="dxa"/>
            </w:tcMar>
            <w:vAlign w:val="bottom"/>
          </w:tcPr>
          <w:p w14:paraId="20AE30FC" w14:textId="77777777" w:rsidR="00B626E7" w:rsidRDefault="00175C1D">
            <w:pPr>
              <w:jc w:val="center"/>
              <w:textAlignment w:val="bottom"/>
            </w:pPr>
            <w:r>
              <w:rPr>
                <w:rFonts w:ascii="Arial" w:eastAsia="宋体" w:hAnsi="Arial" w:cs="Arial"/>
                <w:b/>
                <w:bCs/>
                <w:color w:val="00AEEF"/>
                <w:sz w:val="18"/>
                <w:szCs w:val="18"/>
              </w:rPr>
              <w:t>+</w:t>
            </w:r>
          </w:p>
        </w:tc>
        <w:tc>
          <w:tcPr>
            <w:tcW w:w="0" w:type="auto"/>
            <w:gridSpan w:val="3"/>
            <w:shd w:val="clear" w:color="auto" w:fill="auto"/>
            <w:tcMar>
              <w:top w:w="40" w:type="dxa"/>
              <w:left w:w="20" w:type="dxa"/>
              <w:bottom w:w="40" w:type="dxa"/>
              <w:right w:w="20" w:type="dxa"/>
            </w:tcMar>
            <w:vAlign w:val="bottom"/>
          </w:tcPr>
          <w:p w14:paraId="20AE30FD" w14:textId="77777777" w:rsidR="00B626E7" w:rsidRDefault="00175C1D">
            <w:pPr>
              <w:textAlignment w:val="bottom"/>
            </w:pPr>
            <w:r>
              <w:rPr>
                <w:rFonts w:ascii="Arial" w:eastAsia="宋体" w:hAnsi="Arial" w:cs="Arial"/>
                <w:color w:val="333333"/>
                <w:sz w:val="18"/>
                <w:szCs w:val="18"/>
              </w:rPr>
              <w:t>Investments in our process technology</w:t>
            </w:r>
          </w:p>
        </w:tc>
        <w:tc>
          <w:tcPr>
            <w:tcW w:w="0" w:type="auto"/>
            <w:gridSpan w:val="3"/>
            <w:shd w:val="clear" w:color="auto" w:fill="auto"/>
            <w:tcMar>
              <w:left w:w="20" w:type="dxa"/>
              <w:right w:w="20" w:type="dxa"/>
            </w:tcMar>
            <w:vAlign w:val="bottom"/>
          </w:tcPr>
          <w:p w14:paraId="20AE30FE"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0FF" w14:textId="77777777" w:rsidR="00B626E7" w:rsidRDefault="00B626E7">
            <w:pPr>
              <w:rPr>
                <w:rFonts w:ascii="宋体"/>
              </w:rPr>
            </w:pPr>
          </w:p>
        </w:tc>
        <w:tc>
          <w:tcPr>
            <w:tcW w:w="0" w:type="auto"/>
            <w:shd w:val="clear" w:color="auto" w:fill="auto"/>
          </w:tcPr>
          <w:p w14:paraId="20AE3100" w14:textId="77777777" w:rsidR="00B626E7" w:rsidRDefault="00B626E7">
            <w:pPr>
              <w:rPr>
                <w:rFonts w:ascii="宋体"/>
              </w:rPr>
            </w:pPr>
          </w:p>
        </w:tc>
        <w:tc>
          <w:tcPr>
            <w:tcW w:w="0" w:type="auto"/>
            <w:shd w:val="clear" w:color="auto" w:fill="auto"/>
          </w:tcPr>
          <w:p w14:paraId="20AE3101" w14:textId="77777777" w:rsidR="00B626E7" w:rsidRDefault="00B626E7">
            <w:pPr>
              <w:rPr>
                <w:rFonts w:ascii="宋体"/>
              </w:rPr>
            </w:pPr>
          </w:p>
        </w:tc>
        <w:tc>
          <w:tcPr>
            <w:tcW w:w="0" w:type="auto"/>
            <w:shd w:val="clear" w:color="auto" w:fill="auto"/>
          </w:tcPr>
          <w:p w14:paraId="20AE3102" w14:textId="77777777" w:rsidR="00B626E7" w:rsidRDefault="00B626E7">
            <w:pPr>
              <w:rPr>
                <w:rFonts w:ascii="宋体"/>
              </w:rPr>
            </w:pPr>
          </w:p>
        </w:tc>
        <w:tc>
          <w:tcPr>
            <w:tcW w:w="0" w:type="auto"/>
            <w:shd w:val="clear" w:color="auto" w:fill="auto"/>
          </w:tcPr>
          <w:p w14:paraId="20AE3103" w14:textId="77777777" w:rsidR="00B626E7" w:rsidRDefault="00B626E7">
            <w:pPr>
              <w:rPr>
                <w:rFonts w:ascii="宋体"/>
              </w:rPr>
            </w:pPr>
          </w:p>
        </w:tc>
        <w:tc>
          <w:tcPr>
            <w:tcW w:w="0" w:type="auto"/>
            <w:shd w:val="clear" w:color="auto" w:fill="auto"/>
          </w:tcPr>
          <w:p w14:paraId="20AE3104" w14:textId="77777777" w:rsidR="00B626E7" w:rsidRDefault="00B626E7">
            <w:pPr>
              <w:rPr>
                <w:rFonts w:ascii="宋体"/>
              </w:rPr>
            </w:pPr>
          </w:p>
        </w:tc>
        <w:tc>
          <w:tcPr>
            <w:tcW w:w="0" w:type="auto"/>
            <w:shd w:val="clear" w:color="auto" w:fill="auto"/>
          </w:tcPr>
          <w:p w14:paraId="20AE3105" w14:textId="77777777" w:rsidR="00B626E7" w:rsidRDefault="00B626E7">
            <w:pPr>
              <w:rPr>
                <w:rFonts w:ascii="宋体"/>
              </w:rPr>
            </w:pPr>
          </w:p>
        </w:tc>
      </w:tr>
      <w:tr w:rsidR="00B626E7" w14:paraId="20AE3111" w14:textId="77777777">
        <w:tc>
          <w:tcPr>
            <w:tcW w:w="0" w:type="auto"/>
            <w:gridSpan w:val="3"/>
            <w:shd w:val="clear" w:color="auto" w:fill="auto"/>
            <w:tcMar>
              <w:top w:w="40" w:type="dxa"/>
              <w:left w:w="20" w:type="dxa"/>
              <w:bottom w:w="40" w:type="dxa"/>
              <w:right w:w="20" w:type="dxa"/>
            </w:tcMar>
            <w:vAlign w:val="bottom"/>
          </w:tcPr>
          <w:p w14:paraId="20AE3107" w14:textId="77777777" w:rsidR="00B626E7" w:rsidRDefault="00175C1D">
            <w:pPr>
              <w:jc w:val="center"/>
              <w:textAlignment w:val="bottom"/>
            </w:pPr>
            <w:r>
              <w:rPr>
                <w:rFonts w:ascii="Arial" w:eastAsia="宋体" w:hAnsi="Arial" w:cs="Arial"/>
                <w:b/>
                <w:bCs/>
                <w:color w:val="00AEEF"/>
                <w:sz w:val="18"/>
                <w:szCs w:val="18"/>
              </w:rPr>
              <w:t>+</w:t>
            </w:r>
          </w:p>
        </w:tc>
        <w:tc>
          <w:tcPr>
            <w:tcW w:w="0" w:type="auto"/>
            <w:gridSpan w:val="3"/>
            <w:shd w:val="clear" w:color="auto" w:fill="auto"/>
            <w:tcMar>
              <w:top w:w="40" w:type="dxa"/>
              <w:left w:w="20" w:type="dxa"/>
              <w:bottom w:w="40" w:type="dxa"/>
              <w:right w:w="20" w:type="dxa"/>
            </w:tcMar>
            <w:vAlign w:val="bottom"/>
          </w:tcPr>
          <w:p w14:paraId="20AE3108" w14:textId="77777777" w:rsidR="00B626E7" w:rsidRDefault="00175C1D">
            <w:pPr>
              <w:textAlignment w:val="bottom"/>
            </w:pPr>
            <w:r>
              <w:rPr>
                <w:rFonts w:ascii="Arial" w:eastAsia="宋体" w:hAnsi="Arial" w:cs="Arial"/>
                <w:color w:val="333333"/>
                <w:sz w:val="18"/>
                <w:szCs w:val="18"/>
              </w:rPr>
              <w:t>Profit dependent compensation</w:t>
            </w:r>
          </w:p>
        </w:tc>
        <w:tc>
          <w:tcPr>
            <w:tcW w:w="0" w:type="auto"/>
            <w:gridSpan w:val="3"/>
            <w:shd w:val="clear" w:color="auto" w:fill="auto"/>
            <w:tcMar>
              <w:left w:w="20" w:type="dxa"/>
              <w:right w:w="20" w:type="dxa"/>
            </w:tcMar>
            <w:vAlign w:val="bottom"/>
          </w:tcPr>
          <w:p w14:paraId="20AE3109"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10A" w14:textId="77777777" w:rsidR="00B626E7" w:rsidRDefault="00B626E7">
            <w:pPr>
              <w:rPr>
                <w:rFonts w:ascii="宋体"/>
              </w:rPr>
            </w:pPr>
          </w:p>
        </w:tc>
        <w:tc>
          <w:tcPr>
            <w:tcW w:w="0" w:type="auto"/>
            <w:shd w:val="clear" w:color="auto" w:fill="auto"/>
          </w:tcPr>
          <w:p w14:paraId="20AE310B" w14:textId="77777777" w:rsidR="00B626E7" w:rsidRDefault="00B626E7">
            <w:pPr>
              <w:rPr>
                <w:rFonts w:ascii="宋体"/>
              </w:rPr>
            </w:pPr>
          </w:p>
        </w:tc>
        <w:tc>
          <w:tcPr>
            <w:tcW w:w="0" w:type="auto"/>
            <w:shd w:val="clear" w:color="auto" w:fill="auto"/>
          </w:tcPr>
          <w:p w14:paraId="20AE310C" w14:textId="77777777" w:rsidR="00B626E7" w:rsidRDefault="00B626E7">
            <w:pPr>
              <w:rPr>
                <w:rFonts w:ascii="宋体"/>
              </w:rPr>
            </w:pPr>
          </w:p>
        </w:tc>
        <w:tc>
          <w:tcPr>
            <w:tcW w:w="0" w:type="auto"/>
            <w:shd w:val="clear" w:color="auto" w:fill="auto"/>
          </w:tcPr>
          <w:p w14:paraId="20AE310D" w14:textId="77777777" w:rsidR="00B626E7" w:rsidRDefault="00B626E7">
            <w:pPr>
              <w:rPr>
                <w:rFonts w:ascii="宋体"/>
              </w:rPr>
            </w:pPr>
          </w:p>
        </w:tc>
        <w:tc>
          <w:tcPr>
            <w:tcW w:w="0" w:type="auto"/>
            <w:shd w:val="clear" w:color="auto" w:fill="auto"/>
          </w:tcPr>
          <w:p w14:paraId="20AE310E" w14:textId="77777777" w:rsidR="00B626E7" w:rsidRDefault="00B626E7">
            <w:pPr>
              <w:rPr>
                <w:rFonts w:ascii="宋体"/>
              </w:rPr>
            </w:pPr>
          </w:p>
        </w:tc>
        <w:tc>
          <w:tcPr>
            <w:tcW w:w="0" w:type="auto"/>
            <w:shd w:val="clear" w:color="auto" w:fill="auto"/>
          </w:tcPr>
          <w:p w14:paraId="20AE310F" w14:textId="77777777" w:rsidR="00B626E7" w:rsidRDefault="00B626E7">
            <w:pPr>
              <w:rPr>
                <w:rFonts w:ascii="宋体"/>
              </w:rPr>
            </w:pPr>
          </w:p>
        </w:tc>
        <w:tc>
          <w:tcPr>
            <w:tcW w:w="0" w:type="auto"/>
            <w:shd w:val="clear" w:color="auto" w:fill="auto"/>
          </w:tcPr>
          <w:p w14:paraId="20AE3110" w14:textId="77777777" w:rsidR="00B626E7" w:rsidRDefault="00B626E7">
            <w:pPr>
              <w:rPr>
                <w:rFonts w:ascii="宋体"/>
              </w:rPr>
            </w:pPr>
          </w:p>
        </w:tc>
      </w:tr>
      <w:tr w:rsidR="00B626E7" w14:paraId="20AE311C" w14:textId="77777777">
        <w:trPr>
          <w:hidden/>
        </w:trPr>
        <w:tc>
          <w:tcPr>
            <w:tcW w:w="0" w:type="auto"/>
            <w:gridSpan w:val="3"/>
            <w:shd w:val="clear" w:color="auto" w:fill="auto"/>
          </w:tcPr>
          <w:p w14:paraId="20AE3112" w14:textId="77777777" w:rsidR="00B626E7" w:rsidRDefault="00B626E7">
            <w:pPr>
              <w:rPr>
                <w:rFonts w:ascii="宋体"/>
                <w:vanish/>
              </w:rPr>
            </w:pPr>
          </w:p>
        </w:tc>
        <w:tc>
          <w:tcPr>
            <w:tcW w:w="0" w:type="auto"/>
            <w:gridSpan w:val="3"/>
            <w:shd w:val="clear" w:color="auto" w:fill="auto"/>
          </w:tcPr>
          <w:p w14:paraId="20AE3113" w14:textId="77777777" w:rsidR="00B626E7" w:rsidRDefault="00B626E7">
            <w:pPr>
              <w:rPr>
                <w:rFonts w:ascii="宋体"/>
                <w:vanish/>
              </w:rPr>
            </w:pPr>
          </w:p>
        </w:tc>
        <w:tc>
          <w:tcPr>
            <w:tcW w:w="0" w:type="auto"/>
            <w:gridSpan w:val="3"/>
            <w:shd w:val="clear" w:color="auto" w:fill="auto"/>
          </w:tcPr>
          <w:p w14:paraId="20AE3114" w14:textId="77777777" w:rsidR="00B626E7" w:rsidRDefault="00B626E7">
            <w:pPr>
              <w:rPr>
                <w:rFonts w:ascii="宋体"/>
                <w:vanish/>
              </w:rPr>
            </w:pPr>
          </w:p>
        </w:tc>
        <w:tc>
          <w:tcPr>
            <w:tcW w:w="0" w:type="auto"/>
            <w:gridSpan w:val="3"/>
            <w:shd w:val="clear" w:color="auto" w:fill="auto"/>
          </w:tcPr>
          <w:p w14:paraId="20AE3115" w14:textId="77777777" w:rsidR="00B626E7" w:rsidRDefault="00B626E7">
            <w:pPr>
              <w:rPr>
                <w:rFonts w:ascii="宋体"/>
                <w:vanish/>
              </w:rPr>
            </w:pPr>
          </w:p>
        </w:tc>
        <w:tc>
          <w:tcPr>
            <w:tcW w:w="0" w:type="auto"/>
            <w:shd w:val="clear" w:color="auto" w:fill="auto"/>
          </w:tcPr>
          <w:p w14:paraId="20AE3116" w14:textId="77777777" w:rsidR="00B626E7" w:rsidRDefault="00B626E7">
            <w:pPr>
              <w:rPr>
                <w:rFonts w:ascii="宋体"/>
              </w:rPr>
            </w:pPr>
          </w:p>
        </w:tc>
        <w:tc>
          <w:tcPr>
            <w:tcW w:w="0" w:type="auto"/>
            <w:shd w:val="clear" w:color="auto" w:fill="auto"/>
          </w:tcPr>
          <w:p w14:paraId="20AE3117" w14:textId="77777777" w:rsidR="00B626E7" w:rsidRDefault="00B626E7">
            <w:pPr>
              <w:rPr>
                <w:rFonts w:ascii="宋体"/>
              </w:rPr>
            </w:pPr>
          </w:p>
        </w:tc>
        <w:tc>
          <w:tcPr>
            <w:tcW w:w="0" w:type="auto"/>
            <w:shd w:val="clear" w:color="auto" w:fill="auto"/>
          </w:tcPr>
          <w:p w14:paraId="20AE3118" w14:textId="77777777" w:rsidR="00B626E7" w:rsidRDefault="00B626E7">
            <w:pPr>
              <w:rPr>
                <w:rFonts w:ascii="宋体"/>
              </w:rPr>
            </w:pPr>
          </w:p>
        </w:tc>
        <w:tc>
          <w:tcPr>
            <w:tcW w:w="0" w:type="auto"/>
            <w:shd w:val="clear" w:color="auto" w:fill="auto"/>
          </w:tcPr>
          <w:p w14:paraId="20AE3119" w14:textId="77777777" w:rsidR="00B626E7" w:rsidRDefault="00B626E7">
            <w:pPr>
              <w:rPr>
                <w:rFonts w:ascii="宋体"/>
              </w:rPr>
            </w:pPr>
          </w:p>
        </w:tc>
        <w:tc>
          <w:tcPr>
            <w:tcW w:w="0" w:type="auto"/>
            <w:shd w:val="clear" w:color="auto" w:fill="auto"/>
          </w:tcPr>
          <w:p w14:paraId="20AE311A" w14:textId="77777777" w:rsidR="00B626E7" w:rsidRDefault="00B626E7">
            <w:pPr>
              <w:rPr>
                <w:rFonts w:ascii="宋体"/>
              </w:rPr>
            </w:pPr>
          </w:p>
        </w:tc>
        <w:tc>
          <w:tcPr>
            <w:tcW w:w="0" w:type="auto"/>
            <w:shd w:val="clear" w:color="auto" w:fill="auto"/>
          </w:tcPr>
          <w:p w14:paraId="20AE311B" w14:textId="77777777" w:rsidR="00B626E7" w:rsidRDefault="00B626E7">
            <w:pPr>
              <w:rPr>
                <w:rFonts w:ascii="宋体"/>
              </w:rPr>
            </w:pPr>
          </w:p>
        </w:tc>
      </w:tr>
    </w:tbl>
    <w:p w14:paraId="20AE311D" w14:textId="77777777" w:rsidR="00B626E7" w:rsidRDefault="00B626E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84"/>
        <w:gridCol w:w="8169"/>
        <w:gridCol w:w="83"/>
      </w:tblGrid>
      <w:tr w:rsidR="00B626E7" w14:paraId="20AE3121" w14:textId="77777777">
        <w:tc>
          <w:tcPr>
            <w:tcW w:w="50" w:type="pct"/>
            <w:shd w:val="clear" w:color="auto" w:fill="auto"/>
          </w:tcPr>
          <w:p w14:paraId="20AE311E" w14:textId="77777777" w:rsidR="00B626E7" w:rsidRDefault="00B626E7">
            <w:pPr>
              <w:rPr>
                <w:rFonts w:ascii="宋体"/>
              </w:rPr>
            </w:pPr>
          </w:p>
        </w:tc>
        <w:tc>
          <w:tcPr>
            <w:tcW w:w="4900" w:type="pct"/>
            <w:shd w:val="clear" w:color="auto" w:fill="auto"/>
          </w:tcPr>
          <w:p w14:paraId="20AE311F" w14:textId="77777777" w:rsidR="00B626E7" w:rsidRDefault="00B626E7">
            <w:pPr>
              <w:rPr>
                <w:rFonts w:ascii="宋体"/>
              </w:rPr>
            </w:pPr>
          </w:p>
        </w:tc>
        <w:tc>
          <w:tcPr>
            <w:tcW w:w="50" w:type="pct"/>
            <w:shd w:val="clear" w:color="auto" w:fill="auto"/>
          </w:tcPr>
          <w:p w14:paraId="20AE3120" w14:textId="77777777" w:rsidR="00B626E7" w:rsidRDefault="00B626E7">
            <w:pPr>
              <w:rPr>
                <w:rFonts w:ascii="宋体"/>
              </w:rPr>
            </w:pPr>
          </w:p>
        </w:tc>
      </w:tr>
      <w:tr w:rsidR="00B626E7" w14:paraId="20AE3123" w14:textId="77777777">
        <w:tc>
          <w:tcPr>
            <w:tcW w:w="0" w:type="auto"/>
            <w:gridSpan w:val="3"/>
            <w:tcBorders>
              <w:bottom w:val="single" w:sz="8" w:space="0" w:color="333333"/>
            </w:tcBorders>
            <w:shd w:val="clear" w:color="auto" w:fill="auto"/>
            <w:tcMar>
              <w:top w:w="40" w:type="dxa"/>
              <w:left w:w="20" w:type="dxa"/>
              <w:bottom w:w="40" w:type="dxa"/>
              <w:right w:w="20" w:type="dxa"/>
            </w:tcMar>
            <w:vAlign w:val="bottom"/>
          </w:tcPr>
          <w:p w14:paraId="20AE3122" w14:textId="77777777" w:rsidR="00B626E7" w:rsidRDefault="00175C1D">
            <w:pPr>
              <w:textAlignment w:val="bottom"/>
            </w:pPr>
            <w:r>
              <w:rPr>
                <w:rFonts w:ascii="Arial" w:eastAsia="宋体" w:hAnsi="Arial" w:cs="Arial"/>
                <w:b/>
                <w:bCs/>
                <w:color w:val="0071C5"/>
                <w:sz w:val="20"/>
                <w:szCs w:val="20"/>
              </w:rPr>
              <w:t xml:space="preserve">MARKETING, GENERAL AND </w:t>
            </w:r>
            <w:r>
              <w:rPr>
                <w:rFonts w:ascii="Arial" w:eastAsia="宋体" w:hAnsi="Arial" w:cs="Arial"/>
                <w:b/>
                <w:bCs/>
                <w:color w:val="0071C5"/>
                <w:sz w:val="20"/>
                <w:szCs w:val="20"/>
              </w:rPr>
              <w:t>ADMINISTRATIVE</w:t>
            </w:r>
          </w:p>
        </w:tc>
      </w:tr>
    </w:tbl>
    <w:p w14:paraId="20AE3124" w14:textId="77777777" w:rsidR="00B626E7" w:rsidRDefault="00175C1D">
      <w:pPr>
        <w:spacing w:before="180" w:after="120"/>
      </w:pPr>
      <w:r>
        <w:rPr>
          <w:rFonts w:ascii="Arial" w:eastAsia="宋体" w:hAnsi="Arial" w:cs="Arial"/>
          <w:b/>
          <w:bCs/>
          <w:color w:val="333333"/>
          <w:sz w:val="20"/>
          <w:szCs w:val="20"/>
        </w:rPr>
        <w:t>Q2 2020 vs. Q2 2019</w:t>
      </w:r>
      <w:r>
        <w:rPr>
          <w:rFonts w:ascii="Arial" w:eastAsia="宋体" w:hAnsi="Arial" w:cs="Arial"/>
          <w:color w:val="333333"/>
          <w:sz w:val="18"/>
          <w:szCs w:val="18"/>
        </w:rPr>
        <w:t xml:space="preserve"> </w:t>
      </w:r>
    </w:p>
    <w:tbl>
      <w:tblPr>
        <w:tblW w:w="2548" w:type="pct"/>
        <w:tblCellMar>
          <w:top w:w="15" w:type="dxa"/>
          <w:left w:w="15" w:type="dxa"/>
          <w:bottom w:w="15" w:type="dxa"/>
          <w:right w:w="15" w:type="dxa"/>
        </w:tblCellMar>
        <w:tblLook w:val="04A0" w:firstRow="1" w:lastRow="0" w:firstColumn="1" w:lastColumn="0" w:noHBand="0" w:noVBand="1"/>
      </w:tblPr>
      <w:tblGrid>
        <w:gridCol w:w="41"/>
        <w:gridCol w:w="93"/>
        <w:gridCol w:w="42"/>
        <w:gridCol w:w="42"/>
        <w:gridCol w:w="3880"/>
        <w:gridCol w:w="42"/>
        <w:gridCol w:w="36"/>
        <w:gridCol w:w="36"/>
        <w:gridCol w:w="36"/>
      </w:tblGrid>
      <w:tr w:rsidR="00B626E7" w14:paraId="20AE312B" w14:textId="77777777">
        <w:trPr>
          <w:gridAfter w:val="3"/>
        </w:trPr>
        <w:tc>
          <w:tcPr>
            <w:tcW w:w="50" w:type="pct"/>
            <w:shd w:val="clear" w:color="auto" w:fill="auto"/>
          </w:tcPr>
          <w:p w14:paraId="20AE3125" w14:textId="77777777" w:rsidR="00B626E7" w:rsidRDefault="00B626E7">
            <w:pPr>
              <w:rPr>
                <w:rFonts w:ascii="宋体"/>
              </w:rPr>
            </w:pPr>
          </w:p>
        </w:tc>
        <w:tc>
          <w:tcPr>
            <w:tcW w:w="114" w:type="pct"/>
            <w:shd w:val="clear" w:color="auto" w:fill="auto"/>
          </w:tcPr>
          <w:p w14:paraId="20AE3126" w14:textId="77777777" w:rsidR="00B626E7" w:rsidRDefault="00B626E7">
            <w:pPr>
              <w:rPr>
                <w:rFonts w:ascii="宋体"/>
              </w:rPr>
            </w:pPr>
          </w:p>
        </w:tc>
        <w:tc>
          <w:tcPr>
            <w:tcW w:w="50" w:type="pct"/>
            <w:shd w:val="clear" w:color="auto" w:fill="auto"/>
          </w:tcPr>
          <w:p w14:paraId="20AE3127" w14:textId="77777777" w:rsidR="00B626E7" w:rsidRDefault="00B626E7">
            <w:pPr>
              <w:rPr>
                <w:rFonts w:ascii="宋体"/>
              </w:rPr>
            </w:pPr>
          </w:p>
        </w:tc>
        <w:tc>
          <w:tcPr>
            <w:tcW w:w="50" w:type="pct"/>
            <w:shd w:val="clear" w:color="auto" w:fill="auto"/>
          </w:tcPr>
          <w:p w14:paraId="20AE3128" w14:textId="77777777" w:rsidR="00B626E7" w:rsidRDefault="00B626E7">
            <w:pPr>
              <w:rPr>
                <w:rFonts w:ascii="宋体"/>
              </w:rPr>
            </w:pPr>
          </w:p>
        </w:tc>
        <w:tc>
          <w:tcPr>
            <w:tcW w:w="4685" w:type="pct"/>
            <w:shd w:val="clear" w:color="auto" w:fill="auto"/>
          </w:tcPr>
          <w:p w14:paraId="20AE3129" w14:textId="77777777" w:rsidR="00B626E7" w:rsidRDefault="00B626E7">
            <w:pPr>
              <w:rPr>
                <w:rFonts w:ascii="宋体"/>
              </w:rPr>
            </w:pPr>
          </w:p>
        </w:tc>
        <w:tc>
          <w:tcPr>
            <w:tcW w:w="50" w:type="pct"/>
            <w:shd w:val="clear" w:color="auto" w:fill="auto"/>
          </w:tcPr>
          <w:p w14:paraId="20AE312A" w14:textId="77777777" w:rsidR="00B626E7" w:rsidRDefault="00B626E7">
            <w:pPr>
              <w:rPr>
                <w:rFonts w:ascii="宋体"/>
              </w:rPr>
            </w:pPr>
          </w:p>
        </w:tc>
      </w:tr>
      <w:tr w:rsidR="00B626E7" w14:paraId="20AE312E" w14:textId="77777777">
        <w:tc>
          <w:tcPr>
            <w:tcW w:w="0" w:type="auto"/>
            <w:gridSpan w:val="6"/>
            <w:shd w:val="clear" w:color="auto" w:fill="auto"/>
            <w:tcMar>
              <w:top w:w="40" w:type="dxa"/>
              <w:left w:w="20" w:type="dxa"/>
              <w:bottom w:w="40" w:type="dxa"/>
              <w:right w:w="20" w:type="dxa"/>
            </w:tcMar>
            <w:vAlign w:val="bottom"/>
          </w:tcPr>
          <w:p w14:paraId="20AE312C" w14:textId="77777777" w:rsidR="00B626E7" w:rsidRDefault="00175C1D">
            <w:pPr>
              <w:textAlignment w:val="bottom"/>
            </w:pPr>
            <w:r>
              <w:rPr>
                <w:rFonts w:ascii="Arial" w:eastAsia="宋体" w:hAnsi="Arial" w:cs="Arial"/>
                <w:color w:val="333333"/>
                <w:sz w:val="18"/>
                <w:szCs w:val="18"/>
              </w:rPr>
              <w:t>MG&amp;A decreased $192M, or 11.7%, driven by the following:</w:t>
            </w:r>
          </w:p>
        </w:tc>
        <w:tc>
          <w:tcPr>
            <w:tcW w:w="0" w:type="auto"/>
            <w:gridSpan w:val="3"/>
            <w:shd w:val="clear" w:color="auto" w:fill="auto"/>
          </w:tcPr>
          <w:p w14:paraId="20AE312D" w14:textId="77777777" w:rsidR="00B626E7" w:rsidRDefault="00B626E7">
            <w:pPr>
              <w:rPr>
                <w:rFonts w:ascii="宋体"/>
                <w:vanish/>
              </w:rPr>
            </w:pPr>
          </w:p>
        </w:tc>
      </w:tr>
      <w:tr w:rsidR="00B626E7" w14:paraId="20AE3134" w14:textId="77777777">
        <w:trPr>
          <w:trHeight w:val="60"/>
        </w:trPr>
        <w:tc>
          <w:tcPr>
            <w:tcW w:w="0" w:type="auto"/>
            <w:gridSpan w:val="3"/>
            <w:shd w:val="clear" w:color="auto" w:fill="auto"/>
            <w:tcMar>
              <w:left w:w="20" w:type="dxa"/>
              <w:right w:w="20" w:type="dxa"/>
            </w:tcMar>
            <w:vAlign w:val="bottom"/>
          </w:tcPr>
          <w:p w14:paraId="20AE312F"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130" w14:textId="77777777" w:rsidR="00B626E7" w:rsidRDefault="00B626E7">
            <w:pPr>
              <w:rPr>
                <w:rFonts w:ascii="宋体"/>
              </w:rPr>
            </w:pPr>
          </w:p>
        </w:tc>
        <w:tc>
          <w:tcPr>
            <w:tcW w:w="0" w:type="auto"/>
            <w:shd w:val="clear" w:color="auto" w:fill="auto"/>
          </w:tcPr>
          <w:p w14:paraId="20AE3131" w14:textId="77777777" w:rsidR="00B626E7" w:rsidRDefault="00B626E7">
            <w:pPr>
              <w:rPr>
                <w:rFonts w:ascii="宋体"/>
              </w:rPr>
            </w:pPr>
          </w:p>
        </w:tc>
        <w:tc>
          <w:tcPr>
            <w:tcW w:w="0" w:type="auto"/>
            <w:shd w:val="clear" w:color="auto" w:fill="auto"/>
          </w:tcPr>
          <w:p w14:paraId="20AE3132" w14:textId="77777777" w:rsidR="00B626E7" w:rsidRDefault="00B626E7">
            <w:pPr>
              <w:rPr>
                <w:rFonts w:ascii="宋体"/>
              </w:rPr>
            </w:pPr>
          </w:p>
        </w:tc>
        <w:tc>
          <w:tcPr>
            <w:tcW w:w="0" w:type="auto"/>
            <w:shd w:val="clear" w:color="auto" w:fill="auto"/>
          </w:tcPr>
          <w:p w14:paraId="20AE3133" w14:textId="77777777" w:rsidR="00B626E7" w:rsidRDefault="00B626E7">
            <w:pPr>
              <w:rPr>
                <w:rFonts w:ascii="宋体"/>
              </w:rPr>
            </w:pPr>
          </w:p>
        </w:tc>
      </w:tr>
      <w:tr w:rsidR="00B626E7" w14:paraId="20AE313A" w14:textId="77777777">
        <w:tc>
          <w:tcPr>
            <w:tcW w:w="0" w:type="auto"/>
            <w:gridSpan w:val="3"/>
            <w:shd w:val="clear" w:color="auto" w:fill="auto"/>
            <w:tcMar>
              <w:top w:w="40" w:type="dxa"/>
              <w:left w:w="20" w:type="dxa"/>
              <w:bottom w:w="40" w:type="dxa"/>
              <w:right w:w="20" w:type="dxa"/>
            </w:tcMar>
            <w:vAlign w:val="bottom"/>
          </w:tcPr>
          <w:p w14:paraId="20AE3135" w14:textId="77777777" w:rsidR="00B626E7" w:rsidRDefault="00175C1D">
            <w:pPr>
              <w:jc w:val="center"/>
              <w:textAlignment w:val="bottom"/>
            </w:pPr>
            <w:r>
              <w:rPr>
                <w:rFonts w:ascii="Arial" w:eastAsia="宋体" w:hAnsi="Arial" w:cs="Arial"/>
                <w:b/>
                <w:bCs/>
                <w:color w:val="FAAC16"/>
                <w:sz w:val="18"/>
                <w:szCs w:val="18"/>
              </w:rPr>
              <w:t>-</w:t>
            </w:r>
          </w:p>
        </w:tc>
        <w:tc>
          <w:tcPr>
            <w:tcW w:w="0" w:type="auto"/>
            <w:gridSpan w:val="3"/>
            <w:shd w:val="clear" w:color="auto" w:fill="auto"/>
            <w:tcMar>
              <w:top w:w="40" w:type="dxa"/>
              <w:left w:w="20" w:type="dxa"/>
              <w:bottom w:w="40" w:type="dxa"/>
              <w:right w:w="20" w:type="dxa"/>
            </w:tcMar>
            <w:vAlign w:val="bottom"/>
          </w:tcPr>
          <w:p w14:paraId="20AE3136" w14:textId="77777777" w:rsidR="00B626E7" w:rsidRDefault="00175C1D">
            <w:pPr>
              <w:textAlignment w:val="bottom"/>
            </w:pPr>
            <w:r>
              <w:rPr>
                <w:rFonts w:ascii="Arial" w:eastAsia="宋体" w:hAnsi="Arial" w:cs="Arial"/>
                <w:color w:val="333333"/>
                <w:sz w:val="18"/>
                <w:szCs w:val="18"/>
              </w:rPr>
              <w:t>Corporate spending efficiencies</w:t>
            </w:r>
          </w:p>
        </w:tc>
        <w:tc>
          <w:tcPr>
            <w:tcW w:w="0" w:type="auto"/>
            <w:shd w:val="clear" w:color="auto" w:fill="auto"/>
          </w:tcPr>
          <w:p w14:paraId="20AE3137" w14:textId="77777777" w:rsidR="00B626E7" w:rsidRDefault="00B626E7">
            <w:pPr>
              <w:rPr>
                <w:rFonts w:ascii="宋体"/>
              </w:rPr>
            </w:pPr>
          </w:p>
        </w:tc>
        <w:tc>
          <w:tcPr>
            <w:tcW w:w="0" w:type="auto"/>
            <w:shd w:val="clear" w:color="auto" w:fill="auto"/>
          </w:tcPr>
          <w:p w14:paraId="20AE3138" w14:textId="77777777" w:rsidR="00B626E7" w:rsidRDefault="00B626E7">
            <w:pPr>
              <w:rPr>
                <w:rFonts w:ascii="宋体"/>
              </w:rPr>
            </w:pPr>
          </w:p>
        </w:tc>
        <w:tc>
          <w:tcPr>
            <w:tcW w:w="0" w:type="auto"/>
            <w:shd w:val="clear" w:color="auto" w:fill="auto"/>
          </w:tcPr>
          <w:p w14:paraId="20AE3139" w14:textId="77777777" w:rsidR="00B626E7" w:rsidRDefault="00B626E7">
            <w:pPr>
              <w:rPr>
                <w:rFonts w:ascii="宋体"/>
              </w:rPr>
            </w:pPr>
          </w:p>
        </w:tc>
      </w:tr>
      <w:tr w:rsidR="00B626E7" w14:paraId="20AE3140" w14:textId="77777777">
        <w:tc>
          <w:tcPr>
            <w:tcW w:w="0" w:type="auto"/>
            <w:gridSpan w:val="3"/>
            <w:shd w:val="clear" w:color="auto" w:fill="auto"/>
            <w:tcMar>
              <w:top w:w="40" w:type="dxa"/>
              <w:left w:w="20" w:type="dxa"/>
              <w:bottom w:w="40" w:type="dxa"/>
              <w:right w:w="20" w:type="dxa"/>
            </w:tcMar>
            <w:vAlign w:val="bottom"/>
          </w:tcPr>
          <w:p w14:paraId="20AE313B" w14:textId="77777777" w:rsidR="00B626E7" w:rsidRDefault="00175C1D">
            <w:pPr>
              <w:jc w:val="center"/>
              <w:textAlignment w:val="bottom"/>
            </w:pPr>
            <w:r>
              <w:rPr>
                <w:rFonts w:ascii="Arial" w:eastAsia="宋体" w:hAnsi="Arial" w:cs="Arial"/>
                <w:b/>
                <w:bCs/>
                <w:color w:val="00AEEF"/>
                <w:sz w:val="18"/>
                <w:szCs w:val="18"/>
              </w:rPr>
              <w:t>+</w:t>
            </w:r>
          </w:p>
        </w:tc>
        <w:tc>
          <w:tcPr>
            <w:tcW w:w="0" w:type="auto"/>
            <w:gridSpan w:val="3"/>
            <w:shd w:val="clear" w:color="auto" w:fill="auto"/>
            <w:tcMar>
              <w:top w:w="40" w:type="dxa"/>
              <w:left w:w="20" w:type="dxa"/>
              <w:bottom w:w="40" w:type="dxa"/>
              <w:right w:w="20" w:type="dxa"/>
            </w:tcMar>
            <w:vAlign w:val="bottom"/>
          </w:tcPr>
          <w:p w14:paraId="20AE313C" w14:textId="77777777" w:rsidR="00B626E7" w:rsidRDefault="00175C1D">
            <w:pPr>
              <w:textAlignment w:val="bottom"/>
            </w:pPr>
            <w:r>
              <w:rPr>
                <w:rFonts w:ascii="Arial" w:eastAsia="宋体" w:hAnsi="Arial" w:cs="Arial"/>
                <w:color w:val="333333"/>
                <w:sz w:val="18"/>
                <w:szCs w:val="18"/>
              </w:rPr>
              <w:t>Profit dependent compensation</w:t>
            </w:r>
          </w:p>
        </w:tc>
        <w:tc>
          <w:tcPr>
            <w:tcW w:w="0" w:type="auto"/>
            <w:shd w:val="clear" w:color="auto" w:fill="auto"/>
          </w:tcPr>
          <w:p w14:paraId="20AE313D" w14:textId="77777777" w:rsidR="00B626E7" w:rsidRDefault="00B626E7">
            <w:pPr>
              <w:rPr>
                <w:rFonts w:ascii="宋体"/>
              </w:rPr>
            </w:pPr>
          </w:p>
        </w:tc>
        <w:tc>
          <w:tcPr>
            <w:tcW w:w="0" w:type="auto"/>
            <w:shd w:val="clear" w:color="auto" w:fill="auto"/>
          </w:tcPr>
          <w:p w14:paraId="20AE313E" w14:textId="77777777" w:rsidR="00B626E7" w:rsidRDefault="00B626E7">
            <w:pPr>
              <w:rPr>
                <w:rFonts w:ascii="宋体"/>
              </w:rPr>
            </w:pPr>
          </w:p>
        </w:tc>
        <w:tc>
          <w:tcPr>
            <w:tcW w:w="0" w:type="auto"/>
            <w:shd w:val="clear" w:color="auto" w:fill="auto"/>
          </w:tcPr>
          <w:p w14:paraId="20AE313F" w14:textId="77777777" w:rsidR="00B626E7" w:rsidRDefault="00B626E7">
            <w:pPr>
              <w:rPr>
                <w:rFonts w:ascii="宋体"/>
              </w:rPr>
            </w:pPr>
          </w:p>
        </w:tc>
      </w:tr>
      <w:tr w:rsidR="00B626E7" w14:paraId="20AE3146" w14:textId="77777777">
        <w:trPr>
          <w:hidden/>
        </w:trPr>
        <w:tc>
          <w:tcPr>
            <w:tcW w:w="0" w:type="auto"/>
            <w:gridSpan w:val="3"/>
            <w:shd w:val="clear" w:color="auto" w:fill="auto"/>
          </w:tcPr>
          <w:p w14:paraId="20AE3141" w14:textId="77777777" w:rsidR="00B626E7" w:rsidRDefault="00B626E7">
            <w:pPr>
              <w:rPr>
                <w:rFonts w:ascii="宋体"/>
                <w:vanish/>
              </w:rPr>
            </w:pPr>
          </w:p>
        </w:tc>
        <w:tc>
          <w:tcPr>
            <w:tcW w:w="0" w:type="auto"/>
            <w:gridSpan w:val="3"/>
            <w:shd w:val="clear" w:color="auto" w:fill="auto"/>
          </w:tcPr>
          <w:p w14:paraId="20AE3142" w14:textId="77777777" w:rsidR="00B626E7" w:rsidRDefault="00B626E7">
            <w:pPr>
              <w:rPr>
                <w:rFonts w:ascii="宋体"/>
                <w:vanish/>
              </w:rPr>
            </w:pPr>
          </w:p>
        </w:tc>
        <w:tc>
          <w:tcPr>
            <w:tcW w:w="0" w:type="auto"/>
            <w:shd w:val="clear" w:color="auto" w:fill="auto"/>
          </w:tcPr>
          <w:p w14:paraId="20AE3143" w14:textId="77777777" w:rsidR="00B626E7" w:rsidRDefault="00B626E7">
            <w:pPr>
              <w:rPr>
                <w:rFonts w:ascii="宋体"/>
              </w:rPr>
            </w:pPr>
          </w:p>
        </w:tc>
        <w:tc>
          <w:tcPr>
            <w:tcW w:w="0" w:type="auto"/>
            <w:shd w:val="clear" w:color="auto" w:fill="auto"/>
          </w:tcPr>
          <w:p w14:paraId="20AE3144" w14:textId="77777777" w:rsidR="00B626E7" w:rsidRDefault="00B626E7">
            <w:pPr>
              <w:rPr>
                <w:rFonts w:ascii="宋体"/>
              </w:rPr>
            </w:pPr>
          </w:p>
        </w:tc>
        <w:tc>
          <w:tcPr>
            <w:tcW w:w="0" w:type="auto"/>
            <w:shd w:val="clear" w:color="auto" w:fill="auto"/>
          </w:tcPr>
          <w:p w14:paraId="20AE3145" w14:textId="77777777" w:rsidR="00B626E7" w:rsidRDefault="00B626E7">
            <w:pPr>
              <w:rPr>
                <w:rFonts w:ascii="宋体"/>
              </w:rPr>
            </w:pPr>
          </w:p>
        </w:tc>
      </w:tr>
      <w:tr w:rsidR="00B626E7" w14:paraId="20AE314C" w14:textId="77777777">
        <w:trPr>
          <w:hidden/>
        </w:trPr>
        <w:tc>
          <w:tcPr>
            <w:tcW w:w="0" w:type="auto"/>
            <w:gridSpan w:val="3"/>
            <w:shd w:val="clear" w:color="auto" w:fill="auto"/>
          </w:tcPr>
          <w:p w14:paraId="20AE3147" w14:textId="77777777" w:rsidR="00B626E7" w:rsidRDefault="00B626E7">
            <w:pPr>
              <w:rPr>
                <w:rFonts w:ascii="宋体"/>
                <w:vanish/>
              </w:rPr>
            </w:pPr>
          </w:p>
        </w:tc>
        <w:tc>
          <w:tcPr>
            <w:tcW w:w="0" w:type="auto"/>
            <w:gridSpan w:val="3"/>
            <w:shd w:val="clear" w:color="auto" w:fill="auto"/>
          </w:tcPr>
          <w:p w14:paraId="20AE3148" w14:textId="77777777" w:rsidR="00B626E7" w:rsidRDefault="00B626E7">
            <w:pPr>
              <w:rPr>
                <w:rFonts w:ascii="宋体"/>
                <w:vanish/>
              </w:rPr>
            </w:pPr>
          </w:p>
        </w:tc>
        <w:tc>
          <w:tcPr>
            <w:tcW w:w="0" w:type="auto"/>
            <w:shd w:val="clear" w:color="auto" w:fill="auto"/>
          </w:tcPr>
          <w:p w14:paraId="20AE3149" w14:textId="77777777" w:rsidR="00B626E7" w:rsidRDefault="00B626E7">
            <w:pPr>
              <w:rPr>
                <w:rFonts w:ascii="宋体"/>
              </w:rPr>
            </w:pPr>
          </w:p>
        </w:tc>
        <w:tc>
          <w:tcPr>
            <w:tcW w:w="0" w:type="auto"/>
            <w:shd w:val="clear" w:color="auto" w:fill="auto"/>
          </w:tcPr>
          <w:p w14:paraId="20AE314A" w14:textId="77777777" w:rsidR="00B626E7" w:rsidRDefault="00B626E7">
            <w:pPr>
              <w:rPr>
                <w:rFonts w:ascii="宋体"/>
              </w:rPr>
            </w:pPr>
          </w:p>
        </w:tc>
        <w:tc>
          <w:tcPr>
            <w:tcW w:w="0" w:type="auto"/>
            <w:shd w:val="clear" w:color="auto" w:fill="auto"/>
          </w:tcPr>
          <w:p w14:paraId="20AE314B" w14:textId="77777777" w:rsidR="00B626E7" w:rsidRDefault="00B626E7">
            <w:pPr>
              <w:rPr>
                <w:rFonts w:ascii="宋体"/>
              </w:rPr>
            </w:pPr>
          </w:p>
        </w:tc>
      </w:tr>
      <w:tr w:rsidR="00B626E7" w14:paraId="20AE3152" w14:textId="77777777">
        <w:trPr>
          <w:hidden/>
        </w:trPr>
        <w:tc>
          <w:tcPr>
            <w:tcW w:w="0" w:type="auto"/>
            <w:gridSpan w:val="3"/>
            <w:shd w:val="clear" w:color="auto" w:fill="auto"/>
          </w:tcPr>
          <w:p w14:paraId="20AE314D" w14:textId="77777777" w:rsidR="00B626E7" w:rsidRDefault="00B626E7">
            <w:pPr>
              <w:rPr>
                <w:rFonts w:ascii="宋体"/>
                <w:vanish/>
              </w:rPr>
            </w:pPr>
          </w:p>
        </w:tc>
        <w:tc>
          <w:tcPr>
            <w:tcW w:w="0" w:type="auto"/>
            <w:gridSpan w:val="3"/>
            <w:shd w:val="clear" w:color="auto" w:fill="auto"/>
          </w:tcPr>
          <w:p w14:paraId="20AE314E" w14:textId="77777777" w:rsidR="00B626E7" w:rsidRDefault="00B626E7">
            <w:pPr>
              <w:rPr>
                <w:rFonts w:ascii="宋体"/>
                <w:vanish/>
              </w:rPr>
            </w:pPr>
          </w:p>
        </w:tc>
        <w:tc>
          <w:tcPr>
            <w:tcW w:w="0" w:type="auto"/>
            <w:shd w:val="clear" w:color="auto" w:fill="auto"/>
          </w:tcPr>
          <w:p w14:paraId="20AE314F" w14:textId="77777777" w:rsidR="00B626E7" w:rsidRDefault="00B626E7">
            <w:pPr>
              <w:rPr>
                <w:rFonts w:ascii="宋体"/>
              </w:rPr>
            </w:pPr>
          </w:p>
        </w:tc>
        <w:tc>
          <w:tcPr>
            <w:tcW w:w="0" w:type="auto"/>
            <w:shd w:val="clear" w:color="auto" w:fill="auto"/>
          </w:tcPr>
          <w:p w14:paraId="20AE3150" w14:textId="77777777" w:rsidR="00B626E7" w:rsidRDefault="00B626E7">
            <w:pPr>
              <w:rPr>
                <w:rFonts w:ascii="宋体"/>
              </w:rPr>
            </w:pPr>
          </w:p>
        </w:tc>
        <w:tc>
          <w:tcPr>
            <w:tcW w:w="0" w:type="auto"/>
            <w:shd w:val="clear" w:color="auto" w:fill="auto"/>
          </w:tcPr>
          <w:p w14:paraId="20AE3151" w14:textId="77777777" w:rsidR="00B626E7" w:rsidRDefault="00B626E7">
            <w:pPr>
              <w:rPr>
                <w:rFonts w:ascii="宋体"/>
              </w:rPr>
            </w:pPr>
          </w:p>
        </w:tc>
      </w:tr>
    </w:tbl>
    <w:p w14:paraId="20AE3153" w14:textId="77777777" w:rsidR="00B626E7" w:rsidRDefault="00175C1D">
      <w:pPr>
        <w:spacing w:before="240" w:after="120"/>
      </w:pPr>
      <w:r>
        <w:rPr>
          <w:rFonts w:ascii="Arial" w:eastAsia="宋体" w:hAnsi="Arial" w:cs="Arial"/>
          <w:b/>
          <w:bCs/>
          <w:color w:val="333333"/>
          <w:sz w:val="20"/>
          <w:szCs w:val="20"/>
        </w:rPr>
        <w:t>YTD 2020 vs. YTD 2019</w:t>
      </w:r>
    </w:p>
    <w:tbl>
      <w:tblPr>
        <w:tblW w:w="3914" w:type="pct"/>
        <w:tblCellMar>
          <w:top w:w="15" w:type="dxa"/>
          <w:left w:w="15" w:type="dxa"/>
          <w:bottom w:w="15" w:type="dxa"/>
          <w:right w:w="15" w:type="dxa"/>
        </w:tblCellMar>
        <w:tblLook w:val="04A0" w:firstRow="1" w:lastRow="0" w:firstColumn="1" w:lastColumn="0" w:noHBand="0" w:noVBand="1"/>
      </w:tblPr>
      <w:tblGrid>
        <w:gridCol w:w="38"/>
        <w:gridCol w:w="156"/>
        <w:gridCol w:w="38"/>
        <w:gridCol w:w="56"/>
        <w:gridCol w:w="3798"/>
        <w:gridCol w:w="57"/>
        <w:gridCol w:w="57"/>
        <w:gridCol w:w="969"/>
        <w:gridCol w:w="57"/>
        <w:gridCol w:w="57"/>
        <w:gridCol w:w="969"/>
        <w:gridCol w:w="57"/>
        <w:gridCol w:w="36"/>
        <w:gridCol w:w="36"/>
        <w:gridCol w:w="36"/>
        <w:gridCol w:w="36"/>
        <w:gridCol w:w="36"/>
        <w:gridCol w:w="36"/>
      </w:tblGrid>
      <w:tr w:rsidR="00B626E7" w14:paraId="20AE3160" w14:textId="77777777">
        <w:trPr>
          <w:gridAfter w:val="6"/>
        </w:trPr>
        <w:tc>
          <w:tcPr>
            <w:tcW w:w="5" w:type="pct"/>
            <w:shd w:val="clear" w:color="auto" w:fill="auto"/>
          </w:tcPr>
          <w:p w14:paraId="20AE3154" w14:textId="77777777" w:rsidR="00B626E7" w:rsidRDefault="00B626E7">
            <w:pPr>
              <w:rPr>
                <w:rFonts w:ascii="宋体"/>
              </w:rPr>
            </w:pPr>
          </w:p>
        </w:tc>
        <w:tc>
          <w:tcPr>
            <w:tcW w:w="129" w:type="pct"/>
            <w:shd w:val="clear" w:color="auto" w:fill="auto"/>
          </w:tcPr>
          <w:p w14:paraId="20AE3155" w14:textId="77777777" w:rsidR="00B626E7" w:rsidRDefault="00B626E7">
            <w:pPr>
              <w:rPr>
                <w:rFonts w:ascii="宋体"/>
              </w:rPr>
            </w:pPr>
          </w:p>
        </w:tc>
        <w:tc>
          <w:tcPr>
            <w:tcW w:w="5" w:type="pct"/>
            <w:shd w:val="clear" w:color="auto" w:fill="auto"/>
          </w:tcPr>
          <w:p w14:paraId="20AE3156" w14:textId="77777777" w:rsidR="00B626E7" w:rsidRDefault="00B626E7">
            <w:pPr>
              <w:rPr>
                <w:rFonts w:ascii="宋体"/>
              </w:rPr>
            </w:pPr>
          </w:p>
        </w:tc>
        <w:tc>
          <w:tcPr>
            <w:tcW w:w="50" w:type="pct"/>
            <w:shd w:val="clear" w:color="auto" w:fill="auto"/>
          </w:tcPr>
          <w:p w14:paraId="20AE3157" w14:textId="77777777" w:rsidR="00B626E7" w:rsidRDefault="00B626E7">
            <w:pPr>
              <w:rPr>
                <w:rFonts w:ascii="宋体"/>
              </w:rPr>
            </w:pPr>
          </w:p>
        </w:tc>
        <w:tc>
          <w:tcPr>
            <w:tcW w:w="3015" w:type="pct"/>
            <w:shd w:val="clear" w:color="auto" w:fill="auto"/>
          </w:tcPr>
          <w:p w14:paraId="20AE3158" w14:textId="77777777" w:rsidR="00B626E7" w:rsidRDefault="00B626E7">
            <w:pPr>
              <w:rPr>
                <w:rFonts w:ascii="宋体"/>
              </w:rPr>
            </w:pPr>
          </w:p>
        </w:tc>
        <w:tc>
          <w:tcPr>
            <w:tcW w:w="50" w:type="pct"/>
            <w:shd w:val="clear" w:color="auto" w:fill="auto"/>
          </w:tcPr>
          <w:p w14:paraId="20AE3159" w14:textId="77777777" w:rsidR="00B626E7" w:rsidRDefault="00B626E7">
            <w:pPr>
              <w:rPr>
                <w:rFonts w:ascii="宋体"/>
              </w:rPr>
            </w:pPr>
          </w:p>
        </w:tc>
        <w:tc>
          <w:tcPr>
            <w:tcW w:w="50" w:type="pct"/>
            <w:shd w:val="clear" w:color="auto" w:fill="auto"/>
          </w:tcPr>
          <w:p w14:paraId="20AE315A" w14:textId="77777777" w:rsidR="00B626E7" w:rsidRDefault="00B626E7">
            <w:pPr>
              <w:rPr>
                <w:rFonts w:ascii="宋体"/>
              </w:rPr>
            </w:pPr>
          </w:p>
        </w:tc>
        <w:tc>
          <w:tcPr>
            <w:tcW w:w="772" w:type="pct"/>
            <w:shd w:val="clear" w:color="auto" w:fill="auto"/>
          </w:tcPr>
          <w:p w14:paraId="20AE315B" w14:textId="77777777" w:rsidR="00B626E7" w:rsidRDefault="00B626E7">
            <w:pPr>
              <w:rPr>
                <w:rFonts w:ascii="宋体"/>
              </w:rPr>
            </w:pPr>
          </w:p>
        </w:tc>
        <w:tc>
          <w:tcPr>
            <w:tcW w:w="50" w:type="pct"/>
            <w:shd w:val="clear" w:color="auto" w:fill="auto"/>
          </w:tcPr>
          <w:p w14:paraId="20AE315C" w14:textId="77777777" w:rsidR="00B626E7" w:rsidRDefault="00B626E7">
            <w:pPr>
              <w:rPr>
                <w:rFonts w:ascii="宋体"/>
              </w:rPr>
            </w:pPr>
          </w:p>
        </w:tc>
        <w:tc>
          <w:tcPr>
            <w:tcW w:w="50" w:type="pct"/>
            <w:shd w:val="clear" w:color="auto" w:fill="auto"/>
          </w:tcPr>
          <w:p w14:paraId="20AE315D" w14:textId="77777777" w:rsidR="00B626E7" w:rsidRDefault="00B626E7">
            <w:pPr>
              <w:rPr>
                <w:rFonts w:ascii="宋体"/>
              </w:rPr>
            </w:pPr>
          </w:p>
        </w:tc>
        <w:tc>
          <w:tcPr>
            <w:tcW w:w="772" w:type="pct"/>
            <w:shd w:val="clear" w:color="auto" w:fill="auto"/>
          </w:tcPr>
          <w:p w14:paraId="20AE315E" w14:textId="77777777" w:rsidR="00B626E7" w:rsidRDefault="00B626E7">
            <w:pPr>
              <w:rPr>
                <w:rFonts w:ascii="宋体"/>
              </w:rPr>
            </w:pPr>
          </w:p>
        </w:tc>
        <w:tc>
          <w:tcPr>
            <w:tcW w:w="50" w:type="pct"/>
            <w:shd w:val="clear" w:color="auto" w:fill="auto"/>
          </w:tcPr>
          <w:p w14:paraId="20AE315F" w14:textId="77777777" w:rsidR="00B626E7" w:rsidRDefault="00B626E7">
            <w:pPr>
              <w:rPr>
                <w:rFonts w:ascii="宋体"/>
              </w:rPr>
            </w:pPr>
          </w:p>
        </w:tc>
      </w:tr>
      <w:tr w:rsidR="00B626E7" w14:paraId="20AE3165" w14:textId="77777777">
        <w:tc>
          <w:tcPr>
            <w:tcW w:w="0" w:type="auto"/>
            <w:gridSpan w:val="6"/>
            <w:shd w:val="clear" w:color="auto" w:fill="auto"/>
            <w:tcMar>
              <w:top w:w="40" w:type="dxa"/>
              <w:left w:w="20" w:type="dxa"/>
              <w:bottom w:w="40" w:type="dxa"/>
              <w:right w:w="20" w:type="dxa"/>
            </w:tcMar>
            <w:vAlign w:val="bottom"/>
          </w:tcPr>
          <w:p w14:paraId="20AE3161" w14:textId="77777777" w:rsidR="00B626E7" w:rsidRDefault="00175C1D">
            <w:pPr>
              <w:textAlignment w:val="bottom"/>
            </w:pPr>
            <w:r>
              <w:rPr>
                <w:rFonts w:ascii="Arial" w:eastAsia="宋体" w:hAnsi="Arial" w:cs="Arial"/>
                <w:color w:val="333333"/>
                <w:sz w:val="18"/>
                <w:szCs w:val="18"/>
              </w:rPr>
              <w:t xml:space="preserve">MG&amp;A </w:t>
            </w:r>
            <w:r>
              <w:rPr>
                <w:rFonts w:ascii="Arial" w:eastAsia="宋体" w:hAnsi="Arial" w:cs="Arial"/>
                <w:color w:val="333333"/>
                <w:sz w:val="18"/>
                <w:szCs w:val="18"/>
              </w:rPr>
              <w:t>decreased by $234 million, or 7.3%, driven by the following:</w:t>
            </w:r>
          </w:p>
        </w:tc>
        <w:tc>
          <w:tcPr>
            <w:tcW w:w="0" w:type="auto"/>
            <w:gridSpan w:val="3"/>
            <w:shd w:val="clear" w:color="auto" w:fill="auto"/>
          </w:tcPr>
          <w:p w14:paraId="20AE3162" w14:textId="77777777" w:rsidR="00B626E7" w:rsidRDefault="00B626E7">
            <w:pPr>
              <w:rPr>
                <w:rFonts w:ascii="宋体"/>
                <w:vanish/>
              </w:rPr>
            </w:pPr>
          </w:p>
        </w:tc>
        <w:tc>
          <w:tcPr>
            <w:tcW w:w="0" w:type="auto"/>
            <w:gridSpan w:val="6"/>
            <w:shd w:val="clear" w:color="auto" w:fill="auto"/>
            <w:tcMar>
              <w:left w:w="20" w:type="dxa"/>
              <w:right w:w="20" w:type="dxa"/>
            </w:tcMar>
            <w:vAlign w:val="bottom"/>
          </w:tcPr>
          <w:p w14:paraId="20AE3163" w14:textId="77777777" w:rsidR="00B626E7" w:rsidRDefault="00B626E7">
            <w:pPr>
              <w:rPr>
                <w:rFonts w:ascii="宋体"/>
              </w:rPr>
            </w:pPr>
          </w:p>
        </w:tc>
        <w:tc>
          <w:tcPr>
            <w:tcW w:w="0" w:type="auto"/>
            <w:gridSpan w:val="3"/>
            <w:shd w:val="clear" w:color="auto" w:fill="auto"/>
          </w:tcPr>
          <w:p w14:paraId="20AE3164" w14:textId="77777777" w:rsidR="00B626E7" w:rsidRDefault="00B626E7">
            <w:pPr>
              <w:rPr>
                <w:rFonts w:ascii="宋体"/>
                <w:vanish/>
              </w:rPr>
            </w:pPr>
          </w:p>
        </w:tc>
      </w:tr>
      <w:tr w:rsidR="00B626E7" w14:paraId="20AE3170" w14:textId="77777777">
        <w:trPr>
          <w:trHeight w:val="60"/>
        </w:trPr>
        <w:tc>
          <w:tcPr>
            <w:tcW w:w="0" w:type="auto"/>
            <w:gridSpan w:val="3"/>
            <w:shd w:val="clear" w:color="auto" w:fill="auto"/>
            <w:tcMar>
              <w:left w:w="20" w:type="dxa"/>
              <w:right w:w="20" w:type="dxa"/>
            </w:tcMar>
            <w:vAlign w:val="bottom"/>
          </w:tcPr>
          <w:p w14:paraId="20AE3166"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167"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168"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169" w14:textId="77777777" w:rsidR="00B626E7" w:rsidRDefault="00B626E7">
            <w:pPr>
              <w:rPr>
                <w:rFonts w:ascii="宋体"/>
              </w:rPr>
            </w:pPr>
          </w:p>
        </w:tc>
        <w:tc>
          <w:tcPr>
            <w:tcW w:w="0" w:type="auto"/>
            <w:shd w:val="clear" w:color="auto" w:fill="auto"/>
          </w:tcPr>
          <w:p w14:paraId="20AE316A" w14:textId="77777777" w:rsidR="00B626E7" w:rsidRDefault="00B626E7">
            <w:pPr>
              <w:rPr>
                <w:rFonts w:ascii="宋体"/>
              </w:rPr>
            </w:pPr>
          </w:p>
        </w:tc>
        <w:tc>
          <w:tcPr>
            <w:tcW w:w="0" w:type="auto"/>
            <w:shd w:val="clear" w:color="auto" w:fill="auto"/>
          </w:tcPr>
          <w:p w14:paraId="20AE316B" w14:textId="77777777" w:rsidR="00B626E7" w:rsidRDefault="00B626E7">
            <w:pPr>
              <w:rPr>
                <w:rFonts w:ascii="宋体"/>
              </w:rPr>
            </w:pPr>
          </w:p>
        </w:tc>
        <w:tc>
          <w:tcPr>
            <w:tcW w:w="0" w:type="auto"/>
            <w:shd w:val="clear" w:color="auto" w:fill="auto"/>
          </w:tcPr>
          <w:p w14:paraId="20AE316C" w14:textId="77777777" w:rsidR="00B626E7" w:rsidRDefault="00B626E7">
            <w:pPr>
              <w:rPr>
                <w:rFonts w:ascii="宋体"/>
              </w:rPr>
            </w:pPr>
          </w:p>
        </w:tc>
        <w:tc>
          <w:tcPr>
            <w:tcW w:w="0" w:type="auto"/>
            <w:shd w:val="clear" w:color="auto" w:fill="auto"/>
          </w:tcPr>
          <w:p w14:paraId="20AE316D" w14:textId="77777777" w:rsidR="00B626E7" w:rsidRDefault="00B626E7">
            <w:pPr>
              <w:rPr>
                <w:rFonts w:ascii="宋体"/>
              </w:rPr>
            </w:pPr>
          </w:p>
        </w:tc>
        <w:tc>
          <w:tcPr>
            <w:tcW w:w="0" w:type="auto"/>
            <w:shd w:val="clear" w:color="auto" w:fill="auto"/>
          </w:tcPr>
          <w:p w14:paraId="20AE316E" w14:textId="77777777" w:rsidR="00B626E7" w:rsidRDefault="00B626E7">
            <w:pPr>
              <w:rPr>
                <w:rFonts w:ascii="宋体"/>
              </w:rPr>
            </w:pPr>
          </w:p>
        </w:tc>
        <w:tc>
          <w:tcPr>
            <w:tcW w:w="0" w:type="auto"/>
            <w:shd w:val="clear" w:color="auto" w:fill="auto"/>
          </w:tcPr>
          <w:p w14:paraId="20AE316F" w14:textId="77777777" w:rsidR="00B626E7" w:rsidRDefault="00B626E7">
            <w:pPr>
              <w:rPr>
                <w:rFonts w:ascii="宋体"/>
              </w:rPr>
            </w:pPr>
          </w:p>
        </w:tc>
      </w:tr>
      <w:tr w:rsidR="00B626E7" w14:paraId="20AE317B" w14:textId="77777777">
        <w:tc>
          <w:tcPr>
            <w:tcW w:w="0" w:type="auto"/>
            <w:gridSpan w:val="3"/>
            <w:shd w:val="clear" w:color="auto" w:fill="auto"/>
            <w:tcMar>
              <w:top w:w="40" w:type="dxa"/>
              <w:left w:w="20" w:type="dxa"/>
              <w:bottom w:w="40" w:type="dxa"/>
              <w:right w:w="20" w:type="dxa"/>
            </w:tcMar>
            <w:vAlign w:val="bottom"/>
          </w:tcPr>
          <w:p w14:paraId="20AE3171" w14:textId="77777777" w:rsidR="00B626E7" w:rsidRDefault="00175C1D">
            <w:pPr>
              <w:jc w:val="center"/>
              <w:textAlignment w:val="bottom"/>
            </w:pPr>
            <w:r>
              <w:rPr>
                <w:rFonts w:ascii="Arial" w:eastAsia="宋体" w:hAnsi="Arial" w:cs="Arial"/>
                <w:b/>
                <w:bCs/>
                <w:color w:val="FAAC16"/>
                <w:sz w:val="18"/>
                <w:szCs w:val="18"/>
              </w:rPr>
              <w:t>-</w:t>
            </w:r>
          </w:p>
        </w:tc>
        <w:tc>
          <w:tcPr>
            <w:tcW w:w="0" w:type="auto"/>
            <w:gridSpan w:val="3"/>
            <w:shd w:val="clear" w:color="auto" w:fill="auto"/>
            <w:tcMar>
              <w:top w:w="40" w:type="dxa"/>
              <w:left w:w="20" w:type="dxa"/>
              <w:bottom w:w="40" w:type="dxa"/>
              <w:right w:w="20" w:type="dxa"/>
            </w:tcMar>
            <w:vAlign w:val="bottom"/>
          </w:tcPr>
          <w:p w14:paraId="20AE3172" w14:textId="77777777" w:rsidR="00B626E7" w:rsidRDefault="00175C1D">
            <w:pPr>
              <w:textAlignment w:val="bottom"/>
            </w:pPr>
            <w:r>
              <w:rPr>
                <w:rFonts w:ascii="Arial" w:eastAsia="宋体" w:hAnsi="Arial" w:cs="Arial"/>
                <w:color w:val="333333"/>
                <w:sz w:val="18"/>
                <w:szCs w:val="18"/>
              </w:rPr>
              <w:t>Corporate spending efficiencies</w:t>
            </w:r>
          </w:p>
        </w:tc>
        <w:tc>
          <w:tcPr>
            <w:tcW w:w="0" w:type="auto"/>
            <w:gridSpan w:val="3"/>
            <w:shd w:val="clear" w:color="auto" w:fill="auto"/>
            <w:tcMar>
              <w:left w:w="20" w:type="dxa"/>
              <w:right w:w="20" w:type="dxa"/>
            </w:tcMar>
            <w:vAlign w:val="bottom"/>
          </w:tcPr>
          <w:p w14:paraId="20AE3173"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174" w14:textId="77777777" w:rsidR="00B626E7" w:rsidRDefault="00B626E7">
            <w:pPr>
              <w:rPr>
                <w:rFonts w:ascii="宋体"/>
              </w:rPr>
            </w:pPr>
          </w:p>
        </w:tc>
        <w:tc>
          <w:tcPr>
            <w:tcW w:w="0" w:type="auto"/>
            <w:shd w:val="clear" w:color="auto" w:fill="auto"/>
          </w:tcPr>
          <w:p w14:paraId="20AE3175" w14:textId="77777777" w:rsidR="00B626E7" w:rsidRDefault="00B626E7">
            <w:pPr>
              <w:rPr>
                <w:rFonts w:ascii="宋体"/>
              </w:rPr>
            </w:pPr>
          </w:p>
        </w:tc>
        <w:tc>
          <w:tcPr>
            <w:tcW w:w="0" w:type="auto"/>
            <w:shd w:val="clear" w:color="auto" w:fill="auto"/>
          </w:tcPr>
          <w:p w14:paraId="20AE3176" w14:textId="77777777" w:rsidR="00B626E7" w:rsidRDefault="00B626E7">
            <w:pPr>
              <w:rPr>
                <w:rFonts w:ascii="宋体"/>
              </w:rPr>
            </w:pPr>
          </w:p>
        </w:tc>
        <w:tc>
          <w:tcPr>
            <w:tcW w:w="0" w:type="auto"/>
            <w:shd w:val="clear" w:color="auto" w:fill="auto"/>
          </w:tcPr>
          <w:p w14:paraId="20AE3177" w14:textId="77777777" w:rsidR="00B626E7" w:rsidRDefault="00B626E7">
            <w:pPr>
              <w:rPr>
                <w:rFonts w:ascii="宋体"/>
              </w:rPr>
            </w:pPr>
          </w:p>
        </w:tc>
        <w:tc>
          <w:tcPr>
            <w:tcW w:w="0" w:type="auto"/>
            <w:shd w:val="clear" w:color="auto" w:fill="auto"/>
          </w:tcPr>
          <w:p w14:paraId="20AE3178" w14:textId="77777777" w:rsidR="00B626E7" w:rsidRDefault="00B626E7">
            <w:pPr>
              <w:rPr>
                <w:rFonts w:ascii="宋体"/>
              </w:rPr>
            </w:pPr>
          </w:p>
        </w:tc>
        <w:tc>
          <w:tcPr>
            <w:tcW w:w="0" w:type="auto"/>
            <w:shd w:val="clear" w:color="auto" w:fill="auto"/>
          </w:tcPr>
          <w:p w14:paraId="20AE3179" w14:textId="77777777" w:rsidR="00B626E7" w:rsidRDefault="00B626E7">
            <w:pPr>
              <w:rPr>
                <w:rFonts w:ascii="宋体"/>
              </w:rPr>
            </w:pPr>
          </w:p>
        </w:tc>
        <w:tc>
          <w:tcPr>
            <w:tcW w:w="0" w:type="auto"/>
            <w:shd w:val="clear" w:color="auto" w:fill="auto"/>
          </w:tcPr>
          <w:p w14:paraId="20AE317A" w14:textId="77777777" w:rsidR="00B626E7" w:rsidRDefault="00B626E7">
            <w:pPr>
              <w:rPr>
                <w:rFonts w:ascii="宋体"/>
              </w:rPr>
            </w:pPr>
          </w:p>
        </w:tc>
      </w:tr>
      <w:tr w:rsidR="00B626E7" w14:paraId="20AE3186" w14:textId="77777777">
        <w:trPr>
          <w:hidden/>
        </w:trPr>
        <w:tc>
          <w:tcPr>
            <w:tcW w:w="0" w:type="auto"/>
            <w:gridSpan w:val="3"/>
            <w:shd w:val="clear" w:color="auto" w:fill="auto"/>
          </w:tcPr>
          <w:p w14:paraId="20AE317C" w14:textId="77777777" w:rsidR="00B626E7" w:rsidRDefault="00B626E7">
            <w:pPr>
              <w:rPr>
                <w:rFonts w:ascii="宋体"/>
                <w:vanish/>
              </w:rPr>
            </w:pPr>
          </w:p>
        </w:tc>
        <w:tc>
          <w:tcPr>
            <w:tcW w:w="0" w:type="auto"/>
            <w:gridSpan w:val="3"/>
            <w:shd w:val="clear" w:color="auto" w:fill="auto"/>
          </w:tcPr>
          <w:p w14:paraId="20AE317D" w14:textId="77777777" w:rsidR="00B626E7" w:rsidRDefault="00B626E7">
            <w:pPr>
              <w:rPr>
                <w:rFonts w:ascii="宋体"/>
                <w:vanish/>
              </w:rPr>
            </w:pPr>
          </w:p>
        </w:tc>
        <w:tc>
          <w:tcPr>
            <w:tcW w:w="0" w:type="auto"/>
            <w:gridSpan w:val="3"/>
            <w:shd w:val="clear" w:color="auto" w:fill="auto"/>
          </w:tcPr>
          <w:p w14:paraId="20AE317E" w14:textId="77777777" w:rsidR="00B626E7" w:rsidRDefault="00B626E7">
            <w:pPr>
              <w:rPr>
                <w:rFonts w:ascii="宋体"/>
                <w:vanish/>
              </w:rPr>
            </w:pPr>
          </w:p>
        </w:tc>
        <w:tc>
          <w:tcPr>
            <w:tcW w:w="0" w:type="auto"/>
            <w:gridSpan w:val="3"/>
            <w:shd w:val="clear" w:color="auto" w:fill="auto"/>
          </w:tcPr>
          <w:p w14:paraId="20AE317F" w14:textId="77777777" w:rsidR="00B626E7" w:rsidRDefault="00B626E7">
            <w:pPr>
              <w:rPr>
                <w:rFonts w:ascii="宋体"/>
                <w:vanish/>
              </w:rPr>
            </w:pPr>
          </w:p>
        </w:tc>
        <w:tc>
          <w:tcPr>
            <w:tcW w:w="0" w:type="auto"/>
            <w:shd w:val="clear" w:color="auto" w:fill="auto"/>
          </w:tcPr>
          <w:p w14:paraId="20AE3180" w14:textId="77777777" w:rsidR="00B626E7" w:rsidRDefault="00B626E7">
            <w:pPr>
              <w:rPr>
                <w:rFonts w:ascii="宋体"/>
              </w:rPr>
            </w:pPr>
          </w:p>
        </w:tc>
        <w:tc>
          <w:tcPr>
            <w:tcW w:w="0" w:type="auto"/>
            <w:shd w:val="clear" w:color="auto" w:fill="auto"/>
          </w:tcPr>
          <w:p w14:paraId="20AE3181" w14:textId="77777777" w:rsidR="00B626E7" w:rsidRDefault="00B626E7">
            <w:pPr>
              <w:rPr>
                <w:rFonts w:ascii="宋体"/>
              </w:rPr>
            </w:pPr>
          </w:p>
        </w:tc>
        <w:tc>
          <w:tcPr>
            <w:tcW w:w="0" w:type="auto"/>
            <w:shd w:val="clear" w:color="auto" w:fill="auto"/>
          </w:tcPr>
          <w:p w14:paraId="20AE3182" w14:textId="77777777" w:rsidR="00B626E7" w:rsidRDefault="00B626E7">
            <w:pPr>
              <w:rPr>
                <w:rFonts w:ascii="宋体"/>
              </w:rPr>
            </w:pPr>
          </w:p>
        </w:tc>
        <w:tc>
          <w:tcPr>
            <w:tcW w:w="0" w:type="auto"/>
            <w:shd w:val="clear" w:color="auto" w:fill="auto"/>
          </w:tcPr>
          <w:p w14:paraId="20AE3183" w14:textId="77777777" w:rsidR="00B626E7" w:rsidRDefault="00B626E7">
            <w:pPr>
              <w:rPr>
                <w:rFonts w:ascii="宋体"/>
              </w:rPr>
            </w:pPr>
          </w:p>
        </w:tc>
        <w:tc>
          <w:tcPr>
            <w:tcW w:w="0" w:type="auto"/>
            <w:shd w:val="clear" w:color="auto" w:fill="auto"/>
          </w:tcPr>
          <w:p w14:paraId="20AE3184" w14:textId="77777777" w:rsidR="00B626E7" w:rsidRDefault="00B626E7">
            <w:pPr>
              <w:rPr>
                <w:rFonts w:ascii="宋体"/>
              </w:rPr>
            </w:pPr>
          </w:p>
        </w:tc>
        <w:tc>
          <w:tcPr>
            <w:tcW w:w="0" w:type="auto"/>
            <w:shd w:val="clear" w:color="auto" w:fill="auto"/>
          </w:tcPr>
          <w:p w14:paraId="20AE3185" w14:textId="77777777" w:rsidR="00B626E7" w:rsidRDefault="00B626E7">
            <w:pPr>
              <w:rPr>
                <w:rFonts w:ascii="宋体"/>
              </w:rPr>
            </w:pPr>
          </w:p>
        </w:tc>
      </w:tr>
      <w:tr w:rsidR="00B626E7" w14:paraId="20AE3191" w14:textId="77777777">
        <w:tc>
          <w:tcPr>
            <w:tcW w:w="0" w:type="auto"/>
            <w:gridSpan w:val="3"/>
            <w:shd w:val="clear" w:color="auto" w:fill="auto"/>
            <w:tcMar>
              <w:top w:w="40" w:type="dxa"/>
              <w:left w:w="20" w:type="dxa"/>
              <w:bottom w:w="40" w:type="dxa"/>
              <w:right w:w="20" w:type="dxa"/>
            </w:tcMar>
            <w:vAlign w:val="center"/>
          </w:tcPr>
          <w:p w14:paraId="20AE3187" w14:textId="77777777" w:rsidR="00B626E7" w:rsidRDefault="00175C1D">
            <w:pPr>
              <w:jc w:val="center"/>
              <w:textAlignment w:val="center"/>
            </w:pPr>
            <w:r>
              <w:rPr>
                <w:rFonts w:ascii="Arial" w:eastAsia="宋体" w:hAnsi="Arial" w:cs="Arial"/>
                <w:b/>
                <w:bCs/>
                <w:color w:val="00AEEF"/>
                <w:sz w:val="18"/>
                <w:szCs w:val="18"/>
              </w:rPr>
              <w:t>+</w:t>
            </w:r>
          </w:p>
        </w:tc>
        <w:tc>
          <w:tcPr>
            <w:tcW w:w="0" w:type="auto"/>
            <w:gridSpan w:val="3"/>
            <w:shd w:val="clear" w:color="auto" w:fill="auto"/>
            <w:tcMar>
              <w:top w:w="40" w:type="dxa"/>
              <w:left w:w="20" w:type="dxa"/>
              <w:bottom w:w="40" w:type="dxa"/>
              <w:right w:w="20" w:type="dxa"/>
            </w:tcMar>
            <w:vAlign w:val="bottom"/>
          </w:tcPr>
          <w:p w14:paraId="20AE3188" w14:textId="77777777" w:rsidR="00B626E7" w:rsidRDefault="00175C1D">
            <w:pPr>
              <w:textAlignment w:val="bottom"/>
            </w:pPr>
            <w:r>
              <w:rPr>
                <w:rFonts w:ascii="Arial" w:eastAsia="宋体" w:hAnsi="Arial" w:cs="Arial"/>
                <w:color w:val="333333"/>
                <w:sz w:val="18"/>
                <w:szCs w:val="18"/>
              </w:rPr>
              <w:t>Profit dependent compensation</w:t>
            </w:r>
          </w:p>
        </w:tc>
        <w:tc>
          <w:tcPr>
            <w:tcW w:w="0" w:type="auto"/>
            <w:gridSpan w:val="3"/>
            <w:shd w:val="clear" w:color="auto" w:fill="auto"/>
            <w:tcMar>
              <w:left w:w="20" w:type="dxa"/>
              <w:right w:w="20" w:type="dxa"/>
            </w:tcMar>
            <w:vAlign w:val="bottom"/>
          </w:tcPr>
          <w:p w14:paraId="20AE3189"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18A" w14:textId="77777777" w:rsidR="00B626E7" w:rsidRDefault="00B626E7">
            <w:pPr>
              <w:rPr>
                <w:rFonts w:ascii="宋体"/>
              </w:rPr>
            </w:pPr>
          </w:p>
        </w:tc>
        <w:tc>
          <w:tcPr>
            <w:tcW w:w="0" w:type="auto"/>
            <w:shd w:val="clear" w:color="auto" w:fill="auto"/>
          </w:tcPr>
          <w:p w14:paraId="20AE318B" w14:textId="77777777" w:rsidR="00B626E7" w:rsidRDefault="00B626E7">
            <w:pPr>
              <w:rPr>
                <w:rFonts w:ascii="宋体"/>
              </w:rPr>
            </w:pPr>
          </w:p>
        </w:tc>
        <w:tc>
          <w:tcPr>
            <w:tcW w:w="0" w:type="auto"/>
            <w:shd w:val="clear" w:color="auto" w:fill="auto"/>
          </w:tcPr>
          <w:p w14:paraId="20AE318C" w14:textId="77777777" w:rsidR="00B626E7" w:rsidRDefault="00B626E7">
            <w:pPr>
              <w:rPr>
                <w:rFonts w:ascii="宋体"/>
              </w:rPr>
            </w:pPr>
          </w:p>
        </w:tc>
        <w:tc>
          <w:tcPr>
            <w:tcW w:w="0" w:type="auto"/>
            <w:shd w:val="clear" w:color="auto" w:fill="auto"/>
          </w:tcPr>
          <w:p w14:paraId="20AE318D" w14:textId="77777777" w:rsidR="00B626E7" w:rsidRDefault="00B626E7">
            <w:pPr>
              <w:rPr>
                <w:rFonts w:ascii="宋体"/>
              </w:rPr>
            </w:pPr>
          </w:p>
        </w:tc>
        <w:tc>
          <w:tcPr>
            <w:tcW w:w="0" w:type="auto"/>
            <w:shd w:val="clear" w:color="auto" w:fill="auto"/>
          </w:tcPr>
          <w:p w14:paraId="20AE318E" w14:textId="77777777" w:rsidR="00B626E7" w:rsidRDefault="00B626E7">
            <w:pPr>
              <w:rPr>
                <w:rFonts w:ascii="宋体"/>
              </w:rPr>
            </w:pPr>
          </w:p>
        </w:tc>
        <w:tc>
          <w:tcPr>
            <w:tcW w:w="0" w:type="auto"/>
            <w:shd w:val="clear" w:color="auto" w:fill="auto"/>
          </w:tcPr>
          <w:p w14:paraId="20AE318F" w14:textId="77777777" w:rsidR="00B626E7" w:rsidRDefault="00B626E7">
            <w:pPr>
              <w:rPr>
                <w:rFonts w:ascii="宋体"/>
              </w:rPr>
            </w:pPr>
          </w:p>
        </w:tc>
        <w:tc>
          <w:tcPr>
            <w:tcW w:w="0" w:type="auto"/>
            <w:shd w:val="clear" w:color="auto" w:fill="auto"/>
          </w:tcPr>
          <w:p w14:paraId="20AE3190" w14:textId="77777777" w:rsidR="00B626E7" w:rsidRDefault="00B626E7">
            <w:pPr>
              <w:rPr>
                <w:rFonts w:ascii="宋体"/>
              </w:rPr>
            </w:pPr>
          </w:p>
        </w:tc>
      </w:tr>
      <w:tr w:rsidR="00B626E7" w14:paraId="20AE319C" w14:textId="77777777">
        <w:trPr>
          <w:trHeight w:val="240"/>
        </w:trPr>
        <w:tc>
          <w:tcPr>
            <w:tcW w:w="0" w:type="auto"/>
            <w:gridSpan w:val="3"/>
            <w:shd w:val="clear" w:color="auto" w:fill="auto"/>
            <w:tcMar>
              <w:left w:w="20" w:type="dxa"/>
              <w:right w:w="20" w:type="dxa"/>
            </w:tcMar>
            <w:vAlign w:val="bottom"/>
          </w:tcPr>
          <w:p w14:paraId="20AE3192"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193"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194"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195" w14:textId="77777777" w:rsidR="00B626E7" w:rsidRDefault="00B626E7">
            <w:pPr>
              <w:rPr>
                <w:rFonts w:ascii="宋体"/>
              </w:rPr>
            </w:pPr>
          </w:p>
        </w:tc>
        <w:tc>
          <w:tcPr>
            <w:tcW w:w="0" w:type="auto"/>
            <w:shd w:val="clear" w:color="auto" w:fill="auto"/>
          </w:tcPr>
          <w:p w14:paraId="20AE3196" w14:textId="77777777" w:rsidR="00B626E7" w:rsidRDefault="00B626E7">
            <w:pPr>
              <w:rPr>
                <w:rFonts w:ascii="宋体"/>
              </w:rPr>
            </w:pPr>
          </w:p>
        </w:tc>
        <w:tc>
          <w:tcPr>
            <w:tcW w:w="0" w:type="auto"/>
            <w:shd w:val="clear" w:color="auto" w:fill="auto"/>
          </w:tcPr>
          <w:p w14:paraId="20AE3197" w14:textId="77777777" w:rsidR="00B626E7" w:rsidRDefault="00B626E7">
            <w:pPr>
              <w:rPr>
                <w:rFonts w:ascii="宋体"/>
              </w:rPr>
            </w:pPr>
          </w:p>
        </w:tc>
        <w:tc>
          <w:tcPr>
            <w:tcW w:w="0" w:type="auto"/>
            <w:shd w:val="clear" w:color="auto" w:fill="auto"/>
          </w:tcPr>
          <w:p w14:paraId="20AE3198" w14:textId="77777777" w:rsidR="00B626E7" w:rsidRDefault="00B626E7">
            <w:pPr>
              <w:rPr>
                <w:rFonts w:ascii="宋体"/>
              </w:rPr>
            </w:pPr>
          </w:p>
        </w:tc>
        <w:tc>
          <w:tcPr>
            <w:tcW w:w="0" w:type="auto"/>
            <w:shd w:val="clear" w:color="auto" w:fill="auto"/>
          </w:tcPr>
          <w:p w14:paraId="20AE3199" w14:textId="77777777" w:rsidR="00B626E7" w:rsidRDefault="00B626E7">
            <w:pPr>
              <w:rPr>
                <w:rFonts w:ascii="宋体"/>
              </w:rPr>
            </w:pPr>
          </w:p>
        </w:tc>
        <w:tc>
          <w:tcPr>
            <w:tcW w:w="0" w:type="auto"/>
            <w:shd w:val="clear" w:color="auto" w:fill="auto"/>
          </w:tcPr>
          <w:p w14:paraId="20AE319A" w14:textId="77777777" w:rsidR="00B626E7" w:rsidRDefault="00B626E7">
            <w:pPr>
              <w:rPr>
                <w:rFonts w:ascii="宋体"/>
              </w:rPr>
            </w:pPr>
          </w:p>
        </w:tc>
        <w:tc>
          <w:tcPr>
            <w:tcW w:w="0" w:type="auto"/>
            <w:shd w:val="clear" w:color="auto" w:fill="auto"/>
          </w:tcPr>
          <w:p w14:paraId="20AE319B" w14:textId="77777777" w:rsidR="00B626E7" w:rsidRDefault="00B626E7">
            <w:pPr>
              <w:rPr>
                <w:rFonts w:ascii="宋体"/>
              </w:rPr>
            </w:pPr>
          </w:p>
        </w:tc>
      </w:tr>
      <w:tr w:rsidR="00B626E7" w14:paraId="20AE31A7" w14:textId="77777777">
        <w:trPr>
          <w:trHeight w:val="240"/>
        </w:trPr>
        <w:tc>
          <w:tcPr>
            <w:tcW w:w="0" w:type="auto"/>
            <w:gridSpan w:val="3"/>
            <w:shd w:val="clear" w:color="auto" w:fill="auto"/>
            <w:tcMar>
              <w:left w:w="20" w:type="dxa"/>
              <w:right w:w="20" w:type="dxa"/>
            </w:tcMar>
            <w:vAlign w:val="bottom"/>
          </w:tcPr>
          <w:p w14:paraId="20AE319D"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19E"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19F"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1A0" w14:textId="77777777" w:rsidR="00B626E7" w:rsidRDefault="00B626E7">
            <w:pPr>
              <w:rPr>
                <w:rFonts w:ascii="宋体"/>
              </w:rPr>
            </w:pPr>
          </w:p>
        </w:tc>
        <w:tc>
          <w:tcPr>
            <w:tcW w:w="0" w:type="auto"/>
            <w:shd w:val="clear" w:color="auto" w:fill="auto"/>
          </w:tcPr>
          <w:p w14:paraId="20AE31A1" w14:textId="77777777" w:rsidR="00B626E7" w:rsidRDefault="00B626E7">
            <w:pPr>
              <w:rPr>
                <w:rFonts w:ascii="宋体"/>
              </w:rPr>
            </w:pPr>
          </w:p>
        </w:tc>
        <w:tc>
          <w:tcPr>
            <w:tcW w:w="0" w:type="auto"/>
            <w:shd w:val="clear" w:color="auto" w:fill="auto"/>
          </w:tcPr>
          <w:p w14:paraId="20AE31A2" w14:textId="77777777" w:rsidR="00B626E7" w:rsidRDefault="00B626E7">
            <w:pPr>
              <w:rPr>
                <w:rFonts w:ascii="宋体"/>
              </w:rPr>
            </w:pPr>
          </w:p>
        </w:tc>
        <w:tc>
          <w:tcPr>
            <w:tcW w:w="0" w:type="auto"/>
            <w:shd w:val="clear" w:color="auto" w:fill="auto"/>
          </w:tcPr>
          <w:p w14:paraId="20AE31A3" w14:textId="77777777" w:rsidR="00B626E7" w:rsidRDefault="00B626E7">
            <w:pPr>
              <w:rPr>
                <w:rFonts w:ascii="宋体"/>
              </w:rPr>
            </w:pPr>
          </w:p>
        </w:tc>
        <w:tc>
          <w:tcPr>
            <w:tcW w:w="0" w:type="auto"/>
            <w:shd w:val="clear" w:color="auto" w:fill="auto"/>
          </w:tcPr>
          <w:p w14:paraId="20AE31A4" w14:textId="77777777" w:rsidR="00B626E7" w:rsidRDefault="00B626E7">
            <w:pPr>
              <w:rPr>
                <w:rFonts w:ascii="宋体"/>
              </w:rPr>
            </w:pPr>
          </w:p>
        </w:tc>
        <w:tc>
          <w:tcPr>
            <w:tcW w:w="0" w:type="auto"/>
            <w:shd w:val="clear" w:color="auto" w:fill="auto"/>
          </w:tcPr>
          <w:p w14:paraId="20AE31A5" w14:textId="77777777" w:rsidR="00B626E7" w:rsidRDefault="00B626E7">
            <w:pPr>
              <w:rPr>
                <w:rFonts w:ascii="宋体"/>
              </w:rPr>
            </w:pPr>
          </w:p>
        </w:tc>
        <w:tc>
          <w:tcPr>
            <w:tcW w:w="0" w:type="auto"/>
            <w:shd w:val="clear" w:color="auto" w:fill="auto"/>
          </w:tcPr>
          <w:p w14:paraId="20AE31A6" w14:textId="77777777" w:rsidR="00B626E7" w:rsidRDefault="00B626E7">
            <w:pPr>
              <w:rPr>
                <w:rFonts w:ascii="宋体"/>
              </w:rPr>
            </w:pPr>
          </w:p>
        </w:tc>
      </w:tr>
    </w:tbl>
    <w:p w14:paraId="20AE31A8" w14:textId="77777777" w:rsidR="00B626E7" w:rsidRDefault="00B626E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84"/>
        <w:gridCol w:w="2423"/>
        <w:gridCol w:w="84"/>
        <w:gridCol w:w="83"/>
        <w:gridCol w:w="3471"/>
        <w:gridCol w:w="83"/>
        <w:gridCol w:w="83"/>
        <w:gridCol w:w="1942"/>
        <w:gridCol w:w="83"/>
      </w:tblGrid>
      <w:tr w:rsidR="00B626E7" w14:paraId="20AE31B2" w14:textId="77777777">
        <w:tc>
          <w:tcPr>
            <w:tcW w:w="50" w:type="pct"/>
            <w:shd w:val="clear" w:color="auto" w:fill="auto"/>
            <w:vAlign w:val="bottom"/>
          </w:tcPr>
          <w:p w14:paraId="20AE31A9" w14:textId="77777777" w:rsidR="00B626E7" w:rsidRDefault="00B626E7">
            <w:pPr>
              <w:rPr>
                <w:rFonts w:ascii="宋体"/>
              </w:rPr>
            </w:pPr>
          </w:p>
        </w:tc>
        <w:tc>
          <w:tcPr>
            <w:tcW w:w="1452" w:type="pct"/>
            <w:shd w:val="clear" w:color="auto" w:fill="auto"/>
            <w:vAlign w:val="bottom"/>
          </w:tcPr>
          <w:p w14:paraId="20AE31AA" w14:textId="77777777" w:rsidR="00B626E7" w:rsidRDefault="00B626E7">
            <w:pPr>
              <w:rPr>
                <w:rFonts w:ascii="宋体"/>
              </w:rPr>
            </w:pPr>
          </w:p>
        </w:tc>
        <w:tc>
          <w:tcPr>
            <w:tcW w:w="50" w:type="pct"/>
            <w:shd w:val="clear" w:color="auto" w:fill="auto"/>
            <w:vAlign w:val="bottom"/>
          </w:tcPr>
          <w:p w14:paraId="20AE31AB" w14:textId="77777777" w:rsidR="00B626E7" w:rsidRDefault="00B626E7">
            <w:pPr>
              <w:rPr>
                <w:rFonts w:ascii="宋体"/>
              </w:rPr>
            </w:pPr>
          </w:p>
        </w:tc>
        <w:tc>
          <w:tcPr>
            <w:tcW w:w="50" w:type="pct"/>
            <w:shd w:val="clear" w:color="auto" w:fill="auto"/>
            <w:vAlign w:val="bottom"/>
          </w:tcPr>
          <w:p w14:paraId="20AE31AC" w14:textId="77777777" w:rsidR="00B626E7" w:rsidRDefault="00B626E7">
            <w:pPr>
              <w:rPr>
                <w:rFonts w:ascii="宋体"/>
              </w:rPr>
            </w:pPr>
          </w:p>
        </w:tc>
        <w:tc>
          <w:tcPr>
            <w:tcW w:w="2081" w:type="pct"/>
            <w:shd w:val="clear" w:color="auto" w:fill="auto"/>
            <w:vAlign w:val="bottom"/>
          </w:tcPr>
          <w:p w14:paraId="20AE31AD" w14:textId="77777777" w:rsidR="00B626E7" w:rsidRDefault="00B626E7">
            <w:pPr>
              <w:rPr>
                <w:rFonts w:ascii="宋体"/>
              </w:rPr>
            </w:pPr>
          </w:p>
        </w:tc>
        <w:tc>
          <w:tcPr>
            <w:tcW w:w="50" w:type="pct"/>
            <w:shd w:val="clear" w:color="auto" w:fill="auto"/>
            <w:vAlign w:val="bottom"/>
          </w:tcPr>
          <w:p w14:paraId="20AE31AE" w14:textId="77777777" w:rsidR="00B626E7" w:rsidRDefault="00B626E7">
            <w:pPr>
              <w:rPr>
                <w:rFonts w:ascii="宋体"/>
              </w:rPr>
            </w:pPr>
          </w:p>
        </w:tc>
        <w:tc>
          <w:tcPr>
            <w:tcW w:w="50" w:type="pct"/>
            <w:shd w:val="clear" w:color="auto" w:fill="auto"/>
            <w:vAlign w:val="bottom"/>
          </w:tcPr>
          <w:p w14:paraId="20AE31AF" w14:textId="77777777" w:rsidR="00B626E7" w:rsidRDefault="00B626E7">
            <w:pPr>
              <w:rPr>
                <w:rFonts w:ascii="宋体"/>
              </w:rPr>
            </w:pPr>
          </w:p>
        </w:tc>
        <w:tc>
          <w:tcPr>
            <w:tcW w:w="1165" w:type="pct"/>
            <w:shd w:val="clear" w:color="auto" w:fill="auto"/>
            <w:vAlign w:val="bottom"/>
          </w:tcPr>
          <w:p w14:paraId="20AE31B0" w14:textId="77777777" w:rsidR="00B626E7" w:rsidRDefault="00B626E7">
            <w:pPr>
              <w:rPr>
                <w:rFonts w:ascii="宋体"/>
              </w:rPr>
            </w:pPr>
          </w:p>
        </w:tc>
        <w:tc>
          <w:tcPr>
            <w:tcW w:w="50" w:type="pct"/>
            <w:shd w:val="clear" w:color="auto" w:fill="auto"/>
            <w:vAlign w:val="bottom"/>
          </w:tcPr>
          <w:p w14:paraId="20AE31B1" w14:textId="77777777" w:rsidR="00B626E7" w:rsidRDefault="00B626E7">
            <w:pPr>
              <w:rPr>
                <w:rFonts w:ascii="宋体"/>
              </w:rPr>
            </w:pPr>
          </w:p>
        </w:tc>
      </w:tr>
      <w:tr w:rsidR="00B626E7" w14:paraId="20AE31B6" w14:textId="77777777">
        <w:tc>
          <w:tcPr>
            <w:tcW w:w="0" w:type="auto"/>
            <w:gridSpan w:val="3"/>
            <w:tcBorders>
              <w:top w:val="single" w:sz="8" w:space="0" w:color="0071C5"/>
            </w:tcBorders>
            <w:shd w:val="clear" w:color="auto" w:fill="auto"/>
            <w:tcMar>
              <w:top w:w="40" w:type="dxa"/>
              <w:left w:w="20" w:type="dxa"/>
              <w:bottom w:w="40" w:type="dxa"/>
              <w:right w:w="20" w:type="dxa"/>
            </w:tcMar>
            <w:vAlign w:val="center"/>
          </w:tcPr>
          <w:p w14:paraId="20AE31B3" w14:textId="77777777" w:rsidR="00B626E7" w:rsidRDefault="00175C1D">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Viewer10_files/intc-20200627_g36.jpg"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AD" wp14:editId="20AE3CAE">
                  <wp:extent cx="304800" cy="304800"/>
                  <wp:effectExtent l="0" t="0" r="0" b="0"/>
                  <wp:docPr id="37" name="图片 133"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3" descr="IMG_32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Arial" w:eastAsia="宋体" w:hAnsi="Arial" w:cs="Arial"/>
                <w:color w:val="333333"/>
                <w:sz w:val="16"/>
                <w:szCs w:val="16"/>
              </w:rPr>
              <w:t>MD&amp;A</w:t>
            </w:r>
          </w:p>
        </w:tc>
        <w:tc>
          <w:tcPr>
            <w:tcW w:w="0" w:type="auto"/>
            <w:gridSpan w:val="3"/>
            <w:tcBorders>
              <w:top w:val="single" w:sz="8" w:space="0" w:color="0071C5"/>
            </w:tcBorders>
            <w:shd w:val="clear" w:color="auto" w:fill="auto"/>
            <w:tcMar>
              <w:left w:w="20" w:type="dxa"/>
              <w:right w:w="20" w:type="dxa"/>
            </w:tcMar>
            <w:vAlign w:val="bottom"/>
          </w:tcPr>
          <w:p w14:paraId="20AE31B4"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31B5" w14:textId="77777777" w:rsidR="00B626E7" w:rsidRDefault="00175C1D">
            <w:pPr>
              <w:jc w:val="right"/>
              <w:textAlignment w:val="bottom"/>
            </w:pPr>
            <w:r>
              <w:rPr>
                <w:rFonts w:ascii="Arial" w:eastAsia="宋体" w:hAnsi="Arial" w:cs="Arial"/>
                <w:color w:val="333333"/>
                <w:sz w:val="16"/>
                <w:szCs w:val="16"/>
              </w:rPr>
              <w:t>38</w:t>
            </w:r>
          </w:p>
        </w:tc>
      </w:tr>
    </w:tbl>
    <w:p w14:paraId="20AE31B7" w14:textId="77777777" w:rsidR="00B626E7" w:rsidRDefault="00175C1D">
      <w:r>
        <w:pict w14:anchorId="20AE3CAF">
          <v:rect id="_x0000_i1064" style="width:415.3pt;height:1.5pt" o:hralign="center" o:hrstd="t" o:hr="t" fillcolor="#a0a0a0" stroked="f"/>
        </w:pict>
      </w:r>
    </w:p>
    <w:p w14:paraId="20AE31B8" w14:textId="77777777" w:rsidR="00B626E7" w:rsidRDefault="00175C1D">
      <w:pPr>
        <w:spacing w:after="180"/>
        <w:jc w:val="right"/>
      </w:pPr>
      <w:hyperlink r:id="rId65" w:anchor="ib035cc8759904e51927d703ec8414366_7" w:history="1">
        <w:r>
          <w:rPr>
            <w:rStyle w:val="a5"/>
            <w:rFonts w:ascii="Arial" w:eastAsia="宋体" w:hAnsi="Arial" w:cs="Arial"/>
            <w:b/>
            <w:bCs/>
            <w:sz w:val="16"/>
            <w:szCs w:val="16"/>
          </w:rPr>
          <w:t>Table of Contents</w:t>
        </w:r>
      </w:hyperlink>
    </w:p>
    <w:p w14:paraId="20AE31B9" w14:textId="77777777" w:rsidR="00B626E7" w:rsidRDefault="00B626E7">
      <w:pPr>
        <w:spacing w:after="180"/>
        <w:jc w:val="right"/>
      </w:pPr>
    </w:p>
    <w:p w14:paraId="20AE31BA" w14:textId="77777777" w:rsidR="00B626E7" w:rsidRDefault="00175C1D">
      <w:pPr>
        <w:spacing w:after="180"/>
      </w:pPr>
      <w:r>
        <w:rPr>
          <w:rFonts w:ascii="Arial" w:eastAsia="宋体" w:hAnsi="Arial" w:cs="Arial"/>
          <w:b/>
          <w:bCs/>
          <w:color w:val="0071C5"/>
          <w:sz w:val="28"/>
          <w:szCs w:val="28"/>
        </w:rPr>
        <w:t>GAINS (LOSSES) ON EQUITY INVESTMENTS AND INTEREST AND OTHER, NET</w:t>
      </w:r>
    </w:p>
    <w:tbl>
      <w:tblPr>
        <w:tblW w:w="5000" w:type="pct"/>
        <w:tblCellMar>
          <w:top w:w="15" w:type="dxa"/>
          <w:left w:w="15" w:type="dxa"/>
          <w:bottom w:w="15" w:type="dxa"/>
          <w:right w:w="15" w:type="dxa"/>
        </w:tblCellMar>
        <w:tblLook w:val="04A0" w:firstRow="1" w:lastRow="0" w:firstColumn="1" w:lastColumn="0" w:noHBand="0" w:noVBand="1"/>
      </w:tblPr>
      <w:tblGrid>
        <w:gridCol w:w="43"/>
        <w:gridCol w:w="3938"/>
        <w:gridCol w:w="43"/>
        <w:gridCol w:w="36"/>
        <w:gridCol w:w="36"/>
        <w:gridCol w:w="36"/>
        <w:gridCol w:w="136"/>
        <w:gridCol w:w="748"/>
        <w:gridCol w:w="86"/>
        <w:gridCol w:w="36"/>
        <w:gridCol w:w="36"/>
        <w:gridCol w:w="36"/>
        <w:gridCol w:w="136"/>
        <w:gridCol w:w="748"/>
        <w:gridCol w:w="86"/>
        <w:gridCol w:w="36"/>
        <w:gridCol w:w="36"/>
        <w:gridCol w:w="36"/>
        <w:gridCol w:w="136"/>
        <w:gridCol w:w="748"/>
        <w:gridCol w:w="86"/>
        <w:gridCol w:w="36"/>
        <w:gridCol w:w="36"/>
        <w:gridCol w:w="36"/>
        <w:gridCol w:w="136"/>
        <w:gridCol w:w="748"/>
        <w:gridCol w:w="86"/>
      </w:tblGrid>
      <w:tr w:rsidR="00B626E7" w14:paraId="20AE31D6" w14:textId="77777777">
        <w:tc>
          <w:tcPr>
            <w:tcW w:w="50" w:type="pct"/>
            <w:shd w:val="clear" w:color="auto" w:fill="auto"/>
          </w:tcPr>
          <w:p w14:paraId="20AE31BB" w14:textId="77777777" w:rsidR="00B626E7" w:rsidRDefault="00B626E7">
            <w:pPr>
              <w:rPr>
                <w:rFonts w:ascii="宋体"/>
              </w:rPr>
            </w:pPr>
          </w:p>
        </w:tc>
        <w:tc>
          <w:tcPr>
            <w:tcW w:w="2386" w:type="pct"/>
            <w:shd w:val="clear" w:color="auto" w:fill="auto"/>
          </w:tcPr>
          <w:p w14:paraId="20AE31BC" w14:textId="77777777" w:rsidR="00B626E7" w:rsidRDefault="00B626E7">
            <w:pPr>
              <w:rPr>
                <w:rFonts w:ascii="宋体"/>
              </w:rPr>
            </w:pPr>
          </w:p>
        </w:tc>
        <w:tc>
          <w:tcPr>
            <w:tcW w:w="50" w:type="pct"/>
            <w:shd w:val="clear" w:color="auto" w:fill="auto"/>
          </w:tcPr>
          <w:p w14:paraId="20AE31BD" w14:textId="77777777" w:rsidR="00B626E7" w:rsidRDefault="00B626E7">
            <w:pPr>
              <w:rPr>
                <w:rFonts w:ascii="宋体"/>
              </w:rPr>
            </w:pPr>
          </w:p>
        </w:tc>
        <w:tc>
          <w:tcPr>
            <w:tcW w:w="5" w:type="pct"/>
            <w:shd w:val="clear" w:color="auto" w:fill="auto"/>
          </w:tcPr>
          <w:p w14:paraId="20AE31BE" w14:textId="77777777" w:rsidR="00B626E7" w:rsidRDefault="00B626E7">
            <w:pPr>
              <w:rPr>
                <w:rFonts w:ascii="宋体"/>
              </w:rPr>
            </w:pPr>
          </w:p>
        </w:tc>
        <w:tc>
          <w:tcPr>
            <w:tcW w:w="24" w:type="pct"/>
            <w:shd w:val="clear" w:color="auto" w:fill="auto"/>
          </w:tcPr>
          <w:p w14:paraId="20AE31BF" w14:textId="77777777" w:rsidR="00B626E7" w:rsidRDefault="00B626E7">
            <w:pPr>
              <w:rPr>
                <w:rFonts w:ascii="宋体"/>
              </w:rPr>
            </w:pPr>
          </w:p>
        </w:tc>
        <w:tc>
          <w:tcPr>
            <w:tcW w:w="5" w:type="pct"/>
            <w:shd w:val="clear" w:color="auto" w:fill="auto"/>
          </w:tcPr>
          <w:p w14:paraId="20AE31C0" w14:textId="77777777" w:rsidR="00B626E7" w:rsidRDefault="00B626E7">
            <w:pPr>
              <w:rPr>
                <w:rFonts w:ascii="宋体"/>
              </w:rPr>
            </w:pPr>
          </w:p>
        </w:tc>
        <w:tc>
          <w:tcPr>
            <w:tcW w:w="50" w:type="pct"/>
            <w:shd w:val="clear" w:color="auto" w:fill="auto"/>
          </w:tcPr>
          <w:p w14:paraId="20AE31C1" w14:textId="77777777" w:rsidR="00B626E7" w:rsidRDefault="00B626E7">
            <w:pPr>
              <w:rPr>
                <w:rFonts w:ascii="宋体"/>
              </w:rPr>
            </w:pPr>
          </w:p>
        </w:tc>
        <w:tc>
          <w:tcPr>
            <w:tcW w:w="494" w:type="pct"/>
            <w:shd w:val="clear" w:color="auto" w:fill="auto"/>
          </w:tcPr>
          <w:p w14:paraId="20AE31C2" w14:textId="77777777" w:rsidR="00B626E7" w:rsidRDefault="00B626E7">
            <w:pPr>
              <w:rPr>
                <w:rFonts w:ascii="宋体"/>
              </w:rPr>
            </w:pPr>
          </w:p>
        </w:tc>
        <w:tc>
          <w:tcPr>
            <w:tcW w:w="50" w:type="pct"/>
            <w:shd w:val="clear" w:color="auto" w:fill="auto"/>
          </w:tcPr>
          <w:p w14:paraId="20AE31C3" w14:textId="77777777" w:rsidR="00B626E7" w:rsidRDefault="00B626E7">
            <w:pPr>
              <w:rPr>
                <w:rFonts w:ascii="宋体"/>
              </w:rPr>
            </w:pPr>
          </w:p>
        </w:tc>
        <w:tc>
          <w:tcPr>
            <w:tcW w:w="5" w:type="pct"/>
            <w:shd w:val="clear" w:color="auto" w:fill="auto"/>
          </w:tcPr>
          <w:p w14:paraId="20AE31C4" w14:textId="77777777" w:rsidR="00B626E7" w:rsidRDefault="00B626E7">
            <w:pPr>
              <w:rPr>
                <w:rFonts w:ascii="宋体"/>
              </w:rPr>
            </w:pPr>
          </w:p>
        </w:tc>
        <w:tc>
          <w:tcPr>
            <w:tcW w:w="24" w:type="pct"/>
            <w:shd w:val="clear" w:color="auto" w:fill="auto"/>
          </w:tcPr>
          <w:p w14:paraId="20AE31C5" w14:textId="77777777" w:rsidR="00B626E7" w:rsidRDefault="00B626E7">
            <w:pPr>
              <w:rPr>
                <w:rFonts w:ascii="宋体"/>
              </w:rPr>
            </w:pPr>
          </w:p>
        </w:tc>
        <w:tc>
          <w:tcPr>
            <w:tcW w:w="5" w:type="pct"/>
            <w:shd w:val="clear" w:color="auto" w:fill="auto"/>
          </w:tcPr>
          <w:p w14:paraId="20AE31C6" w14:textId="77777777" w:rsidR="00B626E7" w:rsidRDefault="00B626E7">
            <w:pPr>
              <w:rPr>
                <w:rFonts w:ascii="宋体"/>
              </w:rPr>
            </w:pPr>
          </w:p>
        </w:tc>
        <w:tc>
          <w:tcPr>
            <w:tcW w:w="50" w:type="pct"/>
            <w:shd w:val="clear" w:color="auto" w:fill="auto"/>
          </w:tcPr>
          <w:p w14:paraId="20AE31C7" w14:textId="77777777" w:rsidR="00B626E7" w:rsidRDefault="00B626E7">
            <w:pPr>
              <w:rPr>
                <w:rFonts w:ascii="宋体"/>
              </w:rPr>
            </w:pPr>
          </w:p>
        </w:tc>
        <w:tc>
          <w:tcPr>
            <w:tcW w:w="494" w:type="pct"/>
            <w:shd w:val="clear" w:color="auto" w:fill="auto"/>
          </w:tcPr>
          <w:p w14:paraId="20AE31C8" w14:textId="77777777" w:rsidR="00B626E7" w:rsidRDefault="00B626E7">
            <w:pPr>
              <w:rPr>
                <w:rFonts w:ascii="宋体"/>
              </w:rPr>
            </w:pPr>
          </w:p>
        </w:tc>
        <w:tc>
          <w:tcPr>
            <w:tcW w:w="50" w:type="pct"/>
            <w:shd w:val="clear" w:color="auto" w:fill="auto"/>
          </w:tcPr>
          <w:p w14:paraId="20AE31C9" w14:textId="77777777" w:rsidR="00B626E7" w:rsidRDefault="00B626E7">
            <w:pPr>
              <w:rPr>
                <w:rFonts w:ascii="宋体"/>
              </w:rPr>
            </w:pPr>
          </w:p>
        </w:tc>
        <w:tc>
          <w:tcPr>
            <w:tcW w:w="5" w:type="pct"/>
            <w:shd w:val="clear" w:color="auto" w:fill="auto"/>
          </w:tcPr>
          <w:p w14:paraId="20AE31CA" w14:textId="77777777" w:rsidR="00B626E7" w:rsidRDefault="00B626E7">
            <w:pPr>
              <w:rPr>
                <w:rFonts w:ascii="宋体"/>
              </w:rPr>
            </w:pPr>
          </w:p>
        </w:tc>
        <w:tc>
          <w:tcPr>
            <w:tcW w:w="24" w:type="pct"/>
            <w:shd w:val="clear" w:color="auto" w:fill="auto"/>
          </w:tcPr>
          <w:p w14:paraId="20AE31CB" w14:textId="77777777" w:rsidR="00B626E7" w:rsidRDefault="00B626E7">
            <w:pPr>
              <w:rPr>
                <w:rFonts w:ascii="宋体"/>
              </w:rPr>
            </w:pPr>
          </w:p>
        </w:tc>
        <w:tc>
          <w:tcPr>
            <w:tcW w:w="5" w:type="pct"/>
            <w:shd w:val="clear" w:color="auto" w:fill="auto"/>
          </w:tcPr>
          <w:p w14:paraId="20AE31CC" w14:textId="77777777" w:rsidR="00B626E7" w:rsidRDefault="00B626E7">
            <w:pPr>
              <w:rPr>
                <w:rFonts w:ascii="宋体"/>
              </w:rPr>
            </w:pPr>
          </w:p>
        </w:tc>
        <w:tc>
          <w:tcPr>
            <w:tcW w:w="50" w:type="pct"/>
            <w:shd w:val="clear" w:color="auto" w:fill="auto"/>
          </w:tcPr>
          <w:p w14:paraId="20AE31CD" w14:textId="77777777" w:rsidR="00B626E7" w:rsidRDefault="00B626E7">
            <w:pPr>
              <w:rPr>
                <w:rFonts w:ascii="宋体"/>
              </w:rPr>
            </w:pPr>
          </w:p>
        </w:tc>
        <w:tc>
          <w:tcPr>
            <w:tcW w:w="494" w:type="pct"/>
            <w:shd w:val="clear" w:color="auto" w:fill="auto"/>
          </w:tcPr>
          <w:p w14:paraId="20AE31CE" w14:textId="77777777" w:rsidR="00B626E7" w:rsidRDefault="00B626E7">
            <w:pPr>
              <w:rPr>
                <w:rFonts w:ascii="宋体"/>
              </w:rPr>
            </w:pPr>
          </w:p>
        </w:tc>
        <w:tc>
          <w:tcPr>
            <w:tcW w:w="50" w:type="pct"/>
            <w:shd w:val="clear" w:color="auto" w:fill="auto"/>
          </w:tcPr>
          <w:p w14:paraId="20AE31CF" w14:textId="77777777" w:rsidR="00B626E7" w:rsidRDefault="00B626E7">
            <w:pPr>
              <w:rPr>
                <w:rFonts w:ascii="宋体"/>
              </w:rPr>
            </w:pPr>
          </w:p>
        </w:tc>
        <w:tc>
          <w:tcPr>
            <w:tcW w:w="5" w:type="pct"/>
            <w:shd w:val="clear" w:color="auto" w:fill="auto"/>
          </w:tcPr>
          <w:p w14:paraId="20AE31D0" w14:textId="77777777" w:rsidR="00B626E7" w:rsidRDefault="00B626E7">
            <w:pPr>
              <w:rPr>
                <w:rFonts w:ascii="宋体"/>
              </w:rPr>
            </w:pPr>
          </w:p>
        </w:tc>
        <w:tc>
          <w:tcPr>
            <w:tcW w:w="24" w:type="pct"/>
            <w:shd w:val="clear" w:color="auto" w:fill="auto"/>
          </w:tcPr>
          <w:p w14:paraId="20AE31D1" w14:textId="77777777" w:rsidR="00B626E7" w:rsidRDefault="00B626E7">
            <w:pPr>
              <w:rPr>
                <w:rFonts w:ascii="宋体"/>
              </w:rPr>
            </w:pPr>
          </w:p>
        </w:tc>
        <w:tc>
          <w:tcPr>
            <w:tcW w:w="5" w:type="pct"/>
            <w:shd w:val="clear" w:color="auto" w:fill="auto"/>
          </w:tcPr>
          <w:p w14:paraId="20AE31D2" w14:textId="77777777" w:rsidR="00B626E7" w:rsidRDefault="00B626E7">
            <w:pPr>
              <w:rPr>
                <w:rFonts w:ascii="宋体"/>
              </w:rPr>
            </w:pPr>
          </w:p>
        </w:tc>
        <w:tc>
          <w:tcPr>
            <w:tcW w:w="50" w:type="pct"/>
            <w:shd w:val="clear" w:color="auto" w:fill="auto"/>
          </w:tcPr>
          <w:p w14:paraId="20AE31D3" w14:textId="77777777" w:rsidR="00B626E7" w:rsidRDefault="00B626E7">
            <w:pPr>
              <w:rPr>
                <w:rFonts w:ascii="宋体"/>
              </w:rPr>
            </w:pPr>
          </w:p>
        </w:tc>
        <w:tc>
          <w:tcPr>
            <w:tcW w:w="494" w:type="pct"/>
            <w:shd w:val="clear" w:color="auto" w:fill="auto"/>
          </w:tcPr>
          <w:p w14:paraId="20AE31D4" w14:textId="77777777" w:rsidR="00B626E7" w:rsidRDefault="00B626E7">
            <w:pPr>
              <w:rPr>
                <w:rFonts w:ascii="宋体"/>
              </w:rPr>
            </w:pPr>
          </w:p>
        </w:tc>
        <w:tc>
          <w:tcPr>
            <w:tcW w:w="50" w:type="pct"/>
            <w:shd w:val="clear" w:color="auto" w:fill="auto"/>
          </w:tcPr>
          <w:p w14:paraId="20AE31D5" w14:textId="77777777" w:rsidR="00B626E7" w:rsidRDefault="00B626E7">
            <w:pPr>
              <w:rPr>
                <w:rFonts w:ascii="宋体"/>
              </w:rPr>
            </w:pPr>
          </w:p>
        </w:tc>
      </w:tr>
      <w:tr w:rsidR="00B626E7" w14:paraId="20AE31E0" w14:textId="77777777">
        <w:tc>
          <w:tcPr>
            <w:tcW w:w="0" w:type="auto"/>
            <w:gridSpan w:val="3"/>
            <w:shd w:val="clear" w:color="auto" w:fill="auto"/>
            <w:tcMar>
              <w:top w:w="40" w:type="dxa"/>
              <w:left w:w="20" w:type="dxa"/>
              <w:bottom w:w="40" w:type="dxa"/>
              <w:right w:w="20" w:type="dxa"/>
            </w:tcMar>
            <w:vAlign w:val="bottom"/>
          </w:tcPr>
          <w:p w14:paraId="20AE31D7" w14:textId="77777777" w:rsidR="00B626E7" w:rsidRDefault="00175C1D">
            <w:pPr>
              <w:textAlignment w:val="bottom"/>
            </w:pPr>
            <w:r>
              <w:rPr>
                <w:rFonts w:ascii="Arial" w:eastAsia="宋体" w:hAnsi="Arial" w:cs="Arial"/>
                <w:b/>
                <w:bCs/>
                <w:color w:val="333333"/>
                <w:sz w:val="18"/>
                <w:szCs w:val="18"/>
              </w:rPr>
              <w:t>(In Millions)</w:t>
            </w:r>
          </w:p>
        </w:tc>
        <w:tc>
          <w:tcPr>
            <w:tcW w:w="0" w:type="auto"/>
            <w:gridSpan w:val="3"/>
            <w:shd w:val="clear" w:color="auto" w:fill="auto"/>
            <w:tcMar>
              <w:left w:w="20" w:type="dxa"/>
              <w:right w:w="20" w:type="dxa"/>
            </w:tcMar>
            <w:vAlign w:val="bottom"/>
          </w:tcPr>
          <w:p w14:paraId="20AE31D8"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bottom"/>
          </w:tcPr>
          <w:p w14:paraId="20AE31D9" w14:textId="77777777" w:rsidR="00B626E7" w:rsidRDefault="00175C1D">
            <w:pPr>
              <w:jc w:val="center"/>
              <w:textAlignment w:val="bottom"/>
            </w:pPr>
            <w:r>
              <w:rPr>
                <w:rFonts w:ascii="Arial" w:eastAsia="宋体" w:hAnsi="Arial" w:cs="Arial"/>
                <w:b/>
                <w:bCs/>
                <w:color w:val="333333"/>
                <w:sz w:val="18"/>
                <w:szCs w:val="18"/>
              </w:rPr>
              <w:t>Q2 2020</w:t>
            </w:r>
          </w:p>
        </w:tc>
        <w:tc>
          <w:tcPr>
            <w:tcW w:w="0" w:type="auto"/>
            <w:gridSpan w:val="3"/>
            <w:shd w:val="clear" w:color="auto" w:fill="auto"/>
            <w:tcMar>
              <w:left w:w="20" w:type="dxa"/>
              <w:right w:w="20" w:type="dxa"/>
            </w:tcMar>
            <w:vAlign w:val="bottom"/>
          </w:tcPr>
          <w:p w14:paraId="20AE31DA"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bottom"/>
          </w:tcPr>
          <w:p w14:paraId="20AE31DB" w14:textId="77777777" w:rsidR="00B626E7" w:rsidRDefault="00175C1D">
            <w:pPr>
              <w:jc w:val="center"/>
              <w:textAlignment w:val="bottom"/>
            </w:pPr>
            <w:r>
              <w:rPr>
                <w:rFonts w:ascii="Arial" w:eastAsia="宋体" w:hAnsi="Arial" w:cs="Arial"/>
                <w:b/>
                <w:bCs/>
                <w:color w:val="333333"/>
                <w:sz w:val="18"/>
                <w:szCs w:val="18"/>
              </w:rPr>
              <w:t>Q2 2019</w:t>
            </w:r>
          </w:p>
        </w:tc>
        <w:tc>
          <w:tcPr>
            <w:tcW w:w="0" w:type="auto"/>
            <w:gridSpan w:val="3"/>
            <w:shd w:val="clear" w:color="auto" w:fill="auto"/>
            <w:tcMar>
              <w:left w:w="20" w:type="dxa"/>
              <w:right w:w="20" w:type="dxa"/>
            </w:tcMar>
            <w:vAlign w:val="bottom"/>
          </w:tcPr>
          <w:p w14:paraId="20AE31DC"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bottom"/>
          </w:tcPr>
          <w:p w14:paraId="20AE31DD" w14:textId="77777777" w:rsidR="00B626E7" w:rsidRDefault="00175C1D">
            <w:pPr>
              <w:jc w:val="center"/>
              <w:textAlignment w:val="bottom"/>
            </w:pPr>
            <w:r>
              <w:rPr>
                <w:rFonts w:ascii="Arial" w:eastAsia="宋体" w:hAnsi="Arial" w:cs="Arial"/>
                <w:b/>
                <w:bCs/>
                <w:color w:val="333333"/>
                <w:sz w:val="18"/>
                <w:szCs w:val="18"/>
              </w:rPr>
              <w:t>YTD 2020</w:t>
            </w:r>
          </w:p>
        </w:tc>
        <w:tc>
          <w:tcPr>
            <w:tcW w:w="0" w:type="auto"/>
            <w:gridSpan w:val="3"/>
            <w:shd w:val="clear" w:color="auto" w:fill="auto"/>
            <w:tcMar>
              <w:left w:w="20" w:type="dxa"/>
              <w:right w:w="20" w:type="dxa"/>
            </w:tcMar>
            <w:vAlign w:val="bottom"/>
          </w:tcPr>
          <w:p w14:paraId="20AE31DE"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bottom"/>
          </w:tcPr>
          <w:p w14:paraId="20AE31DF" w14:textId="77777777" w:rsidR="00B626E7" w:rsidRDefault="00175C1D">
            <w:pPr>
              <w:jc w:val="center"/>
              <w:textAlignment w:val="bottom"/>
            </w:pPr>
            <w:r>
              <w:rPr>
                <w:rFonts w:ascii="Arial" w:eastAsia="宋体" w:hAnsi="Arial" w:cs="Arial"/>
                <w:b/>
                <w:bCs/>
                <w:color w:val="333333"/>
                <w:sz w:val="18"/>
                <w:szCs w:val="18"/>
              </w:rPr>
              <w:t>YTD 2019</w:t>
            </w:r>
          </w:p>
        </w:tc>
      </w:tr>
      <w:tr w:rsidR="00B626E7" w14:paraId="20AE31F2" w14:textId="77777777">
        <w:tc>
          <w:tcPr>
            <w:tcW w:w="0" w:type="auto"/>
            <w:gridSpan w:val="3"/>
            <w:tcBorders>
              <w:top w:val="single" w:sz="8" w:space="0" w:color="0071C5"/>
            </w:tcBorders>
            <w:shd w:val="clear" w:color="auto" w:fill="auto"/>
            <w:tcMar>
              <w:top w:w="40" w:type="dxa"/>
              <w:left w:w="20" w:type="dxa"/>
              <w:bottom w:w="40" w:type="dxa"/>
              <w:right w:w="20" w:type="dxa"/>
            </w:tcMar>
            <w:vAlign w:val="center"/>
          </w:tcPr>
          <w:p w14:paraId="20AE31E1" w14:textId="77777777" w:rsidR="00B626E7" w:rsidRDefault="00175C1D">
            <w:pPr>
              <w:textAlignment w:val="center"/>
            </w:pPr>
            <w:r>
              <w:rPr>
                <w:rFonts w:ascii="Arial" w:eastAsia="宋体" w:hAnsi="Arial" w:cs="Arial"/>
                <w:color w:val="333333"/>
                <w:sz w:val="18"/>
                <w:szCs w:val="18"/>
              </w:rPr>
              <w:t>Ongoing mark-to-market adjustments on marketable equity securities</w:t>
            </w:r>
          </w:p>
        </w:tc>
        <w:tc>
          <w:tcPr>
            <w:tcW w:w="0" w:type="auto"/>
            <w:gridSpan w:val="3"/>
            <w:shd w:val="clear" w:color="auto" w:fill="auto"/>
            <w:tcMar>
              <w:left w:w="20" w:type="dxa"/>
              <w:right w:w="20" w:type="dxa"/>
            </w:tcMar>
            <w:vAlign w:val="bottom"/>
          </w:tcPr>
          <w:p w14:paraId="20AE31E2"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31E3" w14:textId="77777777" w:rsidR="00B626E7" w:rsidRDefault="00175C1D">
            <w:pPr>
              <w:textAlignment w:val="bottom"/>
            </w:pPr>
            <w:r>
              <w:rPr>
                <w:rFonts w:ascii="Arial" w:eastAsia="宋体" w:hAnsi="Arial" w:cs="Arial"/>
                <w:color w:val="026DCE"/>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31E4" w14:textId="77777777" w:rsidR="00B626E7" w:rsidRDefault="00175C1D">
            <w:pPr>
              <w:jc w:val="right"/>
              <w:textAlignment w:val="bottom"/>
            </w:pPr>
            <w:r>
              <w:rPr>
                <w:rFonts w:ascii="Arial" w:eastAsia="宋体" w:hAnsi="Arial" w:cs="Arial"/>
                <w:color w:val="026DCE"/>
                <w:sz w:val="18"/>
                <w:szCs w:val="18"/>
              </w:rPr>
              <w:t>165 </w:t>
            </w:r>
          </w:p>
        </w:tc>
        <w:tc>
          <w:tcPr>
            <w:tcW w:w="0" w:type="auto"/>
            <w:tcBorders>
              <w:top w:val="single" w:sz="8" w:space="0" w:color="0071C5"/>
            </w:tcBorders>
            <w:shd w:val="clear" w:color="auto" w:fill="auto"/>
            <w:tcMar>
              <w:top w:w="40" w:type="dxa"/>
              <w:bottom w:w="40" w:type="dxa"/>
              <w:right w:w="20" w:type="dxa"/>
            </w:tcMar>
            <w:vAlign w:val="bottom"/>
          </w:tcPr>
          <w:p w14:paraId="20AE31E5"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31E6"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31E7" w14:textId="77777777" w:rsidR="00B626E7" w:rsidRDefault="00175C1D">
            <w:pPr>
              <w:textAlignment w:val="bottom"/>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31E8" w14:textId="77777777" w:rsidR="00B626E7" w:rsidRDefault="00175C1D">
            <w:pPr>
              <w:jc w:val="right"/>
              <w:textAlignment w:val="bottom"/>
            </w:pPr>
            <w:r>
              <w:rPr>
                <w:rFonts w:ascii="Arial" w:eastAsia="宋体" w:hAnsi="Arial" w:cs="Arial"/>
                <w:color w:val="333333"/>
                <w:sz w:val="18"/>
                <w:szCs w:val="18"/>
              </w:rPr>
              <w:t>(179)</w:t>
            </w:r>
          </w:p>
        </w:tc>
        <w:tc>
          <w:tcPr>
            <w:tcW w:w="0" w:type="auto"/>
            <w:tcBorders>
              <w:top w:val="single" w:sz="8" w:space="0" w:color="0071C5"/>
            </w:tcBorders>
            <w:shd w:val="clear" w:color="auto" w:fill="auto"/>
            <w:tcMar>
              <w:top w:w="40" w:type="dxa"/>
              <w:bottom w:w="40" w:type="dxa"/>
              <w:right w:w="20" w:type="dxa"/>
            </w:tcMar>
            <w:vAlign w:val="bottom"/>
          </w:tcPr>
          <w:p w14:paraId="20AE31E9"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31EA"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31EB" w14:textId="77777777" w:rsidR="00B626E7" w:rsidRDefault="00175C1D">
            <w:pPr>
              <w:textAlignment w:val="bottom"/>
            </w:pPr>
            <w:r>
              <w:rPr>
                <w:rFonts w:ascii="Arial" w:eastAsia="宋体" w:hAnsi="Arial" w:cs="Arial"/>
                <w:color w:val="026DCE"/>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31EC" w14:textId="77777777" w:rsidR="00B626E7" w:rsidRDefault="00175C1D">
            <w:pPr>
              <w:jc w:val="right"/>
              <w:textAlignment w:val="bottom"/>
            </w:pPr>
            <w:r>
              <w:rPr>
                <w:rFonts w:ascii="Arial" w:eastAsia="宋体" w:hAnsi="Arial" w:cs="Arial"/>
                <w:color w:val="026DCE"/>
                <w:sz w:val="18"/>
                <w:szCs w:val="18"/>
              </w:rPr>
              <w:t>62 </w:t>
            </w:r>
          </w:p>
        </w:tc>
        <w:tc>
          <w:tcPr>
            <w:tcW w:w="0" w:type="auto"/>
            <w:tcBorders>
              <w:top w:val="single" w:sz="8" w:space="0" w:color="0071C5"/>
            </w:tcBorders>
            <w:shd w:val="clear" w:color="auto" w:fill="auto"/>
            <w:tcMar>
              <w:top w:w="40" w:type="dxa"/>
              <w:bottom w:w="40" w:type="dxa"/>
              <w:right w:w="20" w:type="dxa"/>
            </w:tcMar>
            <w:vAlign w:val="bottom"/>
          </w:tcPr>
          <w:p w14:paraId="20AE31ED"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31EE"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31EF" w14:textId="77777777" w:rsidR="00B626E7" w:rsidRDefault="00175C1D">
            <w:pPr>
              <w:textAlignment w:val="bottom"/>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31F0" w14:textId="77777777" w:rsidR="00B626E7" w:rsidRDefault="00175C1D">
            <w:pPr>
              <w:jc w:val="right"/>
              <w:textAlignment w:val="bottom"/>
            </w:pPr>
            <w:r>
              <w:rPr>
                <w:rFonts w:ascii="Arial" w:eastAsia="宋体" w:hAnsi="Arial" w:cs="Arial"/>
                <w:color w:val="333333"/>
                <w:sz w:val="18"/>
                <w:szCs w:val="18"/>
              </w:rPr>
              <w:t>74 </w:t>
            </w:r>
          </w:p>
        </w:tc>
        <w:tc>
          <w:tcPr>
            <w:tcW w:w="0" w:type="auto"/>
            <w:tcBorders>
              <w:top w:val="single" w:sz="8" w:space="0" w:color="0071C5"/>
            </w:tcBorders>
            <w:shd w:val="clear" w:color="auto" w:fill="auto"/>
            <w:tcMar>
              <w:top w:w="40" w:type="dxa"/>
              <w:bottom w:w="40" w:type="dxa"/>
              <w:right w:w="20" w:type="dxa"/>
            </w:tcMar>
            <w:vAlign w:val="bottom"/>
          </w:tcPr>
          <w:p w14:paraId="20AE31F1" w14:textId="77777777" w:rsidR="00B626E7" w:rsidRDefault="00175C1D">
            <w:pPr>
              <w:jc w:val="right"/>
              <w:textAlignment w:val="bottom"/>
            </w:pPr>
            <w:r>
              <w:rPr>
                <w:rFonts w:ascii="Arial" w:eastAsia="宋体" w:hAnsi="Arial" w:cs="Arial"/>
                <w:color w:val="333333"/>
                <w:sz w:val="18"/>
                <w:szCs w:val="18"/>
              </w:rPr>
              <w:t> </w:t>
            </w:r>
          </w:p>
        </w:tc>
      </w:tr>
      <w:tr w:rsidR="00B626E7" w14:paraId="20AE3200" w14:textId="77777777">
        <w:tc>
          <w:tcPr>
            <w:tcW w:w="0" w:type="auto"/>
            <w:gridSpan w:val="3"/>
            <w:shd w:val="clear" w:color="auto" w:fill="auto"/>
            <w:tcMar>
              <w:top w:w="40" w:type="dxa"/>
              <w:left w:w="20" w:type="dxa"/>
              <w:bottom w:w="40" w:type="dxa"/>
              <w:right w:w="20" w:type="dxa"/>
            </w:tcMar>
            <w:vAlign w:val="bottom"/>
          </w:tcPr>
          <w:p w14:paraId="20AE31F3" w14:textId="77777777" w:rsidR="00B626E7" w:rsidRDefault="00175C1D">
            <w:pPr>
              <w:textAlignment w:val="bottom"/>
            </w:pPr>
            <w:r>
              <w:rPr>
                <w:rFonts w:ascii="Arial" w:eastAsia="宋体" w:hAnsi="Arial" w:cs="Arial"/>
                <w:color w:val="333333"/>
                <w:sz w:val="18"/>
                <w:szCs w:val="18"/>
              </w:rPr>
              <w:t xml:space="preserve">Observable price adjustments on non-marketable equity securities </w:t>
            </w:r>
          </w:p>
        </w:tc>
        <w:tc>
          <w:tcPr>
            <w:tcW w:w="0" w:type="auto"/>
            <w:gridSpan w:val="3"/>
            <w:shd w:val="clear" w:color="auto" w:fill="auto"/>
            <w:tcMar>
              <w:left w:w="20" w:type="dxa"/>
              <w:right w:w="20" w:type="dxa"/>
            </w:tcMar>
            <w:vAlign w:val="bottom"/>
          </w:tcPr>
          <w:p w14:paraId="20AE31F4"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31F5" w14:textId="77777777" w:rsidR="00B626E7" w:rsidRDefault="00175C1D">
            <w:pPr>
              <w:jc w:val="right"/>
              <w:textAlignment w:val="bottom"/>
            </w:pPr>
            <w:r>
              <w:rPr>
                <w:rFonts w:ascii="Arial" w:eastAsia="宋体" w:hAnsi="Arial" w:cs="Arial"/>
                <w:color w:val="026DCE"/>
                <w:sz w:val="18"/>
                <w:szCs w:val="18"/>
              </w:rPr>
              <w:t>58 </w:t>
            </w:r>
          </w:p>
        </w:tc>
        <w:tc>
          <w:tcPr>
            <w:tcW w:w="0" w:type="auto"/>
            <w:shd w:val="clear" w:color="auto" w:fill="auto"/>
            <w:tcMar>
              <w:top w:w="40" w:type="dxa"/>
              <w:bottom w:w="40" w:type="dxa"/>
              <w:right w:w="20" w:type="dxa"/>
            </w:tcMar>
            <w:vAlign w:val="bottom"/>
          </w:tcPr>
          <w:p w14:paraId="20AE31F6"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31F7"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31F8" w14:textId="77777777" w:rsidR="00B626E7" w:rsidRDefault="00175C1D">
            <w:pPr>
              <w:jc w:val="right"/>
              <w:textAlignment w:val="bottom"/>
            </w:pPr>
            <w:r>
              <w:rPr>
                <w:rFonts w:ascii="Arial" w:eastAsia="宋体" w:hAnsi="Arial" w:cs="Arial"/>
                <w:color w:val="333333"/>
                <w:sz w:val="18"/>
                <w:szCs w:val="18"/>
              </w:rPr>
              <w:t>8 </w:t>
            </w:r>
          </w:p>
        </w:tc>
        <w:tc>
          <w:tcPr>
            <w:tcW w:w="0" w:type="auto"/>
            <w:shd w:val="clear" w:color="auto" w:fill="auto"/>
            <w:tcMar>
              <w:top w:w="40" w:type="dxa"/>
              <w:bottom w:w="40" w:type="dxa"/>
              <w:right w:w="20" w:type="dxa"/>
            </w:tcMar>
            <w:vAlign w:val="bottom"/>
          </w:tcPr>
          <w:p w14:paraId="20AE31F9"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31FA"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31FB" w14:textId="77777777" w:rsidR="00B626E7" w:rsidRDefault="00175C1D">
            <w:pPr>
              <w:jc w:val="right"/>
              <w:textAlignment w:val="bottom"/>
            </w:pPr>
            <w:r>
              <w:rPr>
                <w:rFonts w:ascii="Arial" w:eastAsia="宋体" w:hAnsi="Arial" w:cs="Arial"/>
                <w:color w:val="026DCE"/>
                <w:sz w:val="18"/>
                <w:szCs w:val="18"/>
              </w:rPr>
              <w:t>137 </w:t>
            </w:r>
          </w:p>
        </w:tc>
        <w:tc>
          <w:tcPr>
            <w:tcW w:w="0" w:type="auto"/>
            <w:shd w:val="clear" w:color="auto" w:fill="auto"/>
            <w:tcMar>
              <w:top w:w="40" w:type="dxa"/>
              <w:bottom w:w="40" w:type="dxa"/>
              <w:right w:w="20" w:type="dxa"/>
            </w:tcMar>
            <w:vAlign w:val="bottom"/>
          </w:tcPr>
          <w:p w14:paraId="20AE31FC"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31FD"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31FE" w14:textId="77777777" w:rsidR="00B626E7" w:rsidRDefault="00175C1D">
            <w:pPr>
              <w:jc w:val="right"/>
              <w:textAlignment w:val="bottom"/>
            </w:pPr>
            <w:r>
              <w:rPr>
                <w:rFonts w:ascii="Arial" w:eastAsia="宋体" w:hAnsi="Arial" w:cs="Arial"/>
                <w:color w:val="333333"/>
                <w:sz w:val="18"/>
                <w:szCs w:val="18"/>
              </w:rPr>
              <w:t>16 </w:t>
            </w:r>
          </w:p>
        </w:tc>
        <w:tc>
          <w:tcPr>
            <w:tcW w:w="0" w:type="auto"/>
            <w:shd w:val="clear" w:color="auto" w:fill="auto"/>
            <w:tcMar>
              <w:top w:w="40" w:type="dxa"/>
              <w:bottom w:w="40" w:type="dxa"/>
              <w:right w:w="20" w:type="dxa"/>
            </w:tcMar>
            <w:vAlign w:val="bottom"/>
          </w:tcPr>
          <w:p w14:paraId="20AE31FF" w14:textId="77777777" w:rsidR="00B626E7" w:rsidRDefault="00175C1D">
            <w:pPr>
              <w:jc w:val="right"/>
              <w:textAlignment w:val="bottom"/>
            </w:pPr>
            <w:r>
              <w:rPr>
                <w:rFonts w:ascii="Arial" w:eastAsia="宋体" w:hAnsi="Arial" w:cs="Arial"/>
                <w:color w:val="333333"/>
                <w:sz w:val="18"/>
                <w:szCs w:val="18"/>
              </w:rPr>
              <w:t> </w:t>
            </w:r>
          </w:p>
        </w:tc>
      </w:tr>
      <w:tr w:rsidR="00B626E7" w14:paraId="20AE320E" w14:textId="77777777">
        <w:tc>
          <w:tcPr>
            <w:tcW w:w="0" w:type="auto"/>
            <w:gridSpan w:val="3"/>
            <w:shd w:val="clear" w:color="auto" w:fill="auto"/>
            <w:tcMar>
              <w:top w:w="40" w:type="dxa"/>
              <w:left w:w="20" w:type="dxa"/>
              <w:bottom w:w="40" w:type="dxa"/>
              <w:right w:w="20" w:type="dxa"/>
            </w:tcMar>
            <w:vAlign w:val="bottom"/>
          </w:tcPr>
          <w:p w14:paraId="20AE3201" w14:textId="77777777" w:rsidR="00B626E7" w:rsidRDefault="00175C1D">
            <w:pPr>
              <w:textAlignment w:val="bottom"/>
            </w:pPr>
            <w:r>
              <w:rPr>
                <w:rFonts w:ascii="Arial" w:eastAsia="宋体" w:hAnsi="Arial" w:cs="Arial"/>
                <w:color w:val="333333"/>
                <w:sz w:val="18"/>
                <w:szCs w:val="18"/>
              </w:rPr>
              <w:t>Impairment charges</w:t>
            </w:r>
          </w:p>
        </w:tc>
        <w:tc>
          <w:tcPr>
            <w:tcW w:w="0" w:type="auto"/>
            <w:gridSpan w:val="3"/>
            <w:shd w:val="clear" w:color="auto" w:fill="auto"/>
            <w:tcMar>
              <w:left w:w="20" w:type="dxa"/>
              <w:right w:w="20" w:type="dxa"/>
            </w:tcMar>
            <w:vAlign w:val="bottom"/>
          </w:tcPr>
          <w:p w14:paraId="20AE3202"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3203" w14:textId="77777777" w:rsidR="00B626E7" w:rsidRDefault="00175C1D">
            <w:pPr>
              <w:jc w:val="right"/>
              <w:textAlignment w:val="bottom"/>
            </w:pPr>
            <w:r>
              <w:rPr>
                <w:rFonts w:ascii="Arial" w:eastAsia="宋体" w:hAnsi="Arial" w:cs="Arial"/>
                <w:color w:val="026DCE"/>
                <w:sz w:val="18"/>
                <w:szCs w:val="18"/>
              </w:rPr>
              <w:t>(51)</w:t>
            </w:r>
          </w:p>
        </w:tc>
        <w:tc>
          <w:tcPr>
            <w:tcW w:w="0" w:type="auto"/>
            <w:shd w:val="clear" w:color="auto" w:fill="auto"/>
            <w:tcMar>
              <w:top w:w="40" w:type="dxa"/>
              <w:bottom w:w="40" w:type="dxa"/>
              <w:right w:w="20" w:type="dxa"/>
            </w:tcMar>
            <w:vAlign w:val="bottom"/>
          </w:tcPr>
          <w:p w14:paraId="20AE3204"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3205"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3206" w14:textId="77777777" w:rsidR="00B626E7" w:rsidRDefault="00175C1D">
            <w:pPr>
              <w:jc w:val="right"/>
              <w:textAlignment w:val="bottom"/>
            </w:pPr>
            <w:r>
              <w:rPr>
                <w:rFonts w:ascii="Arial" w:eastAsia="宋体" w:hAnsi="Arial" w:cs="Arial"/>
                <w:color w:val="333333"/>
                <w:sz w:val="18"/>
                <w:szCs w:val="18"/>
              </w:rPr>
              <w:t>(39)</w:t>
            </w:r>
          </w:p>
        </w:tc>
        <w:tc>
          <w:tcPr>
            <w:tcW w:w="0" w:type="auto"/>
            <w:shd w:val="clear" w:color="auto" w:fill="auto"/>
            <w:tcMar>
              <w:top w:w="40" w:type="dxa"/>
              <w:bottom w:w="40" w:type="dxa"/>
              <w:right w:w="20" w:type="dxa"/>
            </w:tcMar>
            <w:vAlign w:val="bottom"/>
          </w:tcPr>
          <w:p w14:paraId="20AE3207"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3208"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3209" w14:textId="77777777" w:rsidR="00B626E7" w:rsidRDefault="00175C1D">
            <w:pPr>
              <w:jc w:val="right"/>
              <w:textAlignment w:val="bottom"/>
            </w:pPr>
            <w:r>
              <w:rPr>
                <w:rFonts w:ascii="Arial" w:eastAsia="宋体" w:hAnsi="Arial" w:cs="Arial"/>
                <w:color w:val="026DCE"/>
                <w:sz w:val="18"/>
                <w:szCs w:val="18"/>
              </w:rPr>
              <w:t>(193)</w:t>
            </w:r>
          </w:p>
        </w:tc>
        <w:tc>
          <w:tcPr>
            <w:tcW w:w="0" w:type="auto"/>
            <w:shd w:val="clear" w:color="auto" w:fill="auto"/>
            <w:tcMar>
              <w:top w:w="40" w:type="dxa"/>
              <w:bottom w:w="40" w:type="dxa"/>
              <w:right w:w="20" w:type="dxa"/>
            </w:tcMar>
            <w:vAlign w:val="bottom"/>
          </w:tcPr>
          <w:p w14:paraId="20AE320A"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320B"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320C" w14:textId="77777777" w:rsidR="00B626E7" w:rsidRDefault="00175C1D">
            <w:pPr>
              <w:jc w:val="right"/>
              <w:textAlignment w:val="bottom"/>
            </w:pPr>
            <w:r>
              <w:rPr>
                <w:rFonts w:ascii="Arial" w:eastAsia="宋体" w:hAnsi="Arial" w:cs="Arial"/>
                <w:color w:val="333333"/>
                <w:sz w:val="18"/>
                <w:szCs w:val="18"/>
              </w:rPr>
              <w:t>(62)</w:t>
            </w:r>
          </w:p>
        </w:tc>
        <w:tc>
          <w:tcPr>
            <w:tcW w:w="0" w:type="auto"/>
            <w:shd w:val="clear" w:color="auto" w:fill="auto"/>
            <w:tcMar>
              <w:top w:w="40" w:type="dxa"/>
              <w:bottom w:w="40" w:type="dxa"/>
              <w:right w:w="20" w:type="dxa"/>
            </w:tcMar>
            <w:vAlign w:val="bottom"/>
          </w:tcPr>
          <w:p w14:paraId="20AE320D" w14:textId="77777777" w:rsidR="00B626E7" w:rsidRDefault="00175C1D">
            <w:pPr>
              <w:jc w:val="right"/>
              <w:textAlignment w:val="bottom"/>
            </w:pPr>
            <w:r>
              <w:rPr>
                <w:rFonts w:ascii="Arial" w:eastAsia="宋体" w:hAnsi="Arial" w:cs="Arial"/>
                <w:color w:val="333333"/>
                <w:sz w:val="18"/>
                <w:szCs w:val="18"/>
              </w:rPr>
              <w:t> </w:t>
            </w:r>
          </w:p>
        </w:tc>
      </w:tr>
      <w:tr w:rsidR="00B626E7" w14:paraId="20AE321C" w14:textId="77777777">
        <w:tc>
          <w:tcPr>
            <w:tcW w:w="0" w:type="auto"/>
            <w:gridSpan w:val="3"/>
            <w:shd w:val="clear" w:color="auto" w:fill="auto"/>
            <w:tcMar>
              <w:top w:w="40" w:type="dxa"/>
              <w:left w:w="20" w:type="dxa"/>
              <w:bottom w:w="40" w:type="dxa"/>
              <w:right w:w="20" w:type="dxa"/>
            </w:tcMar>
            <w:vAlign w:val="bottom"/>
          </w:tcPr>
          <w:p w14:paraId="20AE320F" w14:textId="77777777" w:rsidR="00B626E7" w:rsidRDefault="00175C1D">
            <w:pPr>
              <w:textAlignment w:val="bottom"/>
            </w:pPr>
            <w:r>
              <w:rPr>
                <w:rFonts w:ascii="Arial" w:eastAsia="宋体" w:hAnsi="Arial" w:cs="Arial"/>
                <w:color w:val="333333"/>
                <w:sz w:val="18"/>
                <w:szCs w:val="18"/>
              </w:rPr>
              <w:t>Sale of equity investments and other</w:t>
            </w:r>
            <w:r>
              <w:rPr>
                <w:rFonts w:ascii="Arial" w:eastAsia="宋体" w:hAnsi="Arial" w:cs="Arial"/>
                <w:color w:val="333333"/>
                <w:sz w:val="11"/>
                <w:szCs w:val="11"/>
              </w:rPr>
              <w:t xml:space="preserve"> </w:t>
            </w:r>
          </w:p>
        </w:tc>
        <w:tc>
          <w:tcPr>
            <w:tcW w:w="0" w:type="auto"/>
            <w:gridSpan w:val="3"/>
            <w:shd w:val="clear" w:color="auto" w:fill="auto"/>
            <w:tcMar>
              <w:left w:w="20" w:type="dxa"/>
              <w:right w:w="20" w:type="dxa"/>
            </w:tcMar>
            <w:vAlign w:val="bottom"/>
          </w:tcPr>
          <w:p w14:paraId="20AE3210"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3211" w14:textId="77777777" w:rsidR="00B626E7" w:rsidRDefault="00175C1D">
            <w:pPr>
              <w:jc w:val="right"/>
              <w:textAlignment w:val="bottom"/>
            </w:pPr>
            <w:r>
              <w:rPr>
                <w:rFonts w:ascii="Arial" w:eastAsia="宋体" w:hAnsi="Arial" w:cs="Arial"/>
                <w:color w:val="026DCE"/>
                <w:sz w:val="18"/>
                <w:szCs w:val="18"/>
              </w:rPr>
              <w:t>95 </w:t>
            </w:r>
          </w:p>
        </w:tc>
        <w:tc>
          <w:tcPr>
            <w:tcW w:w="0" w:type="auto"/>
            <w:shd w:val="clear" w:color="auto" w:fill="auto"/>
            <w:tcMar>
              <w:top w:w="40" w:type="dxa"/>
              <w:bottom w:w="40" w:type="dxa"/>
              <w:right w:w="20" w:type="dxa"/>
            </w:tcMar>
            <w:vAlign w:val="bottom"/>
          </w:tcPr>
          <w:p w14:paraId="20AE3212"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3213"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3214" w14:textId="77777777" w:rsidR="00B626E7" w:rsidRDefault="00175C1D">
            <w:pPr>
              <w:jc w:val="right"/>
              <w:textAlignment w:val="bottom"/>
            </w:pPr>
            <w:r>
              <w:rPr>
                <w:rFonts w:ascii="Arial" w:eastAsia="宋体" w:hAnsi="Arial" w:cs="Arial"/>
                <w:color w:val="333333"/>
                <w:sz w:val="18"/>
                <w:szCs w:val="18"/>
              </w:rPr>
              <w:t>380 </w:t>
            </w:r>
          </w:p>
        </w:tc>
        <w:tc>
          <w:tcPr>
            <w:tcW w:w="0" w:type="auto"/>
            <w:shd w:val="clear" w:color="auto" w:fill="auto"/>
            <w:tcMar>
              <w:top w:w="40" w:type="dxa"/>
              <w:bottom w:w="40" w:type="dxa"/>
              <w:right w:w="20" w:type="dxa"/>
            </w:tcMar>
            <w:vAlign w:val="bottom"/>
          </w:tcPr>
          <w:p w14:paraId="20AE3215"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3216"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3217" w14:textId="77777777" w:rsidR="00B626E7" w:rsidRDefault="00175C1D">
            <w:pPr>
              <w:jc w:val="right"/>
              <w:textAlignment w:val="bottom"/>
            </w:pPr>
            <w:r>
              <w:rPr>
                <w:rFonts w:ascii="Arial" w:eastAsia="宋体" w:hAnsi="Arial" w:cs="Arial"/>
                <w:color w:val="026DCE"/>
                <w:sz w:val="18"/>
                <w:szCs w:val="18"/>
              </w:rPr>
              <w:t>150 </w:t>
            </w:r>
          </w:p>
        </w:tc>
        <w:tc>
          <w:tcPr>
            <w:tcW w:w="0" w:type="auto"/>
            <w:shd w:val="clear" w:color="auto" w:fill="auto"/>
            <w:tcMar>
              <w:top w:w="40" w:type="dxa"/>
              <w:bottom w:w="40" w:type="dxa"/>
              <w:right w:w="20" w:type="dxa"/>
            </w:tcMar>
            <w:vAlign w:val="bottom"/>
          </w:tcPr>
          <w:p w14:paraId="20AE3218"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3219"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321A" w14:textId="77777777" w:rsidR="00B626E7" w:rsidRDefault="00175C1D">
            <w:pPr>
              <w:jc w:val="right"/>
              <w:textAlignment w:val="bottom"/>
            </w:pPr>
            <w:r>
              <w:rPr>
                <w:rFonts w:ascii="Arial" w:eastAsia="宋体" w:hAnsi="Arial" w:cs="Arial"/>
                <w:color w:val="333333"/>
                <w:sz w:val="18"/>
                <w:szCs w:val="18"/>
              </w:rPr>
              <w:t>576 </w:t>
            </w:r>
          </w:p>
        </w:tc>
        <w:tc>
          <w:tcPr>
            <w:tcW w:w="0" w:type="auto"/>
            <w:shd w:val="clear" w:color="auto" w:fill="auto"/>
            <w:tcMar>
              <w:top w:w="40" w:type="dxa"/>
              <w:bottom w:w="40" w:type="dxa"/>
              <w:right w:w="20" w:type="dxa"/>
            </w:tcMar>
            <w:vAlign w:val="bottom"/>
          </w:tcPr>
          <w:p w14:paraId="20AE321B" w14:textId="77777777" w:rsidR="00B626E7" w:rsidRDefault="00175C1D">
            <w:pPr>
              <w:jc w:val="right"/>
              <w:textAlignment w:val="bottom"/>
            </w:pPr>
            <w:r>
              <w:rPr>
                <w:rFonts w:ascii="Arial" w:eastAsia="宋体" w:hAnsi="Arial" w:cs="Arial"/>
                <w:color w:val="333333"/>
                <w:sz w:val="18"/>
                <w:szCs w:val="18"/>
              </w:rPr>
              <w:t> </w:t>
            </w:r>
          </w:p>
        </w:tc>
      </w:tr>
      <w:tr w:rsidR="00B626E7" w14:paraId="20AE322E" w14:textId="77777777">
        <w:tc>
          <w:tcPr>
            <w:tcW w:w="0" w:type="auto"/>
            <w:gridSpan w:val="3"/>
            <w:shd w:val="clear" w:color="auto" w:fill="auto"/>
            <w:tcMar>
              <w:top w:w="40" w:type="dxa"/>
              <w:left w:w="20" w:type="dxa"/>
              <w:bottom w:w="40" w:type="dxa"/>
              <w:right w:w="20" w:type="dxa"/>
            </w:tcMar>
            <w:vAlign w:val="bottom"/>
          </w:tcPr>
          <w:p w14:paraId="20AE321D" w14:textId="77777777" w:rsidR="00B626E7" w:rsidRDefault="00175C1D">
            <w:pPr>
              <w:textAlignment w:val="bottom"/>
            </w:pPr>
            <w:r>
              <w:rPr>
                <w:rFonts w:ascii="Arial" w:eastAsia="宋体" w:hAnsi="Arial" w:cs="Arial"/>
                <w:b/>
                <w:bCs/>
                <w:color w:val="333333"/>
                <w:sz w:val="18"/>
                <w:szCs w:val="18"/>
              </w:rPr>
              <w:t>Gains (losses) on equity investments, net</w:t>
            </w:r>
          </w:p>
        </w:tc>
        <w:tc>
          <w:tcPr>
            <w:tcW w:w="0" w:type="auto"/>
            <w:gridSpan w:val="3"/>
            <w:shd w:val="clear" w:color="auto" w:fill="auto"/>
            <w:tcMar>
              <w:left w:w="20" w:type="dxa"/>
              <w:right w:w="20" w:type="dxa"/>
            </w:tcMar>
            <w:vAlign w:val="bottom"/>
          </w:tcPr>
          <w:p w14:paraId="20AE321E" w14:textId="77777777" w:rsidR="00B626E7" w:rsidRDefault="00B626E7">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20AE321F" w14:textId="77777777" w:rsidR="00B626E7" w:rsidRDefault="00175C1D">
            <w:pPr>
              <w:textAlignment w:val="bottom"/>
            </w:pPr>
            <w:r>
              <w:rPr>
                <w:rFonts w:ascii="Arial" w:eastAsia="宋体" w:hAnsi="Arial" w:cs="Arial"/>
                <w:b/>
                <w:bCs/>
                <w:color w:val="026DCE"/>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20AE3220" w14:textId="77777777" w:rsidR="00B626E7" w:rsidRDefault="00175C1D">
            <w:pPr>
              <w:jc w:val="right"/>
              <w:textAlignment w:val="bottom"/>
            </w:pPr>
            <w:r>
              <w:rPr>
                <w:rFonts w:ascii="Arial" w:eastAsia="宋体" w:hAnsi="Arial" w:cs="Arial"/>
                <w:b/>
                <w:bCs/>
                <w:color w:val="026DCE"/>
                <w:sz w:val="18"/>
                <w:szCs w:val="18"/>
              </w:rPr>
              <w:t>267 </w:t>
            </w:r>
          </w:p>
        </w:tc>
        <w:tc>
          <w:tcPr>
            <w:tcW w:w="0" w:type="auto"/>
            <w:tcBorders>
              <w:top w:val="single" w:sz="8" w:space="0" w:color="333333"/>
            </w:tcBorders>
            <w:shd w:val="clear" w:color="auto" w:fill="auto"/>
            <w:tcMar>
              <w:top w:w="40" w:type="dxa"/>
              <w:bottom w:w="40" w:type="dxa"/>
              <w:right w:w="20" w:type="dxa"/>
            </w:tcMar>
            <w:vAlign w:val="bottom"/>
          </w:tcPr>
          <w:p w14:paraId="20AE3221"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3222" w14:textId="77777777" w:rsidR="00B626E7" w:rsidRDefault="00B626E7">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20AE3223"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20AE3224" w14:textId="77777777" w:rsidR="00B626E7" w:rsidRDefault="00175C1D">
            <w:pPr>
              <w:jc w:val="right"/>
              <w:textAlignment w:val="bottom"/>
            </w:pPr>
            <w:r>
              <w:rPr>
                <w:rFonts w:ascii="Arial" w:eastAsia="宋体" w:hAnsi="Arial" w:cs="Arial"/>
                <w:b/>
                <w:bCs/>
                <w:color w:val="333333"/>
                <w:sz w:val="18"/>
                <w:szCs w:val="18"/>
              </w:rPr>
              <w:t>170 </w:t>
            </w:r>
          </w:p>
        </w:tc>
        <w:tc>
          <w:tcPr>
            <w:tcW w:w="0" w:type="auto"/>
            <w:tcBorders>
              <w:top w:val="single" w:sz="8" w:space="0" w:color="333333"/>
            </w:tcBorders>
            <w:shd w:val="clear" w:color="auto" w:fill="auto"/>
            <w:tcMar>
              <w:top w:w="40" w:type="dxa"/>
              <w:bottom w:w="40" w:type="dxa"/>
              <w:right w:w="20" w:type="dxa"/>
            </w:tcMar>
            <w:vAlign w:val="bottom"/>
          </w:tcPr>
          <w:p w14:paraId="20AE3225"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3226" w14:textId="77777777" w:rsidR="00B626E7" w:rsidRDefault="00B626E7">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20AE3227" w14:textId="77777777" w:rsidR="00B626E7" w:rsidRDefault="00175C1D">
            <w:pPr>
              <w:textAlignment w:val="bottom"/>
            </w:pPr>
            <w:r>
              <w:rPr>
                <w:rFonts w:ascii="Arial" w:eastAsia="宋体" w:hAnsi="Arial" w:cs="Arial"/>
                <w:b/>
                <w:bCs/>
                <w:color w:val="026DCE"/>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20AE3228" w14:textId="77777777" w:rsidR="00B626E7" w:rsidRDefault="00175C1D">
            <w:pPr>
              <w:jc w:val="right"/>
              <w:textAlignment w:val="bottom"/>
            </w:pPr>
            <w:r>
              <w:rPr>
                <w:rFonts w:ascii="Arial" w:eastAsia="宋体" w:hAnsi="Arial" w:cs="Arial"/>
                <w:b/>
                <w:bCs/>
                <w:color w:val="026DCE"/>
                <w:sz w:val="18"/>
                <w:szCs w:val="18"/>
              </w:rPr>
              <w:t>156 </w:t>
            </w:r>
          </w:p>
        </w:tc>
        <w:tc>
          <w:tcPr>
            <w:tcW w:w="0" w:type="auto"/>
            <w:tcBorders>
              <w:top w:val="single" w:sz="8" w:space="0" w:color="333333"/>
            </w:tcBorders>
            <w:shd w:val="clear" w:color="auto" w:fill="auto"/>
            <w:tcMar>
              <w:top w:w="40" w:type="dxa"/>
              <w:bottom w:w="40" w:type="dxa"/>
              <w:right w:w="20" w:type="dxa"/>
            </w:tcMar>
            <w:vAlign w:val="bottom"/>
          </w:tcPr>
          <w:p w14:paraId="20AE3229"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322A" w14:textId="77777777" w:rsidR="00B626E7" w:rsidRDefault="00B626E7">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20AE322B"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20AE322C" w14:textId="77777777" w:rsidR="00B626E7" w:rsidRDefault="00175C1D">
            <w:pPr>
              <w:jc w:val="right"/>
              <w:textAlignment w:val="bottom"/>
            </w:pPr>
            <w:r>
              <w:rPr>
                <w:rFonts w:ascii="Arial" w:eastAsia="宋体" w:hAnsi="Arial" w:cs="Arial"/>
                <w:b/>
                <w:bCs/>
                <w:color w:val="333333"/>
                <w:sz w:val="18"/>
                <w:szCs w:val="18"/>
              </w:rPr>
              <w:t>604 </w:t>
            </w:r>
          </w:p>
        </w:tc>
        <w:tc>
          <w:tcPr>
            <w:tcW w:w="0" w:type="auto"/>
            <w:tcBorders>
              <w:top w:val="single" w:sz="8" w:space="0" w:color="333333"/>
            </w:tcBorders>
            <w:shd w:val="clear" w:color="auto" w:fill="auto"/>
            <w:tcMar>
              <w:top w:w="40" w:type="dxa"/>
              <w:bottom w:w="40" w:type="dxa"/>
              <w:right w:w="20" w:type="dxa"/>
            </w:tcMar>
            <w:vAlign w:val="bottom"/>
          </w:tcPr>
          <w:p w14:paraId="20AE322D" w14:textId="77777777" w:rsidR="00B626E7" w:rsidRDefault="00175C1D">
            <w:pPr>
              <w:jc w:val="right"/>
              <w:textAlignment w:val="bottom"/>
            </w:pPr>
            <w:r>
              <w:rPr>
                <w:rFonts w:ascii="Arial" w:eastAsia="宋体" w:hAnsi="Arial" w:cs="Arial"/>
                <w:b/>
                <w:bCs/>
                <w:color w:val="333333"/>
                <w:sz w:val="18"/>
                <w:szCs w:val="18"/>
              </w:rPr>
              <w:t> </w:t>
            </w:r>
          </w:p>
        </w:tc>
      </w:tr>
      <w:tr w:rsidR="00B626E7" w14:paraId="20AE3238" w14:textId="77777777">
        <w:trPr>
          <w:trHeight w:val="60"/>
        </w:trPr>
        <w:tc>
          <w:tcPr>
            <w:tcW w:w="0" w:type="auto"/>
            <w:gridSpan w:val="3"/>
            <w:shd w:val="clear" w:color="auto" w:fill="auto"/>
            <w:tcMar>
              <w:left w:w="20" w:type="dxa"/>
              <w:right w:w="20" w:type="dxa"/>
            </w:tcMar>
            <w:vAlign w:val="bottom"/>
          </w:tcPr>
          <w:p w14:paraId="20AE322F"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230" w14:textId="77777777" w:rsidR="00B626E7" w:rsidRDefault="00B626E7">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20AE3231"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232" w14:textId="77777777" w:rsidR="00B626E7" w:rsidRDefault="00B626E7">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20AE3233"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234" w14:textId="77777777" w:rsidR="00B626E7" w:rsidRDefault="00B626E7">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20AE3235"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236" w14:textId="77777777" w:rsidR="00B626E7" w:rsidRDefault="00B626E7">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20AE3237" w14:textId="77777777" w:rsidR="00B626E7" w:rsidRDefault="00B626E7">
            <w:pPr>
              <w:rPr>
                <w:rFonts w:ascii="宋体"/>
              </w:rPr>
            </w:pPr>
          </w:p>
        </w:tc>
      </w:tr>
      <w:tr w:rsidR="00B626E7" w14:paraId="20AE324A" w14:textId="77777777">
        <w:tc>
          <w:tcPr>
            <w:tcW w:w="0" w:type="auto"/>
            <w:gridSpan w:val="3"/>
            <w:shd w:val="clear" w:color="auto" w:fill="auto"/>
            <w:tcMar>
              <w:top w:w="40" w:type="dxa"/>
              <w:left w:w="20" w:type="dxa"/>
              <w:bottom w:w="40" w:type="dxa"/>
              <w:right w:w="20" w:type="dxa"/>
            </w:tcMar>
            <w:vAlign w:val="bottom"/>
          </w:tcPr>
          <w:p w14:paraId="20AE3239" w14:textId="77777777" w:rsidR="00B626E7" w:rsidRDefault="00175C1D">
            <w:pPr>
              <w:ind w:hanging="180"/>
              <w:textAlignment w:val="bottom"/>
            </w:pPr>
            <w:r>
              <w:rPr>
                <w:rFonts w:ascii="Arial" w:eastAsia="宋体" w:hAnsi="Arial" w:cs="Arial"/>
                <w:b/>
                <w:bCs/>
                <w:color w:val="333333"/>
                <w:sz w:val="18"/>
                <w:szCs w:val="18"/>
              </w:rPr>
              <w:t>Interest and other, net</w:t>
            </w:r>
          </w:p>
        </w:tc>
        <w:tc>
          <w:tcPr>
            <w:tcW w:w="0" w:type="auto"/>
            <w:gridSpan w:val="3"/>
            <w:shd w:val="clear" w:color="auto" w:fill="auto"/>
            <w:tcMar>
              <w:left w:w="20" w:type="dxa"/>
              <w:right w:w="20" w:type="dxa"/>
            </w:tcMar>
            <w:vAlign w:val="bottom"/>
          </w:tcPr>
          <w:p w14:paraId="20AE323A"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323B" w14:textId="77777777" w:rsidR="00B626E7" w:rsidRDefault="00175C1D">
            <w:pPr>
              <w:textAlignment w:val="bottom"/>
            </w:pPr>
            <w:r>
              <w:rPr>
                <w:rFonts w:ascii="Arial" w:eastAsia="宋体" w:hAnsi="Arial" w:cs="Arial"/>
                <w:b/>
                <w:bCs/>
                <w:color w:val="026DCE"/>
                <w:sz w:val="18"/>
                <w:szCs w:val="18"/>
              </w:rPr>
              <w:t>$</w:t>
            </w:r>
          </w:p>
        </w:tc>
        <w:tc>
          <w:tcPr>
            <w:tcW w:w="0" w:type="auto"/>
            <w:shd w:val="clear" w:color="auto" w:fill="auto"/>
            <w:tcMar>
              <w:top w:w="40" w:type="dxa"/>
              <w:bottom w:w="40" w:type="dxa"/>
              <w:right w:w="0" w:type="dxa"/>
            </w:tcMar>
            <w:vAlign w:val="bottom"/>
          </w:tcPr>
          <w:p w14:paraId="20AE323C" w14:textId="77777777" w:rsidR="00B626E7" w:rsidRDefault="00175C1D">
            <w:pPr>
              <w:jc w:val="right"/>
              <w:textAlignment w:val="bottom"/>
            </w:pPr>
            <w:r>
              <w:rPr>
                <w:rFonts w:ascii="Arial" w:eastAsia="宋体" w:hAnsi="Arial" w:cs="Arial"/>
                <w:b/>
                <w:bCs/>
                <w:color w:val="026DCE"/>
                <w:sz w:val="18"/>
                <w:szCs w:val="18"/>
              </w:rPr>
              <w:t>(29)</w:t>
            </w:r>
          </w:p>
        </w:tc>
        <w:tc>
          <w:tcPr>
            <w:tcW w:w="0" w:type="auto"/>
            <w:shd w:val="clear" w:color="auto" w:fill="auto"/>
            <w:tcMar>
              <w:top w:w="40" w:type="dxa"/>
              <w:bottom w:w="40" w:type="dxa"/>
              <w:right w:w="20" w:type="dxa"/>
            </w:tcMar>
            <w:vAlign w:val="bottom"/>
          </w:tcPr>
          <w:p w14:paraId="20AE323D" w14:textId="77777777" w:rsidR="00B626E7" w:rsidRDefault="00175C1D">
            <w:pPr>
              <w:jc w:val="right"/>
              <w:textAlignment w:val="bottom"/>
            </w:pPr>
            <w:r>
              <w:rPr>
                <w:rFonts w:ascii="Arial" w:eastAsia="宋体" w:hAnsi="Arial" w:cs="Arial"/>
                <w:b/>
                <w:bCs/>
                <w:color w:val="026DCE"/>
                <w:sz w:val="18"/>
                <w:szCs w:val="18"/>
              </w:rPr>
              <w:t> </w:t>
            </w:r>
          </w:p>
        </w:tc>
        <w:tc>
          <w:tcPr>
            <w:tcW w:w="0" w:type="auto"/>
            <w:gridSpan w:val="3"/>
            <w:shd w:val="clear" w:color="auto" w:fill="auto"/>
            <w:tcMar>
              <w:left w:w="20" w:type="dxa"/>
              <w:right w:w="20" w:type="dxa"/>
            </w:tcMar>
            <w:vAlign w:val="bottom"/>
          </w:tcPr>
          <w:p w14:paraId="20AE323E"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323F" w14:textId="77777777" w:rsidR="00B626E7" w:rsidRDefault="00175C1D">
            <w:pPr>
              <w:textAlignment w:val="bottom"/>
            </w:pPr>
            <w:r>
              <w:rPr>
                <w:rFonts w:ascii="Arial" w:eastAsia="宋体" w:hAnsi="Arial" w:cs="Arial"/>
                <w:b/>
                <w:bCs/>
                <w:color w:val="333333"/>
                <w:sz w:val="18"/>
                <w:szCs w:val="18"/>
              </w:rPr>
              <w:t>$</w:t>
            </w:r>
          </w:p>
        </w:tc>
        <w:tc>
          <w:tcPr>
            <w:tcW w:w="0" w:type="auto"/>
            <w:shd w:val="clear" w:color="auto" w:fill="auto"/>
            <w:tcMar>
              <w:top w:w="40" w:type="dxa"/>
              <w:bottom w:w="40" w:type="dxa"/>
              <w:right w:w="0" w:type="dxa"/>
            </w:tcMar>
            <w:vAlign w:val="bottom"/>
          </w:tcPr>
          <w:p w14:paraId="20AE3240" w14:textId="77777777" w:rsidR="00B626E7" w:rsidRDefault="00175C1D">
            <w:pPr>
              <w:jc w:val="right"/>
              <w:textAlignment w:val="bottom"/>
            </w:pPr>
            <w:r>
              <w:rPr>
                <w:rFonts w:ascii="Arial" w:eastAsia="宋体" w:hAnsi="Arial" w:cs="Arial"/>
                <w:b/>
                <w:bCs/>
                <w:color w:val="333333"/>
                <w:sz w:val="18"/>
                <w:szCs w:val="18"/>
              </w:rPr>
              <w:t>(63)</w:t>
            </w:r>
          </w:p>
        </w:tc>
        <w:tc>
          <w:tcPr>
            <w:tcW w:w="0" w:type="auto"/>
            <w:shd w:val="clear" w:color="auto" w:fill="auto"/>
            <w:tcMar>
              <w:top w:w="40" w:type="dxa"/>
              <w:bottom w:w="40" w:type="dxa"/>
              <w:right w:w="20" w:type="dxa"/>
            </w:tcMar>
            <w:vAlign w:val="bottom"/>
          </w:tcPr>
          <w:p w14:paraId="20AE3241"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3242"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3243" w14:textId="77777777" w:rsidR="00B626E7" w:rsidRDefault="00175C1D">
            <w:pPr>
              <w:textAlignment w:val="bottom"/>
            </w:pPr>
            <w:r>
              <w:rPr>
                <w:rFonts w:ascii="Arial" w:eastAsia="宋体" w:hAnsi="Arial" w:cs="Arial"/>
                <w:b/>
                <w:bCs/>
                <w:color w:val="333333"/>
                <w:sz w:val="18"/>
                <w:szCs w:val="18"/>
              </w:rPr>
              <w:t>$</w:t>
            </w:r>
          </w:p>
        </w:tc>
        <w:tc>
          <w:tcPr>
            <w:tcW w:w="0" w:type="auto"/>
            <w:shd w:val="clear" w:color="auto" w:fill="auto"/>
            <w:tcMar>
              <w:top w:w="40" w:type="dxa"/>
              <w:bottom w:w="40" w:type="dxa"/>
              <w:right w:w="0" w:type="dxa"/>
            </w:tcMar>
            <w:vAlign w:val="bottom"/>
          </w:tcPr>
          <w:p w14:paraId="20AE3244" w14:textId="77777777" w:rsidR="00B626E7" w:rsidRDefault="00175C1D">
            <w:pPr>
              <w:jc w:val="right"/>
              <w:textAlignment w:val="bottom"/>
            </w:pPr>
            <w:r>
              <w:rPr>
                <w:rFonts w:ascii="Arial" w:eastAsia="宋体" w:hAnsi="Arial" w:cs="Arial"/>
                <w:b/>
                <w:bCs/>
                <w:color w:val="333333"/>
                <w:sz w:val="18"/>
                <w:szCs w:val="18"/>
              </w:rPr>
              <w:t>(342)</w:t>
            </w:r>
          </w:p>
        </w:tc>
        <w:tc>
          <w:tcPr>
            <w:tcW w:w="0" w:type="auto"/>
            <w:shd w:val="clear" w:color="auto" w:fill="auto"/>
            <w:tcMar>
              <w:top w:w="40" w:type="dxa"/>
              <w:bottom w:w="40" w:type="dxa"/>
              <w:right w:w="20" w:type="dxa"/>
            </w:tcMar>
            <w:vAlign w:val="bottom"/>
          </w:tcPr>
          <w:p w14:paraId="20AE3245" w14:textId="77777777" w:rsidR="00B626E7" w:rsidRDefault="00175C1D">
            <w:pPr>
              <w:jc w:val="right"/>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20AE3246"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3247" w14:textId="77777777" w:rsidR="00B626E7" w:rsidRDefault="00175C1D">
            <w:pPr>
              <w:textAlignment w:val="bottom"/>
            </w:pPr>
            <w:r>
              <w:rPr>
                <w:rFonts w:ascii="Arial" w:eastAsia="宋体" w:hAnsi="Arial" w:cs="Arial"/>
                <w:b/>
                <w:bCs/>
                <w:color w:val="333333"/>
                <w:sz w:val="18"/>
                <w:szCs w:val="18"/>
              </w:rPr>
              <w:t>$</w:t>
            </w:r>
          </w:p>
        </w:tc>
        <w:tc>
          <w:tcPr>
            <w:tcW w:w="0" w:type="auto"/>
            <w:shd w:val="clear" w:color="auto" w:fill="auto"/>
            <w:tcMar>
              <w:top w:w="40" w:type="dxa"/>
              <w:bottom w:w="40" w:type="dxa"/>
              <w:right w:w="0" w:type="dxa"/>
            </w:tcMar>
            <w:vAlign w:val="bottom"/>
          </w:tcPr>
          <w:p w14:paraId="20AE3248" w14:textId="77777777" w:rsidR="00B626E7" w:rsidRDefault="00175C1D">
            <w:pPr>
              <w:jc w:val="right"/>
              <w:textAlignment w:val="bottom"/>
            </w:pPr>
            <w:r>
              <w:rPr>
                <w:rFonts w:ascii="Arial" w:eastAsia="宋体" w:hAnsi="Arial" w:cs="Arial"/>
                <w:b/>
                <w:bCs/>
                <w:color w:val="333333"/>
                <w:sz w:val="18"/>
                <w:szCs w:val="18"/>
              </w:rPr>
              <w:t>(124)</w:t>
            </w:r>
          </w:p>
        </w:tc>
        <w:tc>
          <w:tcPr>
            <w:tcW w:w="0" w:type="auto"/>
            <w:shd w:val="clear" w:color="auto" w:fill="auto"/>
            <w:tcMar>
              <w:top w:w="40" w:type="dxa"/>
              <w:bottom w:w="40" w:type="dxa"/>
              <w:right w:w="20" w:type="dxa"/>
            </w:tcMar>
            <w:vAlign w:val="bottom"/>
          </w:tcPr>
          <w:p w14:paraId="20AE3249" w14:textId="77777777" w:rsidR="00B626E7" w:rsidRDefault="00175C1D">
            <w:pPr>
              <w:jc w:val="right"/>
              <w:textAlignment w:val="bottom"/>
            </w:pPr>
            <w:r>
              <w:rPr>
                <w:rFonts w:ascii="Arial" w:eastAsia="宋体" w:hAnsi="Arial" w:cs="Arial"/>
                <w:b/>
                <w:bCs/>
                <w:color w:val="333333"/>
                <w:sz w:val="18"/>
                <w:szCs w:val="18"/>
              </w:rPr>
              <w:t> </w:t>
            </w:r>
          </w:p>
        </w:tc>
      </w:tr>
    </w:tbl>
    <w:p w14:paraId="20AE324B" w14:textId="77777777" w:rsidR="00B626E7" w:rsidRDefault="00175C1D">
      <w:pPr>
        <w:spacing w:before="300" w:after="120"/>
      </w:pPr>
      <w:r>
        <w:rPr>
          <w:rFonts w:ascii="Arial" w:eastAsia="宋体" w:hAnsi="Arial" w:cs="Arial"/>
          <w:b/>
          <w:bCs/>
          <w:color w:val="333333"/>
          <w:sz w:val="20"/>
          <w:szCs w:val="20"/>
        </w:rPr>
        <w:t>Gains (losses) on equity investments, net</w:t>
      </w:r>
    </w:p>
    <w:p w14:paraId="20AE324C" w14:textId="77777777" w:rsidR="00B626E7" w:rsidRDefault="00175C1D">
      <w:pPr>
        <w:spacing w:after="180"/>
      </w:pPr>
      <w:r>
        <w:rPr>
          <w:rFonts w:ascii="Arial" w:eastAsia="宋体" w:hAnsi="Arial" w:cs="Arial"/>
          <w:color w:val="333333"/>
          <w:sz w:val="18"/>
          <w:szCs w:val="18"/>
        </w:rPr>
        <w:t>Ongoing mark-to-market adjustments during the first six months of 2020 were primarily related to our interest in Cloudera Inc. (Cloudera). During the first six mo</w:t>
      </w:r>
      <w:r>
        <w:rPr>
          <w:rFonts w:ascii="Arial" w:eastAsia="宋体" w:hAnsi="Arial" w:cs="Arial"/>
          <w:color w:val="333333"/>
          <w:sz w:val="18"/>
          <w:szCs w:val="18"/>
        </w:rPr>
        <w:t xml:space="preserve">nths of 2019, ongoing mark-to-market adjustments were primarily driven by our interests in ASML Holdings N.V. and Cloudera. </w:t>
      </w:r>
    </w:p>
    <w:p w14:paraId="20AE324D" w14:textId="77777777" w:rsidR="00B626E7" w:rsidRDefault="00175C1D">
      <w:pPr>
        <w:spacing w:after="180"/>
      </w:pPr>
      <w:r>
        <w:rPr>
          <w:rFonts w:ascii="Arial" w:eastAsia="宋体" w:hAnsi="Arial" w:cs="Arial"/>
          <w:color w:val="333333"/>
          <w:sz w:val="18"/>
          <w:szCs w:val="18"/>
        </w:rPr>
        <w:t>We recognized higher than historically experienced impairment charges on our non-marketable portfolio in the first six months of 20</w:t>
      </w:r>
      <w:r>
        <w:rPr>
          <w:rFonts w:ascii="Arial" w:eastAsia="宋体" w:hAnsi="Arial" w:cs="Arial"/>
          <w:color w:val="333333"/>
          <w:sz w:val="18"/>
          <w:szCs w:val="18"/>
        </w:rPr>
        <w:t>20 based on our assessment of the impact of recent public and private market volatility and tightening of liquidity.</w:t>
      </w:r>
    </w:p>
    <w:p w14:paraId="20AE324E" w14:textId="77777777" w:rsidR="00B626E7" w:rsidRDefault="00175C1D">
      <w:pPr>
        <w:spacing w:after="180"/>
      </w:pPr>
      <w:r>
        <w:rPr>
          <w:rFonts w:ascii="Arial" w:eastAsia="宋体" w:hAnsi="Arial" w:cs="Arial"/>
          <w:color w:val="333333"/>
          <w:sz w:val="18"/>
          <w:szCs w:val="18"/>
        </w:rPr>
        <w:t>We recognized McAfee dividends of $340 million during Q2 2019 and $494 million during the first six months of 2019.</w:t>
      </w:r>
    </w:p>
    <w:p w14:paraId="20AE324F" w14:textId="77777777" w:rsidR="00B626E7" w:rsidRDefault="00175C1D">
      <w:pPr>
        <w:spacing w:after="120"/>
      </w:pPr>
      <w:r>
        <w:rPr>
          <w:rFonts w:ascii="Arial" w:eastAsia="宋体" w:hAnsi="Arial" w:cs="Arial"/>
          <w:b/>
          <w:bCs/>
          <w:color w:val="333333"/>
          <w:sz w:val="20"/>
          <w:szCs w:val="20"/>
        </w:rPr>
        <w:t>Interest and other, net</w:t>
      </w:r>
    </w:p>
    <w:p w14:paraId="20AE3250" w14:textId="77777777" w:rsidR="00B626E7" w:rsidRDefault="00175C1D">
      <w:pPr>
        <w:spacing w:after="180"/>
      </w:pPr>
      <w:r>
        <w:rPr>
          <w:rFonts w:ascii="Arial" w:eastAsia="宋体" w:hAnsi="Arial" w:cs="Arial"/>
          <w:color w:val="333333"/>
          <w:sz w:val="18"/>
          <w:szCs w:val="18"/>
        </w:rPr>
        <w:t>For the six months ended June 27, 2020, we paid $1.1 billion to satisfy conversion obligations for $372 million of our $2.0 billion 2009 Debentures and recognized a loss of $109 million in interest and other, net and $750 million as a reduction in stockho</w:t>
      </w:r>
      <w:r>
        <w:rPr>
          <w:rFonts w:ascii="Arial" w:eastAsia="宋体" w:hAnsi="Arial" w:cs="Arial"/>
          <w:color w:val="333333"/>
          <w:sz w:val="18"/>
          <w:szCs w:val="18"/>
        </w:rPr>
        <w:t>lders' equity related to the conversion feature. For the six months ended June 29, 2019, we paid $1.0 billion to satisfy conversion obligations for $400 million of our $2.0 billion 2009 Debentures and recognized a loss of $91 million in interest and other,</w:t>
      </w:r>
      <w:r>
        <w:rPr>
          <w:rFonts w:ascii="Arial" w:eastAsia="宋体" w:hAnsi="Arial" w:cs="Arial"/>
          <w:color w:val="333333"/>
          <w:sz w:val="18"/>
          <w:szCs w:val="18"/>
        </w:rPr>
        <w:t xml:space="preserve"> net and $712 million as a reduction in stockholders' equity related to the conversion feature.</w:t>
      </w:r>
    </w:p>
    <w:p w14:paraId="20AE3251" w14:textId="77777777" w:rsidR="00B626E7" w:rsidRDefault="00175C1D">
      <w:pPr>
        <w:spacing w:before="300" w:after="180"/>
      </w:pPr>
      <w:r>
        <w:rPr>
          <w:rFonts w:ascii="Arial" w:eastAsia="宋体" w:hAnsi="Arial" w:cs="Arial"/>
          <w:b/>
          <w:bCs/>
          <w:color w:val="0071C5"/>
          <w:sz w:val="28"/>
          <w:szCs w:val="28"/>
        </w:rPr>
        <w:t>PROVISION FOR TAXES</w:t>
      </w:r>
    </w:p>
    <w:tbl>
      <w:tblPr>
        <w:tblW w:w="5000" w:type="pct"/>
        <w:tblCellMar>
          <w:top w:w="15" w:type="dxa"/>
          <w:left w:w="15" w:type="dxa"/>
          <w:bottom w:w="15" w:type="dxa"/>
          <w:right w:w="15" w:type="dxa"/>
        </w:tblCellMar>
        <w:tblLook w:val="04A0" w:firstRow="1" w:lastRow="0" w:firstColumn="1" w:lastColumn="0" w:noHBand="0" w:noVBand="1"/>
      </w:tblPr>
      <w:tblGrid>
        <w:gridCol w:w="37"/>
        <w:gridCol w:w="3864"/>
        <w:gridCol w:w="36"/>
        <w:gridCol w:w="36"/>
        <w:gridCol w:w="36"/>
        <w:gridCol w:w="36"/>
        <w:gridCol w:w="136"/>
        <w:gridCol w:w="635"/>
        <w:gridCol w:w="196"/>
        <w:gridCol w:w="36"/>
        <w:gridCol w:w="36"/>
        <w:gridCol w:w="36"/>
        <w:gridCol w:w="136"/>
        <w:gridCol w:w="668"/>
        <w:gridCol w:w="196"/>
        <w:gridCol w:w="36"/>
        <w:gridCol w:w="36"/>
        <w:gridCol w:w="36"/>
        <w:gridCol w:w="136"/>
        <w:gridCol w:w="668"/>
        <w:gridCol w:w="196"/>
        <w:gridCol w:w="36"/>
        <w:gridCol w:w="36"/>
        <w:gridCol w:w="36"/>
        <w:gridCol w:w="136"/>
        <w:gridCol w:w="668"/>
        <w:gridCol w:w="196"/>
      </w:tblGrid>
      <w:tr w:rsidR="00B626E7" w14:paraId="20AE326D" w14:textId="77777777">
        <w:tc>
          <w:tcPr>
            <w:tcW w:w="50" w:type="pct"/>
            <w:shd w:val="clear" w:color="auto" w:fill="auto"/>
          </w:tcPr>
          <w:p w14:paraId="20AE3252" w14:textId="77777777" w:rsidR="00B626E7" w:rsidRDefault="00B626E7">
            <w:pPr>
              <w:rPr>
                <w:rFonts w:ascii="宋体"/>
              </w:rPr>
            </w:pPr>
          </w:p>
        </w:tc>
        <w:tc>
          <w:tcPr>
            <w:tcW w:w="2386" w:type="pct"/>
            <w:shd w:val="clear" w:color="auto" w:fill="auto"/>
          </w:tcPr>
          <w:p w14:paraId="20AE3253" w14:textId="77777777" w:rsidR="00B626E7" w:rsidRDefault="00B626E7">
            <w:pPr>
              <w:rPr>
                <w:rFonts w:ascii="宋体"/>
              </w:rPr>
            </w:pPr>
          </w:p>
        </w:tc>
        <w:tc>
          <w:tcPr>
            <w:tcW w:w="50" w:type="pct"/>
            <w:shd w:val="clear" w:color="auto" w:fill="auto"/>
          </w:tcPr>
          <w:p w14:paraId="20AE3254" w14:textId="77777777" w:rsidR="00B626E7" w:rsidRDefault="00B626E7">
            <w:pPr>
              <w:rPr>
                <w:rFonts w:ascii="宋体"/>
              </w:rPr>
            </w:pPr>
          </w:p>
        </w:tc>
        <w:tc>
          <w:tcPr>
            <w:tcW w:w="5" w:type="pct"/>
            <w:shd w:val="clear" w:color="auto" w:fill="auto"/>
          </w:tcPr>
          <w:p w14:paraId="20AE3255" w14:textId="77777777" w:rsidR="00B626E7" w:rsidRDefault="00B626E7">
            <w:pPr>
              <w:rPr>
                <w:rFonts w:ascii="宋体"/>
              </w:rPr>
            </w:pPr>
          </w:p>
        </w:tc>
        <w:tc>
          <w:tcPr>
            <w:tcW w:w="24" w:type="pct"/>
            <w:shd w:val="clear" w:color="auto" w:fill="auto"/>
          </w:tcPr>
          <w:p w14:paraId="20AE3256" w14:textId="77777777" w:rsidR="00B626E7" w:rsidRDefault="00B626E7">
            <w:pPr>
              <w:rPr>
                <w:rFonts w:ascii="宋体"/>
              </w:rPr>
            </w:pPr>
          </w:p>
        </w:tc>
        <w:tc>
          <w:tcPr>
            <w:tcW w:w="5" w:type="pct"/>
            <w:shd w:val="clear" w:color="auto" w:fill="auto"/>
          </w:tcPr>
          <w:p w14:paraId="20AE3257" w14:textId="77777777" w:rsidR="00B626E7" w:rsidRDefault="00B626E7">
            <w:pPr>
              <w:rPr>
                <w:rFonts w:ascii="宋体"/>
              </w:rPr>
            </w:pPr>
          </w:p>
        </w:tc>
        <w:tc>
          <w:tcPr>
            <w:tcW w:w="50" w:type="pct"/>
            <w:shd w:val="clear" w:color="auto" w:fill="auto"/>
          </w:tcPr>
          <w:p w14:paraId="20AE3258" w14:textId="77777777" w:rsidR="00B626E7" w:rsidRDefault="00B626E7">
            <w:pPr>
              <w:rPr>
                <w:rFonts w:ascii="宋体"/>
              </w:rPr>
            </w:pPr>
          </w:p>
        </w:tc>
        <w:tc>
          <w:tcPr>
            <w:tcW w:w="494" w:type="pct"/>
            <w:shd w:val="clear" w:color="auto" w:fill="auto"/>
          </w:tcPr>
          <w:p w14:paraId="20AE3259" w14:textId="77777777" w:rsidR="00B626E7" w:rsidRDefault="00B626E7">
            <w:pPr>
              <w:rPr>
                <w:rFonts w:ascii="宋体"/>
              </w:rPr>
            </w:pPr>
          </w:p>
        </w:tc>
        <w:tc>
          <w:tcPr>
            <w:tcW w:w="50" w:type="pct"/>
            <w:shd w:val="clear" w:color="auto" w:fill="auto"/>
          </w:tcPr>
          <w:p w14:paraId="20AE325A" w14:textId="77777777" w:rsidR="00B626E7" w:rsidRDefault="00B626E7">
            <w:pPr>
              <w:rPr>
                <w:rFonts w:ascii="宋体"/>
              </w:rPr>
            </w:pPr>
          </w:p>
        </w:tc>
        <w:tc>
          <w:tcPr>
            <w:tcW w:w="5" w:type="pct"/>
            <w:shd w:val="clear" w:color="auto" w:fill="auto"/>
          </w:tcPr>
          <w:p w14:paraId="20AE325B" w14:textId="77777777" w:rsidR="00B626E7" w:rsidRDefault="00B626E7">
            <w:pPr>
              <w:rPr>
                <w:rFonts w:ascii="宋体"/>
              </w:rPr>
            </w:pPr>
          </w:p>
        </w:tc>
        <w:tc>
          <w:tcPr>
            <w:tcW w:w="24" w:type="pct"/>
            <w:shd w:val="clear" w:color="auto" w:fill="auto"/>
          </w:tcPr>
          <w:p w14:paraId="20AE325C" w14:textId="77777777" w:rsidR="00B626E7" w:rsidRDefault="00B626E7">
            <w:pPr>
              <w:rPr>
                <w:rFonts w:ascii="宋体"/>
              </w:rPr>
            </w:pPr>
          </w:p>
        </w:tc>
        <w:tc>
          <w:tcPr>
            <w:tcW w:w="5" w:type="pct"/>
            <w:shd w:val="clear" w:color="auto" w:fill="auto"/>
          </w:tcPr>
          <w:p w14:paraId="20AE325D" w14:textId="77777777" w:rsidR="00B626E7" w:rsidRDefault="00B626E7">
            <w:pPr>
              <w:rPr>
                <w:rFonts w:ascii="宋体"/>
              </w:rPr>
            </w:pPr>
          </w:p>
        </w:tc>
        <w:tc>
          <w:tcPr>
            <w:tcW w:w="50" w:type="pct"/>
            <w:shd w:val="clear" w:color="auto" w:fill="auto"/>
          </w:tcPr>
          <w:p w14:paraId="20AE325E" w14:textId="77777777" w:rsidR="00B626E7" w:rsidRDefault="00B626E7">
            <w:pPr>
              <w:rPr>
                <w:rFonts w:ascii="宋体"/>
              </w:rPr>
            </w:pPr>
          </w:p>
        </w:tc>
        <w:tc>
          <w:tcPr>
            <w:tcW w:w="494" w:type="pct"/>
            <w:shd w:val="clear" w:color="auto" w:fill="auto"/>
          </w:tcPr>
          <w:p w14:paraId="20AE325F" w14:textId="77777777" w:rsidR="00B626E7" w:rsidRDefault="00B626E7">
            <w:pPr>
              <w:rPr>
                <w:rFonts w:ascii="宋体"/>
              </w:rPr>
            </w:pPr>
          </w:p>
        </w:tc>
        <w:tc>
          <w:tcPr>
            <w:tcW w:w="50" w:type="pct"/>
            <w:shd w:val="clear" w:color="auto" w:fill="auto"/>
          </w:tcPr>
          <w:p w14:paraId="20AE3260" w14:textId="77777777" w:rsidR="00B626E7" w:rsidRDefault="00B626E7">
            <w:pPr>
              <w:rPr>
                <w:rFonts w:ascii="宋体"/>
              </w:rPr>
            </w:pPr>
          </w:p>
        </w:tc>
        <w:tc>
          <w:tcPr>
            <w:tcW w:w="5" w:type="pct"/>
            <w:shd w:val="clear" w:color="auto" w:fill="auto"/>
          </w:tcPr>
          <w:p w14:paraId="20AE3261" w14:textId="77777777" w:rsidR="00B626E7" w:rsidRDefault="00B626E7">
            <w:pPr>
              <w:rPr>
                <w:rFonts w:ascii="宋体"/>
              </w:rPr>
            </w:pPr>
          </w:p>
        </w:tc>
        <w:tc>
          <w:tcPr>
            <w:tcW w:w="24" w:type="pct"/>
            <w:shd w:val="clear" w:color="auto" w:fill="auto"/>
          </w:tcPr>
          <w:p w14:paraId="20AE3262" w14:textId="77777777" w:rsidR="00B626E7" w:rsidRDefault="00B626E7">
            <w:pPr>
              <w:rPr>
                <w:rFonts w:ascii="宋体"/>
              </w:rPr>
            </w:pPr>
          </w:p>
        </w:tc>
        <w:tc>
          <w:tcPr>
            <w:tcW w:w="5" w:type="pct"/>
            <w:shd w:val="clear" w:color="auto" w:fill="auto"/>
          </w:tcPr>
          <w:p w14:paraId="20AE3263" w14:textId="77777777" w:rsidR="00B626E7" w:rsidRDefault="00B626E7">
            <w:pPr>
              <w:rPr>
                <w:rFonts w:ascii="宋体"/>
              </w:rPr>
            </w:pPr>
          </w:p>
        </w:tc>
        <w:tc>
          <w:tcPr>
            <w:tcW w:w="50" w:type="pct"/>
            <w:shd w:val="clear" w:color="auto" w:fill="auto"/>
          </w:tcPr>
          <w:p w14:paraId="20AE3264" w14:textId="77777777" w:rsidR="00B626E7" w:rsidRDefault="00B626E7">
            <w:pPr>
              <w:rPr>
                <w:rFonts w:ascii="宋体"/>
              </w:rPr>
            </w:pPr>
          </w:p>
        </w:tc>
        <w:tc>
          <w:tcPr>
            <w:tcW w:w="494" w:type="pct"/>
            <w:shd w:val="clear" w:color="auto" w:fill="auto"/>
          </w:tcPr>
          <w:p w14:paraId="20AE3265" w14:textId="77777777" w:rsidR="00B626E7" w:rsidRDefault="00B626E7">
            <w:pPr>
              <w:rPr>
                <w:rFonts w:ascii="宋体"/>
              </w:rPr>
            </w:pPr>
          </w:p>
        </w:tc>
        <w:tc>
          <w:tcPr>
            <w:tcW w:w="50" w:type="pct"/>
            <w:shd w:val="clear" w:color="auto" w:fill="auto"/>
          </w:tcPr>
          <w:p w14:paraId="20AE3266" w14:textId="77777777" w:rsidR="00B626E7" w:rsidRDefault="00B626E7">
            <w:pPr>
              <w:rPr>
                <w:rFonts w:ascii="宋体"/>
              </w:rPr>
            </w:pPr>
          </w:p>
        </w:tc>
        <w:tc>
          <w:tcPr>
            <w:tcW w:w="5" w:type="pct"/>
            <w:shd w:val="clear" w:color="auto" w:fill="auto"/>
          </w:tcPr>
          <w:p w14:paraId="20AE3267" w14:textId="77777777" w:rsidR="00B626E7" w:rsidRDefault="00B626E7">
            <w:pPr>
              <w:rPr>
                <w:rFonts w:ascii="宋体"/>
              </w:rPr>
            </w:pPr>
          </w:p>
        </w:tc>
        <w:tc>
          <w:tcPr>
            <w:tcW w:w="24" w:type="pct"/>
            <w:shd w:val="clear" w:color="auto" w:fill="auto"/>
          </w:tcPr>
          <w:p w14:paraId="20AE3268" w14:textId="77777777" w:rsidR="00B626E7" w:rsidRDefault="00B626E7">
            <w:pPr>
              <w:rPr>
                <w:rFonts w:ascii="宋体"/>
              </w:rPr>
            </w:pPr>
          </w:p>
        </w:tc>
        <w:tc>
          <w:tcPr>
            <w:tcW w:w="5" w:type="pct"/>
            <w:shd w:val="clear" w:color="auto" w:fill="auto"/>
          </w:tcPr>
          <w:p w14:paraId="20AE3269" w14:textId="77777777" w:rsidR="00B626E7" w:rsidRDefault="00B626E7">
            <w:pPr>
              <w:rPr>
                <w:rFonts w:ascii="宋体"/>
              </w:rPr>
            </w:pPr>
          </w:p>
        </w:tc>
        <w:tc>
          <w:tcPr>
            <w:tcW w:w="50" w:type="pct"/>
            <w:shd w:val="clear" w:color="auto" w:fill="auto"/>
          </w:tcPr>
          <w:p w14:paraId="20AE326A" w14:textId="77777777" w:rsidR="00B626E7" w:rsidRDefault="00B626E7">
            <w:pPr>
              <w:rPr>
                <w:rFonts w:ascii="宋体"/>
              </w:rPr>
            </w:pPr>
          </w:p>
        </w:tc>
        <w:tc>
          <w:tcPr>
            <w:tcW w:w="494" w:type="pct"/>
            <w:shd w:val="clear" w:color="auto" w:fill="auto"/>
          </w:tcPr>
          <w:p w14:paraId="20AE326B" w14:textId="77777777" w:rsidR="00B626E7" w:rsidRDefault="00B626E7">
            <w:pPr>
              <w:rPr>
                <w:rFonts w:ascii="宋体"/>
              </w:rPr>
            </w:pPr>
          </w:p>
        </w:tc>
        <w:tc>
          <w:tcPr>
            <w:tcW w:w="50" w:type="pct"/>
            <w:shd w:val="clear" w:color="auto" w:fill="auto"/>
          </w:tcPr>
          <w:p w14:paraId="20AE326C" w14:textId="77777777" w:rsidR="00B626E7" w:rsidRDefault="00B626E7">
            <w:pPr>
              <w:rPr>
                <w:rFonts w:ascii="宋体"/>
              </w:rPr>
            </w:pPr>
          </w:p>
        </w:tc>
      </w:tr>
      <w:tr w:rsidR="00B626E7" w14:paraId="20AE3277" w14:textId="77777777">
        <w:tc>
          <w:tcPr>
            <w:tcW w:w="0" w:type="auto"/>
            <w:gridSpan w:val="3"/>
            <w:shd w:val="clear" w:color="auto" w:fill="auto"/>
            <w:tcMar>
              <w:top w:w="40" w:type="dxa"/>
              <w:left w:w="20" w:type="dxa"/>
              <w:bottom w:w="40" w:type="dxa"/>
              <w:right w:w="20" w:type="dxa"/>
            </w:tcMar>
            <w:vAlign w:val="bottom"/>
          </w:tcPr>
          <w:p w14:paraId="20AE326E" w14:textId="77777777" w:rsidR="00B626E7" w:rsidRDefault="00175C1D">
            <w:pPr>
              <w:textAlignment w:val="bottom"/>
            </w:pPr>
            <w:r>
              <w:rPr>
                <w:rFonts w:ascii="Arial" w:eastAsia="宋体" w:hAnsi="Arial" w:cs="Arial"/>
                <w:b/>
                <w:bCs/>
                <w:color w:val="333333"/>
                <w:sz w:val="18"/>
                <w:szCs w:val="18"/>
              </w:rPr>
              <w:t>(In Millions)</w:t>
            </w:r>
          </w:p>
        </w:tc>
        <w:tc>
          <w:tcPr>
            <w:tcW w:w="0" w:type="auto"/>
            <w:gridSpan w:val="3"/>
            <w:shd w:val="clear" w:color="auto" w:fill="auto"/>
            <w:tcMar>
              <w:left w:w="20" w:type="dxa"/>
              <w:right w:w="20" w:type="dxa"/>
            </w:tcMar>
            <w:vAlign w:val="bottom"/>
          </w:tcPr>
          <w:p w14:paraId="20AE326F"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bottom"/>
          </w:tcPr>
          <w:p w14:paraId="20AE3270" w14:textId="77777777" w:rsidR="00B626E7" w:rsidRDefault="00175C1D">
            <w:pPr>
              <w:jc w:val="center"/>
              <w:textAlignment w:val="bottom"/>
            </w:pPr>
            <w:r>
              <w:rPr>
                <w:rFonts w:ascii="Arial" w:eastAsia="宋体" w:hAnsi="Arial" w:cs="Arial"/>
                <w:b/>
                <w:bCs/>
                <w:color w:val="333333"/>
                <w:sz w:val="18"/>
                <w:szCs w:val="18"/>
              </w:rPr>
              <w:t>Q2 2020</w:t>
            </w:r>
          </w:p>
        </w:tc>
        <w:tc>
          <w:tcPr>
            <w:tcW w:w="0" w:type="auto"/>
            <w:gridSpan w:val="3"/>
            <w:shd w:val="clear" w:color="auto" w:fill="auto"/>
            <w:tcMar>
              <w:left w:w="20" w:type="dxa"/>
              <w:right w:w="20" w:type="dxa"/>
            </w:tcMar>
            <w:vAlign w:val="bottom"/>
          </w:tcPr>
          <w:p w14:paraId="20AE3271"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bottom"/>
          </w:tcPr>
          <w:p w14:paraId="20AE3272" w14:textId="77777777" w:rsidR="00B626E7" w:rsidRDefault="00175C1D">
            <w:pPr>
              <w:jc w:val="center"/>
              <w:textAlignment w:val="bottom"/>
            </w:pPr>
            <w:r>
              <w:rPr>
                <w:rFonts w:ascii="Arial" w:eastAsia="宋体" w:hAnsi="Arial" w:cs="Arial"/>
                <w:b/>
                <w:bCs/>
                <w:color w:val="333333"/>
                <w:sz w:val="18"/>
                <w:szCs w:val="18"/>
              </w:rPr>
              <w:t>Q2 2019</w:t>
            </w:r>
          </w:p>
        </w:tc>
        <w:tc>
          <w:tcPr>
            <w:tcW w:w="0" w:type="auto"/>
            <w:gridSpan w:val="3"/>
            <w:shd w:val="clear" w:color="auto" w:fill="auto"/>
            <w:tcMar>
              <w:left w:w="20" w:type="dxa"/>
              <w:right w:w="20" w:type="dxa"/>
            </w:tcMar>
            <w:vAlign w:val="bottom"/>
          </w:tcPr>
          <w:p w14:paraId="20AE3273"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bottom"/>
          </w:tcPr>
          <w:p w14:paraId="20AE3274" w14:textId="77777777" w:rsidR="00B626E7" w:rsidRDefault="00175C1D">
            <w:pPr>
              <w:jc w:val="center"/>
              <w:textAlignment w:val="bottom"/>
            </w:pPr>
            <w:r>
              <w:rPr>
                <w:rFonts w:ascii="Arial" w:eastAsia="宋体" w:hAnsi="Arial" w:cs="Arial"/>
                <w:b/>
                <w:bCs/>
                <w:color w:val="333333"/>
                <w:sz w:val="18"/>
                <w:szCs w:val="18"/>
              </w:rPr>
              <w:t>YTD 2020</w:t>
            </w:r>
          </w:p>
        </w:tc>
        <w:tc>
          <w:tcPr>
            <w:tcW w:w="0" w:type="auto"/>
            <w:gridSpan w:val="3"/>
            <w:shd w:val="clear" w:color="auto" w:fill="auto"/>
            <w:tcMar>
              <w:left w:w="20" w:type="dxa"/>
              <w:right w:w="20" w:type="dxa"/>
            </w:tcMar>
            <w:vAlign w:val="bottom"/>
          </w:tcPr>
          <w:p w14:paraId="20AE3275"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bottom"/>
          </w:tcPr>
          <w:p w14:paraId="20AE3276" w14:textId="77777777" w:rsidR="00B626E7" w:rsidRDefault="00175C1D">
            <w:pPr>
              <w:jc w:val="center"/>
              <w:textAlignment w:val="bottom"/>
            </w:pPr>
            <w:r>
              <w:rPr>
                <w:rFonts w:ascii="Arial" w:eastAsia="宋体" w:hAnsi="Arial" w:cs="Arial"/>
                <w:b/>
                <w:bCs/>
                <w:color w:val="333333"/>
                <w:sz w:val="18"/>
                <w:szCs w:val="18"/>
              </w:rPr>
              <w:t>YTD 2019</w:t>
            </w:r>
          </w:p>
        </w:tc>
      </w:tr>
      <w:tr w:rsidR="00B626E7" w14:paraId="20AE3289" w14:textId="77777777">
        <w:tc>
          <w:tcPr>
            <w:tcW w:w="0" w:type="auto"/>
            <w:gridSpan w:val="3"/>
            <w:tcBorders>
              <w:top w:val="single" w:sz="8" w:space="0" w:color="0071C5"/>
            </w:tcBorders>
            <w:shd w:val="clear" w:color="auto" w:fill="auto"/>
            <w:tcMar>
              <w:top w:w="40" w:type="dxa"/>
              <w:left w:w="20" w:type="dxa"/>
              <w:bottom w:w="40" w:type="dxa"/>
              <w:right w:w="20" w:type="dxa"/>
            </w:tcMar>
          </w:tcPr>
          <w:p w14:paraId="20AE3278" w14:textId="77777777" w:rsidR="00B626E7" w:rsidRDefault="00175C1D">
            <w:pPr>
              <w:ind w:hanging="180"/>
              <w:textAlignment w:val="top"/>
            </w:pPr>
            <w:r>
              <w:rPr>
                <w:rFonts w:ascii="Arial" w:eastAsia="宋体" w:hAnsi="Arial" w:cs="Arial"/>
                <w:color w:val="333333"/>
                <w:sz w:val="18"/>
                <w:szCs w:val="18"/>
              </w:rPr>
              <w:t>Income before taxes</w:t>
            </w:r>
          </w:p>
        </w:tc>
        <w:tc>
          <w:tcPr>
            <w:tcW w:w="0" w:type="auto"/>
            <w:gridSpan w:val="3"/>
            <w:shd w:val="clear" w:color="auto" w:fill="auto"/>
            <w:tcMar>
              <w:left w:w="20" w:type="dxa"/>
              <w:right w:w="20" w:type="dxa"/>
            </w:tcMar>
            <w:vAlign w:val="bottom"/>
          </w:tcPr>
          <w:p w14:paraId="20AE3279"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327A" w14:textId="77777777" w:rsidR="00B626E7" w:rsidRDefault="00175C1D">
            <w:pPr>
              <w:textAlignment w:val="bottom"/>
            </w:pPr>
            <w:r>
              <w:rPr>
                <w:rFonts w:ascii="Arial" w:eastAsia="宋体" w:hAnsi="Arial" w:cs="Arial"/>
                <w:color w:val="0071C5"/>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327B" w14:textId="77777777" w:rsidR="00B626E7" w:rsidRDefault="00175C1D">
            <w:pPr>
              <w:jc w:val="right"/>
              <w:textAlignment w:val="bottom"/>
            </w:pPr>
            <w:r>
              <w:rPr>
                <w:rFonts w:ascii="Arial" w:eastAsia="宋体" w:hAnsi="Arial" w:cs="Arial"/>
                <w:color w:val="0071C5"/>
                <w:sz w:val="18"/>
                <w:szCs w:val="18"/>
              </w:rPr>
              <w:t>5,935 </w:t>
            </w:r>
          </w:p>
        </w:tc>
        <w:tc>
          <w:tcPr>
            <w:tcW w:w="0" w:type="auto"/>
            <w:tcBorders>
              <w:top w:val="single" w:sz="8" w:space="0" w:color="0071C5"/>
            </w:tcBorders>
            <w:shd w:val="clear" w:color="auto" w:fill="auto"/>
            <w:tcMar>
              <w:top w:w="40" w:type="dxa"/>
              <w:bottom w:w="40" w:type="dxa"/>
              <w:right w:w="20" w:type="dxa"/>
            </w:tcMar>
            <w:vAlign w:val="bottom"/>
          </w:tcPr>
          <w:p w14:paraId="20AE327C"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327D"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327E" w14:textId="77777777" w:rsidR="00B626E7" w:rsidRDefault="00175C1D">
            <w:pPr>
              <w:textAlignment w:val="bottom"/>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327F" w14:textId="77777777" w:rsidR="00B626E7" w:rsidRDefault="00175C1D">
            <w:pPr>
              <w:jc w:val="right"/>
              <w:textAlignment w:val="bottom"/>
            </w:pPr>
            <w:r>
              <w:rPr>
                <w:rFonts w:ascii="Arial" w:eastAsia="宋体" w:hAnsi="Arial" w:cs="Arial"/>
                <w:color w:val="333333"/>
                <w:sz w:val="18"/>
                <w:szCs w:val="18"/>
              </w:rPr>
              <w:t>4,724 </w:t>
            </w:r>
          </w:p>
        </w:tc>
        <w:tc>
          <w:tcPr>
            <w:tcW w:w="0" w:type="auto"/>
            <w:tcBorders>
              <w:top w:val="single" w:sz="8" w:space="0" w:color="0071C5"/>
            </w:tcBorders>
            <w:shd w:val="clear" w:color="auto" w:fill="auto"/>
            <w:tcMar>
              <w:top w:w="40" w:type="dxa"/>
              <w:bottom w:w="40" w:type="dxa"/>
              <w:right w:w="20" w:type="dxa"/>
            </w:tcMar>
            <w:vAlign w:val="bottom"/>
          </w:tcPr>
          <w:p w14:paraId="20AE3280"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3281"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3282" w14:textId="77777777" w:rsidR="00B626E7" w:rsidRDefault="00175C1D">
            <w:pPr>
              <w:textAlignment w:val="bottom"/>
            </w:pPr>
            <w:r>
              <w:rPr>
                <w:rFonts w:ascii="Arial" w:eastAsia="宋体" w:hAnsi="Arial" w:cs="Arial"/>
                <w:color w:val="0071C5"/>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3283" w14:textId="77777777" w:rsidR="00B626E7" w:rsidRDefault="00175C1D">
            <w:pPr>
              <w:jc w:val="right"/>
              <w:textAlignment w:val="bottom"/>
            </w:pPr>
            <w:r>
              <w:rPr>
                <w:rFonts w:ascii="Arial" w:eastAsia="宋体" w:hAnsi="Arial" w:cs="Arial"/>
                <w:color w:val="0071C5"/>
                <w:sz w:val="18"/>
                <w:szCs w:val="18"/>
              </w:rPr>
              <w:t>12,549 </w:t>
            </w:r>
          </w:p>
        </w:tc>
        <w:tc>
          <w:tcPr>
            <w:tcW w:w="0" w:type="auto"/>
            <w:tcBorders>
              <w:top w:val="single" w:sz="8" w:space="0" w:color="0071C5"/>
            </w:tcBorders>
            <w:shd w:val="clear" w:color="auto" w:fill="auto"/>
            <w:tcMar>
              <w:top w:w="40" w:type="dxa"/>
              <w:bottom w:w="40" w:type="dxa"/>
              <w:right w:w="20" w:type="dxa"/>
            </w:tcMar>
            <w:vAlign w:val="bottom"/>
          </w:tcPr>
          <w:p w14:paraId="20AE3284"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3285"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3286" w14:textId="77777777" w:rsidR="00B626E7" w:rsidRDefault="00175C1D">
            <w:pPr>
              <w:textAlignment w:val="bottom"/>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3287" w14:textId="77777777" w:rsidR="00B626E7" w:rsidRDefault="00175C1D">
            <w:pPr>
              <w:jc w:val="right"/>
              <w:textAlignment w:val="bottom"/>
            </w:pPr>
            <w:r>
              <w:rPr>
                <w:rFonts w:ascii="Arial" w:eastAsia="宋体" w:hAnsi="Arial" w:cs="Arial"/>
                <w:color w:val="333333"/>
                <w:sz w:val="18"/>
                <w:szCs w:val="18"/>
              </w:rPr>
              <w:t>9,271 </w:t>
            </w:r>
          </w:p>
        </w:tc>
        <w:tc>
          <w:tcPr>
            <w:tcW w:w="0" w:type="auto"/>
            <w:tcBorders>
              <w:top w:val="single" w:sz="8" w:space="0" w:color="0071C5"/>
            </w:tcBorders>
            <w:shd w:val="clear" w:color="auto" w:fill="auto"/>
            <w:tcMar>
              <w:top w:w="40" w:type="dxa"/>
              <w:bottom w:w="40" w:type="dxa"/>
              <w:right w:w="20" w:type="dxa"/>
            </w:tcMar>
            <w:vAlign w:val="bottom"/>
          </w:tcPr>
          <w:p w14:paraId="20AE3288" w14:textId="77777777" w:rsidR="00B626E7" w:rsidRDefault="00175C1D">
            <w:pPr>
              <w:jc w:val="right"/>
              <w:textAlignment w:val="bottom"/>
            </w:pPr>
            <w:r>
              <w:rPr>
                <w:rFonts w:ascii="Arial" w:eastAsia="宋体" w:hAnsi="Arial" w:cs="Arial"/>
                <w:color w:val="333333"/>
                <w:sz w:val="18"/>
                <w:szCs w:val="18"/>
              </w:rPr>
              <w:t> </w:t>
            </w:r>
          </w:p>
        </w:tc>
      </w:tr>
      <w:tr w:rsidR="00B626E7" w14:paraId="20AE329B" w14:textId="77777777">
        <w:tc>
          <w:tcPr>
            <w:tcW w:w="0" w:type="auto"/>
            <w:gridSpan w:val="3"/>
            <w:shd w:val="clear" w:color="auto" w:fill="auto"/>
            <w:tcMar>
              <w:top w:w="40" w:type="dxa"/>
              <w:left w:w="20" w:type="dxa"/>
              <w:bottom w:w="40" w:type="dxa"/>
              <w:right w:w="20" w:type="dxa"/>
            </w:tcMar>
          </w:tcPr>
          <w:p w14:paraId="20AE328A" w14:textId="77777777" w:rsidR="00B626E7" w:rsidRDefault="00175C1D">
            <w:pPr>
              <w:ind w:hanging="180"/>
              <w:textAlignment w:val="top"/>
            </w:pPr>
            <w:r>
              <w:rPr>
                <w:rFonts w:ascii="Arial" w:eastAsia="宋体" w:hAnsi="Arial" w:cs="Arial"/>
                <w:color w:val="333333"/>
                <w:sz w:val="18"/>
                <w:szCs w:val="18"/>
              </w:rPr>
              <w:t>Provision for taxes</w:t>
            </w:r>
          </w:p>
        </w:tc>
        <w:tc>
          <w:tcPr>
            <w:tcW w:w="0" w:type="auto"/>
            <w:gridSpan w:val="3"/>
            <w:shd w:val="clear" w:color="auto" w:fill="auto"/>
            <w:tcMar>
              <w:left w:w="20" w:type="dxa"/>
              <w:right w:w="20" w:type="dxa"/>
            </w:tcMar>
            <w:vAlign w:val="bottom"/>
          </w:tcPr>
          <w:p w14:paraId="20AE328B"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328C" w14:textId="77777777" w:rsidR="00B626E7" w:rsidRDefault="00175C1D">
            <w:pPr>
              <w:textAlignment w:val="bottom"/>
            </w:pPr>
            <w:r>
              <w:rPr>
                <w:rFonts w:ascii="Arial" w:eastAsia="宋体" w:hAnsi="Arial" w:cs="Arial"/>
                <w:color w:val="0071C5"/>
                <w:sz w:val="18"/>
                <w:szCs w:val="18"/>
              </w:rPr>
              <w:t>$</w:t>
            </w:r>
          </w:p>
        </w:tc>
        <w:tc>
          <w:tcPr>
            <w:tcW w:w="0" w:type="auto"/>
            <w:shd w:val="clear" w:color="auto" w:fill="auto"/>
            <w:tcMar>
              <w:top w:w="40" w:type="dxa"/>
              <w:bottom w:w="40" w:type="dxa"/>
              <w:right w:w="0" w:type="dxa"/>
            </w:tcMar>
            <w:vAlign w:val="bottom"/>
          </w:tcPr>
          <w:p w14:paraId="20AE328D" w14:textId="77777777" w:rsidR="00B626E7" w:rsidRDefault="00175C1D">
            <w:pPr>
              <w:jc w:val="right"/>
              <w:textAlignment w:val="bottom"/>
            </w:pPr>
            <w:r>
              <w:rPr>
                <w:rFonts w:ascii="Arial" w:eastAsia="宋体" w:hAnsi="Arial" w:cs="Arial"/>
                <w:color w:val="0071C5"/>
                <w:sz w:val="18"/>
                <w:szCs w:val="18"/>
              </w:rPr>
              <w:t>830 </w:t>
            </w:r>
          </w:p>
        </w:tc>
        <w:tc>
          <w:tcPr>
            <w:tcW w:w="0" w:type="auto"/>
            <w:shd w:val="clear" w:color="auto" w:fill="auto"/>
            <w:tcMar>
              <w:top w:w="40" w:type="dxa"/>
              <w:bottom w:w="40" w:type="dxa"/>
              <w:right w:w="20" w:type="dxa"/>
            </w:tcMar>
            <w:vAlign w:val="bottom"/>
          </w:tcPr>
          <w:p w14:paraId="20AE328E"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328F"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3290" w14:textId="77777777" w:rsidR="00B626E7" w:rsidRDefault="00175C1D">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20AE3291" w14:textId="77777777" w:rsidR="00B626E7" w:rsidRDefault="00175C1D">
            <w:pPr>
              <w:jc w:val="right"/>
              <w:textAlignment w:val="bottom"/>
            </w:pPr>
            <w:r>
              <w:rPr>
                <w:rFonts w:ascii="Arial" w:eastAsia="宋体" w:hAnsi="Arial" w:cs="Arial"/>
                <w:color w:val="333333"/>
                <w:sz w:val="18"/>
                <w:szCs w:val="18"/>
              </w:rPr>
              <w:t>545 </w:t>
            </w:r>
          </w:p>
        </w:tc>
        <w:tc>
          <w:tcPr>
            <w:tcW w:w="0" w:type="auto"/>
            <w:shd w:val="clear" w:color="auto" w:fill="auto"/>
            <w:tcMar>
              <w:top w:w="40" w:type="dxa"/>
              <w:bottom w:w="40" w:type="dxa"/>
              <w:right w:w="20" w:type="dxa"/>
            </w:tcMar>
            <w:vAlign w:val="bottom"/>
          </w:tcPr>
          <w:p w14:paraId="20AE3292" w14:textId="77777777" w:rsidR="00B626E7" w:rsidRDefault="00175C1D">
            <w:pPr>
              <w:jc w:val="right"/>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3293"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3294" w14:textId="77777777" w:rsidR="00B626E7" w:rsidRDefault="00175C1D">
            <w:pPr>
              <w:textAlignment w:val="bottom"/>
            </w:pPr>
            <w:r>
              <w:rPr>
                <w:rFonts w:ascii="Arial" w:eastAsia="宋体" w:hAnsi="Arial" w:cs="Arial"/>
                <w:color w:val="0071C5"/>
                <w:sz w:val="18"/>
                <w:szCs w:val="18"/>
              </w:rPr>
              <w:t>$</w:t>
            </w:r>
          </w:p>
        </w:tc>
        <w:tc>
          <w:tcPr>
            <w:tcW w:w="0" w:type="auto"/>
            <w:shd w:val="clear" w:color="auto" w:fill="auto"/>
            <w:tcMar>
              <w:top w:w="40" w:type="dxa"/>
              <w:bottom w:w="40" w:type="dxa"/>
              <w:right w:w="0" w:type="dxa"/>
            </w:tcMar>
            <w:vAlign w:val="bottom"/>
          </w:tcPr>
          <w:p w14:paraId="20AE3295" w14:textId="77777777" w:rsidR="00B626E7" w:rsidRDefault="00175C1D">
            <w:pPr>
              <w:jc w:val="right"/>
              <w:textAlignment w:val="bottom"/>
            </w:pPr>
            <w:r>
              <w:rPr>
                <w:rFonts w:ascii="Arial" w:eastAsia="宋体" w:hAnsi="Arial" w:cs="Arial"/>
                <w:color w:val="0071C5"/>
                <w:sz w:val="18"/>
                <w:szCs w:val="18"/>
              </w:rPr>
              <w:t>1,783 </w:t>
            </w:r>
          </w:p>
        </w:tc>
        <w:tc>
          <w:tcPr>
            <w:tcW w:w="0" w:type="auto"/>
            <w:shd w:val="clear" w:color="auto" w:fill="auto"/>
            <w:tcMar>
              <w:top w:w="40" w:type="dxa"/>
              <w:bottom w:w="40" w:type="dxa"/>
              <w:right w:w="20" w:type="dxa"/>
            </w:tcMar>
            <w:vAlign w:val="bottom"/>
          </w:tcPr>
          <w:p w14:paraId="20AE3296"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3297"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3298" w14:textId="77777777" w:rsidR="00B626E7" w:rsidRDefault="00175C1D">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20AE3299" w14:textId="77777777" w:rsidR="00B626E7" w:rsidRDefault="00175C1D">
            <w:pPr>
              <w:jc w:val="right"/>
              <w:textAlignment w:val="bottom"/>
            </w:pPr>
            <w:r>
              <w:rPr>
                <w:rFonts w:ascii="Arial" w:eastAsia="宋体" w:hAnsi="Arial" w:cs="Arial"/>
                <w:color w:val="333333"/>
                <w:sz w:val="18"/>
                <w:szCs w:val="18"/>
              </w:rPr>
              <w:t>1,118 </w:t>
            </w:r>
          </w:p>
        </w:tc>
        <w:tc>
          <w:tcPr>
            <w:tcW w:w="0" w:type="auto"/>
            <w:shd w:val="clear" w:color="auto" w:fill="auto"/>
            <w:tcMar>
              <w:top w:w="40" w:type="dxa"/>
              <w:bottom w:w="40" w:type="dxa"/>
              <w:right w:w="20" w:type="dxa"/>
            </w:tcMar>
            <w:vAlign w:val="bottom"/>
          </w:tcPr>
          <w:p w14:paraId="20AE329A" w14:textId="77777777" w:rsidR="00B626E7" w:rsidRDefault="00175C1D">
            <w:pPr>
              <w:jc w:val="right"/>
              <w:textAlignment w:val="bottom"/>
            </w:pPr>
            <w:r>
              <w:rPr>
                <w:rFonts w:ascii="Arial" w:eastAsia="宋体" w:hAnsi="Arial" w:cs="Arial"/>
                <w:color w:val="333333"/>
                <w:sz w:val="18"/>
                <w:szCs w:val="18"/>
              </w:rPr>
              <w:t> </w:t>
            </w:r>
          </w:p>
        </w:tc>
      </w:tr>
      <w:tr w:rsidR="00B626E7" w14:paraId="20AE32A9" w14:textId="77777777">
        <w:tc>
          <w:tcPr>
            <w:tcW w:w="0" w:type="auto"/>
            <w:gridSpan w:val="3"/>
            <w:shd w:val="clear" w:color="auto" w:fill="auto"/>
            <w:tcMar>
              <w:top w:w="40" w:type="dxa"/>
              <w:left w:w="20" w:type="dxa"/>
              <w:bottom w:w="40" w:type="dxa"/>
              <w:right w:w="20" w:type="dxa"/>
            </w:tcMar>
          </w:tcPr>
          <w:p w14:paraId="20AE329C" w14:textId="77777777" w:rsidR="00B626E7" w:rsidRDefault="00175C1D">
            <w:pPr>
              <w:ind w:hanging="180"/>
              <w:textAlignment w:val="top"/>
            </w:pPr>
            <w:r>
              <w:rPr>
                <w:rFonts w:ascii="Arial" w:eastAsia="宋体" w:hAnsi="Arial" w:cs="Arial"/>
                <w:color w:val="333333"/>
                <w:sz w:val="18"/>
                <w:szCs w:val="18"/>
              </w:rPr>
              <w:t>Effective tax rate</w:t>
            </w:r>
          </w:p>
        </w:tc>
        <w:tc>
          <w:tcPr>
            <w:tcW w:w="0" w:type="auto"/>
            <w:gridSpan w:val="3"/>
            <w:shd w:val="clear" w:color="auto" w:fill="auto"/>
            <w:tcMar>
              <w:left w:w="20" w:type="dxa"/>
              <w:right w:w="20" w:type="dxa"/>
            </w:tcMar>
            <w:vAlign w:val="bottom"/>
          </w:tcPr>
          <w:p w14:paraId="20AE329D"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329E" w14:textId="77777777" w:rsidR="00B626E7" w:rsidRDefault="00175C1D">
            <w:pPr>
              <w:jc w:val="right"/>
              <w:textAlignment w:val="bottom"/>
            </w:pPr>
            <w:r>
              <w:rPr>
                <w:rFonts w:ascii="Arial" w:eastAsia="宋体" w:hAnsi="Arial" w:cs="Arial"/>
                <w:color w:val="0071C5"/>
                <w:sz w:val="18"/>
                <w:szCs w:val="18"/>
              </w:rPr>
              <w:t>14.0 </w:t>
            </w:r>
          </w:p>
        </w:tc>
        <w:tc>
          <w:tcPr>
            <w:tcW w:w="0" w:type="auto"/>
            <w:shd w:val="clear" w:color="auto" w:fill="auto"/>
            <w:tcMar>
              <w:top w:w="40" w:type="dxa"/>
              <w:bottom w:w="40" w:type="dxa"/>
              <w:right w:w="20" w:type="dxa"/>
            </w:tcMar>
            <w:vAlign w:val="bottom"/>
          </w:tcPr>
          <w:p w14:paraId="20AE329F" w14:textId="77777777" w:rsidR="00B626E7" w:rsidRDefault="00175C1D">
            <w:pPr>
              <w:jc w:val="right"/>
              <w:textAlignment w:val="bottom"/>
            </w:pPr>
            <w:r>
              <w:rPr>
                <w:rFonts w:ascii="Arial" w:eastAsia="宋体" w:hAnsi="Arial" w:cs="Arial"/>
                <w:color w:val="0071C5"/>
                <w:sz w:val="18"/>
                <w:szCs w:val="18"/>
              </w:rPr>
              <w:t>%</w:t>
            </w:r>
          </w:p>
        </w:tc>
        <w:tc>
          <w:tcPr>
            <w:tcW w:w="0" w:type="auto"/>
            <w:gridSpan w:val="3"/>
            <w:shd w:val="clear" w:color="auto" w:fill="auto"/>
            <w:tcMar>
              <w:left w:w="20" w:type="dxa"/>
              <w:right w:w="20" w:type="dxa"/>
            </w:tcMar>
            <w:vAlign w:val="bottom"/>
          </w:tcPr>
          <w:p w14:paraId="20AE32A0"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32A1" w14:textId="77777777" w:rsidR="00B626E7" w:rsidRDefault="00175C1D">
            <w:pPr>
              <w:jc w:val="right"/>
              <w:textAlignment w:val="bottom"/>
            </w:pPr>
            <w:r>
              <w:rPr>
                <w:rFonts w:ascii="Arial" w:eastAsia="宋体" w:hAnsi="Arial" w:cs="Arial"/>
                <w:color w:val="333333"/>
                <w:sz w:val="18"/>
                <w:szCs w:val="18"/>
              </w:rPr>
              <w:t>11.5 </w:t>
            </w:r>
          </w:p>
        </w:tc>
        <w:tc>
          <w:tcPr>
            <w:tcW w:w="0" w:type="auto"/>
            <w:shd w:val="clear" w:color="auto" w:fill="auto"/>
            <w:tcMar>
              <w:top w:w="40" w:type="dxa"/>
              <w:bottom w:w="40" w:type="dxa"/>
              <w:right w:w="20" w:type="dxa"/>
            </w:tcMar>
            <w:vAlign w:val="bottom"/>
          </w:tcPr>
          <w:p w14:paraId="20AE32A2" w14:textId="77777777" w:rsidR="00B626E7" w:rsidRDefault="00175C1D">
            <w:pPr>
              <w:jc w:val="right"/>
              <w:textAlignment w:val="bottom"/>
            </w:pPr>
            <w:r>
              <w:rPr>
                <w:rFonts w:ascii="Arial" w:eastAsia="宋体" w:hAnsi="Arial" w:cs="Arial"/>
                <w:color w:val="333333"/>
                <w:sz w:val="18"/>
                <w:szCs w:val="18"/>
              </w:rPr>
              <w:t>%</w:t>
            </w:r>
          </w:p>
        </w:tc>
        <w:tc>
          <w:tcPr>
            <w:tcW w:w="0" w:type="auto"/>
            <w:gridSpan w:val="3"/>
            <w:shd w:val="clear" w:color="auto" w:fill="auto"/>
            <w:tcMar>
              <w:left w:w="20" w:type="dxa"/>
              <w:right w:w="20" w:type="dxa"/>
            </w:tcMar>
            <w:vAlign w:val="bottom"/>
          </w:tcPr>
          <w:p w14:paraId="20AE32A3"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32A4" w14:textId="77777777" w:rsidR="00B626E7" w:rsidRDefault="00175C1D">
            <w:pPr>
              <w:jc w:val="right"/>
              <w:textAlignment w:val="bottom"/>
            </w:pPr>
            <w:r>
              <w:rPr>
                <w:rFonts w:ascii="Arial" w:eastAsia="宋体" w:hAnsi="Arial" w:cs="Arial"/>
                <w:color w:val="0071C5"/>
                <w:sz w:val="18"/>
                <w:szCs w:val="18"/>
              </w:rPr>
              <w:t>14.2 </w:t>
            </w:r>
          </w:p>
        </w:tc>
        <w:tc>
          <w:tcPr>
            <w:tcW w:w="0" w:type="auto"/>
            <w:shd w:val="clear" w:color="auto" w:fill="auto"/>
            <w:tcMar>
              <w:top w:w="40" w:type="dxa"/>
              <w:bottom w:w="40" w:type="dxa"/>
              <w:right w:w="20" w:type="dxa"/>
            </w:tcMar>
            <w:vAlign w:val="bottom"/>
          </w:tcPr>
          <w:p w14:paraId="20AE32A5" w14:textId="77777777" w:rsidR="00B626E7" w:rsidRDefault="00175C1D">
            <w:pPr>
              <w:jc w:val="right"/>
              <w:textAlignment w:val="bottom"/>
            </w:pPr>
            <w:r>
              <w:rPr>
                <w:rFonts w:ascii="Arial" w:eastAsia="宋体" w:hAnsi="Arial" w:cs="Arial"/>
                <w:color w:val="0071C5"/>
                <w:sz w:val="18"/>
                <w:szCs w:val="18"/>
              </w:rPr>
              <w:t>%</w:t>
            </w:r>
          </w:p>
        </w:tc>
        <w:tc>
          <w:tcPr>
            <w:tcW w:w="0" w:type="auto"/>
            <w:gridSpan w:val="3"/>
            <w:shd w:val="clear" w:color="auto" w:fill="auto"/>
            <w:tcMar>
              <w:left w:w="20" w:type="dxa"/>
              <w:right w:w="20" w:type="dxa"/>
            </w:tcMar>
            <w:vAlign w:val="bottom"/>
          </w:tcPr>
          <w:p w14:paraId="20AE32A6"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32A7" w14:textId="77777777" w:rsidR="00B626E7" w:rsidRDefault="00175C1D">
            <w:pPr>
              <w:jc w:val="right"/>
              <w:textAlignment w:val="bottom"/>
            </w:pPr>
            <w:r>
              <w:rPr>
                <w:rFonts w:ascii="Arial" w:eastAsia="宋体" w:hAnsi="Arial" w:cs="Arial"/>
                <w:color w:val="333333"/>
                <w:sz w:val="18"/>
                <w:szCs w:val="18"/>
              </w:rPr>
              <w:t>12.1 </w:t>
            </w:r>
          </w:p>
        </w:tc>
        <w:tc>
          <w:tcPr>
            <w:tcW w:w="0" w:type="auto"/>
            <w:shd w:val="clear" w:color="auto" w:fill="auto"/>
            <w:tcMar>
              <w:top w:w="40" w:type="dxa"/>
              <w:bottom w:w="40" w:type="dxa"/>
              <w:right w:w="20" w:type="dxa"/>
            </w:tcMar>
            <w:vAlign w:val="bottom"/>
          </w:tcPr>
          <w:p w14:paraId="20AE32A8" w14:textId="77777777" w:rsidR="00B626E7" w:rsidRDefault="00175C1D">
            <w:pPr>
              <w:jc w:val="right"/>
              <w:textAlignment w:val="bottom"/>
            </w:pPr>
            <w:r>
              <w:rPr>
                <w:rFonts w:ascii="Arial" w:eastAsia="宋体" w:hAnsi="Arial" w:cs="Arial"/>
                <w:color w:val="333333"/>
                <w:sz w:val="18"/>
                <w:szCs w:val="18"/>
              </w:rPr>
              <w:t>%</w:t>
            </w:r>
          </w:p>
        </w:tc>
      </w:tr>
    </w:tbl>
    <w:p w14:paraId="20AE32AA" w14:textId="77777777" w:rsidR="00B626E7" w:rsidRDefault="00175C1D">
      <w:pPr>
        <w:spacing w:before="300" w:after="180"/>
      </w:pPr>
      <w:r>
        <w:rPr>
          <w:rFonts w:ascii="Arial" w:eastAsia="宋体" w:hAnsi="Arial" w:cs="Arial"/>
          <w:color w:val="333333"/>
          <w:sz w:val="18"/>
          <w:szCs w:val="18"/>
        </w:rPr>
        <w:t xml:space="preserve">For the six months ended June 27, 2020, the increase in effective tax rate was driven by a lower U.S. tax benefit derived from sales to non-U.S. customers, a one-time tax charge associated with a valuation allowance against a net operating loss deferred </w:t>
      </w:r>
      <w:r>
        <w:rPr>
          <w:rFonts w:ascii="Arial" w:eastAsia="宋体" w:hAnsi="Arial" w:cs="Arial"/>
          <w:color w:val="333333"/>
          <w:sz w:val="18"/>
          <w:szCs w:val="18"/>
        </w:rPr>
        <w:t>tax asset, and a one-time tax charge due to a new interpretation of a tax law in a non-U.S. jurisdiction.</w:t>
      </w:r>
    </w:p>
    <w:p w14:paraId="20AE32AB" w14:textId="77777777" w:rsidR="00B626E7" w:rsidRDefault="00175C1D">
      <w:pPr>
        <w:spacing w:after="180"/>
      </w:pPr>
      <w:r>
        <w:rPr>
          <w:rFonts w:ascii="Arial" w:eastAsia="宋体" w:hAnsi="Arial" w:cs="Arial"/>
          <w:color w:val="333333"/>
          <w:sz w:val="18"/>
          <w:szCs w:val="18"/>
        </w:rPr>
        <w:t>In June 2020, the U.S. Supreme Court declined to hear our appeal of a ruling by the U.S. Court of Appeals for the Ninth Circuit regarding the treatmen</w:t>
      </w:r>
      <w:r>
        <w:rPr>
          <w:rFonts w:ascii="Arial" w:eastAsia="宋体" w:hAnsi="Arial" w:cs="Arial"/>
          <w:color w:val="333333"/>
          <w:sz w:val="18"/>
          <w:szCs w:val="18"/>
        </w:rPr>
        <w:t>t of stock-based compensation expense in an inter-company cost-sharing transaction for certain pre-acquisition Altera tax years. We expect to incur an immaterial tax liability which we have previously reserved.</w:t>
      </w:r>
    </w:p>
    <w:tbl>
      <w:tblPr>
        <w:tblW w:w="5000" w:type="pct"/>
        <w:tblCellMar>
          <w:top w:w="15" w:type="dxa"/>
          <w:left w:w="15" w:type="dxa"/>
          <w:bottom w:w="15" w:type="dxa"/>
          <w:right w:w="15" w:type="dxa"/>
        </w:tblCellMar>
        <w:tblLook w:val="04A0" w:firstRow="1" w:lastRow="0" w:firstColumn="1" w:lastColumn="0" w:noHBand="0" w:noVBand="1"/>
      </w:tblPr>
      <w:tblGrid>
        <w:gridCol w:w="84"/>
        <w:gridCol w:w="2423"/>
        <w:gridCol w:w="84"/>
        <w:gridCol w:w="83"/>
        <w:gridCol w:w="3471"/>
        <w:gridCol w:w="83"/>
        <w:gridCol w:w="83"/>
        <w:gridCol w:w="1942"/>
        <w:gridCol w:w="83"/>
      </w:tblGrid>
      <w:tr w:rsidR="00B626E7" w14:paraId="20AE32B5" w14:textId="77777777">
        <w:tc>
          <w:tcPr>
            <w:tcW w:w="50" w:type="pct"/>
            <w:shd w:val="clear" w:color="auto" w:fill="auto"/>
            <w:vAlign w:val="bottom"/>
          </w:tcPr>
          <w:p w14:paraId="20AE32AC" w14:textId="77777777" w:rsidR="00B626E7" w:rsidRDefault="00B626E7">
            <w:pPr>
              <w:rPr>
                <w:rFonts w:ascii="宋体"/>
              </w:rPr>
            </w:pPr>
          </w:p>
        </w:tc>
        <w:tc>
          <w:tcPr>
            <w:tcW w:w="1452" w:type="pct"/>
            <w:shd w:val="clear" w:color="auto" w:fill="auto"/>
            <w:vAlign w:val="bottom"/>
          </w:tcPr>
          <w:p w14:paraId="20AE32AD" w14:textId="77777777" w:rsidR="00B626E7" w:rsidRDefault="00B626E7">
            <w:pPr>
              <w:rPr>
                <w:rFonts w:ascii="宋体"/>
              </w:rPr>
            </w:pPr>
          </w:p>
        </w:tc>
        <w:tc>
          <w:tcPr>
            <w:tcW w:w="50" w:type="pct"/>
            <w:shd w:val="clear" w:color="auto" w:fill="auto"/>
            <w:vAlign w:val="bottom"/>
          </w:tcPr>
          <w:p w14:paraId="20AE32AE" w14:textId="77777777" w:rsidR="00B626E7" w:rsidRDefault="00B626E7">
            <w:pPr>
              <w:rPr>
                <w:rFonts w:ascii="宋体"/>
              </w:rPr>
            </w:pPr>
          </w:p>
        </w:tc>
        <w:tc>
          <w:tcPr>
            <w:tcW w:w="50" w:type="pct"/>
            <w:shd w:val="clear" w:color="auto" w:fill="auto"/>
            <w:vAlign w:val="bottom"/>
          </w:tcPr>
          <w:p w14:paraId="20AE32AF" w14:textId="77777777" w:rsidR="00B626E7" w:rsidRDefault="00B626E7">
            <w:pPr>
              <w:rPr>
                <w:rFonts w:ascii="宋体"/>
              </w:rPr>
            </w:pPr>
          </w:p>
        </w:tc>
        <w:tc>
          <w:tcPr>
            <w:tcW w:w="2081" w:type="pct"/>
            <w:shd w:val="clear" w:color="auto" w:fill="auto"/>
            <w:vAlign w:val="bottom"/>
          </w:tcPr>
          <w:p w14:paraId="20AE32B0" w14:textId="77777777" w:rsidR="00B626E7" w:rsidRDefault="00B626E7">
            <w:pPr>
              <w:rPr>
                <w:rFonts w:ascii="宋体"/>
              </w:rPr>
            </w:pPr>
          </w:p>
        </w:tc>
        <w:tc>
          <w:tcPr>
            <w:tcW w:w="50" w:type="pct"/>
            <w:shd w:val="clear" w:color="auto" w:fill="auto"/>
            <w:vAlign w:val="bottom"/>
          </w:tcPr>
          <w:p w14:paraId="20AE32B1" w14:textId="77777777" w:rsidR="00B626E7" w:rsidRDefault="00B626E7">
            <w:pPr>
              <w:rPr>
                <w:rFonts w:ascii="宋体"/>
              </w:rPr>
            </w:pPr>
          </w:p>
        </w:tc>
        <w:tc>
          <w:tcPr>
            <w:tcW w:w="50" w:type="pct"/>
            <w:shd w:val="clear" w:color="auto" w:fill="auto"/>
            <w:vAlign w:val="bottom"/>
          </w:tcPr>
          <w:p w14:paraId="20AE32B2" w14:textId="77777777" w:rsidR="00B626E7" w:rsidRDefault="00B626E7">
            <w:pPr>
              <w:rPr>
                <w:rFonts w:ascii="宋体"/>
              </w:rPr>
            </w:pPr>
          </w:p>
        </w:tc>
        <w:tc>
          <w:tcPr>
            <w:tcW w:w="1165" w:type="pct"/>
            <w:shd w:val="clear" w:color="auto" w:fill="auto"/>
            <w:vAlign w:val="bottom"/>
          </w:tcPr>
          <w:p w14:paraId="20AE32B3" w14:textId="77777777" w:rsidR="00B626E7" w:rsidRDefault="00B626E7">
            <w:pPr>
              <w:rPr>
                <w:rFonts w:ascii="宋体"/>
              </w:rPr>
            </w:pPr>
          </w:p>
        </w:tc>
        <w:tc>
          <w:tcPr>
            <w:tcW w:w="50" w:type="pct"/>
            <w:shd w:val="clear" w:color="auto" w:fill="auto"/>
            <w:vAlign w:val="bottom"/>
          </w:tcPr>
          <w:p w14:paraId="20AE32B4" w14:textId="77777777" w:rsidR="00B626E7" w:rsidRDefault="00B626E7">
            <w:pPr>
              <w:rPr>
                <w:rFonts w:ascii="宋体"/>
              </w:rPr>
            </w:pPr>
          </w:p>
        </w:tc>
      </w:tr>
      <w:tr w:rsidR="00B626E7" w14:paraId="20AE32B9" w14:textId="77777777">
        <w:tc>
          <w:tcPr>
            <w:tcW w:w="0" w:type="auto"/>
            <w:gridSpan w:val="3"/>
            <w:tcBorders>
              <w:top w:val="single" w:sz="8" w:space="0" w:color="0071C5"/>
            </w:tcBorders>
            <w:shd w:val="clear" w:color="auto" w:fill="auto"/>
            <w:tcMar>
              <w:top w:w="40" w:type="dxa"/>
              <w:left w:w="20" w:type="dxa"/>
              <w:bottom w:w="40" w:type="dxa"/>
              <w:right w:w="20" w:type="dxa"/>
            </w:tcMar>
            <w:vAlign w:val="center"/>
          </w:tcPr>
          <w:p w14:paraId="20AE32B6" w14:textId="77777777" w:rsidR="00B626E7" w:rsidRDefault="00175C1D">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Viewer10_files/intc-20200627_g36.jpg"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B0" wp14:editId="20AE3CB1">
                  <wp:extent cx="304800" cy="304800"/>
                  <wp:effectExtent l="0" t="0" r="0" b="0"/>
                  <wp:docPr id="28" name="图片 135"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35" descr="IMG_32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Arial" w:eastAsia="宋体" w:hAnsi="Arial" w:cs="Arial"/>
                <w:color w:val="333333"/>
                <w:sz w:val="16"/>
                <w:szCs w:val="16"/>
              </w:rPr>
              <w:t>MD&amp;A</w:t>
            </w:r>
          </w:p>
        </w:tc>
        <w:tc>
          <w:tcPr>
            <w:tcW w:w="0" w:type="auto"/>
            <w:gridSpan w:val="3"/>
            <w:tcBorders>
              <w:top w:val="single" w:sz="8" w:space="0" w:color="0071C5"/>
            </w:tcBorders>
            <w:shd w:val="clear" w:color="auto" w:fill="auto"/>
            <w:tcMar>
              <w:left w:w="20" w:type="dxa"/>
              <w:right w:w="20" w:type="dxa"/>
            </w:tcMar>
            <w:vAlign w:val="bottom"/>
          </w:tcPr>
          <w:p w14:paraId="20AE32B7"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32B8" w14:textId="77777777" w:rsidR="00B626E7" w:rsidRDefault="00175C1D">
            <w:pPr>
              <w:jc w:val="right"/>
              <w:textAlignment w:val="bottom"/>
            </w:pPr>
            <w:r>
              <w:rPr>
                <w:rFonts w:ascii="Arial" w:eastAsia="宋体" w:hAnsi="Arial" w:cs="Arial"/>
                <w:color w:val="333333"/>
                <w:sz w:val="16"/>
                <w:szCs w:val="16"/>
              </w:rPr>
              <w:t>39</w:t>
            </w:r>
          </w:p>
        </w:tc>
      </w:tr>
    </w:tbl>
    <w:p w14:paraId="20AE32BA" w14:textId="77777777" w:rsidR="00B626E7" w:rsidRDefault="00175C1D">
      <w:r>
        <w:pict w14:anchorId="20AE3CB2">
          <v:rect id="_x0000_i1065" style="width:415.3pt;height:1.5pt" o:hralign="center" o:hrstd="t" o:hr="t" fillcolor="#a0a0a0" stroked="f"/>
        </w:pict>
      </w:r>
    </w:p>
    <w:p w14:paraId="20AE32BB" w14:textId="77777777" w:rsidR="00B626E7" w:rsidRDefault="00175C1D">
      <w:pPr>
        <w:spacing w:after="180"/>
        <w:jc w:val="right"/>
      </w:pPr>
      <w:hyperlink r:id="rId66" w:anchor="ib035cc8759904e51927d703ec8414366_7" w:history="1">
        <w:r>
          <w:rPr>
            <w:rStyle w:val="a5"/>
            <w:rFonts w:ascii="Arial" w:eastAsia="宋体" w:hAnsi="Arial" w:cs="Arial"/>
            <w:b/>
            <w:bCs/>
            <w:sz w:val="16"/>
            <w:szCs w:val="16"/>
          </w:rPr>
          <w:t>Table of Contents</w:t>
        </w:r>
      </w:hyperlink>
    </w:p>
    <w:p w14:paraId="20AE32BC" w14:textId="77777777" w:rsidR="00B626E7" w:rsidRDefault="00B626E7">
      <w:pPr>
        <w:spacing w:after="180"/>
        <w:jc w:val="right"/>
      </w:pPr>
    </w:p>
    <w:p w14:paraId="20AE32BD" w14:textId="77777777" w:rsidR="00B626E7" w:rsidRDefault="00175C1D">
      <w:pPr>
        <w:spacing w:after="180"/>
      </w:pPr>
      <w:r>
        <w:rPr>
          <w:rFonts w:ascii="Arial" w:eastAsia="宋体" w:hAnsi="Arial" w:cs="Arial"/>
          <w:b/>
          <w:bCs/>
          <w:color w:val="0071C5"/>
          <w:sz w:val="28"/>
          <w:szCs w:val="28"/>
        </w:rPr>
        <w:t>LIQUIDITY AND CAPITAL RESOURCES</w:t>
      </w:r>
    </w:p>
    <w:p w14:paraId="20AE32BE" w14:textId="77777777" w:rsidR="00B626E7" w:rsidRDefault="00175C1D">
      <w:pPr>
        <w:spacing w:after="120"/>
      </w:pPr>
      <w:r>
        <w:rPr>
          <w:rFonts w:ascii="Arial" w:eastAsia="宋体" w:hAnsi="Arial" w:cs="Arial"/>
          <w:color w:val="333333"/>
          <w:sz w:val="18"/>
          <w:szCs w:val="18"/>
        </w:rPr>
        <w:t>We consider the following when assessing our liquidi</w:t>
      </w:r>
      <w:r>
        <w:rPr>
          <w:rFonts w:ascii="Arial" w:eastAsia="宋体" w:hAnsi="Arial" w:cs="Arial"/>
          <w:color w:val="333333"/>
          <w:sz w:val="18"/>
          <w:szCs w:val="18"/>
        </w:rPr>
        <w:t>ty and capital resources:</w:t>
      </w:r>
    </w:p>
    <w:tbl>
      <w:tblPr>
        <w:tblW w:w="5000" w:type="pct"/>
        <w:tblCellMar>
          <w:top w:w="15" w:type="dxa"/>
          <w:left w:w="15" w:type="dxa"/>
          <w:bottom w:w="15" w:type="dxa"/>
          <w:right w:w="15" w:type="dxa"/>
        </w:tblCellMar>
        <w:tblLook w:val="04A0" w:firstRow="1" w:lastRow="0" w:firstColumn="1" w:lastColumn="0" w:noHBand="0" w:noVBand="1"/>
      </w:tblPr>
      <w:tblGrid>
        <w:gridCol w:w="51"/>
        <w:gridCol w:w="6043"/>
        <w:gridCol w:w="51"/>
        <w:gridCol w:w="36"/>
        <w:gridCol w:w="36"/>
        <w:gridCol w:w="36"/>
        <w:gridCol w:w="136"/>
        <w:gridCol w:w="765"/>
        <w:gridCol w:w="86"/>
        <w:gridCol w:w="36"/>
        <w:gridCol w:w="36"/>
        <w:gridCol w:w="36"/>
        <w:gridCol w:w="136"/>
        <w:gridCol w:w="766"/>
        <w:gridCol w:w="86"/>
      </w:tblGrid>
      <w:tr w:rsidR="00B626E7" w14:paraId="20AE32CE" w14:textId="77777777">
        <w:tc>
          <w:tcPr>
            <w:tcW w:w="50" w:type="pct"/>
            <w:shd w:val="clear" w:color="auto" w:fill="auto"/>
          </w:tcPr>
          <w:p w14:paraId="20AE32BF" w14:textId="77777777" w:rsidR="00B626E7" w:rsidRDefault="00B626E7">
            <w:pPr>
              <w:rPr>
                <w:rFonts w:ascii="宋体"/>
              </w:rPr>
            </w:pPr>
          </w:p>
        </w:tc>
        <w:tc>
          <w:tcPr>
            <w:tcW w:w="3643" w:type="pct"/>
            <w:shd w:val="clear" w:color="auto" w:fill="auto"/>
          </w:tcPr>
          <w:p w14:paraId="20AE32C0" w14:textId="77777777" w:rsidR="00B626E7" w:rsidRDefault="00B626E7">
            <w:pPr>
              <w:rPr>
                <w:rFonts w:ascii="宋体"/>
              </w:rPr>
            </w:pPr>
          </w:p>
        </w:tc>
        <w:tc>
          <w:tcPr>
            <w:tcW w:w="50" w:type="pct"/>
            <w:shd w:val="clear" w:color="auto" w:fill="auto"/>
          </w:tcPr>
          <w:p w14:paraId="20AE32C1" w14:textId="77777777" w:rsidR="00B626E7" w:rsidRDefault="00B626E7">
            <w:pPr>
              <w:rPr>
                <w:rFonts w:ascii="宋体"/>
              </w:rPr>
            </w:pPr>
          </w:p>
        </w:tc>
        <w:tc>
          <w:tcPr>
            <w:tcW w:w="5" w:type="pct"/>
            <w:shd w:val="clear" w:color="auto" w:fill="auto"/>
          </w:tcPr>
          <w:p w14:paraId="20AE32C2" w14:textId="77777777" w:rsidR="00B626E7" w:rsidRDefault="00B626E7">
            <w:pPr>
              <w:rPr>
                <w:rFonts w:ascii="宋体"/>
              </w:rPr>
            </w:pPr>
          </w:p>
        </w:tc>
        <w:tc>
          <w:tcPr>
            <w:tcW w:w="24" w:type="pct"/>
            <w:shd w:val="clear" w:color="auto" w:fill="auto"/>
          </w:tcPr>
          <w:p w14:paraId="20AE32C3" w14:textId="77777777" w:rsidR="00B626E7" w:rsidRDefault="00B626E7">
            <w:pPr>
              <w:rPr>
                <w:rFonts w:ascii="宋体"/>
              </w:rPr>
            </w:pPr>
          </w:p>
        </w:tc>
        <w:tc>
          <w:tcPr>
            <w:tcW w:w="5" w:type="pct"/>
            <w:shd w:val="clear" w:color="auto" w:fill="auto"/>
          </w:tcPr>
          <w:p w14:paraId="20AE32C4" w14:textId="77777777" w:rsidR="00B626E7" w:rsidRDefault="00B626E7">
            <w:pPr>
              <w:rPr>
                <w:rFonts w:ascii="宋体"/>
              </w:rPr>
            </w:pPr>
          </w:p>
        </w:tc>
        <w:tc>
          <w:tcPr>
            <w:tcW w:w="50" w:type="pct"/>
            <w:shd w:val="clear" w:color="auto" w:fill="auto"/>
          </w:tcPr>
          <w:p w14:paraId="20AE32C5" w14:textId="77777777" w:rsidR="00B626E7" w:rsidRDefault="00B626E7">
            <w:pPr>
              <w:rPr>
                <w:rFonts w:ascii="宋体"/>
              </w:rPr>
            </w:pPr>
          </w:p>
        </w:tc>
        <w:tc>
          <w:tcPr>
            <w:tcW w:w="494" w:type="pct"/>
            <w:shd w:val="clear" w:color="auto" w:fill="auto"/>
          </w:tcPr>
          <w:p w14:paraId="20AE32C6" w14:textId="77777777" w:rsidR="00B626E7" w:rsidRDefault="00B626E7">
            <w:pPr>
              <w:rPr>
                <w:rFonts w:ascii="宋体"/>
              </w:rPr>
            </w:pPr>
          </w:p>
        </w:tc>
        <w:tc>
          <w:tcPr>
            <w:tcW w:w="50" w:type="pct"/>
            <w:shd w:val="clear" w:color="auto" w:fill="auto"/>
          </w:tcPr>
          <w:p w14:paraId="20AE32C7" w14:textId="77777777" w:rsidR="00B626E7" w:rsidRDefault="00B626E7">
            <w:pPr>
              <w:rPr>
                <w:rFonts w:ascii="宋体"/>
              </w:rPr>
            </w:pPr>
          </w:p>
        </w:tc>
        <w:tc>
          <w:tcPr>
            <w:tcW w:w="5" w:type="pct"/>
            <w:shd w:val="clear" w:color="auto" w:fill="auto"/>
          </w:tcPr>
          <w:p w14:paraId="20AE32C8" w14:textId="77777777" w:rsidR="00B626E7" w:rsidRDefault="00B626E7">
            <w:pPr>
              <w:rPr>
                <w:rFonts w:ascii="宋体"/>
              </w:rPr>
            </w:pPr>
          </w:p>
        </w:tc>
        <w:tc>
          <w:tcPr>
            <w:tcW w:w="24" w:type="pct"/>
            <w:shd w:val="clear" w:color="auto" w:fill="auto"/>
          </w:tcPr>
          <w:p w14:paraId="20AE32C9" w14:textId="77777777" w:rsidR="00B626E7" w:rsidRDefault="00B626E7">
            <w:pPr>
              <w:rPr>
                <w:rFonts w:ascii="宋体"/>
              </w:rPr>
            </w:pPr>
          </w:p>
        </w:tc>
        <w:tc>
          <w:tcPr>
            <w:tcW w:w="5" w:type="pct"/>
            <w:shd w:val="clear" w:color="auto" w:fill="auto"/>
          </w:tcPr>
          <w:p w14:paraId="20AE32CA" w14:textId="77777777" w:rsidR="00B626E7" w:rsidRDefault="00B626E7">
            <w:pPr>
              <w:rPr>
                <w:rFonts w:ascii="宋体"/>
              </w:rPr>
            </w:pPr>
          </w:p>
        </w:tc>
        <w:tc>
          <w:tcPr>
            <w:tcW w:w="50" w:type="pct"/>
            <w:shd w:val="clear" w:color="auto" w:fill="auto"/>
          </w:tcPr>
          <w:p w14:paraId="20AE32CB" w14:textId="77777777" w:rsidR="00B626E7" w:rsidRDefault="00B626E7">
            <w:pPr>
              <w:rPr>
                <w:rFonts w:ascii="宋体"/>
              </w:rPr>
            </w:pPr>
          </w:p>
        </w:tc>
        <w:tc>
          <w:tcPr>
            <w:tcW w:w="494" w:type="pct"/>
            <w:shd w:val="clear" w:color="auto" w:fill="auto"/>
          </w:tcPr>
          <w:p w14:paraId="20AE32CC" w14:textId="77777777" w:rsidR="00B626E7" w:rsidRDefault="00B626E7">
            <w:pPr>
              <w:rPr>
                <w:rFonts w:ascii="宋体"/>
              </w:rPr>
            </w:pPr>
          </w:p>
        </w:tc>
        <w:tc>
          <w:tcPr>
            <w:tcW w:w="50" w:type="pct"/>
            <w:shd w:val="clear" w:color="auto" w:fill="auto"/>
          </w:tcPr>
          <w:p w14:paraId="20AE32CD" w14:textId="77777777" w:rsidR="00B626E7" w:rsidRDefault="00B626E7">
            <w:pPr>
              <w:rPr>
                <w:rFonts w:ascii="宋体"/>
              </w:rPr>
            </w:pPr>
          </w:p>
        </w:tc>
      </w:tr>
      <w:tr w:rsidR="00B626E7" w14:paraId="20AE32D4" w14:textId="77777777">
        <w:tc>
          <w:tcPr>
            <w:tcW w:w="0" w:type="auto"/>
            <w:gridSpan w:val="3"/>
            <w:shd w:val="clear" w:color="auto" w:fill="auto"/>
            <w:tcMar>
              <w:top w:w="40" w:type="dxa"/>
              <w:left w:w="20" w:type="dxa"/>
              <w:bottom w:w="40" w:type="dxa"/>
              <w:right w:w="20" w:type="dxa"/>
            </w:tcMar>
            <w:vAlign w:val="bottom"/>
          </w:tcPr>
          <w:p w14:paraId="20AE32CF" w14:textId="77777777" w:rsidR="00B626E7" w:rsidRDefault="00175C1D">
            <w:pPr>
              <w:textAlignment w:val="bottom"/>
            </w:pPr>
            <w:r>
              <w:rPr>
                <w:rFonts w:ascii="Arial" w:eastAsia="宋体" w:hAnsi="Arial" w:cs="Arial"/>
                <w:b/>
                <w:bCs/>
                <w:color w:val="333333"/>
                <w:sz w:val="18"/>
                <w:szCs w:val="18"/>
              </w:rPr>
              <w:t>(In Millions)</w:t>
            </w:r>
          </w:p>
        </w:tc>
        <w:tc>
          <w:tcPr>
            <w:tcW w:w="0" w:type="auto"/>
            <w:gridSpan w:val="3"/>
            <w:shd w:val="clear" w:color="auto" w:fill="auto"/>
            <w:tcMar>
              <w:left w:w="20" w:type="dxa"/>
              <w:right w:w="20" w:type="dxa"/>
            </w:tcMar>
            <w:vAlign w:val="bottom"/>
          </w:tcPr>
          <w:p w14:paraId="20AE32D0"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bottom"/>
          </w:tcPr>
          <w:p w14:paraId="20AE32D1" w14:textId="77777777" w:rsidR="00B626E7" w:rsidRDefault="00175C1D">
            <w:pPr>
              <w:jc w:val="center"/>
              <w:textAlignment w:val="bottom"/>
            </w:pPr>
            <w:r>
              <w:rPr>
                <w:rFonts w:ascii="Arial" w:eastAsia="宋体" w:hAnsi="Arial" w:cs="Arial"/>
                <w:b/>
                <w:bCs/>
                <w:color w:val="333333"/>
                <w:sz w:val="18"/>
                <w:szCs w:val="18"/>
              </w:rPr>
              <w:t>Jun 27, 2020</w:t>
            </w:r>
          </w:p>
        </w:tc>
        <w:tc>
          <w:tcPr>
            <w:tcW w:w="0" w:type="auto"/>
            <w:gridSpan w:val="3"/>
            <w:shd w:val="clear" w:color="auto" w:fill="auto"/>
            <w:tcMar>
              <w:left w:w="20" w:type="dxa"/>
              <w:right w:w="20" w:type="dxa"/>
            </w:tcMar>
            <w:vAlign w:val="bottom"/>
          </w:tcPr>
          <w:p w14:paraId="20AE32D2"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bottom"/>
          </w:tcPr>
          <w:p w14:paraId="20AE32D3" w14:textId="77777777" w:rsidR="00B626E7" w:rsidRDefault="00175C1D">
            <w:pPr>
              <w:jc w:val="center"/>
              <w:textAlignment w:val="bottom"/>
            </w:pPr>
            <w:r>
              <w:rPr>
                <w:rFonts w:ascii="Arial" w:eastAsia="宋体" w:hAnsi="Arial" w:cs="Arial"/>
                <w:b/>
                <w:bCs/>
                <w:color w:val="333333"/>
                <w:sz w:val="18"/>
                <w:szCs w:val="18"/>
              </w:rPr>
              <w:t>Dec 28, 2019</w:t>
            </w:r>
          </w:p>
        </w:tc>
      </w:tr>
      <w:tr w:rsidR="00B626E7" w14:paraId="20AE32DE" w14:textId="77777777">
        <w:tc>
          <w:tcPr>
            <w:tcW w:w="0" w:type="auto"/>
            <w:gridSpan w:val="3"/>
            <w:tcBorders>
              <w:top w:val="single" w:sz="8" w:space="0" w:color="0071C5"/>
            </w:tcBorders>
            <w:shd w:val="clear" w:color="auto" w:fill="auto"/>
            <w:tcMar>
              <w:top w:w="40" w:type="dxa"/>
              <w:left w:w="20" w:type="dxa"/>
              <w:bottom w:w="40" w:type="dxa"/>
              <w:right w:w="20" w:type="dxa"/>
            </w:tcMar>
          </w:tcPr>
          <w:p w14:paraId="20AE32D5" w14:textId="77777777" w:rsidR="00B626E7" w:rsidRDefault="00175C1D">
            <w:pPr>
              <w:ind w:hanging="180"/>
              <w:textAlignment w:val="top"/>
            </w:pPr>
            <w:r>
              <w:rPr>
                <w:rFonts w:ascii="Arial" w:eastAsia="宋体" w:hAnsi="Arial" w:cs="Arial"/>
                <w:color w:val="333333"/>
                <w:sz w:val="18"/>
                <w:szCs w:val="18"/>
              </w:rPr>
              <w:t>Cash and cash equivalents, short-term investments, and trading assets</w:t>
            </w:r>
          </w:p>
        </w:tc>
        <w:tc>
          <w:tcPr>
            <w:tcW w:w="0" w:type="auto"/>
            <w:gridSpan w:val="3"/>
            <w:shd w:val="clear" w:color="auto" w:fill="auto"/>
            <w:tcMar>
              <w:left w:w="20" w:type="dxa"/>
              <w:right w:w="20" w:type="dxa"/>
            </w:tcMar>
            <w:vAlign w:val="bottom"/>
          </w:tcPr>
          <w:p w14:paraId="20AE32D6"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32D7" w14:textId="77777777" w:rsidR="00B626E7" w:rsidRDefault="00175C1D">
            <w:pPr>
              <w:textAlignment w:val="bottom"/>
            </w:pPr>
            <w:r>
              <w:rPr>
                <w:rFonts w:ascii="Arial" w:eastAsia="宋体" w:hAnsi="Arial" w:cs="Arial"/>
                <w:color w:val="026DCE"/>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32D8" w14:textId="77777777" w:rsidR="00B626E7" w:rsidRDefault="00175C1D">
            <w:pPr>
              <w:jc w:val="right"/>
              <w:textAlignment w:val="bottom"/>
            </w:pPr>
            <w:r>
              <w:rPr>
                <w:rFonts w:ascii="Arial" w:eastAsia="宋体" w:hAnsi="Arial" w:cs="Arial"/>
                <w:color w:val="026DCE"/>
                <w:sz w:val="18"/>
                <w:szCs w:val="18"/>
              </w:rPr>
              <w:t>25,815 </w:t>
            </w:r>
          </w:p>
        </w:tc>
        <w:tc>
          <w:tcPr>
            <w:tcW w:w="0" w:type="auto"/>
            <w:tcBorders>
              <w:top w:val="single" w:sz="8" w:space="0" w:color="0071C5"/>
            </w:tcBorders>
            <w:shd w:val="clear" w:color="auto" w:fill="auto"/>
            <w:tcMar>
              <w:top w:w="40" w:type="dxa"/>
              <w:bottom w:w="40" w:type="dxa"/>
              <w:right w:w="20" w:type="dxa"/>
            </w:tcMar>
            <w:vAlign w:val="bottom"/>
          </w:tcPr>
          <w:p w14:paraId="20AE32D9"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32DA"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32DB" w14:textId="77777777" w:rsidR="00B626E7" w:rsidRDefault="00175C1D">
            <w:pPr>
              <w:textAlignment w:val="bottom"/>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32DC" w14:textId="77777777" w:rsidR="00B626E7" w:rsidRDefault="00175C1D">
            <w:pPr>
              <w:jc w:val="right"/>
              <w:textAlignment w:val="bottom"/>
            </w:pPr>
            <w:r>
              <w:rPr>
                <w:rFonts w:ascii="Arial" w:eastAsia="宋体" w:hAnsi="Arial" w:cs="Arial"/>
                <w:color w:val="333333"/>
                <w:sz w:val="18"/>
                <w:szCs w:val="18"/>
              </w:rPr>
              <w:t>13,123 </w:t>
            </w:r>
          </w:p>
        </w:tc>
        <w:tc>
          <w:tcPr>
            <w:tcW w:w="0" w:type="auto"/>
            <w:tcBorders>
              <w:top w:val="single" w:sz="8" w:space="0" w:color="0071C5"/>
            </w:tcBorders>
            <w:shd w:val="clear" w:color="auto" w:fill="auto"/>
            <w:tcMar>
              <w:top w:w="40" w:type="dxa"/>
              <w:bottom w:w="40" w:type="dxa"/>
              <w:right w:w="20" w:type="dxa"/>
            </w:tcMar>
            <w:vAlign w:val="bottom"/>
          </w:tcPr>
          <w:p w14:paraId="20AE32DD" w14:textId="77777777" w:rsidR="00B626E7" w:rsidRDefault="00175C1D">
            <w:pPr>
              <w:jc w:val="right"/>
              <w:textAlignment w:val="bottom"/>
            </w:pPr>
            <w:r>
              <w:rPr>
                <w:rFonts w:ascii="Arial" w:eastAsia="宋体" w:hAnsi="Arial" w:cs="Arial"/>
                <w:color w:val="333333"/>
                <w:sz w:val="18"/>
                <w:szCs w:val="18"/>
              </w:rPr>
              <w:t> </w:t>
            </w:r>
          </w:p>
        </w:tc>
      </w:tr>
      <w:tr w:rsidR="00B626E7" w14:paraId="20AE32E8" w14:textId="77777777">
        <w:tc>
          <w:tcPr>
            <w:tcW w:w="0" w:type="auto"/>
            <w:gridSpan w:val="3"/>
            <w:shd w:val="clear" w:color="auto" w:fill="auto"/>
            <w:tcMar>
              <w:top w:w="40" w:type="dxa"/>
              <w:left w:w="20" w:type="dxa"/>
              <w:bottom w:w="40" w:type="dxa"/>
              <w:right w:w="20" w:type="dxa"/>
            </w:tcMar>
          </w:tcPr>
          <w:p w14:paraId="20AE32DF" w14:textId="77777777" w:rsidR="00B626E7" w:rsidRDefault="00175C1D">
            <w:pPr>
              <w:ind w:hanging="180"/>
              <w:textAlignment w:val="top"/>
            </w:pPr>
            <w:r>
              <w:rPr>
                <w:rFonts w:ascii="Arial" w:eastAsia="宋体" w:hAnsi="Arial" w:cs="Arial"/>
                <w:color w:val="333333"/>
                <w:sz w:val="18"/>
                <w:szCs w:val="18"/>
              </w:rPr>
              <w:t>Other long-term investments</w:t>
            </w:r>
          </w:p>
        </w:tc>
        <w:tc>
          <w:tcPr>
            <w:tcW w:w="0" w:type="auto"/>
            <w:gridSpan w:val="3"/>
            <w:shd w:val="clear" w:color="auto" w:fill="auto"/>
            <w:tcMar>
              <w:left w:w="20" w:type="dxa"/>
              <w:right w:w="20" w:type="dxa"/>
            </w:tcMar>
            <w:vAlign w:val="bottom"/>
          </w:tcPr>
          <w:p w14:paraId="20AE32E0"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32E1" w14:textId="77777777" w:rsidR="00B626E7" w:rsidRDefault="00175C1D">
            <w:pPr>
              <w:textAlignment w:val="bottom"/>
            </w:pPr>
            <w:r>
              <w:rPr>
                <w:rFonts w:ascii="Arial" w:eastAsia="宋体" w:hAnsi="Arial" w:cs="Arial"/>
                <w:color w:val="026DCE"/>
                <w:sz w:val="18"/>
                <w:szCs w:val="18"/>
              </w:rPr>
              <w:t>$</w:t>
            </w:r>
          </w:p>
        </w:tc>
        <w:tc>
          <w:tcPr>
            <w:tcW w:w="0" w:type="auto"/>
            <w:shd w:val="clear" w:color="auto" w:fill="auto"/>
            <w:tcMar>
              <w:top w:w="40" w:type="dxa"/>
              <w:bottom w:w="40" w:type="dxa"/>
              <w:right w:w="0" w:type="dxa"/>
            </w:tcMar>
            <w:vAlign w:val="bottom"/>
          </w:tcPr>
          <w:p w14:paraId="20AE32E2" w14:textId="77777777" w:rsidR="00B626E7" w:rsidRDefault="00175C1D">
            <w:pPr>
              <w:jc w:val="right"/>
              <w:textAlignment w:val="bottom"/>
            </w:pPr>
            <w:r>
              <w:rPr>
                <w:rFonts w:ascii="Arial" w:eastAsia="宋体" w:hAnsi="Arial" w:cs="Arial"/>
                <w:color w:val="026DCE"/>
                <w:sz w:val="18"/>
                <w:szCs w:val="18"/>
              </w:rPr>
              <w:t>2,884 </w:t>
            </w:r>
          </w:p>
        </w:tc>
        <w:tc>
          <w:tcPr>
            <w:tcW w:w="0" w:type="auto"/>
            <w:shd w:val="clear" w:color="auto" w:fill="auto"/>
            <w:tcMar>
              <w:top w:w="40" w:type="dxa"/>
              <w:bottom w:w="40" w:type="dxa"/>
              <w:right w:w="20" w:type="dxa"/>
            </w:tcMar>
            <w:vAlign w:val="bottom"/>
          </w:tcPr>
          <w:p w14:paraId="20AE32E3"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32E4"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32E5" w14:textId="77777777" w:rsidR="00B626E7" w:rsidRDefault="00175C1D">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20AE32E6" w14:textId="77777777" w:rsidR="00B626E7" w:rsidRDefault="00175C1D">
            <w:pPr>
              <w:jc w:val="right"/>
              <w:textAlignment w:val="bottom"/>
            </w:pPr>
            <w:r>
              <w:rPr>
                <w:rFonts w:ascii="Arial" w:eastAsia="宋体" w:hAnsi="Arial" w:cs="Arial"/>
                <w:color w:val="333333"/>
                <w:sz w:val="18"/>
                <w:szCs w:val="18"/>
              </w:rPr>
              <w:t>3,276 </w:t>
            </w:r>
          </w:p>
        </w:tc>
        <w:tc>
          <w:tcPr>
            <w:tcW w:w="0" w:type="auto"/>
            <w:shd w:val="clear" w:color="auto" w:fill="auto"/>
            <w:tcMar>
              <w:top w:w="40" w:type="dxa"/>
              <w:bottom w:w="40" w:type="dxa"/>
              <w:right w:w="20" w:type="dxa"/>
            </w:tcMar>
            <w:vAlign w:val="bottom"/>
          </w:tcPr>
          <w:p w14:paraId="20AE32E7" w14:textId="77777777" w:rsidR="00B626E7" w:rsidRDefault="00175C1D">
            <w:pPr>
              <w:jc w:val="right"/>
              <w:textAlignment w:val="bottom"/>
            </w:pPr>
            <w:r>
              <w:rPr>
                <w:rFonts w:ascii="Arial" w:eastAsia="宋体" w:hAnsi="Arial" w:cs="Arial"/>
                <w:color w:val="333333"/>
                <w:sz w:val="18"/>
                <w:szCs w:val="18"/>
              </w:rPr>
              <w:t> </w:t>
            </w:r>
          </w:p>
        </w:tc>
      </w:tr>
      <w:tr w:rsidR="00B626E7" w14:paraId="20AE32F2" w14:textId="77777777">
        <w:tc>
          <w:tcPr>
            <w:tcW w:w="0" w:type="auto"/>
            <w:gridSpan w:val="3"/>
            <w:shd w:val="clear" w:color="auto" w:fill="auto"/>
            <w:tcMar>
              <w:top w:w="40" w:type="dxa"/>
              <w:left w:w="20" w:type="dxa"/>
              <w:bottom w:w="40" w:type="dxa"/>
              <w:right w:w="20" w:type="dxa"/>
            </w:tcMar>
          </w:tcPr>
          <w:p w14:paraId="20AE32E9" w14:textId="77777777" w:rsidR="00B626E7" w:rsidRDefault="00175C1D">
            <w:pPr>
              <w:ind w:hanging="180"/>
              <w:textAlignment w:val="top"/>
            </w:pPr>
            <w:r>
              <w:rPr>
                <w:rFonts w:ascii="Arial" w:eastAsia="宋体" w:hAnsi="Arial" w:cs="Arial"/>
                <w:color w:val="333333"/>
                <w:sz w:val="18"/>
                <w:szCs w:val="18"/>
              </w:rPr>
              <w:t xml:space="preserve">Loans </w:t>
            </w:r>
            <w:r>
              <w:rPr>
                <w:rFonts w:ascii="Arial" w:eastAsia="宋体" w:hAnsi="Arial" w:cs="Arial"/>
                <w:color w:val="333333"/>
                <w:sz w:val="18"/>
                <w:szCs w:val="18"/>
              </w:rPr>
              <w:t>receivable and other</w:t>
            </w:r>
          </w:p>
        </w:tc>
        <w:tc>
          <w:tcPr>
            <w:tcW w:w="0" w:type="auto"/>
            <w:gridSpan w:val="3"/>
            <w:shd w:val="clear" w:color="auto" w:fill="auto"/>
            <w:tcMar>
              <w:left w:w="20" w:type="dxa"/>
              <w:right w:w="20" w:type="dxa"/>
            </w:tcMar>
            <w:vAlign w:val="bottom"/>
          </w:tcPr>
          <w:p w14:paraId="20AE32EA"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32EB" w14:textId="77777777" w:rsidR="00B626E7" w:rsidRDefault="00175C1D">
            <w:pPr>
              <w:textAlignment w:val="bottom"/>
            </w:pPr>
            <w:r>
              <w:rPr>
                <w:rFonts w:ascii="Arial" w:eastAsia="宋体" w:hAnsi="Arial" w:cs="Arial"/>
                <w:color w:val="026DCE"/>
                <w:sz w:val="18"/>
                <w:szCs w:val="18"/>
              </w:rPr>
              <w:t>$</w:t>
            </w:r>
          </w:p>
        </w:tc>
        <w:tc>
          <w:tcPr>
            <w:tcW w:w="0" w:type="auto"/>
            <w:shd w:val="clear" w:color="auto" w:fill="auto"/>
            <w:tcMar>
              <w:top w:w="40" w:type="dxa"/>
              <w:bottom w:w="40" w:type="dxa"/>
              <w:right w:w="0" w:type="dxa"/>
            </w:tcMar>
            <w:vAlign w:val="bottom"/>
          </w:tcPr>
          <w:p w14:paraId="20AE32EC" w14:textId="77777777" w:rsidR="00B626E7" w:rsidRDefault="00175C1D">
            <w:pPr>
              <w:jc w:val="right"/>
              <w:textAlignment w:val="bottom"/>
            </w:pPr>
            <w:r>
              <w:rPr>
                <w:rFonts w:ascii="Arial" w:eastAsia="宋体" w:hAnsi="Arial" w:cs="Arial"/>
                <w:color w:val="026DCE"/>
                <w:sz w:val="18"/>
                <w:szCs w:val="18"/>
              </w:rPr>
              <w:t>1,295 </w:t>
            </w:r>
          </w:p>
        </w:tc>
        <w:tc>
          <w:tcPr>
            <w:tcW w:w="0" w:type="auto"/>
            <w:shd w:val="clear" w:color="auto" w:fill="auto"/>
            <w:tcMar>
              <w:top w:w="40" w:type="dxa"/>
              <w:bottom w:w="40" w:type="dxa"/>
              <w:right w:w="20" w:type="dxa"/>
            </w:tcMar>
            <w:vAlign w:val="bottom"/>
          </w:tcPr>
          <w:p w14:paraId="20AE32ED"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32EE"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32EF" w14:textId="77777777" w:rsidR="00B626E7" w:rsidRDefault="00175C1D">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20AE32F0" w14:textId="77777777" w:rsidR="00B626E7" w:rsidRDefault="00175C1D">
            <w:pPr>
              <w:jc w:val="right"/>
              <w:textAlignment w:val="bottom"/>
            </w:pPr>
            <w:r>
              <w:rPr>
                <w:rFonts w:ascii="Arial" w:eastAsia="宋体" w:hAnsi="Arial" w:cs="Arial"/>
                <w:color w:val="333333"/>
                <w:sz w:val="18"/>
                <w:szCs w:val="18"/>
              </w:rPr>
              <w:t>1,239 </w:t>
            </w:r>
          </w:p>
        </w:tc>
        <w:tc>
          <w:tcPr>
            <w:tcW w:w="0" w:type="auto"/>
            <w:shd w:val="clear" w:color="auto" w:fill="auto"/>
            <w:tcMar>
              <w:top w:w="40" w:type="dxa"/>
              <w:bottom w:w="40" w:type="dxa"/>
              <w:right w:w="20" w:type="dxa"/>
            </w:tcMar>
            <w:vAlign w:val="bottom"/>
          </w:tcPr>
          <w:p w14:paraId="20AE32F1" w14:textId="77777777" w:rsidR="00B626E7" w:rsidRDefault="00175C1D">
            <w:pPr>
              <w:jc w:val="right"/>
              <w:textAlignment w:val="bottom"/>
            </w:pPr>
            <w:r>
              <w:rPr>
                <w:rFonts w:ascii="Arial" w:eastAsia="宋体" w:hAnsi="Arial" w:cs="Arial"/>
                <w:color w:val="333333"/>
                <w:sz w:val="18"/>
                <w:szCs w:val="18"/>
              </w:rPr>
              <w:t> </w:t>
            </w:r>
          </w:p>
        </w:tc>
      </w:tr>
      <w:tr w:rsidR="00B626E7" w14:paraId="20AE32FC" w14:textId="77777777">
        <w:tc>
          <w:tcPr>
            <w:tcW w:w="0" w:type="auto"/>
            <w:gridSpan w:val="3"/>
            <w:shd w:val="clear" w:color="auto" w:fill="auto"/>
            <w:tcMar>
              <w:top w:w="40" w:type="dxa"/>
              <w:left w:w="20" w:type="dxa"/>
              <w:bottom w:w="40" w:type="dxa"/>
              <w:right w:w="20" w:type="dxa"/>
            </w:tcMar>
          </w:tcPr>
          <w:p w14:paraId="20AE32F3" w14:textId="77777777" w:rsidR="00B626E7" w:rsidRDefault="00175C1D">
            <w:pPr>
              <w:ind w:hanging="180"/>
              <w:textAlignment w:val="top"/>
            </w:pPr>
            <w:r>
              <w:rPr>
                <w:rFonts w:ascii="Arial" w:eastAsia="宋体" w:hAnsi="Arial" w:cs="Arial"/>
                <w:color w:val="333333"/>
                <w:sz w:val="18"/>
                <w:szCs w:val="18"/>
              </w:rPr>
              <w:t>Reverse repurchase agreements with original maturities greater than three months</w:t>
            </w:r>
          </w:p>
        </w:tc>
        <w:tc>
          <w:tcPr>
            <w:tcW w:w="0" w:type="auto"/>
            <w:gridSpan w:val="3"/>
            <w:shd w:val="clear" w:color="auto" w:fill="auto"/>
            <w:tcMar>
              <w:left w:w="20" w:type="dxa"/>
              <w:right w:w="20" w:type="dxa"/>
            </w:tcMar>
            <w:vAlign w:val="bottom"/>
          </w:tcPr>
          <w:p w14:paraId="20AE32F4"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32F5" w14:textId="77777777" w:rsidR="00B626E7" w:rsidRDefault="00175C1D">
            <w:pPr>
              <w:textAlignment w:val="bottom"/>
            </w:pPr>
            <w:r>
              <w:rPr>
                <w:rFonts w:ascii="Arial" w:eastAsia="宋体" w:hAnsi="Arial" w:cs="Arial"/>
                <w:color w:val="026DCE"/>
                <w:sz w:val="18"/>
                <w:szCs w:val="18"/>
              </w:rPr>
              <w:t>$</w:t>
            </w:r>
          </w:p>
        </w:tc>
        <w:tc>
          <w:tcPr>
            <w:tcW w:w="0" w:type="auto"/>
            <w:shd w:val="clear" w:color="auto" w:fill="auto"/>
            <w:tcMar>
              <w:top w:w="40" w:type="dxa"/>
              <w:bottom w:w="40" w:type="dxa"/>
              <w:right w:w="0" w:type="dxa"/>
            </w:tcMar>
            <w:vAlign w:val="bottom"/>
          </w:tcPr>
          <w:p w14:paraId="20AE32F6" w14:textId="77777777" w:rsidR="00B626E7" w:rsidRDefault="00175C1D">
            <w:pPr>
              <w:jc w:val="right"/>
              <w:textAlignment w:val="bottom"/>
            </w:pPr>
            <w:r>
              <w:rPr>
                <w:rFonts w:ascii="Arial" w:eastAsia="宋体" w:hAnsi="Arial" w:cs="Arial"/>
                <w:color w:val="026DCE"/>
                <w:sz w:val="18"/>
                <w:szCs w:val="18"/>
              </w:rPr>
              <w:t>100 </w:t>
            </w:r>
          </w:p>
        </w:tc>
        <w:tc>
          <w:tcPr>
            <w:tcW w:w="0" w:type="auto"/>
            <w:shd w:val="clear" w:color="auto" w:fill="auto"/>
            <w:tcMar>
              <w:top w:w="40" w:type="dxa"/>
              <w:bottom w:w="40" w:type="dxa"/>
              <w:right w:w="20" w:type="dxa"/>
            </w:tcMar>
            <w:vAlign w:val="bottom"/>
          </w:tcPr>
          <w:p w14:paraId="20AE32F7"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32F8"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32F9" w14:textId="77777777" w:rsidR="00B626E7" w:rsidRDefault="00175C1D">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20AE32FA" w14:textId="77777777" w:rsidR="00B626E7" w:rsidRDefault="00175C1D">
            <w:pPr>
              <w:jc w:val="right"/>
              <w:textAlignment w:val="bottom"/>
            </w:pPr>
            <w:r>
              <w:rPr>
                <w:rFonts w:ascii="Arial" w:eastAsia="宋体" w:hAnsi="Arial" w:cs="Arial"/>
                <w:color w:val="333333"/>
                <w:sz w:val="18"/>
                <w:szCs w:val="18"/>
              </w:rPr>
              <w:t>350 </w:t>
            </w:r>
          </w:p>
        </w:tc>
        <w:tc>
          <w:tcPr>
            <w:tcW w:w="0" w:type="auto"/>
            <w:shd w:val="clear" w:color="auto" w:fill="auto"/>
            <w:tcMar>
              <w:top w:w="40" w:type="dxa"/>
              <w:bottom w:w="40" w:type="dxa"/>
              <w:right w:w="20" w:type="dxa"/>
            </w:tcMar>
            <w:vAlign w:val="bottom"/>
          </w:tcPr>
          <w:p w14:paraId="20AE32FB" w14:textId="77777777" w:rsidR="00B626E7" w:rsidRDefault="00175C1D">
            <w:pPr>
              <w:jc w:val="right"/>
              <w:textAlignment w:val="bottom"/>
            </w:pPr>
            <w:r>
              <w:rPr>
                <w:rFonts w:ascii="Arial" w:eastAsia="宋体" w:hAnsi="Arial" w:cs="Arial"/>
                <w:color w:val="333333"/>
                <w:sz w:val="18"/>
                <w:szCs w:val="18"/>
              </w:rPr>
              <w:t> </w:t>
            </w:r>
          </w:p>
        </w:tc>
      </w:tr>
      <w:tr w:rsidR="00B626E7" w14:paraId="20AE3302" w14:textId="77777777">
        <w:trPr>
          <w:hidden/>
        </w:trPr>
        <w:tc>
          <w:tcPr>
            <w:tcW w:w="0" w:type="auto"/>
            <w:gridSpan w:val="3"/>
            <w:shd w:val="clear" w:color="auto" w:fill="auto"/>
          </w:tcPr>
          <w:p w14:paraId="20AE32FD" w14:textId="77777777" w:rsidR="00B626E7" w:rsidRDefault="00B626E7">
            <w:pPr>
              <w:rPr>
                <w:rFonts w:ascii="宋体"/>
                <w:vanish/>
              </w:rPr>
            </w:pPr>
          </w:p>
        </w:tc>
        <w:tc>
          <w:tcPr>
            <w:tcW w:w="0" w:type="auto"/>
            <w:gridSpan w:val="3"/>
            <w:shd w:val="clear" w:color="auto" w:fill="auto"/>
          </w:tcPr>
          <w:p w14:paraId="20AE32FE" w14:textId="77777777" w:rsidR="00B626E7" w:rsidRDefault="00B626E7">
            <w:pPr>
              <w:rPr>
                <w:rFonts w:ascii="宋体"/>
                <w:vanish/>
              </w:rPr>
            </w:pPr>
          </w:p>
        </w:tc>
        <w:tc>
          <w:tcPr>
            <w:tcW w:w="0" w:type="auto"/>
            <w:gridSpan w:val="3"/>
            <w:shd w:val="clear" w:color="auto" w:fill="auto"/>
          </w:tcPr>
          <w:p w14:paraId="20AE32FF" w14:textId="77777777" w:rsidR="00B626E7" w:rsidRDefault="00B626E7">
            <w:pPr>
              <w:rPr>
                <w:rFonts w:ascii="宋体"/>
                <w:vanish/>
              </w:rPr>
            </w:pPr>
          </w:p>
        </w:tc>
        <w:tc>
          <w:tcPr>
            <w:tcW w:w="0" w:type="auto"/>
            <w:gridSpan w:val="3"/>
            <w:shd w:val="clear" w:color="auto" w:fill="auto"/>
          </w:tcPr>
          <w:p w14:paraId="20AE3300" w14:textId="77777777" w:rsidR="00B626E7" w:rsidRDefault="00B626E7">
            <w:pPr>
              <w:rPr>
                <w:rFonts w:ascii="宋体"/>
                <w:vanish/>
              </w:rPr>
            </w:pPr>
          </w:p>
        </w:tc>
        <w:tc>
          <w:tcPr>
            <w:tcW w:w="0" w:type="auto"/>
            <w:gridSpan w:val="3"/>
            <w:shd w:val="clear" w:color="auto" w:fill="auto"/>
          </w:tcPr>
          <w:p w14:paraId="20AE3301" w14:textId="77777777" w:rsidR="00B626E7" w:rsidRDefault="00B626E7">
            <w:pPr>
              <w:rPr>
                <w:rFonts w:ascii="宋体"/>
                <w:vanish/>
              </w:rPr>
            </w:pPr>
          </w:p>
        </w:tc>
      </w:tr>
      <w:tr w:rsidR="00B626E7" w14:paraId="20AE330C" w14:textId="77777777">
        <w:tc>
          <w:tcPr>
            <w:tcW w:w="0" w:type="auto"/>
            <w:gridSpan w:val="3"/>
            <w:shd w:val="clear" w:color="auto" w:fill="auto"/>
            <w:tcMar>
              <w:top w:w="40" w:type="dxa"/>
              <w:left w:w="20" w:type="dxa"/>
              <w:bottom w:w="40" w:type="dxa"/>
              <w:right w:w="20" w:type="dxa"/>
            </w:tcMar>
          </w:tcPr>
          <w:p w14:paraId="20AE3303" w14:textId="77777777" w:rsidR="00B626E7" w:rsidRDefault="00175C1D">
            <w:pPr>
              <w:ind w:hanging="180"/>
              <w:textAlignment w:val="top"/>
            </w:pPr>
            <w:r>
              <w:rPr>
                <w:rFonts w:ascii="Arial" w:eastAsia="宋体" w:hAnsi="Arial" w:cs="Arial"/>
                <w:color w:val="333333"/>
                <w:sz w:val="18"/>
                <w:szCs w:val="18"/>
              </w:rPr>
              <w:t>Total debt</w:t>
            </w:r>
          </w:p>
        </w:tc>
        <w:tc>
          <w:tcPr>
            <w:tcW w:w="0" w:type="auto"/>
            <w:gridSpan w:val="3"/>
            <w:shd w:val="clear" w:color="auto" w:fill="auto"/>
            <w:tcMar>
              <w:left w:w="20" w:type="dxa"/>
              <w:right w:w="20" w:type="dxa"/>
            </w:tcMar>
            <w:vAlign w:val="bottom"/>
          </w:tcPr>
          <w:p w14:paraId="20AE3304"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3305" w14:textId="77777777" w:rsidR="00B626E7" w:rsidRDefault="00175C1D">
            <w:pPr>
              <w:textAlignment w:val="bottom"/>
            </w:pPr>
            <w:r>
              <w:rPr>
                <w:rFonts w:ascii="Arial" w:eastAsia="宋体" w:hAnsi="Arial" w:cs="Arial"/>
                <w:color w:val="026DCE"/>
                <w:sz w:val="18"/>
                <w:szCs w:val="18"/>
              </w:rPr>
              <w:t>$</w:t>
            </w:r>
          </w:p>
        </w:tc>
        <w:tc>
          <w:tcPr>
            <w:tcW w:w="0" w:type="auto"/>
            <w:shd w:val="clear" w:color="auto" w:fill="auto"/>
            <w:tcMar>
              <w:top w:w="40" w:type="dxa"/>
              <w:bottom w:w="40" w:type="dxa"/>
              <w:right w:w="0" w:type="dxa"/>
            </w:tcMar>
            <w:vAlign w:val="bottom"/>
          </w:tcPr>
          <w:p w14:paraId="20AE3306" w14:textId="77777777" w:rsidR="00B626E7" w:rsidRDefault="00175C1D">
            <w:pPr>
              <w:jc w:val="right"/>
              <w:textAlignment w:val="bottom"/>
            </w:pPr>
            <w:r>
              <w:rPr>
                <w:rFonts w:ascii="Arial" w:eastAsia="宋体" w:hAnsi="Arial" w:cs="Arial"/>
                <w:color w:val="026DCE"/>
                <w:sz w:val="18"/>
                <w:szCs w:val="18"/>
              </w:rPr>
              <w:t>38,347 </w:t>
            </w:r>
          </w:p>
        </w:tc>
        <w:tc>
          <w:tcPr>
            <w:tcW w:w="0" w:type="auto"/>
            <w:shd w:val="clear" w:color="auto" w:fill="auto"/>
            <w:tcMar>
              <w:top w:w="40" w:type="dxa"/>
              <w:bottom w:w="40" w:type="dxa"/>
              <w:right w:w="20" w:type="dxa"/>
            </w:tcMar>
            <w:vAlign w:val="bottom"/>
          </w:tcPr>
          <w:p w14:paraId="20AE3307"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3308"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3309" w14:textId="77777777" w:rsidR="00B626E7" w:rsidRDefault="00175C1D">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20AE330A" w14:textId="77777777" w:rsidR="00B626E7" w:rsidRDefault="00175C1D">
            <w:pPr>
              <w:jc w:val="right"/>
              <w:textAlignment w:val="bottom"/>
            </w:pPr>
            <w:r>
              <w:rPr>
                <w:rFonts w:ascii="Arial" w:eastAsia="宋体" w:hAnsi="Arial" w:cs="Arial"/>
                <w:color w:val="333333"/>
                <w:sz w:val="18"/>
                <w:szCs w:val="18"/>
              </w:rPr>
              <w:t>29,001 </w:t>
            </w:r>
          </w:p>
        </w:tc>
        <w:tc>
          <w:tcPr>
            <w:tcW w:w="0" w:type="auto"/>
            <w:shd w:val="clear" w:color="auto" w:fill="auto"/>
            <w:tcMar>
              <w:top w:w="40" w:type="dxa"/>
              <w:bottom w:w="40" w:type="dxa"/>
              <w:right w:w="20" w:type="dxa"/>
            </w:tcMar>
            <w:vAlign w:val="bottom"/>
          </w:tcPr>
          <w:p w14:paraId="20AE330B" w14:textId="77777777" w:rsidR="00B626E7" w:rsidRDefault="00175C1D">
            <w:pPr>
              <w:jc w:val="right"/>
              <w:textAlignment w:val="bottom"/>
            </w:pPr>
            <w:r>
              <w:rPr>
                <w:rFonts w:ascii="Arial" w:eastAsia="宋体" w:hAnsi="Arial" w:cs="Arial"/>
                <w:color w:val="333333"/>
                <w:sz w:val="18"/>
                <w:szCs w:val="18"/>
              </w:rPr>
              <w:t> </w:t>
            </w:r>
          </w:p>
        </w:tc>
      </w:tr>
      <w:tr w:rsidR="00B626E7" w14:paraId="20AE3316" w14:textId="77777777">
        <w:tc>
          <w:tcPr>
            <w:tcW w:w="0" w:type="auto"/>
            <w:gridSpan w:val="3"/>
            <w:shd w:val="clear" w:color="auto" w:fill="auto"/>
            <w:tcMar>
              <w:top w:w="40" w:type="dxa"/>
              <w:left w:w="20" w:type="dxa"/>
              <w:bottom w:w="40" w:type="dxa"/>
              <w:right w:w="20" w:type="dxa"/>
            </w:tcMar>
          </w:tcPr>
          <w:p w14:paraId="20AE330D" w14:textId="77777777" w:rsidR="00B626E7" w:rsidRDefault="00175C1D">
            <w:pPr>
              <w:ind w:hanging="180"/>
              <w:textAlignment w:val="top"/>
            </w:pPr>
            <w:r>
              <w:rPr>
                <w:rFonts w:ascii="Arial" w:eastAsia="宋体" w:hAnsi="Arial" w:cs="Arial"/>
                <w:color w:val="333333"/>
                <w:sz w:val="18"/>
                <w:szCs w:val="18"/>
              </w:rPr>
              <w:t>Temporary equity</w:t>
            </w:r>
          </w:p>
        </w:tc>
        <w:tc>
          <w:tcPr>
            <w:tcW w:w="0" w:type="auto"/>
            <w:gridSpan w:val="3"/>
            <w:shd w:val="clear" w:color="auto" w:fill="auto"/>
            <w:tcMar>
              <w:left w:w="20" w:type="dxa"/>
              <w:right w:w="20" w:type="dxa"/>
            </w:tcMar>
            <w:vAlign w:val="bottom"/>
          </w:tcPr>
          <w:p w14:paraId="20AE330E"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330F" w14:textId="77777777" w:rsidR="00B626E7" w:rsidRDefault="00175C1D">
            <w:pPr>
              <w:textAlignment w:val="bottom"/>
            </w:pPr>
            <w:r>
              <w:rPr>
                <w:rFonts w:ascii="Arial" w:eastAsia="宋体" w:hAnsi="Arial" w:cs="Arial"/>
                <w:color w:val="026DCE"/>
                <w:sz w:val="18"/>
                <w:szCs w:val="18"/>
              </w:rPr>
              <w:t>$</w:t>
            </w:r>
          </w:p>
        </w:tc>
        <w:tc>
          <w:tcPr>
            <w:tcW w:w="0" w:type="auto"/>
            <w:shd w:val="clear" w:color="auto" w:fill="auto"/>
            <w:tcMar>
              <w:top w:w="40" w:type="dxa"/>
              <w:bottom w:w="40" w:type="dxa"/>
              <w:right w:w="0" w:type="dxa"/>
            </w:tcMar>
            <w:vAlign w:val="bottom"/>
          </w:tcPr>
          <w:p w14:paraId="20AE3310" w14:textId="77777777" w:rsidR="00B626E7" w:rsidRDefault="00175C1D">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20AE3311" w14:textId="77777777" w:rsidR="00B626E7" w:rsidRDefault="00175C1D">
            <w:pPr>
              <w:jc w:val="right"/>
              <w:textAlignment w:val="bottom"/>
            </w:pPr>
            <w:r>
              <w:rPr>
                <w:rFonts w:ascii="Arial" w:eastAsia="宋体" w:hAnsi="Arial" w:cs="Arial"/>
                <w:color w:val="026DCE"/>
                <w:sz w:val="18"/>
                <w:szCs w:val="18"/>
              </w:rPr>
              <w:t> </w:t>
            </w:r>
          </w:p>
        </w:tc>
        <w:tc>
          <w:tcPr>
            <w:tcW w:w="0" w:type="auto"/>
            <w:gridSpan w:val="3"/>
            <w:shd w:val="clear" w:color="auto" w:fill="auto"/>
            <w:tcMar>
              <w:left w:w="20" w:type="dxa"/>
              <w:right w:w="20" w:type="dxa"/>
            </w:tcMar>
            <w:vAlign w:val="bottom"/>
          </w:tcPr>
          <w:p w14:paraId="20AE3312"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3313" w14:textId="77777777" w:rsidR="00B626E7" w:rsidRDefault="00175C1D">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20AE3314" w14:textId="77777777" w:rsidR="00B626E7" w:rsidRDefault="00175C1D">
            <w:pPr>
              <w:jc w:val="right"/>
              <w:textAlignment w:val="bottom"/>
            </w:pPr>
            <w:r>
              <w:rPr>
                <w:rFonts w:ascii="Arial" w:eastAsia="宋体" w:hAnsi="Arial" w:cs="Arial"/>
                <w:color w:val="333333"/>
                <w:sz w:val="18"/>
                <w:szCs w:val="18"/>
              </w:rPr>
              <w:t>155 </w:t>
            </w:r>
          </w:p>
        </w:tc>
        <w:tc>
          <w:tcPr>
            <w:tcW w:w="0" w:type="auto"/>
            <w:shd w:val="clear" w:color="auto" w:fill="auto"/>
            <w:tcMar>
              <w:top w:w="40" w:type="dxa"/>
              <w:bottom w:w="40" w:type="dxa"/>
              <w:right w:w="20" w:type="dxa"/>
            </w:tcMar>
            <w:vAlign w:val="bottom"/>
          </w:tcPr>
          <w:p w14:paraId="20AE3315" w14:textId="77777777" w:rsidR="00B626E7" w:rsidRDefault="00175C1D">
            <w:pPr>
              <w:jc w:val="right"/>
              <w:textAlignment w:val="bottom"/>
            </w:pPr>
            <w:r>
              <w:rPr>
                <w:rFonts w:ascii="Arial" w:eastAsia="宋体" w:hAnsi="Arial" w:cs="Arial"/>
                <w:color w:val="333333"/>
                <w:sz w:val="18"/>
                <w:szCs w:val="18"/>
              </w:rPr>
              <w:t> </w:t>
            </w:r>
          </w:p>
        </w:tc>
      </w:tr>
    </w:tbl>
    <w:p w14:paraId="20AE3317" w14:textId="77777777" w:rsidR="00B626E7" w:rsidRDefault="00175C1D">
      <w:pPr>
        <w:spacing w:before="300" w:after="180"/>
      </w:pPr>
      <w:r>
        <w:rPr>
          <w:rFonts w:ascii="Arial" w:eastAsia="宋体" w:hAnsi="Arial" w:cs="Arial"/>
          <w:color w:val="333333"/>
          <w:sz w:val="18"/>
          <w:szCs w:val="18"/>
        </w:rPr>
        <w:t xml:space="preserve">Cash generated by </w:t>
      </w:r>
      <w:r>
        <w:rPr>
          <w:rFonts w:ascii="Arial" w:eastAsia="宋体" w:hAnsi="Arial" w:cs="Arial"/>
          <w:color w:val="333333"/>
          <w:sz w:val="18"/>
          <w:szCs w:val="18"/>
        </w:rPr>
        <w:t>operations is our primary source of liquidity. When assessing our sources of liquidity, we include investments as shown in the preceding table. We maintain a diverse investment portfolio that we continually analyze based on issuer, industry, and country. S</w:t>
      </w:r>
      <w:r>
        <w:rPr>
          <w:rFonts w:ascii="Arial" w:eastAsia="宋体" w:hAnsi="Arial" w:cs="Arial"/>
          <w:color w:val="333333"/>
          <w:sz w:val="18"/>
          <w:szCs w:val="18"/>
        </w:rPr>
        <w:t>ubstantially all of our investments in debt instruments and financing receivables are in investment-grade securities.</w:t>
      </w:r>
    </w:p>
    <w:p w14:paraId="20AE3318" w14:textId="77777777" w:rsidR="00B626E7" w:rsidRDefault="00175C1D">
      <w:pPr>
        <w:spacing w:after="180"/>
      </w:pPr>
      <w:r>
        <w:rPr>
          <w:rFonts w:ascii="Arial" w:eastAsia="宋体" w:hAnsi="Arial" w:cs="Arial"/>
          <w:color w:val="333333"/>
          <w:sz w:val="18"/>
          <w:szCs w:val="18"/>
        </w:rPr>
        <w:t xml:space="preserve">Other potential sources of liquidity include our commercial paper program and our automatic shelf registration statement on file with the </w:t>
      </w:r>
      <w:r>
        <w:rPr>
          <w:rFonts w:ascii="Arial" w:eastAsia="宋体" w:hAnsi="Arial" w:cs="Arial"/>
          <w:color w:val="333333"/>
          <w:sz w:val="18"/>
          <w:szCs w:val="18"/>
        </w:rPr>
        <w:t xml:space="preserve">SEC, pursuant to which we may offer an unspecified amount of debt, equity, and other securities. Under our commercial paper program, we have an ongoing authorization from our Board of Directors to borrow up to $10.0 billion. As of June 27, 2020, we had no </w:t>
      </w:r>
      <w:r>
        <w:rPr>
          <w:rFonts w:ascii="Arial" w:eastAsia="宋体" w:hAnsi="Arial" w:cs="Arial"/>
          <w:color w:val="333333"/>
          <w:sz w:val="18"/>
          <w:szCs w:val="18"/>
        </w:rPr>
        <w:t xml:space="preserve">outstanding commercial paper. </w:t>
      </w:r>
    </w:p>
    <w:p w14:paraId="20AE3319" w14:textId="77777777" w:rsidR="00B626E7" w:rsidRDefault="00175C1D">
      <w:pPr>
        <w:spacing w:after="180"/>
      </w:pPr>
      <w:r>
        <w:rPr>
          <w:rFonts w:ascii="Arial" w:eastAsia="宋体" w:hAnsi="Arial" w:cs="Arial"/>
          <w:color w:val="333333"/>
          <w:sz w:val="18"/>
          <w:szCs w:val="18"/>
        </w:rPr>
        <w:t>We believe we have sufficient financial resources to meet our business requirements in the next 12 months, including capital expenditures for worldwide manufacturing and assembly and test; working capital requirements; and po</w:t>
      </w:r>
      <w:r>
        <w:rPr>
          <w:rFonts w:ascii="Arial" w:eastAsia="宋体" w:hAnsi="Arial" w:cs="Arial"/>
          <w:color w:val="333333"/>
          <w:sz w:val="18"/>
          <w:szCs w:val="18"/>
        </w:rPr>
        <w:t>tential acquisitions, strategic investments, and dividends. We have taken actions this year to further strengthen our liquidity. During the first six months of 2020, we issued a total of $10.3 billion aggregate principal amount of senior notes. Additionall</w:t>
      </w:r>
      <w:r>
        <w:rPr>
          <w:rFonts w:ascii="Arial" w:eastAsia="宋体" w:hAnsi="Arial" w:cs="Arial"/>
          <w:color w:val="333333"/>
          <w:sz w:val="18"/>
          <w:szCs w:val="18"/>
        </w:rPr>
        <w:t>y, on March 24, 2020 we suspended the use of our financial resources for stock repurchases, having repurchased approximately $7.6 billion of our planned $20.0 billion</w:t>
      </w:r>
      <w:r>
        <w:rPr>
          <w:rFonts w:ascii="Times New Roman" w:eastAsia="宋体" w:hAnsi="Times New Roman"/>
          <w:color w:val="333333"/>
          <w:sz w:val="20"/>
          <w:szCs w:val="20"/>
        </w:rPr>
        <w:t xml:space="preserve"> </w:t>
      </w:r>
      <w:r>
        <w:rPr>
          <w:rFonts w:ascii="Arial" w:eastAsia="宋体" w:hAnsi="Arial" w:cs="Arial"/>
          <w:color w:val="333333"/>
          <w:sz w:val="18"/>
          <w:szCs w:val="18"/>
        </w:rPr>
        <w:t>repurchases announced in October 2019. Dividend payments to stockholders remain unaffecte</w:t>
      </w:r>
      <w:r>
        <w:rPr>
          <w:rFonts w:ascii="Arial" w:eastAsia="宋体" w:hAnsi="Arial" w:cs="Arial"/>
          <w:color w:val="333333"/>
          <w:sz w:val="18"/>
          <w:szCs w:val="18"/>
        </w:rPr>
        <w:t xml:space="preserve">d by the suspension of stock repurchases and the company intends to reinstate stock repurchases when market dynamics stabilize. </w:t>
      </w:r>
    </w:p>
    <w:tbl>
      <w:tblPr>
        <w:tblW w:w="10875" w:type="dxa"/>
        <w:tblCellMar>
          <w:top w:w="15" w:type="dxa"/>
          <w:left w:w="15" w:type="dxa"/>
          <w:bottom w:w="15" w:type="dxa"/>
          <w:right w:w="15" w:type="dxa"/>
        </w:tblCellMar>
        <w:tblLook w:val="04A0" w:firstRow="1" w:lastRow="0" w:firstColumn="1" w:lastColumn="0" w:noHBand="0" w:noVBand="1"/>
      </w:tblPr>
      <w:tblGrid>
        <w:gridCol w:w="36"/>
        <w:gridCol w:w="93"/>
        <w:gridCol w:w="36"/>
        <w:gridCol w:w="36"/>
        <w:gridCol w:w="3096"/>
        <w:gridCol w:w="36"/>
        <w:gridCol w:w="36"/>
        <w:gridCol w:w="355"/>
        <w:gridCol w:w="36"/>
        <w:gridCol w:w="36"/>
        <w:gridCol w:w="3321"/>
        <w:gridCol w:w="36"/>
        <w:gridCol w:w="36"/>
        <w:gridCol w:w="312"/>
        <w:gridCol w:w="36"/>
        <w:gridCol w:w="36"/>
        <w:gridCol w:w="3266"/>
        <w:gridCol w:w="36"/>
      </w:tblGrid>
      <w:tr w:rsidR="00B626E7" w14:paraId="20AE332C" w14:textId="77777777">
        <w:tc>
          <w:tcPr>
            <w:tcW w:w="20" w:type="dxa"/>
            <w:shd w:val="clear" w:color="auto" w:fill="auto"/>
          </w:tcPr>
          <w:p w14:paraId="20AE331A" w14:textId="77777777" w:rsidR="00B626E7" w:rsidRDefault="00B626E7">
            <w:pPr>
              <w:rPr>
                <w:rFonts w:ascii="宋体"/>
              </w:rPr>
            </w:pPr>
          </w:p>
        </w:tc>
        <w:tc>
          <w:tcPr>
            <w:tcW w:w="95" w:type="dxa"/>
            <w:shd w:val="clear" w:color="auto" w:fill="auto"/>
          </w:tcPr>
          <w:p w14:paraId="20AE331B" w14:textId="77777777" w:rsidR="00B626E7" w:rsidRDefault="00B626E7">
            <w:pPr>
              <w:rPr>
                <w:rFonts w:ascii="宋体"/>
              </w:rPr>
            </w:pPr>
          </w:p>
        </w:tc>
        <w:tc>
          <w:tcPr>
            <w:tcW w:w="20" w:type="dxa"/>
            <w:shd w:val="clear" w:color="auto" w:fill="auto"/>
          </w:tcPr>
          <w:p w14:paraId="20AE331C" w14:textId="77777777" w:rsidR="00B626E7" w:rsidRDefault="00B626E7">
            <w:pPr>
              <w:rPr>
                <w:rFonts w:ascii="宋体"/>
              </w:rPr>
            </w:pPr>
          </w:p>
        </w:tc>
        <w:tc>
          <w:tcPr>
            <w:tcW w:w="20" w:type="dxa"/>
            <w:shd w:val="clear" w:color="auto" w:fill="auto"/>
          </w:tcPr>
          <w:p w14:paraId="20AE331D" w14:textId="77777777" w:rsidR="00B626E7" w:rsidRDefault="00B626E7">
            <w:pPr>
              <w:rPr>
                <w:rFonts w:ascii="宋体"/>
              </w:rPr>
            </w:pPr>
          </w:p>
        </w:tc>
        <w:tc>
          <w:tcPr>
            <w:tcW w:w="3155" w:type="dxa"/>
            <w:shd w:val="clear" w:color="auto" w:fill="auto"/>
          </w:tcPr>
          <w:p w14:paraId="20AE331E" w14:textId="77777777" w:rsidR="00B626E7" w:rsidRDefault="00B626E7">
            <w:pPr>
              <w:rPr>
                <w:rFonts w:ascii="宋体"/>
              </w:rPr>
            </w:pPr>
          </w:p>
        </w:tc>
        <w:tc>
          <w:tcPr>
            <w:tcW w:w="20" w:type="dxa"/>
            <w:shd w:val="clear" w:color="auto" w:fill="auto"/>
          </w:tcPr>
          <w:p w14:paraId="20AE331F" w14:textId="77777777" w:rsidR="00B626E7" w:rsidRDefault="00B626E7">
            <w:pPr>
              <w:rPr>
                <w:rFonts w:ascii="宋体"/>
              </w:rPr>
            </w:pPr>
          </w:p>
        </w:tc>
        <w:tc>
          <w:tcPr>
            <w:tcW w:w="20" w:type="dxa"/>
            <w:shd w:val="clear" w:color="auto" w:fill="auto"/>
          </w:tcPr>
          <w:p w14:paraId="20AE3320" w14:textId="77777777" w:rsidR="00B626E7" w:rsidRDefault="00B626E7">
            <w:pPr>
              <w:rPr>
                <w:rFonts w:ascii="宋体"/>
              </w:rPr>
            </w:pPr>
          </w:p>
        </w:tc>
        <w:tc>
          <w:tcPr>
            <w:tcW w:w="365" w:type="dxa"/>
            <w:shd w:val="clear" w:color="auto" w:fill="auto"/>
          </w:tcPr>
          <w:p w14:paraId="20AE3321" w14:textId="77777777" w:rsidR="00B626E7" w:rsidRDefault="00B626E7">
            <w:pPr>
              <w:rPr>
                <w:rFonts w:ascii="宋体"/>
              </w:rPr>
            </w:pPr>
          </w:p>
        </w:tc>
        <w:tc>
          <w:tcPr>
            <w:tcW w:w="20" w:type="dxa"/>
            <w:shd w:val="clear" w:color="auto" w:fill="auto"/>
          </w:tcPr>
          <w:p w14:paraId="20AE3322" w14:textId="77777777" w:rsidR="00B626E7" w:rsidRDefault="00B626E7">
            <w:pPr>
              <w:rPr>
                <w:rFonts w:ascii="宋体"/>
              </w:rPr>
            </w:pPr>
          </w:p>
        </w:tc>
        <w:tc>
          <w:tcPr>
            <w:tcW w:w="20" w:type="dxa"/>
            <w:shd w:val="clear" w:color="auto" w:fill="auto"/>
          </w:tcPr>
          <w:p w14:paraId="20AE3323" w14:textId="77777777" w:rsidR="00B626E7" w:rsidRDefault="00B626E7">
            <w:pPr>
              <w:rPr>
                <w:rFonts w:ascii="宋体"/>
              </w:rPr>
            </w:pPr>
          </w:p>
        </w:tc>
        <w:tc>
          <w:tcPr>
            <w:tcW w:w="3380" w:type="dxa"/>
            <w:shd w:val="clear" w:color="auto" w:fill="auto"/>
          </w:tcPr>
          <w:p w14:paraId="20AE3324" w14:textId="77777777" w:rsidR="00B626E7" w:rsidRDefault="00B626E7">
            <w:pPr>
              <w:rPr>
                <w:rFonts w:ascii="宋体"/>
              </w:rPr>
            </w:pPr>
          </w:p>
        </w:tc>
        <w:tc>
          <w:tcPr>
            <w:tcW w:w="20" w:type="dxa"/>
            <w:shd w:val="clear" w:color="auto" w:fill="auto"/>
          </w:tcPr>
          <w:p w14:paraId="20AE3325" w14:textId="77777777" w:rsidR="00B626E7" w:rsidRDefault="00B626E7">
            <w:pPr>
              <w:rPr>
                <w:rFonts w:ascii="宋体"/>
              </w:rPr>
            </w:pPr>
          </w:p>
        </w:tc>
        <w:tc>
          <w:tcPr>
            <w:tcW w:w="20" w:type="dxa"/>
            <w:shd w:val="clear" w:color="auto" w:fill="auto"/>
          </w:tcPr>
          <w:p w14:paraId="20AE3326" w14:textId="77777777" w:rsidR="00B626E7" w:rsidRDefault="00B626E7">
            <w:pPr>
              <w:rPr>
                <w:rFonts w:ascii="宋体"/>
              </w:rPr>
            </w:pPr>
          </w:p>
        </w:tc>
        <w:tc>
          <w:tcPr>
            <w:tcW w:w="320" w:type="dxa"/>
            <w:shd w:val="clear" w:color="auto" w:fill="auto"/>
          </w:tcPr>
          <w:p w14:paraId="20AE3327" w14:textId="77777777" w:rsidR="00B626E7" w:rsidRDefault="00B626E7">
            <w:pPr>
              <w:rPr>
                <w:rFonts w:ascii="宋体"/>
              </w:rPr>
            </w:pPr>
          </w:p>
        </w:tc>
        <w:tc>
          <w:tcPr>
            <w:tcW w:w="20" w:type="dxa"/>
            <w:shd w:val="clear" w:color="auto" w:fill="auto"/>
          </w:tcPr>
          <w:p w14:paraId="20AE3328" w14:textId="77777777" w:rsidR="00B626E7" w:rsidRDefault="00B626E7">
            <w:pPr>
              <w:rPr>
                <w:rFonts w:ascii="宋体"/>
              </w:rPr>
            </w:pPr>
          </w:p>
        </w:tc>
        <w:tc>
          <w:tcPr>
            <w:tcW w:w="20" w:type="dxa"/>
            <w:shd w:val="clear" w:color="auto" w:fill="auto"/>
          </w:tcPr>
          <w:p w14:paraId="20AE3329" w14:textId="77777777" w:rsidR="00B626E7" w:rsidRDefault="00B626E7">
            <w:pPr>
              <w:rPr>
                <w:rFonts w:ascii="宋体"/>
              </w:rPr>
            </w:pPr>
          </w:p>
        </w:tc>
        <w:tc>
          <w:tcPr>
            <w:tcW w:w="3320" w:type="dxa"/>
            <w:shd w:val="clear" w:color="auto" w:fill="auto"/>
          </w:tcPr>
          <w:p w14:paraId="20AE332A" w14:textId="77777777" w:rsidR="00B626E7" w:rsidRDefault="00B626E7">
            <w:pPr>
              <w:rPr>
                <w:rFonts w:ascii="宋体"/>
              </w:rPr>
            </w:pPr>
          </w:p>
        </w:tc>
        <w:tc>
          <w:tcPr>
            <w:tcW w:w="20" w:type="dxa"/>
            <w:shd w:val="clear" w:color="auto" w:fill="auto"/>
          </w:tcPr>
          <w:p w14:paraId="20AE332B" w14:textId="77777777" w:rsidR="00B626E7" w:rsidRDefault="00B626E7">
            <w:pPr>
              <w:rPr>
                <w:rFonts w:ascii="宋体"/>
              </w:rPr>
            </w:pPr>
          </w:p>
        </w:tc>
      </w:tr>
      <w:tr w:rsidR="00B626E7" w14:paraId="20AE3333" w14:textId="77777777">
        <w:tc>
          <w:tcPr>
            <w:tcW w:w="0" w:type="auto"/>
            <w:gridSpan w:val="3"/>
            <w:shd w:val="clear" w:color="auto" w:fill="auto"/>
            <w:tcMar>
              <w:left w:w="20" w:type="dxa"/>
              <w:right w:w="20" w:type="dxa"/>
            </w:tcMar>
            <w:vAlign w:val="bottom"/>
          </w:tcPr>
          <w:p w14:paraId="20AE332D" w14:textId="77777777" w:rsidR="00B626E7" w:rsidRDefault="00B626E7">
            <w:pPr>
              <w:rPr>
                <w:rFonts w:ascii="宋体"/>
              </w:rPr>
            </w:pPr>
          </w:p>
        </w:tc>
        <w:tc>
          <w:tcPr>
            <w:tcW w:w="0" w:type="auto"/>
            <w:gridSpan w:val="3"/>
            <w:tcBorders>
              <w:bottom w:val="single" w:sz="8" w:space="0" w:color="333333"/>
            </w:tcBorders>
            <w:shd w:val="clear" w:color="auto" w:fill="auto"/>
            <w:tcMar>
              <w:top w:w="40" w:type="dxa"/>
              <w:left w:w="20" w:type="dxa"/>
              <w:bottom w:w="40" w:type="dxa"/>
              <w:right w:w="20" w:type="dxa"/>
            </w:tcMar>
            <w:vAlign w:val="bottom"/>
          </w:tcPr>
          <w:p w14:paraId="20AE332E" w14:textId="77777777" w:rsidR="00B626E7" w:rsidRDefault="00175C1D">
            <w:pPr>
              <w:jc w:val="center"/>
              <w:textAlignment w:val="bottom"/>
            </w:pPr>
            <w:r>
              <w:rPr>
                <w:rFonts w:ascii="Arial" w:eastAsia="宋体" w:hAnsi="Arial" w:cs="Arial"/>
                <w:b/>
                <w:bCs/>
                <w:color w:val="0071C5"/>
                <w:sz w:val="18"/>
                <w:szCs w:val="18"/>
              </w:rPr>
              <w:t>CASH FROM OPERATIONS $B</w:t>
            </w:r>
          </w:p>
        </w:tc>
        <w:tc>
          <w:tcPr>
            <w:tcW w:w="0" w:type="auto"/>
            <w:gridSpan w:val="3"/>
            <w:shd w:val="clear" w:color="auto" w:fill="auto"/>
            <w:tcMar>
              <w:left w:w="20" w:type="dxa"/>
              <w:right w:w="20" w:type="dxa"/>
            </w:tcMar>
            <w:vAlign w:val="bottom"/>
          </w:tcPr>
          <w:p w14:paraId="20AE332F" w14:textId="77777777" w:rsidR="00B626E7" w:rsidRDefault="00B626E7">
            <w:pPr>
              <w:rPr>
                <w:rFonts w:ascii="宋体"/>
              </w:rPr>
            </w:pPr>
          </w:p>
        </w:tc>
        <w:tc>
          <w:tcPr>
            <w:tcW w:w="0" w:type="auto"/>
            <w:gridSpan w:val="3"/>
            <w:tcBorders>
              <w:bottom w:val="single" w:sz="8" w:space="0" w:color="333333"/>
            </w:tcBorders>
            <w:shd w:val="clear" w:color="auto" w:fill="auto"/>
            <w:tcMar>
              <w:top w:w="40" w:type="dxa"/>
              <w:left w:w="20" w:type="dxa"/>
              <w:bottom w:w="40" w:type="dxa"/>
              <w:right w:w="20" w:type="dxa"/>
            </w:tcMar>
            <w:vAlign w:val="bottom"/>
          </w:tcPr>
          <w:p w14:paraId="20AE3330" w14:textId="77777777" w:rsidR="00B626E7" w:rsidRDefault="00175C1D">
            <w:pPr>
              <w:jc w:val="center"/>
              <w:textAlignment w:val="bottom"/>
            </w:pPr>
            <w:r>
              <w:rPr>
                <w:rFonts w:ascii="Arial" w:eastAsia="宋体" w:hAnsi="Arial" w:cs="Arial"/>
                <w:b/>
                <w:bCs/>
                <w:color w:val="0071C5"/>
                <w:sz w:val="18"/>
                <w:szCs w:val="18"/>
              </w:rPr>
              <w:t>CAPITAL EXPENDITURES $B</w:t>
            </w:r>
          </w:p>
        </w:tc>
        <w:tc>
          <w:tcPr>
            <w:tcW w:w="0" w:type="auto"/>
            <w:gridSpan w:val="3"/>
            <w:shd w:val="clear" w:color="auto" w:fill="auto"/>
            <w:tcMar>
              <w:left w:w="20" w:type="dxa"/>
              <w:right w:w="20" w:type="dxa"/>
            </w:tcMar>
            <w:vAlign w:val="bottom"/>
          </w:tcPr>
          <w:p w14:paraId="20AE3331" w14:textId="77777777" w:rsidR="00B626E7" w:rsidRDefault="00B626E7">
            <w:pPr>
              <w:rPr>
                <w:rFonts w:ascii="宋体"/>
              </w:rPr>
            </w:pPr>
          </w:p>
        </w:tc>
        <w:tc>
          <w:tcPr>
            <w:tcW w:w="0" w:type="auto"/>
            <w:gridSpan w:val="3"/>
            <w:tcBorders>
              <w:bottom w:val="single" w:sz="8" w:space="0" w:color="333333"/>
            </w:tcBorders>
            <w:shd w:val="clear" w:color="auto" w:fill="auto"/>
            <w:tcMar>
              <w:top w:w="40" w:type="dxa"/>
              <w:left w:w="20" w:type="dxa"/>
              <w:bottom w:w="40" w:type="dxa"/>
              <w:right w:w="20" w:type="dxa"/>
            </w:tcMar>
            <w:vAlign w:val="bottom"/>
          </w:tcPr>
          <w:p w14:paraId="20AE3332" w14:textId="77777777" w:rsidR="00B626E7" w:rsidRDefault="00175C1D">
            <w:pPr>
              <w:jc w:val="center"/>
              <w:textAlignment w:val="bottom"/>
            </w:pPr>
            <w:r>
              <w:rPr>
                <w:rFonts w:ascii="Arial" w:eastAsia="宋体" w:hAnsi="Arial" w:cs="Arial"/>
                <w:b/>
                <w:bCs/>
                <w:color w:val="0071C5"/>
                <w:sz w:val="18"/>
                <w:szCs w:val="18"/>
              </w:rPr>
              <w:t>CASH TO STOCKHOLDERS $B</w:t>
            </w:r>
          </w:p>
        </w:tc>
      </w:tr>
    </w:tbl>
    <w:p w14:paraId="20AE3334" w14:textId="77777777" w:rsidR="00B626E7" w:rsidRDefault="00175C1D">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Viewer10_files/intc-20200627_g63.jpg"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B3" wp14:editId="20AE3CB4">
            <wp:extent cx="304800" cy="304800"/>
            <wp:effectExtent l="0" t="0" r="0" b="0"/>
            <wp:docPr id="38" name="图片 137"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37" descr="IMG_31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Viewer10_files/intc-20200627_g64.jpg"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B5" wp14:editId="20AE3CB6">
            <wp:extent cx="304800" cy="304800"/>
            <wp:effectExtent l="0" t="0" r="0" b="0"/>
            <wp:docPr id="39" name="图片 138" descr="IMG_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38" descr="IMG_31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Viewer10_files/intc-202</w:instrText>
      </w:r>
      <w:r>
        <w:rPr>
          <w:rFonts w:ascii="宋体" w:eastAsia="宋体" w:hAnsi="宋体" w:cs="宋体"/>
        </w:rPr>
        <w:instrText xml:space="preserve">00627_g65.jpg"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B7" wp14:editId="20AE3CB8">
            <wp:extent cx="304800" cy="304800"/>
            <wp:effectExtent l="0" t="0" r="0" b="0"/>
            <wp:docPr id="40" name="图片 139" descr="IMG_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39" descr="IMG_32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995" w:type="dxa"/>
        <w:tblCellMar>
          <w:top w:w="15" w:type="dxa"/>
          <w:left w:w="15" w:type="dxa"/>
          <w:bottom w:w="15" w:type="dxa"/>
          <w:right w:w="15" w:type="dxa"/>
        </w:tblCellMar>
        <w:tblLook w:val="04A0" w:firstRow="1" w:lastRow="0" w:firstColumn="1" w:lastColumn="0" w:noHBand="0" w:noVBand="1"/>
      </w:tblPr>
      <w:tblGrid>
        <w:gridCol w:w="36"/>
        <w:gridCol w:w="3488"/>
        <w:gridCol w:w="36"/>
        <w:gridCol w:w="36"/>
        <w:gridCol w:w="65"/>
        <w:gridCol w:w="36"/>
        <w:gridCol w:w="36"/>
        <w:gridCol w:w="3489"/>
        <w:gridCol w:w="36"/>
        <w:gridCol w:w="36"/>
        <w:gridCol w:w="94"/>
        <w:gridCol w:w="36"/>
        <w:gridCol w:w="36"/>
        <w:gridCol w:w="3499"/>
        <w:gridCol w:w="36"/>
      </w:tblGrid>
      <w:tr w:rsidR="00B626E7" w14:paraId="20AE3344" w14:textId="77777777">
        <w:tc>
          <w:tcPr>
            <w:tcW w:w="20" w:type="dxa"/>
            <w:shd w:val="clear" w:color="auto" w:fill="auto"/>
          </w:tcPr>
          <w:p w14:paraId="20AE3335" w14:textId="77777777" w:rsidR="00B626E7" w:rsidRDefault="00B626E7">
            <w:pPr>
              <w:rPr>
                <w:rFonts w:ascii="宋体"/>
              </w:rPr>
            </w:pPr>
          </w:p>
        </w:tc>
        <w:tc>
          <w:tcPr>
            <w:tcW w:w="3545" w:type="dxa"/>
            <w:shd w:val="clear" w:color="auto" w:fill="auto"/>
          </w:tcPr>
          <w:p w14:paraId="20AE3336" w14:textId="77777777" w:rsidR="00B626E7" w:rsidRDefault="00B626E7">
            <w:pPr>
              <w:rPr>
                <w:rFonts w:ascii="宋体"/>
              </w:rPr>
            </w:pPr>
          </w:p>
        </w:tc>
        <w:tc>
          <w:tcPr>
            <w:tcW w:w="20" w:type="dxa"/>
            <w:shd w:val="clear" w:color="auto" w:fill="auto"/>
          </w:tcPr>
          <w:p w14:paraId="20AE3337" w14:textId="77777777" w:rsidR="00B626E7" w:rsidRDefault="00B626E7">
            <w:pPr>
              <w:rPr>
                <w:rFonts w:ascii="宋体"/>
              </w:rPr>
            </w:pPr>
          </w:p>
        </w:tc>
        <w:tc>
          <w:tcPr>
            <w:tcW w:w="20" w:type="dxa"/>
            <w:shd w:val="clear" w:color="auto" w:fill="auto"/>
          </w:tcPr>
          <w:p w14:paraId="20AE3338" w14:textId="77777777" w:rsidR="00B626E7" w:rsidRDefault="00B626E7">
            <w:pPr>
              <w:rPr>
                <w:rFonts w:ascii="宋体"/>
              </w:rPr>
            </w:pPr>
          </w:p>
        </w:tc>
        <w:tc>
          <w:tcPr>
            <w:tcW w:w="65" w:type="dxa"/>
            <w:shd w:val="clear" w:color="auto" w:fill="auto"/>
          </w:tcPr>
          <w:p w14:paraId="20AE3339" w14:textId="77777777" w:rsidR="00B626E7" w:rsidRDefault="00B626E7">
            <w:pPr>
              <w:rPr>
                <w:rFonts w:ascii="宋体"/>
              </w:rPr>
            </w:pPr>
          </w:p>
        </w:tc>
        <w:tc>
          <w:tcPr>
            <w:tcW w:w="20" w:type="dxa"/>
            <w:shd w:val="clear" w:color="auto" w:fill="auto"/>
          </w:tcPr>
          <w:p w14:paraId="20AE333A" w14:textId="77777777" w:rsidR="00B626E7" w:rsidRDefault="00B626E7">
            <w:pPr>
              <w:rPr>
                <w:rFonts w:ascii="宋体"/>
              </w:rPr>
            </w:pPr>
          </w:p>
        </w:tc>
        <w:tc>
          <w:tcPr>
            <w:tcW w:w="20" w:type="dxa"/>
            <w:shd w:val="clear" w:color="auto" w:fill="auto"/>
          </w:tcPr>
          <w:p w14:paraId="20AE333B" w14:textId="77777777" w:rsidR="00B626E7" w:rsidRDefault="00B626E7">
            <w:pPr>
              <w:rPr>
                <w:rFonts w:ascii="宋体"/>
              </w:rPr>
            </w:pPr>
          </w:p>
        </w:tc>
        <w:tc>
          <w:tcPr>
            <w:tcW w:w="3545" w:type="dxa"/>
            <w:shd w:val="clear" w:color="auto" w:fill="auto"/>
          </w:tcPr>
          <w:p w14:paraId="20AE333C" w14:textId="77777777" w:rsidR="00B626E7" w:rsidRDefault="00B626E7">
            <w:pPr>
              <w:rPr>
                <w:rFonts w:ascii="宋体"/>
              </w:rPr>
            </w:pPr>
          </w:p>
        </w:tc>
        <w:tc>
          <w:tcPr>
            <w:tcW w:w="20" w:type="dxa"/>
            <w:shd w:val="clear" w:color="auto" w:fill="auto"/>
          </w:tcPr>
          <w:p w14:paraId="20AE333D" w14:textId="77777777" w:rsidR="00B626E7" w:rsidRDefault="00B626E7">
            <w:pPr>
              <w:rPr>
                <w:rFonts w:ascii="宋体"/>
              </w:rPr>
            </w:pPr>
          </w:p>
        </w:tc>
        <w:tc>
          <w:tcPr>
            <w:tcW w:w="20" w:type="dxa"/>
            <w:shd w:val="clear" w:color="auto" w:fill="auto"/>
          </w:tcPr>
          <w:p w14:paraId="20AE333E" w14:textId="77777777" w:rsidR="00B626E7" w:rsidRDefault="00B626E7">
            <w:pPr>
              <w:rPr>
                <w:rFonts w:ascii="宋体"/>
              </w:rPr>
            </w:pPr>
          </w:p>
        </w:tc>
        <w:tc>
          <w:tcPr>
            <w:tcW w:w="95" w:type="dxa"/>
            <w:shd w:val="clear" w:color="auto" w:fill="auto"/>
          </w:tcPr>
          <w:p w14:paraId="20AE333F" w14:textId="77777777" w:rsidR="00B626E7" w:rsidRDefault="00B626E7">
            <w:pPr>
              <w:rPr>
                <w:rFonts w:ascii="宋体"/>
              </w:rPr>
            </w:pPr>
          </w:p>
        </w:tc>
        <w:tc>
          <w:tcPr>
            <w:tcW w:w="20" w:type="dxa"/>
            <w:shd w:val="clear" w:color="auto" w:fill="auto"/>
          </w:tcPr>
          <w:p w14:paraId="20AE3340" w14:textId="77777777" w:rsidR="00B626E7" w:rsidRDefault="00B626E7">
            <w:pPr>
              <w:rPr>
                <w:rFonts w:ascii="宋体"/>
              </w:rPr>
            </w:pPr>
          </w:p>
        </w:tc>
        <w:tc>
          <w:tcPr>
            <w:tcW w:w="20" w:type="dxa"/>
            <w:shd w:val="clear" w:color="auto" w:fill="auto"/>
          </w:tcPr>
          <w:p w14:paraId="20AE3341" w14:textId="77777777" w:rsidR="00B626E7" w:rsidRDefault="00B626E7">
            <w:pPr>
              <w:rPr>
                <w:rFonts w:ascii="宋体"/>
              </w:rPr>
            </w:pPr>
          </w:p>
        </w:tc>
        <w:tc>
          <w:tcPr>
            <w:tcW w:w="3545" w:type="dxa"/>
            <w:shd w:val="clear" w:color="auto" w:fill="auto"/>
          </w:tcPr>
          <w:p w14:paraId="20AE3342" w14:textId="77777777" w:rsidR="00B626E7" w:rsidRDefault="00B626E7">
            <w:pPr>
              <w:rPr>
                <w:rFonts w:ascii="宋体"/>
              </w:rPr>
            </w:pPr>
          </w:p>
        </w:tc>
        <w:tc>
          <w:tcPr>
            <w:tcW w:w="20" w:type="dxa"/>
            <w:shd w:val="clear" w:color="auto" w:fill="auto"/>
          </w:tcPr>
          <w:p w14:paraId="20AE3343" w14:textId="77777777" w:rsidR="00B626E7" w:rsidRDefault="00B626E7">
            <w:pPr>
              <w:rPr>
                <w:rFonts w:ascii="宋体"/>
              </w:rPr>
            </w:pPr>
          </w:p>
        </w:tc>
      </w:tr>
      <w:tr w:rsidR="00B626E7" w14:paraId="20AE334A" w14:textId="77777777">
        <w:tc>
          <w:tcPr>
            <w:tcW w:w="0" w:type="auto"/>
            <w:gridSpan w:val="3"/>
            <w:shd w:val="clear" w:color="auto" w:fill="auto"/>
            <w:tcMar>
              <w:left w:w="20" w:type="dxa"/>
              <w:right w:w="20" w:type="dxa"/>
            </w:tcMar>
            <w:vAlign w:val="bottom"/>
          </w:tcPr>
          <w:p w14:paraId="20AE3345"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346"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347"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348"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center"/>
          </w:tcPr>
          <w:p w14:paraId="20AE3349" w14:textId="77777777" w:rsidR="00B626E7" w:rsidRDefault="00175C1D">
            <w:pPr>
              <w:jc w:val="center"/>
              <w:textAlignment w:val="center"/>
            </w:pPr>
            <w:r>
              <w:rPr>
                <w:rFonts w:ascii="Arial" w:eastAsia="宋体" w:hAnsi="Arial" w:cs="Arial"/>
                <w:color w:val="003C71"/>
                <w:sz w:val="16"/>
                <w:szCs w:val="16"/>
              </w:rPr>
              <w:t>■</w:t>
            </w:r>
            <w:r>
              <w:rPr>
                <w:rFonts w:ascii="Arial" w:eastAsia="宋体" w:hAnsi="Arial" w:cs="Arial"/>
                <w:color w:val="0071C5"/>
                <w:sz w:val="16"/>
                <w:szCs w:val="16"/>
              </w:rPr>
              <w:t xml:space="preserve"> </w:t>
            </w:r>
            <w:r>
              <w:rPr>
                <w:rFonts w:ascii="Arial" w:eastAsia="宋体" w:hAnsi="Arial" w:cs="Arial"/>
                <w:color w:val="333333"/>
                <w:sz w:val="16"/>
                <w:szCs w:val="16"/>
              </w:rPr>
              <w:t xml:space="preserve">Dividends </w:t>
            </w:r>
            <w:r>
              <w:rPr>
                <w:rFonts w:ascii="Arial" w:eastAsia="宋体" w:hAnsi="Arial" w:cs="Arial"/>
                <w:color w:val="0094FF"/>
                <w:sz w:val="16"/>
                <w:szCs w:val="16"/>
              </w:rPr>
              <w:t>■</w:t>
            </w:r>
            <w:r>
              <w:rPr>
                <w:rFonts w:ascii="Arial" w:eastAsia="宋体" w:hAnsi="Arial" w:cs="Arial"/>
                <w:color w:val="333333"/>
                <w:sz w:val="16"/>
                <w:szCs w:val="16"/>
              </w:rPr>
              <w:t xml:space="preserve"> Buybacks</w:t>
            </w:r>
          </w:p>
        </w:tc>
      </w:tr>
    </w:tbl>
    <w:p w14:paraId="20AE334B" w14:textId="77777777" w:rsidR="00B626E7" w:rsidRDefault="00B626E7"/>
    <w:tbl>
      <w:tblPr>
        <w:tblW w:w="5000" w:type="pct"/>
        <w:tblCellMar>
          <w:top w:w="15" w:type="dxa"/>
          <w:left w:w="15" w:type="dxa"/>
          <w:bottom w:w="15" w:type="dxa"/>
          <w:right w:w="15" w:type="dxa"/>
        </w:tblCellMar>
        <w:tblLook w:val="04A0" w:firstRow="1" w:lastRow="0" w:firstColumn="1" w:lastColumn="0" w:noHBand="0" w:noVBand="1"/>
      </w:tblPr>
      <w:tblGrid>
        <w:gridCol w:w="49"/>
        <w:gridCol w:w="5884"/>
        <w:gridCol w:w="49"/>
        <w:gridCol w:w="36"/>
        <w:gridCol w:w="36"/>
        <w:gridCol w:w="36"/>
        <w:gridCol w:w="136"/>
        <w:gridCol w:w="738"/>
        <w:gridCol w:w="86"/>
        <w:gridCol w:w="36"/>
        <w:gridCol w:w="36"/>
        <w:gridCol w:w="36"/>
        <w:gridCol w:w="136"/>
        <w:gridCol w:w="740"/>
        <w:gridCol w:w="86"/>
        <w:gridCol w:w="36"/>
        <w:gridCol w:w="36"/>
        <w:gridCol w:w="36"/>
        <w:gridCol w:w="36"/>
        <w:gridCol w:w="36"/>
        <w:gridCol w:w="36"/>
      </w:tblGrid>
      <w:tr w:rsidR="00B626E7" w14:paraId="20AE335B" w14:textId="77777777">
        <w:trPr>
          <w:gridAfter w:val="6"/>
        </w:trPr>
        <w:tc>
          <w:tcPr>
            <w:tcW w:w="50" w:type="pct"/>
            <w:shd w:val="clear" w:color="auto" w:fill="auto"/>
          </w:tcPr>
          <w:p w14:paraId="20AE334C" w14:textId="77777777" w:rsidR="00B626E7" w:rsidRDefault="00B626E7">
            <w:pPr>
              <w:rPr>
                <w:rFonts w:ascii="宋体"/>
              </w:rPr>
            </w:pPr>
          </w:p>
        </w:tc>
        <w:tc>
          <w:tcPr>
            <w:tcW w:w="3643" w:type="pct"/>
            <w:shd w:val="clear" w:color="auto" w:fill="auto"/>
          </w:tcPr>
          <w:p w14:paraId="20AE334D" w14:textId="77777777" w:rsidR="00B626E7" w:rsidRDefault="00B626E7">
            <w:pPr>
              <w:rPr>
                <w:rFonts w:ascii="宋体"/>
              </w:rPr>
            </w:pPr>
          </w:p>
        </w:tc>
        <w:tc>
          <w:tcPr>
            <w:tcW w:w="50" w:type="pct"/>
            <w:shd w:val="clear" w:color="auto" w:fill="auto"/>
          </w:tcPr>
          <w:p w14:paraId="20AE334E" w14:textId="77777777" w:rsidR="00B626E7" w:rsidRDefault="00B626E7">
            <w:pPr>
              <w:rPr>
                <w:rFonts w:ascii="宋体"/>
              </w:rPr>
            </w:pPr>
          </w:p>
        </w:tc>
        <w:tc>
          <w:tcPr>
            <w:tcW w:w="5" w:type="pct"/>
            <w:shd w:val="clear" w:color="auto" w:fill="auto"/>
          </w:tcPr>
          <w:p w14:paraId="20AE334F" w14:textId="77777777" w:rsidR="00B626E7" w:rsidRDefault="00B626E7">
            <w:pPr>
              <w:rPr>
                <w:rFonts w:ascii="宋体"/>
              </w:rPr>
            </w:pPr>
          </w:p>
        </w:tc>
        <w:tc>
          <w:tcPr>
            <w:tcW w:w="24" w:type="pct"/>
            <w:shd w:val="clear" w:color="auto" w:fill="auto"/>
          </w:tcPr>
          <w:p w14:paraId="20AE3350" w14:textId="77777777" w:rsidR="00B626E7" w:rsidRDefault="00B626E7">
            <w:pPr>
              <w:rPr>
                <w:rFonts w:ascii="宋体"/>
              </w:rPr>
            </w:pPr>
          </w:p>
        </w:tc>
        <w:tc>
          <w:tcPr>
            <w:tcW w:w="5" w:type="pct"/>
            <w:shd w:val="clear" w:color="auto" w:fill="auto"/>
          </w:tcPr>
          <w:p w14:paraId="20AE3351" w14:textId="77777777" w:rsidR="00B626E7" w:rsidRDefault="00B626E7">
            <w:pPr>
              <w:rPr>
                <w:rFonts w:ascii="宋体"/>
              </w:rPr>
            </w:pPr>
          </w:p>
        </w:tc>
        <w:tc>
          <w:tcPr>
            <w:tcW w:w="50" w:type="pct"/>
            <w:shd w:val="clear" w:color="auto" w:fill="auto"/>
          </w:tcPr>
          <w:p w14:paraId="20AE3352" w14:textId="77777777" w:rsidR="00B626E7" w:rsidRDefault="00B626E7">
            <w:pPr>
              <w:rPr>
                <w:rFonts w:ascii="宋体"/>
              </w:rPr>
            </w:pPr>
          </w:p>
        </w:tc>
        <w:tc>
          <w:tcPr>
            <w:tcW w:w="494" w:type="pct"/>
            <w:shd w:val="clear" w:color="auto" w:fill="auto"/>
          </w:tcPr>
          <w:p w14:paraId="20AE3353" w14:textId="77777777" w:rsidR="00B626E7" w:rsidRDefault="00B626E7">
            <w:pPr>
              <w:rPr>
                <w:rFonts w:ascii="宋体"/>
              </w:rPr>
            </w:pPr>
          </w:p>
        </w:tc>
        <w:tc>
          <w:tcPr>
            <w:tcW w:w="50" w:type="pct"/>
            <w:shd w:val="clear" w:color="auto" w:fill="auto"/>
          </w:tcPr>
          <w:p w14:paraId="20AE3354" w14:textId="77777777" w:rsidR="00B626E7" w:rsidRDefault="00B626E7">
            <w:pPr>
              <w:rPr>
                <w:rFonts w:ascii="宋体"/>
              </w:rPr>
            </w:pPr>
          </w:p>
        </w:tc>
        <w:tc>
          <w:tcPr>
            <w:tcW w:w="5" w:type="pct"/>
            <w:shd w:val="clear" w:color="auto" w:fill="auto"/>
          </w:tcPr>
          <w:p w14:paraId="20AE3355" w14:textId="77777777" w:rsidR="00B626E7" w:rsidRDefault="00B626E7">
            <w:pPr>
              <w:rPr>
                <w:rFonts w:ascii="宋体"/>
              </w:rPr>
            </w:pPr>
          </w:p>
        </w:tc>
        <w:tc>
          <w:tcPr>
            <w:tcW w:w="24" w:type="pct"/>
            <w:shd w:val="clear" w:color="auto" w:fill="auto"/>
          </w:tcPr>
          <w:p w14:paraId="20AE3356" w14:textId="77777777" w:rsidR="00B626E7" w:rsidRDefault="00B626E7">
            <w:pPr>
              <w:rPr>
                <w:rFonts w:ascii="宋体"/>
              </w:rPr>
            </w:pPr>
          </w:p>
        </w:tc>
        <w:tc>
          <w:tcPr>
            <w:tcW w:w="5" w:type="pct"/>
            <w:shd w:val="clear" w:color="auto" w:fill="auto"/>
          </w:tcPr>
          <w:p w14:paraId="20AE3357" w14:textId="77777777" w:rsidR="00B626E7" w:rsidRDefault="00B626E7">
            <w:pPr>
              <w:rPr>
                <w:rFonts w:ascii="宋体"/>
              </w:rPr>
            </w:pPr>
          </w:p>
        </w:tc>
        <w:tc>
          <w:tcPr>
            <w:tcW w:w="50" w:type="pct"/>
            <w:shd w:val="clear" w:color="auto" w:fill="auto"/>
          </w:tcPr>
          <w:p w14:paraId="20AE3358" w14:textId="77777777" w:rsidR="00B626E7" w:rsidRDefault="00B626E7">
            <w:pPr>
              <w:rPr>
                <w:rFonts w:ascii="宋体"/>
              </w:rPr>
            </w:pPr>
          </w:p>
        </w:tc>
        <w:tc>
          <w:tcPr>
            <w:tcW w:w="494" w:type="pct"/>
            <w:shd w:val="clear" w:color="auto" w:fill="auto"/>
          </w:tcPr>
          <w:p w14:paraId="20AE3359" w14:textId="77777777" w:rsidR="00B626E7" w:rsidRDefault="00B626E7">
            <w:pPr>
              <w:rPr>
                <w:rFonts w:ascii="宋体"/>
              </w:rPr>
            </w:pPr>
          </w:p>
        </w:tc>
        <w:tc>
          <w:tcPr>
            <w:tcW w:w="50" w:type="pct"/>
            <w:shd w:val="clear" w:color="auto" w:fill="auto"/>
          </w:tcPr>
          <w:p w14:paraId="20AE335A" w14:textId="77777777" w:rsidR="00B626E7" w:rsidRDefault="00B626E7">
            <w:pPr>
              <w:rPr>
                <w:rFonts w:ascii="宋体"/>
              </w:rPr>
            </w:pPr>
          </w:p>
        </w:tc>
      </w:tr>
      <w:tr w:rsidR="00B626E7" w14:paraId="20AE3361" w14:textId="77777777">
        <w:tc>
          <w:tcPr>
            <w:tcW w:w="0" w:type="auto"/>
            <w:gridSpan w:val="3"/>
            <w:shd w:val="clear" w:color="auto" w:fill="auto"/>
            <w:tcMar>
              <w:left w:w="20" w:type="dxa"/>
              <w:right w:w="20" w:type="dxa"/>
            </w:tcMar>
            <w:vAlign w:val="bottom"/>
          </w:tcPr>
          <w:p w14:paraId="20AE335C"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35D" w14:textId="77777777" w:rsidR="00B626E7" w:rsidRDefault="00B626E7">
            <w:pPr>
              <w:rPr>
                <w:rFonts w:ascii="宋体"/>
              </w:rPr>
            </w:pPr>
          </w:p>
        </w:tc>
        <w:tc>
          <w:tcPr>
            <w:tcW w:w="0" w:type="auto"/>
            <w:gridSpan w:val="9"/>
            <w:shd w:val="clear" w:color="auto" w:fill="auto"/>
            <w:tcMar>
              <w:top w:w="40" w:type="dxa"/>
              <w:left w:w="20" w:type="dxa"/>
              <w:bottom w:w="40" w:type="dxa"/>
              <w:right w:w="20" w:type="dxa"/>
            </w:tcMar>
            <w:vAlign w:val="bottom"/>
          </w:tcPr>
          <w:p w14:paraId="20AE335E" w14:textId="77777777" w:rsidR="00B626E7" w:rsidRDefault="00175C1D">
            <w:pPr>
              <w:jc w:val="center"/>
              <w:textAlignment w:val="bottom"/>
            </w:pPr>
            <w:r>
              <w:rPr>
                <w:rFonts w:ascii="Arial" w:eastAsia="宋体" w:hAnsi="Arial" w:cs="Arial"/>
                <w:b/>
                <w:bCs/>
                <w:color w:val="333333"/>
                <w:sz w:val="18"/>
                <w:szCs w:val="18"/>
              </w:rPr>
              <w:t>Six Months Ended</w:t>
            </w:r>
          </w:p>
        </w:tc>
        <w:tc>
          <w:tcPr>
            <w:tcW w:w="0" w:type="auto"/>
            <w:gridSpan w:val="3"/>
            <w:shd w:val="clear" w:color="auto" w:fill="auto"/>
          </w:tcPr>
          <w:p w14:paraId="20AE335F" w14:textId="77777777" w:rsidR="00B626E7" w:rsidRDefault="00B626E7">
            <w:pPr>
              <w:rPr>
                <w:rFonts w:ascii="宋体"/>
                <w:vanish/>
              </w:rPr>
            </w:pPr>
          </w:p>
        </w:tc>
        <w:tc>
          <w:tcPr>
            <w:tcW w:w="0" w:type="auto"/>
            <w:gridSpan w:val="3"/>
            <w:shd w:val="clear" w:color="auto" w:fill="auto"/>
          </w:tcPr>
          <w:p w14:paraId="20AE3360" w14:textId="77777777" w:rsidR="00B626E7" w:rsidRDefault="00B626E7">
            <w:pPr>
              <w:rPr>
                <w:rFonts w:ascii="宋体"/>
                <w:vanish/>
              </w:rPr>
            </w:pPr>
          </w:p>
        </w:tc>
      </w:tr>
      <w:tr w:rsidR="00B626E7" w14:paraId="20AE336D" w14:textId="77777777">
        <w:tc>
          <w:tcPr>
            <w:tcW w:w="0" w:type="auto"/>
            <w:gridSpan w:val="3"/>
            <w:shd w:val="clear" w:color="auto" w:fill="auto"/>
            <w:tcMar>
              <w:top w:w="40" w:type="dxa"/>
              <w:left w:w="20" w:type="dxa"/>
              <w:bottom w:w="40" w:type="dxa"/>
              <w:right w:w="20" w:type="dxa"/>
            </w:tcMar>
            <w:vAlign w:val="bottom"/>
          </w:tcPr>
          <w:p w14:paraId="20AE3362" w14:textId="77777777" w:rsidR="00B626E7" w:rsidRDefault="00175C1D">
            <w:pPr>
              <w:ind w:hanging="180"/>
              <w:textAlignment w:val="bottom"/>
            </w:pPr>
            <w:r>
              <w:rPr>
                <w:rFonts w:ascii="Arial" w:eastAsia="宋体" w:hAnsi="Arial" w:cs="Arial"/>
                <w:b/>
                <w:bCs/>
                <w:color w:val="333333"/>
                <w:sz w:val="18"/>
                <w:szCs w:val="18"/>
              </w:rPr>
              <w:t>(In Millions)</w:t>
            </w:r>
          </w:p>
        </w:tc>
        <w:tc>
          <w:tcPr>
            <w:tcW w:w="0" w:type="auto"/>
            <w:gridSpan w:val="3"/>
            <w:shd w:val="clear" w:color="auto" w:fill="auto"/>
            <w:tcMar>
              <w:left w:w="20" w:type="dxa"/>
              <w:right w:w="20" w:type="dxa"/>
            </w:tcMar>
            <w:vAlign w:val="bottom"/>
          </w:tcPr>
          <w:p w14:paraId="20AE3363"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3364" w14:textId="77777777" w:rsidR="00B626E7" w:rsidRDefault="00175C1D">
            <w:pPr>
              <w:jc w:val="center"/>
              <w:textAlignment w:val="bottom"/>
            </w:pPr>
            <w:r>
              <w:rPr>
                <w:rFonts w:ascii="Arial" w:eastAsia="宋体" w:hAnsi="Arial" w:cs="Arial"/>
                <w:b/>
                <w:bCs/>
                <w:color w:val="333333"/>
                <w:sz w:val="18"/>
                <w:szCs w:val="18"/>
              </w:rPr>
              <w:t>Jun 27, 2020</w:t>
            </w:r>
          </w:p>
        </w:tc>
        <w:tc>
          <w:tcPr>
            <w:tcW w:w="0" w:type="auto"/>
            <w:gridSpan w:val="3"/>
            <w:tcBorders>
              <w:top w:val="single" w:sz="8" w:space="0" w:color="0071C5"/>
            </w:tcBorders>
            <w:shd w:val="clear" w:color="auto" w:fill="auto"/>
            <w:tcMar>
              <w:left w:w="20" w:type="dxa"/>
              <w:right w:w="20" w:type="dxa"/>
            </w:tcMar>
            <w:vAlign w:val="bottom"/>
          </w:tcPr>
          <w:p w14:paraId="20AE3365"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3366" w14:textId="77777777" w:rsidR="00B626E7" w:rsidRDefault="00175C1D">
            <w:pPr>
              <w:jc w:val="center"/>
              <w:textAlignment w:val="bottom"/>
            </w:pPr>
            <w:r>
              <w:rPr>
                <w:rFonts w:ascii="Arial" w:eastAsia="宋体" w:hAnsi="Arial" w:cs="Arial"/>
                <w:b/>
                <w:bCs/>
                <w:color w:val="333333"/>
                <w:sz w:val="18"/>
                <w:szCs w:val="18"/>
              </w:rPr>
              <w:t>Jun 29, 2019</w:t>
            </w:r>
          </w:p>
        </w:tc>
        <w:tc>
          <w:tcPr>
            <w:tcW w:w="0" w:type="auto"/>
            <w:shd w:val="clear" w:color="auto" w:fill="auto"/>
          </w:tcPr>
          <w:p w14:paraId="20AE3367" w14:textId="77777777" w:rsidR="00B626E7" w:rsidRDefault="00B626E7">
            <w:pPr>
              <w:rPr>
                <w:rFonts w:ascii="宋体"/>
              </w:rPr>
            </w:pPr>
          </w:p>
        </w:tc>
        <w:tc>
          <w:tcPr>
            <w:tcW w:w="0" w:type="auto"/>
            <w:shd w:val="clear" w:color="auto" w:fill="auto"/>
          </w:tcPr>
          <w:p w14:paraId="20AE3368" w14:textId="77777777" w:rsidR="00B626E7" w:rsidRDefault="00B626E7">
            <w:pPr>
              <w:rPr>
                <w:rFonts w:ascii="宋体"/>
              </w:rPr>
            </w:pPr>
          </w:p>
        </w:tc>
        <w:tc>
          <w:tcPr>
            <w:tcW w:w="0" w:type="auto"/>
            <w:shd w:val="clear" w:color="auto" w:fill="auto"/>
          </w:tcPr>
          <w:p w14:paraId="20AE3369" w14:textId="77777777" w:rsidR="00B626E7" w:rsidRDefault="00B626E7">
            <w:pPr>
              <w:rPr>
                <w:rFonts w:ascii="宋体"/>
              </w:rPr>
            </w:pPr>
          </w:p>
        </w:tc>
        <w:tc>
          <w:tcPr>
            <w:tcW w:w="0" w:type="auto"/>
            <w:shd w:val="clear" w:color="auto" w:fill="auto"/>
          </w:tcPr>
          <w:p w14:paraId="20AE336A" w14:textId="77777777" w:rsidR="00B626E7" w:rsidRDefault="00B626E7">
            <w:pPr>
              <w:rPr>
                <w:rFonts w:ascii="宋体"/>
              </w:rPr>
            </w:pPr>
          </w:p>
        </w:tc>
        <w:tc>
          <w:tcPr>
            <w:tcW w:w="0" w:type="auto"/>
            <w:shd w:val="clear" w:color="auto" w:fill="auto"/>
          </w:tcPr>
          <w:p w14:paraId="20AE336B" w14:textId="77777777" w:rsidR="00B626E7" w:rsidRDefault="00B626E7">
            <w:pPr>
              <w:rPr>
                <w:rFonts w:ascii="宋体"/>
              </w:rPr>
            </w:pPr>
          </w:p>
        </w:tc>
        <w:tc>
          <w:tcPr>
            <w:tcW w:w="0" w:type="auto"/>
            <w:shd w:val="clear" w:color="auto" w:fill="auto"/>
          </w:tcPr>
          <w:p w14:paraId="20AE336C" w14:textId="77777777" w:rsidR="00B626E7" w:rsidRDefault="00B626E7">
            <w:pPr>
              <w:rPr>
                <w:rFonts w:ascii="宋体"/>
              </w:rPr>
            </w:pPr>
          </w:p>
        </w:tc>
      </w:tr>
      <w:tr w:rsidR="00B626E7" w14:paraId="20AE337D" w14:textId="77777777">
        <w:tc>
          <w:tcPr>
            <w:tcW w:w="0" w:type="auto"/>
            <w:gridSpan w:val="3"/>
            <w:tcBorders>
              <w:top w:val="single" w:sz="8" w:space="0" w:color="0071C5"/>
            </w:tcBorders>
            <w:shd w:val="clear" w:color="auto" w:fill="auto"/>
            <w:tcMar>
              <w:top w:w="40" w:type="dxa"/>
              <w:left w:w="20" w:type="dxa"/>
              <w:bottom w:w="40" w:type="dxa"/>
              <w:right w:w="20" w:type="dxa"/>
            </w:tcMar>
          </w:tcPr>
          <w:p w14:paraId="20AE336E" w14:textId="77777777" w:rsidR="00B626E7" w:rsidRDefault="00175C1D">
            <w:pPr>
              <w:ind w:hanging="180"/>
              <w:textAlignment w:val="top"/>
            </w:pPr>
            <w:r>
              <w:rPr>
                <w:rFonts w:ascii="Arial" w:eastAsia="宋体" w:hAnsi="Arial" w:cs="Arial"/>
                <w:color w:val="333333"/>
                <w:sz w:val="18"/>
                <w:szCs w:val="18"/>
              </w:rPr>
              <w:t>Net cash provided by operating activities</w:t>
            </w:r>
          </w:p>
        </w:tc>
        <w:tc>
          <w:tcPr>
            <w:tcW w:w="0" w:type="auto"/>
            <w:gridSpan w:val="3"/>
            <w:shd w:val="clear" w:color="auto" w:fill="auto"/>
            <w:tcMar>
              <w:left w:w="20" w:type="dxa"/>
              <w:right w:w="20" w:type="dxa"/>
            </w:tcMar>
            <w:vAlign w:val="bottom"/>
          </w:tcPr>
          <w:p w14:paraId="20AE336F"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3370" w14:textId="77777777" w:rsidR="00B626E7" w:rsidRDefault="00175C1D">
            <w:pPr>
              <w:textAlignment w:val="bottom"/>
            </w:pPr>
            <w:r>
              <w:rPr>
                <w:rFonts w:ascii="Arial" w:eastAsia="宋体" w:hAnsi="Arial" w:cs="Arial"/>
                <w:color w:val="0071C5"/>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3371" w14:textId="77777777" w:rsidR="00B626E7" w:rsidRDefault="00175C1D">
            <w:pPr>
              <w:jc w:val="right"/>
              <w:textAlignment w:val="bottom"/>
            </w:pPr>
            <w:r>
              <w:rPr>
                <w:rFonts w:ascii="Arial" w:eastAsia="宋体" w:hAnsi="Arial" w:cs="Arial"/>
                <w:color w:val="0071C5"/>
                <w:sz w:val="18"/>
                <w:szCs w:val="18"/>
              </w:rPr>
              <w:t>17,315 </w:t>
            </w:r>
          </w:p>
        </w:tc>
        <w:tc>
          <w:tcPr>
            <w:tcW w:w="0" w:type="auto"/>
            <w:tcBorders>
              <w:top w:val="single" w:sz="8" w:space="0" w:color="0071C5"/>
            </w:tcBorders>
            <w:shd w:val="clear" w:color="auto" w:fill="auto"/>
            <w:tcMar>
              <w:top w:w="40" w:type="dxa"/>
              <w:bottom w:w="40" w:type="dxa"/>
              <w:right w:w="20" w:type="dxa"/>
            </w:tcMar>
            <w:vAlign w:val="bottom"/>
          </w:tcPr>
          <w:p w14:paraId="20AE3372"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3373"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3374" w14:textId="77777777" w:rsidR="00B626E7" w:rsidRDefault="00175C1D">
            <w:pPr>
              <w:textAlignment w:val="bottom"/>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3375" w14:textId="77777777" w:rsidR="00B626E7" w:rsidRDefault="00175C1D">
            <w:pPr>
              <w:jc w:val="right"/>
              <w:textAlignment w:val="bottom"/>
            </w:pPr>
            <w:r>
              <w:rPr>
                <w:rFonts w:ascii="Arial" w:eastAsia="宋体" w:hAnsi="Arial" w:cs="Arial"/>
                <w:color w:val="333333"/>
                <w:sz w:val="18"/>
                <w:szCs w:val="18"/>
              </w:rPr>
              <w:t>12,546 </w:t>
            </w:r>
          </w:p>
        </w:tc>
        <w:tc>
          <w:tcPr>
            <w:tcW w:w="0" w:type="auto"/>
            <w:tcBorders>
              <w:top w:val="single" w:sz="8" w:space="0" w:color="0071C5"/>
            </w:tcBorders>
            <w:shd w:val="clear" w:color="auto" w:fill="auto"/>
            <w:tcMar>
              <w:top w:w="40" w:type="dxa"/>
              <w:bottom w:w="40" w:type="dxa"/>
              <w:right w:w="20" w:type="dxa"/>
            </w:tcMar>
            <w:vAlign w:val="bottom"/>
          </w:tcPr>
          <w:p w14:paraId="20AE3376"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3377" w14:textId="77777777" w:rsidR="00B626E7" w:rsidRDefault="00B626E7">
            <w:pPr>
              <w:rPr>
                <w:rFonts w:ascii="宋体"/>
              </w:rPr>
            </w:pPr>
          </w:p>
        </w:tc>
        <w:tc>
          <w:tcPr>
            <w:tcW w:w="0" w:type="auto"/>
            <w:shd w:val="clear" w:color="auto" w:fill="auto"/>
          </w:tcPr>
          <w:p w14:paraId="20AE3378" w14:textId="77777777" w:rsidR="00B626E7" w:rsidRDefault="00B626E7">
            <w:pPr>
              <w:rPr>
                <w:rFonts w:ascii="宋体"/>
              </w:rPr>
            </w:pPr>
          </w:p>
        </w:tc>
        <w:tc>
          <w:tcPr>
            <w:tcW w:w="0" w:type="auto"/>
            <w:shd w:val="clear" w:color="auto" w:fill="auto"/>
          </w:tcPr>
          <w:p w14:paraId="20AE3379" w14:textId="77777777" w:rsidR="00B626E7" w:rsidRDefault="00B626E7">
            <w:pPr>
              <w:rPr>
                <w:rFonts w:ascii="宋体"/>
              </w:rPr>
            </w:pPr>
          </w:p>
        </w:tc>
        <w:tc>
          <w:tcPr>
            <w:tcW w:w="0" w:type="auto"/>
            <w:shd w:val="clear" w:color="auto" w:fill="auto"/>
          </w:tcPr>
          <w:p w14:paraId="20AE337A" w14:textId="77777777" w:rsidR="00B626E7" w:rsidRDefault="00B626E7">
            <w:pPr>
              <w:rPr>
                <w:rFonts w:ascii="宋体"/>
              </w:rPr>
            </w:pPr>
          </w:p>
        </w:tc>
        <w:tc>
          <w:tcPr>
            <w:tcW w:w="0" w:type="auto"/>
            <w:shd w:val="clear" w:color="auto" w:fill="auto"/>
          </w:tcPr>
          <w:p w14:paraId="20AE337B" w14:textId="77777777" w:rsidR="00B626E7" w:rsidRDefault="00B626E7">
            <w:pPr>
              <w:rPr>
                <w:rFonts w:ascii="宋体"/>
              </w:rPr>
            </w:pPr>
          </w:p>
        </w:tc>
        <w:tc>
          <w:tcPr>
            <w:tcW w:w="0" w:type="auto"/>
            <w:shd w:val="clear" w:color="auto" w:fill="auto"/>
          </w:tcPr>
          <w:p w14:paraId="20AE337C" w14:textId="77777777" w:rsidR="00B626E7" w:rsidRDefault="00B626E7">
            <w:pPr>
              <w:rPr>
                <w:rFonts w:ascii="宋体"/>
              </w:rPr>
            </w:pPr>
          </w:p>
        </w:tc>
      </w:tr>
      <w:tr w:rsidR="00B626E7" w14:paraId="20AE338B" w14:textId="77777777">
        <w:tc>
          <w:tcPr>
            <w:tcW w:w="0" w:type="auto"/>
            <w:gridSpan w:val="3"/>
            <w:shd w:val="clear" w:color="auto" w:fill="auto"/>
            <w:tcMar>
              <w:top w:w="40" w:type="dxa"/>
              <w:left w:w="20" w:type="dxa"/>
              <w:bottom w:w="40" w:type="dxa"/>
              <w:right w:w="20" w:type="dxa"/>
            </w:tcMar>
          </w:tcPr>
          <w:p w14:paraId="20AE337E" w14:textId="77777777" w:rsidR="00B626E7" w:rsidRDefault="00175C1D">
            <w:pPr>
              <w:ind w:hanging="180"/>
              <w:textAlignment w:val="top"/>
            </w:pPr>
            <w:r>
              <w:rPr>
                <w:rFonts w:ascii="Arial" w:eastAsia="宋体" w:hAnsi="Arial" w:cs="Arial"/>
                <w:color w:val="333333"/>
                <w:sz w:val="18"/>
                <w:szCs w:val="18"/>
              </w:rPr>
              <w:t xml:space="preserve">Net </w:t>
            </w:r>
            <w:r>
              <w:rPr>
                <w:rFonts w:ascii="Arial" w:eastAsia="宋体" w:hAnsi="Arial" w:cs="Arial"/>
                <w:color w:val="333333"/>
                <w:sz w:val="18"/>
                <w:szCs w:val="18"/>
              </w:rPr>
              <w:t>cash used for investing activities</w:t>
            </w:r>
          </w:p>
        </w:tc>
        <w:tc>
          <w:tcPr>
            <w:tcW w:w="0" w:type="auto"/>
            <w:gridSpan w:val="3"/>
            <w:shd w:val="clear" w:color="auto" w:fill="auto"/>
            <w:tcMar>
              <w:left w:w="20" w:type="dxa"/>
              <w:right w:w="20" w:type="dxa"/>
            </w:tcMar>
            <w:vAlign w:val="bottom"/>
          </w:tcPr>
          <w:p w14:paraId="20AE337F"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3380" w14:textId="77777777" w:rsidR="00B626E7" w:rsidRDefault="00175C1D">
            <w:pPr>
              <w:jc w:val="right"/>
              <w:textAlignment w:val="bottom"/>
            </w:pPr>
            <w:r>
              <w:rPr>
                <w:rFonts w:ascii="Arial" w:eastAsia="宋体" w:hAnsi="Arial" w:cs="Arial"/>
                <w:color w:val="0071C5"/>
                <w:sz w:val="18"/>
                <w:szCs w:val="18"/>
              </w:rPr>
              <w:t>(14,346)</w:t>
            </w:r>
          </w:p>
        </w:tc>
        <w:tc>
          <w:tcPr>
            <w:tcW w:w="0" w:type="auto"/>
            <w:shd w:val="clear" w:color="auto" w:fill="auto"/>
            <w:tcMar>
              <w:top w:w="40" w:type="dxa"/>
              <w:bottom w:w="40" w:type="dxa"/>
              <w:right w:w="20" w:type="dxa"/>
            </w:tcMar>
            <w:vAlign w:val="bottom"/>
          </w:tcPr>
          <w:p w14:paraId="20AE3381"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3382"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3383" w14:textId="77777777" w:rsidR="00B626E7" w:rsidRDefault="00175C1D">
            <w:pPr>
              <w:jc w:val="right"/>
              <w:textAlignment w:val="bottom"/>
            </w:pPr>
            <w:r>
              <w:rPr>
                <w:rFonts w:ascii="Arial" w:eastAsia="宋体" w:hAnsi="Arial" w:cs="Arial"/>
                <w:color w:val="333333"/>
                <w:sz w:val="18"/>
                <w:szCs w:val="18"/>
              </w:rPr>
              <w:t>(6,010)</w:t>
            </w:r>
          </w:p>
        </w:tc>
        <w:tc>
          <w:tcPr>
            <w:tcW w:w="0" w:type="auto"/>
            <w:shd w:val="clear" w:color="auto" w:fill="auto"/>
            <w:tcMar>
              <w:top w:w="40" w:type="dxa"/>
              <w:bottom w:w="40" w:type="dxa"/>
              <w:right w:w="20" w:type="dxa"/>
            </w:tcMar>
            <w:vAlign w:val="bottom"/>
          </w:tcPr>
          <w:p w14:paraId="20AE3384"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3385" w14:textId="77777777" w:rsidR="00B626E7" w:rsidRDefault="00B626E7">
            <w:pPr>
              <w:rPr>
                <w:rFonts w:ascii="宋体"/>
              </w:rPr>
            </w:pPr>
          </w:p>
        </w:tc>
        <w:tc>
          <w:tcPr>
            <w:tcW w:w="0" w:type="auto"/>
            <w:shd w:val="clear" w:color="auto" w:fill="auto"/>
          </w:tcPr>
          <w:p w14:paraId="20AE3386" w14:textId="77777777" w:rsidR="00B626E7" w:rsidRDefault="00B626E7">
            <w:pPr>
              <w:rPr>
                <w:rFonts w:ascii="宋体"/>
              </w:rPr>
            </w:pPr>
          </w:p>
        </w:tc>
        <w:tc>
          <w:tcPr>
            <w:tcW w:w="0" w:type="auto"/>
            <w:shd w:val="clear" w:color="auto" w:fill="auto"/>
          </w:tcPr>
          <w:p w14:paraId="20AE3387" w14:textId="77777777" w:rsidR="00B626E7" w:rsidRDefault="00B626E7">
            <w:pPr>
              <w:rPr>
                <w:rFonts w:ascii="宋体"/>
              </w:rPr>
            </w:pPr>
          </w:p>
        </w:tc>
        <w:tc>
          <w:tcPr>
            <w:tcW w:w="0" w:type="auto"/>
            <w:shd w:val="clear" w:color="auto" w:fill="auto"/>
          </w:tcPr>
          <w:p w14:paraId="20AE3388" w14:textId="77777777" w:rsidR="00B626E7" w:rsidRDefault="00B626E7">
            <w:pPr>
              <w:rPr>
                <w:rFonts w:ascii="宋体"/>
              </w:rPr>
            </w:pPr>
          </w:p>
        </w:tc>
        <w:tc>
          <w:tcPr>
            <w:tcW w:w="0" w:type="auto"/>
            <w:shd w:val="clear" w:color="auto" w:fill="auto"/>
          </w:tcPr>
          <w:p w14:paraId="20AE3389" w14:textId="77777777" w:rsidR="00B626E7" w:rsidRDefault="00B626E7">
            <w:pPr>
              <w:rPr>
                <w:rFonts w:ascii="宋体"/>
              </w:rPr>
            </w:pPr>
          </w:p>
        </w:tc>
        <w:tc>
          <w:tcPr>
            <w:tcW w:w="0" w:type="auto"/>
            <w:shd w:val="clear" w:color="auto" w:fill="auto"/>
          </w:tcPr>
          <w:p w14:paraId="20AE338A" w14:textId="77777777" w:rsidR="00B626E7" w:rsidRDefault="00B626E7">
            <w:pPr>
              <w:rPr>
                <w:rFonts w:ascii="宋体"/>
              </w:rPr>
            </w:pPr>
          </w:p>
        </w:tc>
      </w:tr>
      <w:tr w:rsidR="00B626E7" w14:paraId="20AE3399" w14:textId="77777777">
        <w:tc>
          <w:tcPr>
            <w:tcW w:w="0" w:type="auto"/>
            <w:gridSpan w:val="3"/>
            <w:shd w:val="clear" w:color="auto" w:fill="auto"/>
            <w:tcMar>
              <w:top w:w="40" w:type="dxa"/>
              <w:left w:w="20" w:type="dxa"/>
              <w:bottom w:w="40" w:type="dxa"/>
              <w:right w:w="20" w:type="dxa"/>
            </w:tcMar>
          </w:tcPr>
          <w:p w14:paraId="20AE338C" w14:textId="77777777" w:rsidR="00B626E7" w:rsidRDefault="00175C1D">
            <w:pPr>
              <w:ind w:hanging="180"/>
              <w:textAlignment w:val="top"/>
            </w:pPr>
            <w:r>
              <w:rPr>
                <w:rFonts w:ascii="Arial" w:eastAsia="宋体" w:hAnsi="Arial" w:cs="Arial"/>
                <w:color w:val="333333"/>
                <w:sz w:val="18"/>
                <w:szCs w:val="18"/>
              </w:rPr>
              <w:t>Net cash provided by (used for) financing activities</w:t>
            </w:r>
          </w:p>
        </w:tc>
        <w:tc>
          <w:tcPr>
            <w:tcW w:w="0" w:type="auto"/>
            <w:gridSpan w:val="3"/>
            <w:shd w:val="clear" w:color="auto" w:fill="auto"/>
            <w:tcMar>
              <w:left w:w="20" w:type="dxa"/>
              <w:right w:w="20" w:type="dxa"/>
            </w:tcMar>
            <w:vAlign w:val="bottom"/>
          </w:tcPr>
          <w:p w14:paraId="20AE338D"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338E" w14:textId="77777777" w:rsidR="00B626E7" w:rsidRDefault="00175C1D">
            <w:pPr>
              <w:jc w:val="right"/>
              <w:textAlignment w:val="bottom"/>
            </w:pPr>
            <w:r>
              <w:rPr>
                <w:rFonts w:ascii="Arial" w:eastAsia="宋体" w:hAnsi="Arial" w:cs="Arial"/>
                <w:color w:val="0071C5"/>
                <w:sz w:val="18"/>
                <w:szCs w:val="18"/>
              </w:rPr>
              <w:t>1,573 </w:t>
            </w:r>
          </w:p>
        </w:tc>
        <w:tc>
          <w:tcPr>
            <w:tcW w:w="0" w:type="auto"/>
            <w:shd w:val="clear" w:color="auto" w:fill="auto"/>
            <w:tcMar>
              <w:top w:w="40" w:type="dxa"/>
              <w:bottom w:w="40" w:type="dxa"/>
              <w:right w:w="20" w:type="dxa"/>
            </w:tcMar>
            <w:vAlign w:val="bottom"/>
          </w:tcPr>
          <w:p w14:paraId="20AE338F"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3390"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3391" w14:textId="77777777" w:rsidR="00B626E7" w:rsidRDefault="00175C1D">
            <w:pPr>
              <w:jc w:val="right"/>
              <w:textAlignment w:val="bottom"/>
            </w:pPr>
            <w:r>
              <w:rPr>
                <w:rFonts w:ascii="Arial" w:eastAsia="宋体" w:hAnsi="Arial" w:cs="Arial"/>
                <w:color w:val="333333"/>
                <w:sz w:val="18"/>
                <w:szCs w:val="18"/>
              </w:rPr>
              <w:t>(6,688)</w:t>
            </w:r>
          </w:p>
        </w:tc>
        <w:tc>
          <w:tcPr>
            <w:tcW w:w="0" w:type="auto"/>
            <w:shd w:val="clear" w:color="auto" w:fill="auto"/>
            <w:tcMar>
              <w:top w:w="40" w:type="dxa"/>
              <w:bottom w:w="40" w:type="dxa"/>
              <w:right w:w="20" w:type="dxa"/>
            </w:tcMar>
            <w:vAlign w:val="bottom"/>
          </w:tcPr>
          <w:p w14:paraId="20AE3392"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3393" w14:textId="77777777" w:rsidR="00B626E7" w:rsidRDefault="00B626E7">
            <w:pPr>
              <w:rPr>
                <w:rFonts w:ascii="宋体"/>
              </w:rPr>
            </w:pPr>
          </w:p>
        </w:tc>
        <w:tc>
          <w:tcPr>
            <w:tcW w:w="0" w:type="auto"/>
            <w:shd w:val="clear" w:color="auto" w:fill="auto"/>
          </w:tcPr>
          <w:p w14:paraId="20AE3394" w14:textId="77777777" w:rsidR="00B626E7" w:rsidRDefault="00B626E7">
            <w:pPr>
              <w:rPr>
                <w:rFonts w:ascii="宋体"/>
              </w:rPr>
            </w:pPr>
          </w:p>
        </w:tc>
        <w:tc>
          <w:tcPr>
            <w:tcW w:w="0" w:type="auto"/>
            <w:shd w:val="clear" w:color="auto" w:fill="auto"/>
          </w:tcPr>
          <w:p w14:paraId="20AE3395" w14:textId="77777777" w:rsidR="00B626E7" w:rsidRDefault="00B626E7">
            <w:pPr>
              <w:rPr>
                <w:rFonts w:ascii="宋体"/>
              </w:rPr>
            </w:pPr>
          </w:p>
        </w:tc>
        <w:tc>
          <w:tcPr>
            <w:tcW w:w="0" w:type="auto"/>
            <w:shd w:val="clear" w:color="auto" w:fill="auto"/>
          </w:tcPr>
          <w:p w14:paraId="20AE3396" w14:textId="77777777" w:rsidR="00B626E7" w:rsidRDefault="00B626E7">
            <w:pPr>
              <w:rPr>
                <w:rFonts w:ascii="宋体"/>
              </w:rPr>
            </w:pPr>
          </w:p>
        </w:tc>
        <w:tc>
          <w:tcPr>
            <w:tcW w:w="0" w:type="auto"/>
            <w:shd w:val="clear" w:color="auto" w:fill="auto"/>
          </w:tcPr>
          <w:p w14:paraId="20AE3397" w14:textId="77777777" w:rsidR="00B626E7" w:rsidRDefault="00B626E7">
            <w:pPr>
              <w:rPr>
                <w:rFonts w:ascii="宋体"/>
              </w:rPr>
            </w:pPr>
          </w:p>
        </w:tc>
        <w:tc>
          <w:tcPr>
            <w:tcW w:w="0" w:type="auto"/>
            <w:shd w:val="clear" w:color="auto" w:fill="auto"/>
          </w:tcPr>
          <w:p w14:paraId="20AE3398" w14:textId="77777777" w:rsidR="00B626E7" w:rsidRDefault="00B626E7">
            <w:pPr>
              <w:rPr>
                <w:rFonts w:ascii="宋体"/>
              </w:rPr>
            </w:pPr>
          </w:p>
        </w:tc>
      </w:tr>
      <w:tr w:rsidR="00B626E7" w14:paraId="20AE33A5" w14:textId="77777777">
        <w:trPr>
          <w:hidden/>
        </w:trPr>
        <w:tc>
          <w:tcPr>
            <w:tcW w:w="0" w:type="auto"/>
            <w:gridSpan w:val="3"/>
            <w:shd w:val="clear" w:color="auto" w:fill="auto"/>
          </w:tcPr>
          <w:p w14:paraId="20AE339A" w14:textId="77777777" w:rsidR="00B626E7" w:rsidRDefault="00B626E7">
            <w:pPr>
              <w:rPr>
                <w:rFonts w:ascii="宋体"/>
                <w:vanish/>
              </w:rPr>
            </w:pPr>
          </w:p>
        </w:tc>
        <w:tc>
          <w:tcPr>
            <w:tcW w:w="0" w:type="auto"/>
            <w:gridSpan w:val="3"/>
            <w:shd w:val="clear" w:color="auto" w:fill="auto"/>
          </w:tcPr>
          <w:p w14:paraId="20AE339B" w14:textId="77777777" w:rsidR="00B626E7" w:rsidRDefault="00B626E7">
            <w:pPr>
              <w:rPr>
                <w:rFonts w:ascii="宋体"/>
                <w:vanish/>
              </w:rPr>
            </w:pPr>
          </w:p>
        </w:tc>
        <w:tc>
          <w:tcPr>
            <w:tcW w:w="0" w:type="auto"/>
            <w:gridSpan w:val="3"/>
            <w:shd w:val="clear" w:color="auto" w:fill="auto"/>
          </w:tcPr>
          <w:p w14:paraId="20AE339C" w14:textId="77777777" w:rsidR="00B626E7" w:rsidRDefault="00B626E7">
            <w:pPr>
              <w:rPr>
                <w:rFonts w:ascii="宋体"/>
                <w:vanish/>
              </w:rPr>
            </w:pPr>
          </w:p>
        </w:tc>
        <w:tc>
          <w:tcPr>
            <w:tcW w:w="0" w:type="auto"/>
            <w:gridSpan w:val="3"/>
            <w:shd w:val="clear" w:color="auto" w:fill="auto"/>
          </w:tcPr>
          <w:p w14:paraId="20AE339D" w14:textId="77777777" w:rsidR="00B626E7" w:rsidRDefault="00B626E7">
            <w:pPr>
              <w:rPr>
                <w:rFonts w:ascii="宋体"/>
                <w:vanish/>
              </w:rPr>
            </w:pPr>
          </w:p>
        </w:tc>
        <w:tc>
          <w:tcPr>
            <w:tcW w:w="0" w:type="auto"/>
            <w:gridSpan w:val="3"/>
            <w:shd w:val="clear" w:color="auto" w:fill="auto"/>
          </w:tcPr>
          <w:p w14:paraId="20AE339E" w14:textId="77777777" w:rsidR="00B626E7" w:rsidRDefault="00B626E7">
            <w:pPr>
              <w:rPr>
                <w:rFonts w:ascii="宋体"/>
                <w:vanish/>
              </w:rPr>
            </w:pPr>
          </w:p>
        </w:tc>
        <w:tc>
          <w:tcPr>
            <w:tcW w:w="0" w:type="auto"/>
            <w:shd w:val="clear" w:color="auto" w:fill="auto"/>
          </w:tcPr>
          <w:p w14:paraId="20AE339F" w14:textId="77777777" w:rsidR="00B626E7" w:rsidRDefault="00B626E7">
            <w:pPr>
              <w:rPr>
                <w:rFonts w:ascii="宋体"/>
              </w:rPr>
            </w:pPr>
          </w:p>
        </w:tc>
        <w:tc>
          <w:tcPr>
            <w:tcW w:w="0" w:type="auto"/>
            <w:shd w:val="clear" w:color="auto" w:fill="auto"/>
          </w:tcPr>
          <w:p w14:paraId="20AE33A0" w14:textId="77777777" w:rsidR="00B626E7" w:rsidRDefault="00B626E7">
            <w:pPr>
              <w:rPr>
                <w:rFonts w:ascii="宋体"/>
              </w:rPr>
            </w:pPr>
          </w:p>
        </w:tc>
        <w:tc>
          <w:tcPr>
            <w:tcW w:w="0" w:type="auto"/>
            <w:shd w:val="clear" w:color="auto" w:fill="auto"/>
          </w:tcPr>
          <w:p w14:paraId="20AE33A1" w14:textId="77777777" w:rsidR="00B626E7" w:rsidRDefault="00B626E7">
            <w:pPr>
              <w:rPr>
                <w:rFonts w:ascii="宋体"/>
              </w:rPr>
            </w:pPr>
          </w:p>
        </w:tc>
        <w:tc>
          <w:tcPr>
            <w:tcW w:w="0" w:type="auto"/>
            <w:shd w:val="clear" w:color="auto" w:fill="auto"/>
          </w:tcPr>
          <w:p w14:paraId="20AE33A2" w14:textId="77777777" w:rsidR="00B626E7" w:rsidRDefault="00B626E7">
            <w:pPr>
              <w:rPr>
                <w:rFonts w:ascii="宋体"/>
              </w:rPr>
            </w:pPr>
          </w:p>
        </w:tc>
        <w:tc>
          <w:tcPr>
            <w:tcW w:w="0" w:type="auto"/>
            <w:shd w:val="clear" w:color="auto" w:fill="auto"/>
          </w:tcPr>
          <w:p w14:paraId="20AE33A3" w14:textId="77777777" w:rsidR="00B626E7" w:rsidRDefault="00B626E7">
            <w:pPr>
              <w:rPr>
                <w:rFonts w:ascii="宋体"/>
              </w:rPr>
            </w:pPr>
          </w:p>
        </w:tc>
        <w:tc>
          <w:tcPr>
            <w:tcW w:w="0" w:type="auto"/>
            <w:shd w:val="clear" w:color="auto" w:fill="auto"/>
          </w:tcPr>
          <w:p w14:paraId="20AE33A4" w14:textId="77777777" w:rsidR="00B626E7" w:rsidRDefault="00B626E7">
            <w:pPr>
              <w:rPr>
                <w:rFonts w:ascii="宋体"/>
              </w:rPr>
            </w:pPr>
          </w:p>
        </w:tc>
      </w:tr>
      <w:tr w:rsidR="00B626E7" w14:paraId="20AE33B5" w14:textId="77777777">
        <w:tc>
          <w:tcPr>
            <w:tcW w:w="0" w:type="auto"/>
            <w:gridSpan w:val="3"/>
            <w:shd w:val="clear" w:color="auto" w:fill="auto"/>
            <w:tcMar>
              <w:top w:w="40" w:type="dxa"/>
              <w:left w:w="20" w:type="dxa"/>
              <w:bottom w:w="40" w:type="dxa"/>
              <w:right w:w="20" w:type="dxa"/>
            </w:tcMar>
          </w:tcPr>
          <w:p w14:paraId="20AE33A6" w14:textId="77777777" w:rsidR="00B626E7" w:rsidRDefault="00175C1D">
            <w:pPr>
              <w:ind w:hanging="180"/>
              <w:textAlignment w:val="top"/>
            </w:pPr>
            <w:r>
              <w:rPr>
                <w:rFonts w:ascii="Arial" w:eastAsia="宋体" w:hAnsi="Arial" w:cs="Arial"/>
                <w:b/>
                <w:bCs/>
                <w:color w:val="333333"/>
                <w:sz w:val="18"/>
                <w:szCs w:val="18"/>
              </w:rPr>
              <w:t>Net increase (decrease) in cash and cash equivalents</w:t>
            </w:r>
          </w:p>
        </w:tc>
        <w:tc>
          <w:tcPr>
            <w:tcW w:w="0" w:type="auto"/>
            <w:gridSpan w:val="3"/>
            <w:shd w:val="clear" w:color="auto" w:fill="auto"/>
            <w:tcMar>
              <w:left w:w="20" w:type="dxa"/>
              <w:right w:w="20" w:type="dxa"/>
            </w:tcMar>
            <w:vAlign w:val="bottom"/>
          </w:tcPr>
          <w:p w14:paraId="20AE33A7"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33A8" w14:textId="77777777" w:rsidR="00B626E7" w:rsidRDefault="00175C1D">
            <w:pPr>
              <w:textAlignment w:val="bottom"/>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33A9" w14:textId="77777777" w:rsidR="00B626E7" w:rsidRDefault="00175C1D">
            <w:pPr>
              <w:jc w:val="right"/>
              <w:textAlignment w:val="bottom"/>
            </w:pPr>
            <w:r>
              <w:rPr>
                <w:rFonts w:ascii="Arial" w:eastAsia="宋体" w:hAnsi="Arial" w:cs="Arial"/>
                <w:b/>
                <w:bCs/>
                <w:color w:val="0071C5"/>
                <w:sz w:val="18"/>
                <w:szCs w:val="18"/>
              </w:rPr>
              <w:t>4,542 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33AA"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33AB" w14:textId="77777777" w:rsidR="00B626E7" w:rsidRDefault="00B626E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20AE33AC"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20AE33AD" w14:textId="77777777" w:rsidR="00B626E7" w:rsidRDefault="00175C1D">
            <w:pPr>
              <w:jc w:val="right"/>
              <w:textAlignment w:val="bottom"/>
            </w:pPr>
            <w:r>
              <w:rPr>
                <w:rFonts w:ascii="Arial" w:eastAsia="宋体" w:hAnsi="Arial" w:cs="Arial"/>
                <w:b/>
                <w:bCs/>
                <w:color w:val="333333"/>
                <w:sz w:val="18"/>
                <w:szCs w:val="18"/>
              </w:rPr>
              <w:t>(152)</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20AE33AE"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E33AF" w14:textId="77777777" w:rsidR="00B626E7" w:rsidRDefault="00B626E7">
            <w:pPr>
              <w:rPr>
                <w:rFonts w:ascii="宋体"/>
              </w:rPr>
            </w:pPr>
          </w:p>
        </w:tc>
        <w:tc>
          <w:tcPr>
            <w:tcW w:w="0" w:type="auto"/>
            <w:shd w:val="clear" w:color="auto" w:fill="auto"/>
          </w:tcPr>
          <w:p w14:paraId="20AE33B0" w14:textId="77777777" w:rsidR="00B626E7" w:rsidRDefault="00B626E7">
            <w:pPr>
              <w:rPr>
                <w:rFonts w:ascii="宋体"/>
              </w:rPr>
            </w:pPr>
          </w:p>
        </w:tc>
        <w:tc>
          <w:tcPr>
            <w:tcW w:w="0" w:type="auto"/>
            <w:shd w:val="clear" w:color="auto" w:fill="auto"/>
          </w:tcPr>
          <w:p w14:paraId="20AE33B1" w14:textId="77777777" w:rsidR="00B626E7" w:rsidRDefault="00B626E7">
            <w:pPr>
              <w:rPr>
                <w:rFonts w:ascii="宋体"/>
              </w:rPr>
            </w:pPr>
          </w:p>
        </w:tc>
        <w:tc>
          <w:tcPr>
            <w:tcW w:w="0" w:type="auto"/>
            <w:shd w:val="clear" w:color="auto" w:fill="auto"/>
          </w:tcPr>
          <w:p w14:paraId="20AE33B2" w14:textId="77777777" w:rsidR="00B626E7" w:rsidRDefault="00B626E7">
            <w:pPr>
              <w:rPr>
                <w:rFonts w:ascii="宋体"/>
              </w:rPr>
            </w:pPr>
          </w:p>
        </w:tc>
        <w:tc>
          <w:tcPr>
            <w:tcW w:w="0" w:type="auto"/>
            <w:shd w:val="clear" w:color="auto" w:fill="auto"/>
          </w:tcPr>
          <w:p w14:paraId="20AE33B3" w14:textId="77777777" w:rsidR="00B626E7" w:rsidRDefault="00B626E7">
            <w:pPr>
              <w:rPr>
                <w:rFonts w:ascii="宋体"/>
              </w:rPr>
            </w:pPr>
          </w:p>
        </w:tc>
        <w:tc>
          <w:tcPr>
            <w:tcW w:w="0" w:type="auto"/>
            <w:shd w:val="clear" w:color="auto" w:fill="auto"/>
          </w:tcPr>
          <w:p w14:paraId="20AE33B4" w14:textId="77777777" w:rsidR="00B626E7" w:rsidRDefault="00B626E7">
            <w:pPr>
              <w:rPr>
                <w:rFonts w:ascii="宋体"/>
              </w:rPr>
            </w:pPr>
          </w:p>
        </w:tc>
      </w:tr>
    </w:tbl>
    <w:p w14:paraId="20AE33B6" w14:textId="77777777" w:rsidR="00B626E7" w:rsidRDefault="00B626E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84"/>
        <w:gridCol w:w="2423"/>
        <w:gridCol w:w="84"/>
        <w:gridCol w:w="83"/>
        <w:gridCol w:w="3471"/>
        <w:gridCol w:w="83"/>
        <w:gridCol w:w="83"/>
        <w:gridCol w:w="1942"/>
        <w:gridCol w:w="83"/>
      </w:tblGrid>
      <w:tr w:rsidR="00B626E7" w14:paraId="20AE33C0" w14:textId="77777777">
        <w:tc>
          <w:tcPr>
            <w:tcW w:w="50" w:type="pct"/>
            <w:shd w:val="clear" w:color="auto" w:fill="auto"/>
            <w:vAlign w:val="bottom"/>
          </w:tcPr>
          <w:p w14:paraId="20AE33B7" w14:textId="77777777" w:rsidR="00B626E7" w:rsidRDefault="00B626E7">
            <w:pPr>
              <w:rPr>
                <w:rFonts w:ascii="宋体"/>
              </w:rPr>
            </w:pPr>
          </w:p>
        </w:tc>
        <w:tc>
          <w:tcPr>
            <w:tcW w:w="1452" w:type="pct"/>
            <w:shd w:val="clear" w:color="auto" w:fill="auto"/>
            <w:vAlign w:val="bottom"/>
          </w:tcPr>
          <w:p w14:paraId="20AE33B8" w14:textId="77777777" w:rsidR="00B626E7" w:rsidRDefault="00B626E7">
            <w:pPr>
              <w:rPr>
                <w:rFonts w:ascii="宋体"/>
              </w:rPr>
            </w:pPr>
          </w:p>
        </w:tc>
        <w:tc>
          <w:tcPr>
            <w:tcW w:w="50" w:type="pct"/>
            <w:shd w:val="clear" w:color="auto" w:fill="auto"/>
            <w:vAlign w:val="bottom"/>
          </w:tcPr>
          <w:p w14:paraId="20AE33B9" w14:textId="77777777" w:rsidR="00B626E7" w:rsidRDefault="00B626E7">
            <w:pPr>
              <w:rPr>
                <w:rFonts w:ascii="宋体"/>
              </w:rPr>
            </w:pPr>
          </w:p>
        </w:tc>
        <w:tc>
          <w:tcPr>
            <w:tcW w:w="50" w:type="pct"/>
            <w:shd w:val="clear" w:color="auto" w:fill="auto"/>
            <w:vAlign w:val="bottom"/>
          </w:tcPr>
          <w:p w14:paraId="20AE33BA" w14:textId="77777777" w:rsidR="00B626E7" w:rsidRDefault="00B626E7">
            <w:pPr>
              <w:rPr>
                <w:rFonts w:ascii="宋体"/>
              </w:rPr>
            </w:pPr>
          </w:p>
        </w:tc>
        <w:tc>
          <w:tcPr>
            <w:tcW w:w="2081" w:type="pct"/>
            <w:shd w:val="clear" w:color="auto" w:fill="auto"/>
            <w:vAlign w:val="bottom"/>
          </w:tcPr>
          <w:p w14:paraId="20AE33BB" w14:textId="77777777" w:rsidR="00B626E7" w:rsidRDefault="00B626E7">
            <w:pPr>
              <w:rPr>
                <w:rFonts w:ascii="宋体"/>
              </w:rPr>
            </w:pPr>
          </w:p>
        </w:tc>
        <w:tc>
          <w:tcPr>
            <w:tcW w:w="50" w:type="pct"/>
            <w:shd w:val="clear" w:color="auto" w:fill="auto"/>
            <w:vAlign w:val="bottom"/>
          </w:tcPr>
          <w:p w14:paraId="20AE33BC" w14:textId="77777777" w:rsidR="00B626E7" w:rsidRDefault="00B626E7">
            <w:pPr>
              <w:rPr>
                <w:rFonts w:ascii="宋体"/>
              </w:rPr>
            </w:pPr>
          </w:p>
        </w:tc>
        <w:tc>
          <w:tcPr>
            <w:tcW w:w="50" w:type="pct"/>
            <w:shd w:val="clear" w:color="auto" w:fill="auto"/>
            <w:vAlign w:val="bottom"/>
          </w:tcPr>
          <w:p w14:paraId="20AE33BD" w14:textId="77777777" w:rsidR="00B626E7" w:rsidRDefault="00B626E7">
            <w:pPr>
              <w:rPr>
                <w:rFonts w:ascii="宋体"/>
              </w:rPr>
            </w:pPr>
          </w:p>
        </w:tc>
        <w:tc>
          <w:tcPr>
            <w:tcW w:w="1165" w:type="pct"/>
            <w:shd w:val="clear" w:color="auto" w:fill="auto"/>
            <w:vAlign w:val="bottom"/>
          </w:tcPr>
          <w:p w14:paraId="20AE33BE" w14:textId="77777777" w:rsidR="00B626E7" w:rsidRDefault="00B626E7">
            <w:pPr>
              <w:rPr>
                <w:rFonts w:ascii="宋体"/>
              </w:rPr>
            </w:pPr>
          </w:p>
        </w:tc>
        <w:tc>
          <w:tcPr>
            <w:tcW w:w="50" w:type="pct"/>
            <w:shd w:val="clear" w:color="auto" w:fill="auto"/>
            <w:vAlign w:val="bottom"/>
          </w:tcPr>
          <w:p w14:paraId="20AE33BF" w14:textId="77777777" w:rsidR="00B626E7" w:rsidRDefault="00B626E7">
            <w:pPr>
              <w:rPr>
                <w:rFonts w:ascii="宋体"/>
              </w:rPr>
            </w:pPr>
          </w:p>
        </w:tc>
      </w:tr>
      <w:tr w:rsidR="00B626E7" w14:paraId="20AE33C4" w14:textId="77777777">
        <w:tc>
          <w:tcPr>
            <w:tcW w:w="0" w:type="auto"/>
            <w:gridSpan w:val="3"/>
            <w:tcBorders>
              <w:top w:val="single" w:sz="8" w:space="0" w:color="0071C5"/>
            </w:tcBorders>
            <w:shd w:val="clear" w:color="auto" w:fill="auto"/>
            <w:tcMar>
              <w:top w:w="40" w:type="dxa"/>
              <w:left w:w="20" w:type="dxa"/>
              <w:bottom w:w="40" w:type="dxa"/>
              <w:right w:w="20" w:type="dxa"/>
            </w:tcMar>
            <w:vAlign w:val="center"/>
          </w:tcPr>
          <w:p w14:paraId="20AE33C1" w14:textId="77777777" w:rsidR="00B626E7" w:rsidRDefault="00175C1D">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Viewer10_files/intc-20200627_g36.jpg"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B9" wp14:editId="20AE3CBA">
                  <wp:extent cx="304800" cy="304800"/>
                  <wp:effectExtent l="0" t="0" r="0" b="0"/>
                  <wp:docPr id="35" name="图片 140"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40" descr="IMG_32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Arial" w:eastAsia="宋体" w:hAnsi="Arial" w:cs="Arial"/>
                <w:color w:val="333333"/>
                <w:sz w:val="16"/>
                <w:szCs w:val="16"/>
              </w:rPr>
              <w:t>MD&amp;A</w:t>
            </w:r>
          </w:p>
        </w:tc>
        <w:tc>
          <w:tcPr>
            <w:tcW w:w="0" w:type="auto"/>
            <w:gridSpan w:val="3"/>
            <w:tcBorders>
              <w:top w:val="single" w:sz="8" w:space="0" w:color="0071C5"/>
            </w:tcBorders>
            <w:shd w:val="clear" w:color="auto" w:fill="auto"/>
            <w:tcMar>
              <w:left w:w="20" w:type="dxa"/>
              <w:right w:w="20" w:type="dxa"/>
            </w:tcMar>
            <w:vAlign w:val="bottom"/>
          </w:tcPr>
          <w:p w14:paraId="20AE33C2"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33C3" w14:textId="77777777" w:rsidR="00B626E7" w:rsidRDefault="00175C1D">
            <w:pPr>
              <w:jc w:val="right"/>
              <w:textAlignment w:val="bottom"/>
            </w:pPr>
            <w:r>
              <w:rPr>
                <w:rFonts w:ascii="Arial" w:eastAsia="宋体" w:hAnsi="Arial" w:cs="Arial"/>
                <w:color w:val="333333"/>
                <w:sz w:val="16"/>
                <w:szCs w:val="16"/>
              </w:rPr>
              <w:t>40</w:t>
            </w:r>
          </w:p>
        </w:tc>
      </w:tr>
    </w:tbl>
    <w:p w14:paraId="20AE33C5" w14:textId="77777777" w:rsidR="00B626E7" w:rsidRDefault="00175C1D">
      <w:r>
        <w:pict w14:anchorId="20AE3CBB">
          <v:rect id="_x0000_i1066" style="width:415.3pt;height:1.5pt" o:hralign="center" o:hrstd="t" o:hr="t" fillcolor="#a0a0a0" stroked="f"/>
        </w:pict>
      </w:r>
    </w:p>
    <w:p w14:paraId="20AE33C6" w14:textId="77777777" w:rsidR="00B626E7" w:rsidRDefault="00175C1D">
      <w:pPr>
        <w:spacing w:after="180"/>
        <w:jc w:val="right"/>
      </w:pPr>
      <w:hyperlink r:id="rId67" w:anchor="ib035cc8759904e51927d703ec8414366_7" w:history="1">
        <w:r>
          <w:rPr>
            <w:rStyle w:val="a5"/>
            <w:rFonts w:ascii="Arial" w:eastAsia="宋体" w:hAnsi="Arial" w:cs="Arial"/>
            <w:b/>
            <w:bCs/>
            <w:sz w:val="16"/>
            <w:szCs w:val="16"/>
          </w:rPr>
          <w:t>Table of Contents</w:t>
        </w:r>
      </w:hyperlink>
    </w:p>
    <w:p w14:paraId="20AE33C7" w14:textId="77777777" w:rsidR="00B626E7" w:rsidRDefault="00B626E7">
      <w:pPr>
        <w:spacing w:after="180"/>
        <w:jc w:val="right"/>
      </w:pPr>
    </w:p>
    <w:p w14:paraId="20AE33C8" w14:textId="77777777" w:rsidR="00B626E7" w:rsidRDefault="00175C1D">
      <w:pPr>
        <w:spacing w:after="120"/>
      </w:pPr>
      <w:r>
        <w:rPr>
          <w:rFonts w:ascii="Arial" w:eastAsia="宋体" w:hAnsi="Arial" w:cs="Arial"/>
          <w:b/>
          <w:bCs/>
          <w:color w:val="333333"/>
          <w:sz w:val="20"/>
          <w:szCs w:val="20"/>
        </w:rPr>
        <w:t>Operating Activities</w:t>
      </w:r>
    </w:p>
    <w:p w14:paraId="20AE33C9" w14:textId="77777777" w:rsidR="00B626E7" w:rsidRDefault="00175C1D">
      <w:pPr>
        <w:spacing w:after="180"/>
      </w:pPr>
      <w:r>
        <w:rPr>
          <w:rFonts w:ascii="Arial" w:eastAsia="宋体" w:hAnsi="Arial" w:cs="Arial"/>
          <w:color w:val="333333"/>
          <w:sz w:val="18"/>
          <w:szCs w:val="18"/>
        </w:rPr>
        <w:t xml:space="preserve">Cash provided by operating activities is net income </w:t>
      </w:r>
      <w:r>
        <w:rPr>
          <w:rFonts w:ascii="Arial" w:eastAsia="宋体" w:hAnsi="Arial" w:cs="Arial"/>
          <w:color w:val="333333"/>
          <w:sz w:val="18"/>
          <w:szCs w:val="18"/>
        </w:rPr>
        <w:t>adjusted for certain non-cash items and changes in assets and liabilities.</w:t>
      </w:r>
    </w:p>
    <w:p w14:paraId="20AE33CA" w14:textId="77777777" w:rsidR="00B626E7" w:rsidRDefault="00175C1D">
      <w:pPr>
        <w:spacing w:after="180"/>
      </w:pPr>
      <w:r>
        <w:rPr>
          <w:rFonts w:ascii="Arial" w:eastAsia="宋体" w:hAnsi="Arial" w:cs="Arial"/>
          <w:color w:val="333333"/>
          <w:sz w:val="18"/>
          <w:szCs w:val="18"/>
        </w:rPr>
        <w:t>For the first six months of 2020 compared to the first six months of 2019, the increase in cash provided by operations was due to higher net income and changes in working capital. C</w:t>
      </w:r>
      <w:r>
        <w:rPr>
          <w:rFonts w:ascii="Arial" w:eastAsia="宋体" w:hAnsi="Arial" w:cs="Arial"/>
          <w:color w:val="333333"/>
          <w:sz w:val="18"/>
          <w:szCs w:val="18"/>
        </w:rPr>
        <w:t>hanges in working capital were primarily driven by declines in inventory spending and a higher effective tax rate, offset by other assets and liabilities.</w:t>
      </w:r>
    </w:p>
    <w:p w14:paraId="20AE33CB" w14:textId="77777777" w:rsidR="00B626E7" w:rsidRDefault="00175C1D">
      <w:pPr>
        <w:spacing w:after="120"/>
      </w:pPr>
      <w:r>
        <w:rPr>
          <w:rFonts w:ascii="Arial" w:eastAsia="宋体" w:hAnsi="Arial" w:cs="Arial"/>
          <w:b/>
          <w:bCs/>
          <w:color w:val="333333"/>
          <w:sz w:val="20"/>
          <w:szCs w:val="20"/>
        </w:rPr>
        <w:t>Investing Activities</w:t>
      </w:r>
    </w:p>
    <w:p w14:paraId="20AE33CC" w14:textId="77777777" w:rsidR="00B626E7" w:rsidRDefault="00175C1D">
      <w:pPr>
        <w:spacing w:after="180"/>
      </w:pPr>
      <w:r>
        <w:rPr>
          <w:rFonts w:ascii="Arial" w:eastAsia="宋体" w:hAnsi="Arial" w:cs="Arial"/>
          <w:color w:val="333333"/>
          <w:sz w:val="18"/>
          <w:szCs w:val="18"/>
        </w:rPr>
        <w:t>Investing cash flows consist primarily of capital expenditures; investment purch</w:t>
      </w:r>
      <w:r>
        <w:rPr>
          <w:rFonts w:ascii="Arial" w:eastAsia="宋体" w:hAnsi="Arial" w:cs="Arial"/>
          <w:color w:val="333333"/>
          <w:sz w:val="18"/>
          <w:szCs w:val="18"/>
        </w:rPr>
        <w:t>ases, sales, maturities, and disposals; and proceeds from divestitures and cash used for acquisitions.</w:t>
      </w:r>
    </w:p>
    <w:p w14:paraId="20AE33CD" w14:textId="77777777" w:rsidR="00B626E7" w:rsidRDefault="00175C1D">
      <w:pPr>
        <w:spacing w:after="180"/>
      </w:pPr>
      <w:r>
        <w:rPr>
          <w:rFonts w:ascii="Arial" w:eastAsia="宋体" w:hAnsi="Arial" w:cs="Arial"/>
          <w:color w:val="333333"/>
          <w:sz w:val="18"/>
          <w:szCs w:val="18"/>
        </w:rPr>
        <w:t>Cash used for investing activities was higher in the first six months of 2020 compared to the first six months of 2019 primarily due to increased purchas</w:t>
      </w:r>
      <w:r>
        <w:rPr>
          <w:rFonts w:ascii="Arial" w:eastAsia="宋体" w:hAnsi="Arial" w:cs="Arial"/>
          <w:color w:val="333333"/>
          <w:sz w:val="18"/>
          <w:szCs w:val="18"/>
        </w:rPr>
        <w:t>es of available-for-sale debt investments and trading assets, and decreased sales of equity investments.</w:t>
      </w:r>
    </w:p>
    <w:p w14:paraId="20AE33CE" w14:textId="77777777" w:rsidR="00B626E7" w:rsidRDefault="00175C1D">
      <w:pPr>
        <w:spacing w:after="120"/>
      </w:pPr>
      <w:r>
        <w:rPr>
          <w:rFonts w:ascii="Arial" w:eastAsia="宋体" w:hAnsi="Arial" w:cs="Arial"/>
          <w:b/>
          <w:bCs/>
          <w:color w:val="333333"/>
          <w:sz w:val="20"/>
          <w:szCs w:val="20"/>
        </w:rPr>
        <w:t>Financing Activities</w:t>
      </w:r>
    </w:p>
    <w:p w14:paraId="20AE33CF" w14:textId="77777777" w:rsidR="00B626E7" w:rsidRDefault="00175C1D">
      <w:pPr>
        <w:spacing w:after="180"/>
      </w:pPr>
      <w:r>
        <w:rPr>
          <w:rFonts w:ascii="Arial" w:eastAsia="宋体" w:hAnsi="Arial" w:cs="Arial"/>
          <w:color w:val="333333"/>
          <w:sz w:val="18"/>
          <w:szCs w:val="18"/>
        </w:rPr>
        <w:t>Financing cash flows consist primarily of repurchases of common stock, payment of dividends to stockholders, issuance and repaymen</w:t>
      </w:r>
      <w:r>
        <w:rPr>
          <w:rFonts w:ascii="Arial" w:eastAsia="宋体" w:hAnsi="Arial" w:cs="Arial"/>
          <w:color w:val="333333"/>
          <w:sz w:val="18"/>
          <w:szCs w:val="18"/>
        </w:rPr>
        <w:t>t of short-term and long-term debt, and proceeds from the sale of shares of common stock through employee equity incentive plans.</w:t>
      </w:r>
    </w:p>
    <w:p w14:paraId="20AE33D0" w14:textId="77777777" w:rsidR="00B626E7" w:rsidRDefault="00175C1D">
      <w:pPr>
        <w:spacing w:after="180"/>
      </w:pPr>
      <w:r>
        <w:rPr>
          <w:rFonts w:ascii="Arial" w:eastAsia="宋体" w:hAnsi="Arial" w:cs="Arial"/>
          <w:color w:val="333333"/>
          <w:sz w:val="18"/>
          <w:szCs w:val="18"/>
        </w:rPr>
        <w:t>Cash was provided by financing activities in the first six months of 2020 compared to cash used for financing activities in th</w:t>
      </w:r>
      <w:r>
        <w:rPr>
          <w:rFonts w:ascii="Arial" w:eastAsia="宋体" w:hAnsi="Arial" w:cs="Arial"/>
          <w:color w:val="333333"/>
          <w:sz w:val="18"/>
          <w:szCs w:val="18"/>
        </w:rPr>
        <w:t>e first six months of 2019 primarily due to increased issuance of long-term debt, a reduction of repayments of debt and debt conversions, and a reduction in repurchases of common stock.</w:t>
      </w:r>
    </w:p>
    <w:p w14:paraId="20AE33D1" w14:textId="77777777" w:rsidR="00B626E7" w:rsidRDefault="00175C1D">
      <w:pPr>
        <w:spacing w:before="300" w:after="180"/>
      </w:pPr>
      <w:r>
        <w:rPr>
          <w:rFonts w:ascii="Arial" w:eastAsia="宋体" w:hAnsi="Arial" w:cs="Arial"/>
          <w:b/>
          <w:bCs/>
          <w:color w:val="0071C5"/>
          <w:sz w:val="28"/>
          <w:szCs w:val="28"/>
        </w:rPr>
        <w:t>CONTRACTUAL OBLIGATIONS</w:t>
      </w:r>
    </w:p>
    <w:p w14:paraId="20AE33D2" w14:textId="77777777" w:rsidR="00B626E7" w:rsidRDefault="00175C1D">
      <w:pPr>
        <w:spacing w:after="180"/>
      </w:pPr>
      <w:r>
        <w:rPr>
          <w:rFonts w:ascii="Arial" w:eastAsia="宋体" w:hAnsi="Arial" w:cs="Arial"/>
          <w:color w:val="333333"/>
          <w:sz w:val="18"/>
          <w:szCs w:val="18"/>
        </w:rPr>
        <w:t>In the first six months of 2020, we issued a t</w:t>
      </w:r>
      <w:r>
        <w:rPr>
          <w:rFonts w:ascii="Arial" w:eastAsia="宋体" w:hAnsi="Arial" w:cs="Arial"/>
          <w:color w:val="333333"/>
          <w:sz w:val="18"/>
          <w:szCs w:val="18"/>
        </w:rPr>
        <w:t xml:space="preserve">otal of $10.3 billion aggregate principal amount of senior notes. Our remaining total cash payments over the life of these long-term debt obligations are expected to be approximately $19.1 billion. These payments include anticipated interest on fixed rate </w:t>
      </w:r>
      <w:r>
        <w:rPr>
          <w:rFonts w:ascii="Arial" w:eastAsia="宋体" w:hAnsi="Arial" w:cs="Arial"/>
          <w:color w:val="333333"/>
          <w:sz w:val="18"/>
          <w:szCs w:val="18"/>
        </w:rPr>
        <w:t>debt that is not recorded on the Consolidated Condensed Balance Sheets. For further information, see "Note 9: Borrowings" within the Consolidated Condensed Financial Statements and Supplemental Details.</w:t>
      </w:r>
    </w:p>
    <w:p w14:paraId="20AE33D3" w14:textId="77777777" w:rsidR="00B626E7" w:rsidRDefault="00175C1D">
      <w:pPr>
        <w:spacing w:before="300" w:after="180"/>
      </w:pPr>
      <w:r>
        <w:rPr>
          <w:rFonts w:ascii="Arial" w:eastAsia="宋体" w:hAnsi="Arial" w:cs="Arial"/>
          <w:b/>
          <w:bCs/>
          <w:color w:val="0071C5"/>
          <w:sz w:val="28"/>
          <w:szCs w:val="28"/>
        </w:rPr>
        <w:t>QUANTITATIVE AND QUALITATIVE DISCLOSURES ABOUT MARKET</w:t>
      </w:r>
      <w:r>
        <w:rPr>
          <w:rFonts w:ascii="Arial" w:eastAsia="宋体" w:hAnsi="Arial" w:cs="Arial"/>
          <w:b/>
          <w:bCs/>
          <w:color w:val="0071C5"/>
          <w:sz w:val="28"/>
          <w:szCs w:val="28"/>
        </w:rPr>
        <w:t xml:space="preserve"> RISK</w:t>
      </w:r>
    </w:p>
    <w:p w14:paraId="20AE33D4" w14:textId="77777777" w:rsidR="00B626E7" w:rsidRDefault="00175C1D">
      <w:pPr>
        <w:spacing w:after="180"/>
      </w:pPr>
      <w:r>
        <w:rPr>
          <w:rFonts w:ascii="Arial" w:eastAsia="宋体" w:hAnsi="Arial" w:cs="Arial"/>
          <w:color w:val="333333"/>
          <w:sz w:val="18"/>
          <w:szCs w:val="18"/>
        </w:rPr>
        <w:t>We are affected by changes in currency exchange and interest rates, as well as equity and commodity prices. Our risk management programs are designed to reduce, but may not entirely eliminate, the impacts of these risks. We performed sensitivity analyses o</w:t>
      </w:r>
      <w:r>
        <w:rPr>
          <w:rFonts w:ascii="Arial" w:eastAsia="宋体" w:hAnsi="Arial" w:cs="Arial"/>
          <w:color w:val="333333"/>
          <w:sz w:val="18"/>
          <w:szCs w:val="18"/>
        </w:rPr>
        <w:t>f these risks to our financial positions as of December 28, 2019, and updated that sensitivity analysis as of June 27, 2020, to determine whether material changes in market risks pertaining to currency and interest rates or equity and commodity prices have</w:t>
      </w:r>
      <w:r>
        <w:rPr>
          <w:rFonts w:ascii="Arial" w:eastAsia="宋体" w:hAnsi="Arial" w:cs="Arial"/>
          <w:color w:val="333333"/>
          <w:sz w:val="18"/>
          <w:szCs w:val="18"/>
        </w:rPr>
        <w:t xml:space="preserve"> occurred as a result of the ongoing economic uncertainty resulting from the COVID-19 pandemic. No material revisions were noted since disclosing "Quantitative and Qualitative Disclosures About Market Risk" within MD&amp;A in our 2019 Form 10-K. </w:t>
      </w:r>
    </w:p>
    <w:p w14:paraId="20AE33D5" w14:textId="77777777" w:rsidR="00B626E7" w:rsidRDefault="00B626E7">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4"/>
        <w:gridCol w:w="2423"/>
        <w:gridCol w:w="84"/>
        <w:gridCol w:w="83"/>
        <w:gridCol w:w="3471"/>
        <w:gridCol w:w="83"/>
        <w:gridCol w:w="83"/>
        <w:gridCol w:w="1942"/>
        <w:gridCol w:w="83"/>
      </w:tblGrid>
      <w:tr w:rsidR="00B626E7" w14:paraId="20AE33DF" w14:textId="77777777">
        <w:tc>
          <w:tcPr>
            <w:tcW w:w="50" w:type="pct"/>
            <w:shd w:val="clear" w:color="auto" w:fill="auto"/>
            <w:vAlign w:val="bottom"/>
          </w:tcPr>
          <w:p w14:paraId="20AE33D6" w14:textId="77777777" w:rsidR="00B626E7" w:rsidRDefault="00B626E7">
            <w:pPr>
              <w:rPr>
                <w:rFonts w:ascii="宋体"/>
              </w:rPr>
            </w:pPr>
          </w:p>
        </w:tc>
        <w:tc>
          <w:tcPr>
            <w:tcW w:w="1452" w:type="pct"/>
            <w:shd w:val="clear" w:color="auto" w:fill="auto"/>
            <w:vAlign w:val="bottom"/>
          </w:tcPr>
          <w:p w14:paraId="20AE33D7" w14:textId="77777777" w:rsidR="00B626E7" w:rsidRDefault="00B626E7">
            <w:pPr>
              <w:rPr>
                <w:rFonts w:ascii="宋体"/>
              </w:rPr>
            </w:pPr>
          </w:p>
        </w:tc>
        <w:tc>
          <w:tcPr>
            <w:tcW w:w="50" w:type="pct"/>
            <w:shd w:val="clear" w:color="auto" w:fill="auto"/>
            <w:vAlign w:val="bottom"/>
          </w:tcPr>
          <w:p w14:paraId="20AE33D8" w14:textId="77777777" w:rsidR="00B626E7" w:rsidRDefault="00B626E7">
            <w:pPr>
              <w:rPr>
                <w:rFonts w:ascii="宋体"/>
              </w:rPr>
            </w:pPr>
          </w:p>
        </w:tc>
        <w:tc>
          <w:tcPr>
            <w:tcW w:w="50" w:type="pct"/>
            <w:shd w:val="clear" w:color="auto" w:fill="auto"/>
            <w:vAlign w:val="bottom"/>
          </w:tcPr>
          <w:p w14:paraId="20AE33D9" w14:textId="77777777" w:rsidR="00B626E7" w:rsidRDefault="00B626E7">
            <w:pPr>
              <w:rPr>
                <w:rFonts w:ascii="宋体"/>
              </w:rPr>
            </w:pPr>
          </w:p>
        </w:tc>
        <w:tc>
          <w:tcPr>
            <w:tcW w:w="2081" w:type="pct"/>
            <w:shd w:val="clear" w:color="auto" w:fill="auto"/>
            <w:vAlign w:val="bottom"/>
          </w:tcPr>
          <w:p w14:paraId="20AE33DA" w14:textId="77777777" w:rsidR="00B626E7" w:rsidRDefault="00B626E7">
            <w:pPr>
              <w:rPr>
                <w:rFonts w:ascii="宋体"/>
              </w:rPr>
            </w:pPr>
          </w:p>
        </w:tc>
        <w:tc>
          <w:tcPr>
            <w:tcW w:w="50" w:type="pct"/>
            <w:shd w:val="clear" w:color="auto" w:fill="auto"/>
            <w:vAlign w:val="bottom"/>
          </w:tcPr>
          <w:p w14:paraId="20AE33DB" w14:textId="77777777" w:rsidR="00B626E7" w:rsidRDefault="00B626E7">
            <w:pPr>
              <w:rPr>
                <w:rFonts w:ascii="宋体"/>
              </w:rPr>
            </w:pPr>
          </w:p>
        </w:tc>
        <w:tc>
          <w:tcPr>
            <w:tcW w:w="50" w:type="pct"/>
            <w:shd w:val="clear" w:color="auto" w:fill="auto"/>
            <w:vAlign w:val="bottom"/>
          </w:tcPr>
          <w:p w14:paraId="20AE33DC" w14:textId="77777777" w:rsidR="00B626E7" w:rsidRDefault="00B626E7">
            <w:pPr>
              <w:rPr>
                <w:rFonts w:ascii="宋体"/>
              </w:rPr>
            </w:pPr>
          </w:p>
        </w:tc>
        <w:tc>
          <w:tcPr>
            <w:tcW w:w="1165" w:type="pct"/>
            <w:shd w:val="clear" w:color="auto" w:fill="auto"/>
            <w:vAlign w:val="bottom"/>
          </w:tcPr>
          <w:p w14:paraId="20AE33DD" w14:textId="77777777" w:rsidR="00B626E7" w:rsidRDefault="00B626E7">
            <w:pPr>
              <w:rPr>
                <w:rFonts w:ascii="宋体"/>
              </w:rPr>
            </w:pPr>
          </w:p>
        </w:tc>
        <w:tc>
          <w:tcPr>
            <w:tcW w:w="50" w:type="pct"/>
            <w:shd w:val="clear" w:color="auto" w:fill="auto"/>
            <w:vAlign w:val="bottom"/>
          </w:tcPr>
          <w:p w14:paraId="20AE33DE" w14:textId="77777777" w:rsidR="00B626E7" w:rsidRDefault="00B626E7">
            <w:pPr>
              <w:rPr>
                <w:rFonts w:ascii="宋体"/>
              </w:rPr>
            </w:pPr>
          </w:p>
        </w:tc>
      </w:tr>
      <w:tr w:rsidR="00B626E7" w14:paraId="20AE33E3" w14:textId="77777777">
        <w:tc>
          <w:tcPr>
            <w:tcW w:w="0" w:type="auto"/>
            <w:gridSpan w:val="3"/>
            <w:tcBorders>
              <w:top w:val="single" w:sz="8" w:space="0" w:color="0071C5"/>
            </w:tcBorders>
            <w:shd w:val="clear" w:color="auto" w:fill="auto"/>
            <w:tcMar>
              <w:top w:w="40" w:type="dxa"/>
              <w:left w:w="20" w:type="dxa"/>
              <w:bottom w:w="40" w:type="dxa"/>
              <w:right w:w="20" w:type="dxa"/>
            </w:tcMar>
            <w:vAlign w:val="center"/>
          </w:tcPr>
          <w:p w14:paraId="20AE33E0" w14:textId="77777777" w:rsidR="00B626E7" w:rsidRDefault="00175C1D">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Viewer10_files/intc-20200627_g36.jpg"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BC" wp14:editId="20AE3CBD">
                  <wp:extent cx="304800" cy="304800"/>
                  <wp:effectExtent l="0" t="0" r="0" b="0"/>
                  <wp:docPr id="34" name="图片 142"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42" descr="IMG_32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Arial" w:eastAsia="宋体" w:hAnsi="Arial" w:cs="Arial"/>
                <w:color w:val="333333"/>
                <w:sz w:val="16"/>
                <w:szCs w:val="16"/>
              </w:rPr>
              <w:t>MD&amp;A</w:t>
            </w:r>
          </w:p>
        </w:tc>
        <w:tc>
          <w:tcPr>
            <w:tcW w:w="0" w:type="auto"/>
            <w:gridSpan w:val="3"/>
            <w:tcBorders>
              <w:top w:val="single" w:sz="8" w:space="0" w:color="0071C5"/>
            </w:tcBorders>
            <w:shd w:val="clear" w:color="auto" w:fill="auto"/>
            <w:tcMar>
              <w:left w:w="20" w:type="dxa"/>
              <w:right w:w="20" w:type="dxa"/>
            </w:tcMar>
            <w:vAlign w:val="bottom"/>
          </w:tcPr>
          <w:p w14:paraId="20AE33E1"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33E2" w14:textId="77777777" w:rsidR="00B626E7" w:rsidRDefault="00175C1D">
            <w:pPr>
              <w:jc w:val="right"/>
              <w:textAlignment w:val="bottom"/>
            </w:pPr>
            <w:r>
              <w:rPr>
                <w:rFonts w:ascii="Arial" w:eastAsia="宋体" w:hAnsi="Arial" w:cs="Arial"/>
                <w:color w:val="333333"/>
                <w:sz w:val="16"/>
                <w:szCs w:val="16"/>
              </w:rPr>
              <w:t>41</w:t>
            </w:r>
          </w:p>
        </w:tc>
      </w:tr>
    </w:tbl>
    <w:p w14:paraId="20AE33E4" w14:textId="77777777" w:rsidR="00B626E7" w:rsidRDefault="00175C1D">
      <w:r>
        <w:pict w14:anchorId="20AE3CBE">
          <v:rect id="_x0000_i1067" style="width:415.3pt;height:1.5pt" o:hralign="center" o:hrstd="t" o:hr="t" fillcolor="#a0a0a0" stroked="f"/>
        </w:pict>
      </w:r>
    </w:p>
    <w:p w14:paraId="20AE33E5" w14:textId="77777777" w:rsidR="00B626E7" w:rsidRDefault="00175C1D">
      <w:pPr>
        <w:spacing w:after="180"/>
        <w:jc w:val="right"/>
      </w:pPr>
      <w:hyperlink r:id="rId68" w:anchor="ib035cc8759904e51927d703ec8414366_7" w:history="1">
        <w:r>
          <w:rPr>
            <w:rStyle w:val="a5"/>
            <w:rFonts w:ascii="Arial" w:eastAsia="宋体" w:hAnsi="Arial" w:cs="Arial"/>
            <w:b/>
            <w:bCs/>
            <w:sz w:val="16"/>
            <w:szCs w:val="16"/>
          </w:rPr>
          <w:t>Table of Contents</w:t>
        </w:r>
      </w:hyperlink>
    </w:p>
    <w:p w14:paraId="20AE33E6" w14:textId="77777777" w:rsidR="00B626E7" w:rsidRDefault="00B626E7">
      <w:pPr>
        <w:spacing w:after="180"/>
        <w:jc w:val="right"/>
      </w:pPr>
    </w:p>
    <w:p w14:paraId="20AE33E7" w14:textId="77777777" w:rsidR="00B626E7" w:rsidRDefault="00175C1D">
      <w:pPr>
        <w:spacing w:before="300" w:after="180"/>
      </w:pPr>
      <w:r>
        <w:rPr>
          <w:rFonts w:ascii="Arial" w:eastAsia="宋体" w:hAnsi="Arial" w:cs="Arial"/>
          <w:b/>
          <w:bCs/>
          <w:color w:val="0071C5"/>
          <w:sz w:val="28"/>
          <w:szCs w:val="28"/>
        </w:rPr>
        <w:t>NON-GAAP FINANCIAL MEASURES</w:t>
      </w:r>
    </w:p>
    <w:p w14:paraId="20AE33E8" w14:textId="77777777" w:rsidR="00B626E7" w:rsidRDefault="00175C1D">
      <w:pPr>
        <w:spacing w:after="180"/>
      </w:pPr>
      <w:r>
        <w:rPr>
          <w:rFonts w:ascii="Arial" w:eastAsia="宋体" w:hAnsi="Arial" w:cs="Arial"/>
          <w:color w:val="333333"/>
          <w:sz w:val="18"/>
          <w:szCs w:val="18"/>
        </w:rPr>
        <w:t xml:space="preserve">In addition to disclosing financial results in accordance with U.S. GAAP, this document contains references to the non-GAAP financial measures </w:t>
      </w:r>
      <w:r>
        <w:rPr>
          <w:rFonts w:ascii="Arial" w:eastAsia="宋体" w:hAnsi="Arial" w:cs="Arial"/>
          <w:color w:val="333333"/>
          <w:sz w:val="18"/>
          <w:szCs w:val="18"/>
        </w:rPr>
        <w:t>below. We believe these non-GAAP financial measures provide investors with useful supplemental information about our operating performance, enable comparison of financial trends and results between periods where certain items may vary independent of busine</w:t>
      </w:r>
      <w:r>
        <w:rPr>
          <w:rFonts w:ascii="Arial" w:eastAsia="宋体" w:hAnsi="Arial" w:cs="Arial"/>
          <w:color w:val="333333"/>
          <w:sz w:val="18"/>
          <w:szCs w:val="18"/>
        </w:rPr>
        <w:t>ss performance, and allow for greater transparency with respect to key metrics used by management in operating our business and measuring our performance.</w:t>
      </w:r>
    </w:p>
    <w:p w14:paraId="20AE33E9" w14:textId="77777777" w:rsidR="00B626E7" w:rsidRDefault="00175C1D">
      <w:pPr>
        <w:spacing w:after="180"/>
      </w:pPr>
      <w:r>
        <w:rPr>
          <w:rFonts w:ascii="Arial" w:eastAsia="宋体" w:hAnsi="Arial" w:cs="Arial"/>
          <w:color w:val="333333"/>
          <w:sz w:val="18"/>
          <w:szCs w:val="18"/>
        </w:rPr>
        <w:t>Our non-GAAP financial measures reflect adjustments based on one or more of the following items, as w</w:t>
      </w:r>
      <w:r>
        <w:rPr>
          <w:rFonts w:ascii="Arial" w:eastAsia="宋体" w:hAnsi="Arial" w:cs="Arial"/>
          <w:color w:val="333333"/>
          <w:sz w:val="18"/>
          <w:szCs w:val="18"/>
        </w:rPr>
        <w:t>ell as the related income tax effects where applicable. Income tax effects have been calculated using an appropriate tax rate for each adjustment. These non-GAAP financial measures should not be considered a substitute for, or superior to, financial measur</w:t>
      </w:r>
      <w:r>
        <w:rPr>
          <w:rFonts w:ascii="Arial" w:eastAsia="宋体" w:hAnsi="Arial" w:cs="Arial"/>
          <w:color w:val="333333"/>
          <w:sz w:val="18"/>
          <w:szCs w:val="18"/>
        </w:rPr>
        <w:t xml:space="preserve">es calculated in accordance with U.S. GAAP, and the financial results calculated in accordance with U.S. GAAP and reconciliations from these results should be carefully evaluated. </w:t>
      </w:r>
    </w:p>
    <w:tbl>
      <w:tblPr>
        <w:tblW w:w="4993" w:type="pct"/>
        <w:tblCellMar>
          <w:top w:w="15" w:type="dxa"/>
          <w:left w:w="15" w:type="dxa"/>
          <w:bottom w:w="15" w:type="dxa"/>
          <w:right w:w="15" w:type="dxa"/>
        </w:tblCellMar>
        <w:tblLook w:val="04A0" w:firstRow="1" w:lastRow="0" w:firstColumn="1" w:lastColumn="0" w:noHBand="0" w:noVBand="1"/>
      </w:tblPr>
      <w:tblGrid>
        <w:gridCol w:w="90"/>
        <w:gridCol w:w="1493"/>
        <w:gridCol w:w="90"/>
        <w:gridCol w:w="64"/>
        <w:gridCol w:w="3196"/>
        <w:gridCol w:w="64"/>
        <w:gridCol w:w="65"/>
        <w:gridCol w:w="3197"/>
        <w:gridCol w:w="65"/>
      </w:tblGrid>
      <w:tr w:rsidR="00B626E7" w14:paraId="20AE33F3" w14:textId="77777777">
        <w:tc>
          <w:tcPr>
            <w:tcW w:w="50" w:type="pct"/>
            <w:shd w:val="clear" w:color="auto" w:fill="auto"/>
          </w:tcPr>
          <w:p w14:paraId="20AE33EA" w14:textId="77777777" w:rsidR="00B626E7" w:rsidRDefault="00B626E7">
            <w:pPr>
              <w:rPr>
                <w:rFonts w:ascii="宋体"/>
              </w:rPr>
            </w:pPr>
          </w:p>
        </w:tc>
        <w:tc>
          <w:tcPr>
            <w:tcW w:w="837" w:type="pct"/>
            <w:shd w:val="clear" w:color="auto" w:fill="auto"/>
          </w:tcPr>
          <w:p w14:paraId="20AE33EB" w14:textId="77777777" w:rsidR="00B626E7" w:rsidRDefault="00B626E7">
            <w:pPr>
              <w:rPr>
                <w:rFonts w:ascii="宋体"/>
              </w:rPr>
            </w:pPr>
          </w:p>
        </w:tc>
        <w:tc>
          <w:tcPr>
            <w:tcW w:w="50" w:type="pct"/>
            <w:shd w:val="clear" w:color="auto" w:fill="auto"/>
          </w:tcPr>
          <w:p w14:paraId="20AE33EC" w14:textId="77777777" w:rsidR="00B626E7" w:rsidRDefault="00B626E7">
            <w:pPr>
              <w:rPr>
                <w:rFonts w:ascii="宋体"/>
              </w:rPr>
            </w:pPr>
          </w:p>
        </w:tc>
        <w:tc>
          <w:tcPr>
            <w:tcW w:w="50" w:type="pct"/>
            <w:shd w:val="clear" w:color="auto" w:fill="auto"/>
          </w:tcPr>
          <w:p w14:paraId="20AE33ED" w14:textId="77777777" w:rsidR="00B626E7" w:rsidRDefault="00B626E7">
            <w:pPr>
              <w:rPr>
                <w:rFonts w:ascii="宋体"/>
              </w:rPr>
            </w:pPr>
          </w:p>
        </w:tc>
        <w:tc>
          <w:tcPr>
            <w:tcW w:w="1931" w:type="pct"/>
            <w:shd w:val="clear" w:color="auto" w:fill="auto"/>
          </w:tcPr>
          <w:p w14:paraId="20AE33EE" w14:textId="77777777" w:rsidR="00B626E7" w:rsidRDefault="00B626E7">
            <w:pPr>
              <w:rPr>
                <w:rFonts w:ascii="宋体"/>
              </w:rPr>
            </w:pPr>
          </w:p>
        </w:tc>
        <w:tc>
          <w:tcPr>
            <w:tcW w:w="50" w:type="pct"/>
            <w:shd w:val="clear" w:color="auto" w:fill="auto"/>
          </w:tcPr>
          <w:p w14:paraId="20AE33EF" w14:textId="77777777" w:rsidR="00B626E7" w:rsidRDefault="00B626E7">
            <w:pPr>
              <w:rPr>
                <w:rFonts w:ascii="宋体"/>
              </w:rPr>
            </w:pPr>
          </w:p>
        </w:tc>
        <w:tc>
          <w:tcPr>
            <w:tcW w:w="50" w:type="pct"/>
            <w:shd w:val="clear" w:color="auto" w:fill="auto"/>
          </w:tcPr>
          <w:p w14:paraId="20AE33F0" w14:textId="77777777" w:rsidR="00B626E7" w:rsidRDefault="00B626E7">
            <w:pPr>
              <w:rPr>
                <w:rFonts w:ascii="宋体"/>
              </w:rPr>
            </w:pPr>
          </w:p>
        </w:tc>
        <w:tc>
          <w:tcPr>
            <w:tcW w:w="1931" w:type="pct"/>
            <w:shd w:val="clear" w:color="auto" w:fill="auto"/>
          </w:tcPr>
          <w:p w14:paraId="20AE33F1" w14:textId="77777777" w:rsidR="00B626E7" w:rsidRDefault="00B626E7">
            <w:pPr>
              <w:rPr>
                <w:rFonts w:ascii="宋体"/>
              </w:rPr>
            </w:pPr>
          </w:p>
        </w:tc>
        <w:tc>
          <w:tcPr>
            <w:tcW w:w="50" w:type="pct"/>
            <w:shd w:val="clear" w:color="auto" w:fill="auto"/>
          </w:tcPr>
          <w:p w14:paraId="20AE33F2" w14:textId="77777777" w:rsidR="00B626E7" w:rsidRDefault="00B626E7">
            <w:pPr>
              <w:rPr>
                <w:rFonts w:ascii="宋体"/>
              </w:rPr>
            </w:pPr>
          </w:p>
        </w:tc>
      </w:tr>
      <w:tr w:rsidR="00B626E7" w14:paraId="20AE33F7" w14:textId="77777777">
        <w:tc>
          <w:tcPr>
            <w:tcW w:w="0" w:type="auto"/>
            <w:gridSpan w:val="3"/>
            <w:tcBorders>
              <w:top w:val="single" w:sz="8" w:space="0" w:color="333333"/>
              <w:left w:val="single" w:sz="8" w:space="0" w:color="333333"/>
            </w:tcBorders>
            <w:shd w:val="clear" w:color="auto" w:fill="auto"/>
            <w:tcMar>
              <w:top w:w="40" w:type="dxa"/>
              <w:left w:w="20" w:type="dxa"/>
              <w:bottom w:w="40" w:type="dxa"/>
              <w:right w:w="20" w:type="dxa"/>
            </w:tcMar>
            <w:vAlign w:val="bottom"/>
          </w:tcPr>
          <w:p w14:paraId="20AE33F4" w14:textId="77777777" w:rsidR="00B626E7" w:rsidRDefault="00175C1D">
            <w:pPr>
              <w:jc w:val="center"/>
              <w:textAlignment w:val="bottom"/>
            </w:pPr>
            <w:r>
              <w:rPr>
                <w:rFonts w:ascii="Arial" w:eastAsia="宋体" w:hAnsi="Arial" w:cs="Arial"/>
                <w:b/>
                <w:bCs/>
                <w:color w:val="333333"/>
                <w:sz w:val="18"/>
                <w:szCs w:val="18"/>
              </w:rPr>
              <w:t>Non-GAAP adjustment or measure</w:t>
            </w:r>
          </w:p>
        </w:tc>
        <w:tc>
          <w:tcPr>
            <w:tcW w:w="0" w:type="auto"/>
            <w:gridSpan w:val="3"/>
            <w:tcBorders>
              <w:top w:val="single" w:sz="8" w:space="0" w:color="333333"/>
              <w:left w:val="single" w:sz="8" w:space="0" w:color="333333"/>
            </w:tcBorders>
            <w:shd w:val="clear" w:color="auto" w:fill="auto"/>
            <w:tcMar>
              <w:top w:w="40" w:type="dxa"/>
              <w:left w:w="20" w:type="dxa"/>
              <w:bottom w:w="40" w:type="dxa"/>
              <w:right w:w="20" w:type="dxa"/>
            </w:tcMar>
            <w:vAlign w:val="bottom"/>
          </w:tcPr>
          <w:p w14:paraId="20AE33F5" w14:textId="77777777" w:rsidR="00B626E7" w:rsidRDefault="00175C1D">
            <w:pPr>
              <w:jc w:val="center"/>
              <w:textAlignment w:val="bottom"/>
            </w:pPr>
            <w:r>
              <w:rPr>
                <w:rFonts w:ascii="Arial" w:eastAsia="宋体" w:hAnsi="Arial" w:cs="Arial"/>
                <w:b/>
                <w:bCs/>
                <w:color w:val="333333"/>
                <w:sz w:val="20"/>
                <w:szCs w:val="20"/>
              </w:rPr>
              <w:t>Definition</w:t>
            </w:r>
          </w:p>
        </w:tc>
        <w:tc>
          <w:tcPr>
            <w:tcW w:w="0" w:type="auto"/>
            <w:gridSpan w:val="3"/>
            <w:tcBorders>
              <w:top w:val="single" w:sz="8" w:space="0" w:color="333333"/>
              <w:left w:val="single" w:sz="8" w:space="0" w:color="333333"/>
              <w:right w:val="single" w:sz="8" w:space="0" w:color="333333"/>
            </w:tcBorders>
            <w:shd w:val="clear" w:color="auto" w:fill="auto"/>
            <w:tcMar>
              <w:top w:w="40" w:type="dxa"/>
              <w:left w:w="20" w:type="dxa"/>
              <w:bottom w:w="40" w:type="dxa"/>
              <w:right w:w="20" w:type="dxa"/>
            </w:tcMar>
            <w:vAlign w:val="bottom"/>
          </w:tcPr>
          <w:p w14:paraId="20AE33F6" w14:textId="77777777" w:rsidR="00B626E7" w:rsidRDefault="00175C1D">
            <w:pPr>
              <w:jc w:val="center"/>
              <w:textAlignment w:val="bottom"/>
            </w:pPr>
            <w:r>
              <w:rPr>
                <w:rFonts w:ascii="Arial" w:eastAsia="宋体" w:hAnsi="Arial" w:cs="Arial"/>
                <w:b/>
                <w:bCs/>
                <w:color w:val="333333"/>
                <w:sz w:val="20"/>
                <w:szCs w:val="20"/>
              </w:rPr>
              <w:t xml:space="preserve">Usefulness to </w:t>
            </w:r>
            <w:r>
              <w:rPr>
                <w:rFonts w:ascii="Arial" w:eastAsia="宋体" w:hAnsi="Arial" w:cs="Arial"/>
                <w:b/>
                <w:bCs/>
                <w:color w:val="333333"/>
                <w:sz w:val="20"/>
                <w:szCs w:val="20"/>
              </w:rPr>
              <w:t>management and investors</w:t>
            </w:r>
          </w:p>
        </w:tc>
      </w:tr>
      <w:tr w:rsidR="00B626E7" w14:paraId="20AE33FB" w14:textId="77777777">
        <w:tc>
          <w:tcPr>
            <w:tcW w:w="0" w:type="auto"/>
            <w:gridSpan w:val="3"/>
            <w:tcBorders>
              <w:top w:val="single" w:sz="8" w:space="0" w:color="333333"/>
              <w:left w:val="single" w:sz="8" w:space="0" w:color="333333"/>
            </w:tcBorders>
            <w:shd w:val="clear" w:color="auto" w:fill="auto"/>
            <w:tcMar>
              <w:top w:w="40" w:type="dxa"/>
              <w:left w:w="20" w:type="dxa"/>
              <w:bottom w:w="40" w:type="dxa"/>
              <w:right w:w="20" w:type="dxa"/>
            </w:tcMar>
          </w:tcPr>
          <w:p w14:paraId="20AE33F8" w14:textId="77777777" w:rsidR="00B626E7" w:rsidRDefault="00175C1D">
            <w:pPr>
              <w:textAlignment w:val="top"/>
            </w:pPr>
            <w:r>
              <w:rPr>
                <w:rFonts w:ascii="Arial" w:eastAsia="宋体" w:hAnsi="Arial" w:cs="Arial"/>
                <w:b/>
                <w:bCs/>
                <w:color w:val="333333"/>
                <w:sz w:val="18"/>
                <w:szCs w:val="18"/>
              </w:rPr>
              <w:t>Acquisition-related adjustments</w:t>
            </w:r>
          </w:p>
        </w:tc>
        <w:tc>
          <w:tcPr>
            <w:tcW w:w="0" w:type="auto"/>
            <w:gridSpan w:val="3"/>
            <w:tcBorders>
              <w:top w:val="single" w:sz="8" w:space="0" w:color="333333"/>
              <w:left w:val="single" w:sz="8" w:space="0" w:color="333333"/>
            </w:tcBorders>
            <w:shd w:val="clear" w:color="auto" w:fill="auto"/>
            <w:tcMar>
              <w:top w:w="40" w:type="dxa"/>
              <w:left w:w="20" w:type="dxa"/>
              <w:bottom w:w="40" w:type="dxa"/>
              <w:right w:w="20" w:type="dxa"/>
            </w:tcMar>
          </w:tcPr>
          <w:p w14:paraId="20AE33F9" w14:textId="77777777" w:rsidR="00B626E7" w:rsidRDefault="00175C1D">
            <w:pPr>
              <w:textAlignment w:val="top"/>
            </w:pPr>
            <w:r>
              <w:rPr>
                <w:rFonts w:ascii="Arial" w:eastAsia="宋体" w:hAnsi="Arial" w:cs="Arial"/>
                <w:color w:val="333333"/>
                <w:sz w:val="18"/>
                <w:szCs w:val="18"/>
              </w:rPr>
              <w:t>Amortization of acquisition-related intangible assets consists of amortization of intangible assets such as developed technology, brands, and customer relationships acquired in connection with busin</w:t>
            </w:r>
            <w:r>
              <w:rPr>
                <w:rFonts w:ascii="Arial" w:eastAsia="宋体" w:hAnsi="Arial" w:cs="Arial"/>
                <w:color w:val="333333"/>
                <w:sz w:val="18"/>
                <w:szCs w:val="18"/>
              </w:rPr>
              <w:t>ess combinations. Charges related to the amortization of these intangibles are recorded within both cost of sales and MG&amp;A in our U.S. GAAP financial statements. Amortization charges are recorded over the estimated useful life of the related acquired intan</w:t>
            </w:r>
            <w:r>
              <w:rPr>
                <w:rFonts w:ascii="Arial" w:eastAsia="宋体" w:hAnsi="Arial" w:cs="Arial"/>
                <w:color w:val="333333"/>
                <w:sz w:val="18"/>
                <w:szCs w:val="18"/>
              </w:rPr>
              <w:t>gible asset, and thus are generally recorded over multiple years.</w:t>
            </w:r>
          </w:p>
        </w:tc>
        <w:tc>
          <w:tcPr>
            <w:tcW w:w="0" w:type="auto"/>
            <w:gridSpan w:val="3"/>
            <w:tcBorders>
              <w:top w:val="single" w:sz="8" w:space="0" w:color="333333"/>
              <w:left w:val="single" w:sz="8" w:space="0" w:color="333333"/>
              <w:right w:val="single" w:sz="8" w:space="0" w:color="333333"/>
            </w:tcBorders>
            <w:shd w:val="clear" w:color="auto" w:fill="auto"/>
            <w:tcMar>
              <w:top w:w="40" w:type="dxa"/>
              <w:left w:w="20" w:type="dxa"/>
              <w:bottom w:w="40" w:type="dxa"/>
              <w:right w:w="20" w:type="dxa"/>
            </w:tcMar>
          </w:tcPr>
          <w:p w14:paraId="20AE33FA" w14:textId="77777777" w:rsidR="00B626E7" w:rsidRDefault="00175C1D">
            <w:pPr>
              <w:textAlignment w:val="top"/>
            </w:pPr>
            <w:r>
              <w:rPr>
                <w:rFonts w:ascii="Arial" w:eastAsia="宋体" w:hAnsi="Arial" w:cs="Arial"/>
                <w:color w:val="333333"/>
                <w:sz w:val="18"/>
                <w:szCs w:val="18"/>
              </w:rPr>
              <w:t>We exclude amortization charges for our acquisition-related intangible assets for purposes of calculating certain non-GAAP measures because these charges are inconsistent in size and are sig</w:t>
            </w:r>
            <w:r>
              <w:rPr>
                <w:rFonts w:ascii="Arial" w:eastAsia="宋体" w:hAnsi="Arial" w:cs="Arial"/>
                <w:color w:val="333333"/>
                <w:sz w:val="18"/>
                <w:szCs w:val="18"/>
              </w:rPr>
              <w:t>nificantly impacted by the timing and valuation of our acquisitions. These adjustments facilitate a useful evaluation of our current operating performance and comparison to our past operating performance and provide investors with additional means to evalu</w:t>
            </w:r>
            <w:r>
              <w:rPr>
                <w:rFonts w:ascii="Arial" w:eastAsia="宋体" w:hAnsi="Arial" w:cs="Arial"/>
                <w:color w:val="333333"/>
                <w:sz w:val="18"/>
                <w:szCs w:val="18"/>
              </w:rPr>
              <w:t>ate cost and expense trends.</w:t>
            </w:r>
          </w:p>
        </w:tc>
      </w:tr>
      <w:tr w:rsidR="00B626E7" w14:paraId="20AE33FF" w14:textId="77777777">
        <w:tc>
          <w:tcPr>
            <w:tcW w:w="0" w:type="auto"/>
            <w:gridSpan w:val="3"/>
            <w:tcBorders>
              <w:top w:val="single" w:sz="8" w:space="0" w:color="333333"/>
              <w:left w:val="single" w:sz="8" w:space="0" w:color="333333"/>
            </w:tcBorders>
            <w:shd w:val="clear" w:color="auto" w:fill="auto"/>
            <w:tcMar>
              <w:top w:w="40" w:type="dxa"/>
              <w:left w:w="20" w:type="dxa"/>
              <w:bottom w:w="40" w:type="dxa"/>
              <w:right w:w="20" w:type="dxa"/>
            </w:tcMar>
          </w:tcPr>
          <w:p w14:paraId="20AE33FC" w14:textId="77777777" w:rsidR="00B626E7" w:rsidRDefault="00175C1D">
            <w:pPr>
              <w:textAlignment w:val="top"/>
            </w:pPr>
            <w:r>
              <w:rPr>
                <w:rFonts w:ascii="Arial" w:eastAsia="宋体" w:hAnsi="Arial" w:cs="Arial"/>
                <w:b/>
                <w:bCs/>
                <w:color w:val="333333"/>
                <w:sz w:val="18"/>
                <w:szCs w:val="18"/>
              </w:rPr>
              <w:t>Restructuring and other charges</w:t>
            </w:r>
          </w:p>
        </w:tc>
        <w:tc>
          <w:tcPr>
            <w:tcW w:w="0" w:type="auto"/>
            <w:gridSpan w:val="3"/>
            <w:tcBorders>
              <w:top w:val="single" w:sz="8" w:space="0" w:color="333333"/>
              <w:left w:val="single" w:sz="8" w:space="0" w:color="333333"/>
            </w:tcBorders>
            <w:shd w:val="clear" w:color="auto" w:fill="auto"/>
            <w:tcMar>
              <w:top w:w="40" w:type="dxa"/>
              <w:left w:w="20" w:type="dxa"/>
              <w:bottom w:w="40" w:type="dxa"/>
              <w:right w:w="20" w:type="dxa"/>
            </w:tcMar>
          </w:tcPr>
          <w:p w14:paraId="20AE33FD" w14:textId="77777777" w:rsidR="00B626E7" w:rsidRDefault="00175C1D">
            <w:pPr>
              <w:textAlignment w:val="top"/>
            </w:pPr>
            <w:r>
              <w:rPr>
                <w:rFonts w:ascii="Arial" w:eastAsia="宋体" w:hAnsi="Arial" w:cs="Arial"/>
                <w:color w:val="333333"/>
                <w:sz w:val="18"/>
                <w:szCs w:val="18"/>
              </w:rPr>
              <w:t xml:space="preserve">Restructuring charges are costs associated with a formal restructuring plan and are primarily related to employee severance and benefit arrangements. Other charges include asset </w:t>
            </w:r>
            <w:r>
              <w:rPr>
                <w:rFonts w:ascii="Arial" w:eastAsia="宋体" w:hAnsi="Arial" w:cs="Arial"/>
                <w:color w:val="333333"/>
                <w:sz w:val="18"/>
                <w:szCs w:val="18"/>
              </w:rPr>
              <w:t>impairments, pension charges, and costs associated with restructuring activity.</w:t>
            </w:r>
          </w:p>
        </w:tc>
        <w:tc>
          <w:tcPr>
            <w:tcW w:w="0" w:type="auto"/>
            <w:gridSpan w:val="3"/>
            <w:tcBorders>
              <w:top w:val="single" w:sz="8" w:space="0" w:color="333333"/>
              <w:left w:val="single" w:sz="8" w:space="0" w:color="333333"/>
              <w:right w:val="single" w:sz="8" w:space="0" w:color="333333"/>
            </w:tcBorders>
            <w:shd w:val="clear" w:color="auto" w:fill="auto"/>
            <w:tcMar>
              <w:top w:w="40" w:type="dxa"/>
              <w:left w:w="20" w:type="dxa"/>
              <w:bottom w:w="40" w:type="dxa"/>
              <w:right w:w="20" w:type="dxa"/>
            </w:tcMar>
          </w:tcPr>
          <w:p w14:paraId="20AE33FE" w14:textId="77777777" w:rsidR="00B626E7" w:rsidRDefault="00175C1D">
            <w:pPr>
              <w:textAlignment w:val="top"/>
            </w:pPr>
            <w:r>
              <w:rPr>
                <w:rFonts w:ascii="Arial" w:eastAsia="宋体" w:hAnsi="Arial" w:cs="Arial"/>
                <w:color w:val="333333"/>
                <w:sz w:val="18"/>
                <w:szCs w:val="18"/>
              </w:rPr>
              <w:t xml:space="preserve">We exclude restructuring and other charges, including any adjustments to charges recorded in prior periods, for purposes of calculating certain non-GAAP measures because these </w:t>
            </w:r>
            <w:r>
              <w:rPr>
                <w:rFonts w:ascii="Arial" w:eastAsia="宋体" w:hAnsi="Arial" w:cs="Arial"/>
                <w:color w:val="333333"/>
                <w:sz w:val="18"/>
                <w:szCs w:val="18"/>
              </w:rPr>
              <w:t>costs do not reflect our current operating performance and are significantly impacted by the timing of restructuring activity. These adjustments facilitate a useful evaluation of our current operating performance and comparisons to past operating results a</w:t>
            </w:r>
            <w:r>
              <w:rPr>
                <w:rFonts w:ascii="Arial" w:eastAsia="宋体" w:hAnsi="Arial" w:cs="Arial"/>
                <w:color w:val="333333"/>
                <w:sz w:val="18"/>
                <w:szCs w:val="18"/>
              </w:rPr>
              <w:t>nd provide investors with additional means to evaluate expense trends.</w:t>
            </w:r>
          </w:p>
        </w:tc>
      </w:tr>
      <w:tr w:rsidR="00B626E7" w14:paraId="20AE3403" w14:textId="77777777">
        <w:tc>
          <w:tcPr>
            <w:tcW w:w="0" w:type="auto"/>
            <w:gridSpan w:val="3"/>
            <w:tcBorders>
              <w:top w:val="single" w:sz="8" w:space="0" w:color="333333"/>
              <w:left w:val="single" w:sz="8" w:space="0" w:color="333333"/>
            </w:tcBorders>
            <w:shd w:val="clear" w:color="auto" w:fill="auto"/>
            <w:tcMar>
              <w:top w:w="40" w:type="dxa"/>
              <w:left w:w="20" w:type="dxa"/>
              <w:bottom w:w="40" w:type="dxa"/>
              <w:right w:w="20" w:type="dxa"/>
            </w:tcMar>
          </w:tcPr>
          <w:p w14:paraId="20AE3400" w14:textId="77777777" w:rsidR="00B626E7" w:rsidRDefault="00175C1D">
            <w:pPr>
              <w:textAlignment w:val="top"/>
            </w:pPr>
            <w:r>
              <w:rPr>
                <w:rFonts w:ascii="Arial" w:eastAsia="宋体" w:hAnsi="Arial" w:cs="Arial"/>
                <w:b/>
                <w:bCs/>
                <w:color w:val="333333"/>
                <w:sz w:val="18"/>
                <w:szCs w:val="18"/>
              </w:rPr>
              <w:t>Ongoing mark-to-market on marketable equity securities</w:t>
            </w:r>
          </w:p>
        </w:tc>
        <w:tc>
          <w:tcPr>
            <w:tcW w:w="0" w:type="auto"/>
            <w:gridSpan w:val="3"/>
            <w:tcBorders>
              <w:top w:val="single" w:sz="8" w:space="0" w:color="333333"/>
              <w:left w:val="single" w:sz="8" w:space="0" w:color="333333"/>
            </w:tcBorders>
            <w:shd w:val="clear" w:color="auto" w:fill="auto"/>
            <w:tcMar>
              <w:top w:w="40" w:type="dxa"/>
              <w:left w:w="20" w:type="dxa"/>
              <w:bottom w:w="40" w:type="dxa"/>
              <w:right w:w="20" w:type="dxa"/>
            </w:tcMar>
          </w:tcPr>
          <w:p w14:paraId="20AE3401" w14:textId="77777777" w:rsidR="00B626E7" w:rsidRDefault="00175C1D">
            <w:pPr>
              <w:textAlignment w:val="top"/>
            </w:pPr>
            <w:r>
              <w:rPr>
                <w:rFonts w:ascii="Arial" w:eastAsia="宋体" w:hAnsi="Arial" w:cs="Arial"/>
                <w:color w:val="333333"/>
                <w:sz w:val="18"/>
                <w:szCs w:val="18"/>
              </w:rPr>
              <w:t>After the initial mark-to-market adjustment is recorded upon a security becoming marketable, gains and losses are recognized from</w:t>
            </w:r>
            <w:r>
              <w:rPr>
                <w:rFonts w:ascii="Arial" w:eastAsia="宋体" w:hAnsi="Arial" w:cs="Arial"/>
                <w:color w:val="333333"/>
                <w:sz w:val="18"/>
                <w:szCs w:val="18"/>
              </w:rPr>
              <w:t xml:space="preserve"> ongoing mark-to-market adjustments of our marketable equity securities.</w:t>
            </w:r>
          </w:p>
        </w:tc>
        <w:tc>
          <w:tcPr>
            <w:tcW w:w="0" w:type="auto"/>
            <w:gridSpan w:val="3"/>
            <w:tcBorders>
              <w:top w:val="single" w:sz="8" w:space="0" w:color="333333"/>
              <w:left w:val="single" w:sz="8" w:space="0" w:color="333333"/>
              <w:right w:val="single" w:sz="8" w:space="0" w:color="333333"/>
            </w:tcBorders>
            <w:shd w:val="clear" w:color="auto" w:fill="auto"/>
            <w:tcMar>
              <w:top w:w="40" w:type="dxa"/>
              <w:left w:w="20" w:type="dxa"/>
              <w:bottom w:w="40" w:type="dxa"/>
              <w:right w:w="20" w:type="dxa"/>
            </w:tcMar>
          </w:tcPr>
          <w:p w14:paraId="20AE3402" w14:textId="77777777" w:rsidR="00B626E7" w:rsidRDefault="00175C1D">
            <w:pPr>
              <w:textAlignment w:val="top"/>
            </w:pPr>
            <w:r>
              <w:rPr>
                <w:rFonts w:ascii="Arial" w:eastAsia="宋体" w:hAnsi="Arial" w:cs="Arial"/>
                <w:color w:val="333333"/>
                <w:sz w:val="18"/>
                <w:szCs w:val="18"/>
              </w:rPr>
              <w:t>We exclude these ongoing gains and losses for purposes of calculating certain non-GAAP measures because we do not believe this volatility correlates to our core operational performanc</w:t>
            </w:r>
            <w:r>
              <w:rPr>
                <w:rFonts w:ascii="Arial" w:eastAsia="宋体" w:hAnsi="Arial" w:cs="Arial"/>
                <w:color w:val="333333"/>
                <w:sz w:val="18"/>
                <w:szCs w:val="18"/>
              </w:rPr>
              <w:t>e. These adjustments facilitate a useful evaluation of our current operating performance and comparisons to past operating results.</w:t>
            </w:r>
          </w:p>
        </w:tc>
      </w:tr>
      <w:tr w:rsidR="00B626E7" w14:paraId="20AE3407" w14:textId="77777777">
        <w:tc>
          <w:tcPr>
            <w:tcW w:w="0" w:type="auto"/>
            <w:gridSpan w:val="3"/>
            <w:tcBorders>
              <w:top w:val="single" w:sz="8" w:space="0" w:color="333333"/>
              <w:left w:val="single" w:sz="8" w:space="0" w:color="333333"/>
              <w:bottom w:val="single" w:sz="8" w:space="0" w:color="333333"/>
            </w:tcBorders>
            <w:shd w:val="clear" w:color="auto" w:fill="auto"/>
            <w:tcMar>
              <w:top w:w="40" w:type="dxa"/>
              <w:left w:w="20" w:type="dxa"/>
              <w:bottom w:w="40" w:type="dxa"/>
              <w:right w:w="20" w:type="dxa"/>
            </w:tcMar>
          </w:tcPr>
          <w:p w14:paraId="20AE3404" w14:textId="77777777" w:rsidR="00B626E7" w:rsidRDefault="00175C1D">
            <w:pPr>
              <w:textAlignment w:val="top"/>
            </w:pPr>
            <w:r>
              <w:rPr>
                <w:rFonts w:ascii="Arial" w:eastAsia="宋体" w:hAnsi="Arial" w:cs="Arial"/>
                <w:b/>
                <w:bCs/>
                <w:color w:val="333333"/>
                <w:sz w:val="18"/>
                <w:szCs w:val="18"/>
              </w:rPr>
              <w:t>Free cash flow</w:t>
            </w:r>
          </w:p>
        </w:tc>
        <w:tc>
          <w:tcPr>
            <w:tcW w:w="0" w:type="auto"/>
            <w:gridSpan w:val="3"/>
            <w:tcBorders>
              <w:top w:val="single" w:sz="8" w:space="0" w:color="333333"/>
              <w:left w:val="single" w:sz="8" w:space="0" w:color="333333"/>
              <w:bottom w:val="single" w:sz="8" w:space="0" w:color="333333"/>
            </w:tcBorders>
            <w:shd w:val="clear" w:color="auto" w:fill="auto"/>
            <w:tcMar>
              <w:top w:w="40" w:type="dxa"/>
              <w:left w:w="20" w:type="dxa"/>
              <w:bottom w:w="40" w:type="dxa"/>
              <w:right w:w="20" w:type="dxa"/>
            </w:tcMar>
          </w:tcPr>
          <w:p w14:paraId="20AE3405" w14:textId="77777777" w:rsidR="00B626E7" w:rsidRDefault="00175C1D">
            <w:pPr>
              <w:textAlignment w:val="top"/>
            </w:pPr>
            <w:r>
              <w:rPr>
                <w:rFonts w:ascii="Arial" w:eastAsia="宋体" w:hAnsi="Arial" w:cs="Arial"/>
                <w:color w:val="333333"/>
                <w:sz w:val="18"/>
                <w:szCs w:val="18"/>
              </w:rPr>
              <w:t xml:space="preserve">We reference a non-GAAP financial measure of free cash flow, which is used by management when </w:t>
            </w:r>
            <w:r>
              <w:rPr>
                <w:rFonts w:ascii="Arial" w:eastAsia="宋体" w:hAnsi="Arial" w:cs="Arial"/>
                <w:color w:val="333333"/>
                <w:sz w:val="18"/>
                <w:szCs w:val="18"/>
              </w:rPr>
              <w:t>assessing our sources of liquidity, capital resources, and quality of earnings. Free cash flow is operating cash flow adjusted to exclude additions to property, plant, and equipment.</w:t>
            </w:r>
          </w:p>
        </w:tc>
        <w:tc>
          <w:tcPr>
            <w:tcW w:w="0" w:type="auto"/>
            <w:gridSpan w:val="3"/>
            <w:tcBorders>
              <w:top w:val="single" w:sz="8" w:space="0" w:color="333333"/>
              <w:left w:val="single" w:sz="8" w:space="0" w:color="333333"/>
              <w:bottom w:val="single" w:sz="8" w:space="0" w:color="333333"/>
              <w:right w:val="single" w:sz="8" w:space="0" w:color="333333"/>
            </w:tcBorders>
            <w:shd w:val="clear" w:color="auto" w:fill="auto"/>
            <w:tcMar>
              <w:top w:w="40" w:type="dxa"/>
              <w:left w:w="20" w:type="dxa"/>
              <w:bottom w:w="40" w:type="dxa"/>
              <w:right w:w="20" w:type="dxa"/>
            </w:tcMar>
          </w:tcPr>
          <w:p w14:paraId="20AE3406" w14:textId="77777777" w:rsidR="00B626E7" w:rsidRDefault="00175C1D">
            <w:pPr>
              <w:textAlignment w:val="top"/>
            </w:pPr>
            <w:r>
              <w:rPr>
                <w:rFonts w:ascii="Arial" w:eastAsia="宋体" w:hAnsi="Arial" w:cs="Arial"/>
                <w:color w:val="333333"/>
                <w:sz w:val="18"/>
                <w:szCs w:val="18"/>
              </w:rPr>
              <w:t>This non-GAAP financial measure is helpful in understanding our capital r</w:t>
            </w:r>
            <w:r>
              <w:rPr>
                <w:rFonts w:ascii="Arial" w:eastAsia="宋体" w:hAnsi="Arial" w:cs="Arial"/>
                <w:color w:val="333333"/>
                <w:sz w:val="18"/>
                <w:szCs w:val="18"/>
              </w:rPr>
              <w:t>equirements and provides an additional means to evaluate the cash flow trends of our business.</w:t>
            </w:r>
          </w:p>
        </w:tc>
      </w:tr>
    </w:tbl>
    <w:p w14:paraId="20AE3408" w14:textId="77777777" w:rsidR="00B626E7" w:rsidRDefault="00B626E7">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4"/>
        <w:gridCol w:w="2423"/>
        <w:gridCol w:w="84"/>
        <w:gridCol w:w="83"/>
        <w:gridCol w:w="3471"/>
        <w:gridCol w:w="83"/>
        <w:gridCol w:w="83"/>
        <w:gridCol w:w="1942"/>
        <w:gridCol w:w="83"/>
      </w:tblGrid>
      <w:tr w:rsidR="00B626E7" w14:paraId="20AE3412" w14:textId="77777777">
        <w:tc>
          <w:tcPr>
            <w:tcW w:w="50" w:type="pct"/>
            <w:shd w:val="clear" w:color="auto" w:fill="auto"/>
            <w:vAlign w:val="bottom"/>
          </w:tcPr>
          <w:p w14:paraId="20AE3409" w14:textId="77777777" w:rsidR="00B626E7" w:rsidRDefault="00B626E7">
            <w:pPr>
              <w:rPr>
                <w:rFonts w:ascii="宋体"/>
              </w:rPr>
            </w:pPr>
          </w:p>
        </w:tc>
        <w:tc>
          <w:tcPr>
            <w:tcW w:w="1452" w:type="pct"/>
            <w:shd w:val="clear" w:color="auto" w:fill="auto"/>
            <w:vAlign w:val="bottom"/>
          </w:tcPr>
          <w:p w14:paraId="20AE340A" w14:textId="77777777" w:rsidR="00B626E7" w:rsidRDefault="00B626E7">
            <w:pPr>
              <w:rPr>
                <w:rFonts w:ascii="宋体"/>
              </w:rPr>
            </w:pPr>
          </w:p>
        </w:tc>
        <w:tc>
          <w:tcPr>
            <w:tcW w:w="50" w:type="pct"/>
            <w:shd w:val="clear" w:color="auto" w:fill="auto"/>
            <w:vAlign w:val="bottom"/>
          </w:tcPr>
          <w:p w14:paraId="20AE340B" w14:textId="77777777" w:rsidR="00B626E7" w:rsidRDefault="00B626E7">
            <w:pPr>
              <w:rPr>
                <w:rFonts w:ascii="宋体"/>
              </w:rPr>
            </w:pPr>
          </w:p>
        </w:tc>
        <w:tc>
          <w:tcPr>
            <w:tcW w:w="50" w:type="pct"/>
            <w:shd w:val="clear" w:color="auto" w:fill="auto"/>
            <w:vAlign w:val="bottom"/>
          </w:tcPr>
          <w:p w14:paraId="20AE340C" w14:textId="77777777" w:rsidR="00B626E7" w:rsidRDefault="00B626E7">
            <w:pPr>
              <w:rPr>
                <w:rFonts w:ascii="宋体"/>
              </w:rPr>
            </w:pPr>
          </w:p>
        </w:tc>
        <w:tc>
          <w:tcPr>
            <w:tcW w:w="2081" w:type="pct"/>
            <w:shd w:val="clear" w:color="auto" w:fill="auto"/>
            <w:vAlign w:val="bottom"/>
          </w:tcPr>
          <w:p w14:paraId="20AE340D" w14:textId="77777777" w:rsidR="00B626E7" w:rsidRDefault="00B626E7">
            <w:pPr>
              <w:rPr>
                <w:rFonts w:ascii="宋体"/>
              </w:rPr>
            </w:pPr>
          </w:p>
        </w:tc>
        <w:tc>
          <w:tcPr>
            <w:tcW w:w="50" w:type="pct"/>
            <w:shd w:val="clear" w:color="auto" w:fill="auto"/>
            <w:vAlign w:val="bottom"/>
          </w:tcPr>
          <w:p w14:paraId="20AE340E" w14:textId="77777777" w:rsidR="00B626E7" w:rsidRDefault="00B626E7">
            <w:pPr>
              <w:rPr>
                <w:rFonts w:ascii="宋体"/>
              </w:rPr>
            </w:pPr>
          </w:p>
        </w:tc>
        <w:tc>
          <w:tcPr>
            <w:tcW w:w="50" w:type="pct"/>
            <w:shd w:val="clear" w:color="auto" w:fill="auto"/>
            <w:vAlign w:val="bottom"/>
          </w:tcPr>
          <w:p w14:paraId="20AE340F" w14:textId="77777777" w:rsidR="00B626E7" w:rsidRDefault="00B626E7">
            <w:pPr>
              <w:rPr>
                <w:rFonts w:ascii="宋体"/>
              </w:rPr>
            </w:pPr>
          </w:p>
        </w:tc>
        <w:tc>
          <w:tcPr>
            <w:tcW w:w="1165" w:type="pct"/>
            <w:shd w:val="clear" w:color="auto" w:fill="auto"/>
            <w:vAlign w:val="bottom"/>
          </w:tcPr>
          <w:p w14:paraId="20AE3410" w14:textId="77777777" w:rsidR="00B626E7" w:rsidRDefault="00B626E7">
            <w:pPr>
              <w:rPr>
                <w:rFonts w:ascii="宋体"/>
              </w:rPr>
            </w:pPr>
          </w:p>
        </w:tc>
        <w:tc>
          <w:tcPr>
            <w:tcW w:w="50" w:type="pct"/>
            <w:shd w:val="clear" w:color="auto" w:fill="auto"/>
            <w:vAlign w:val="bottom"/>
          </w:tcPr>
          <w:p w14:paraId="20AE3411" w14:textId="77777777" w:rsidR="00B626E7" w:rsidRDefault="00B626E7">
            <w:pPr>
              <w:rPr>
                <w:rFonts w:ascii="宋体"/>
              </w:rPr>
            </w:pPr>
          </w:p>
        </w:tc>
      </w:tr>
      <w:tr w:rsidR="00B626E7" w14:paraId="20AE3416" w14:textId="77777777">
        <w:tc>
          <w:tcPr>
            <w:tcW w:w="0" w:type="auto"/>
            <w:gridSpan w:val="3"/>
            <w:tcBorders>
              <w:top w:val="single" w:sz="8" w:space="0" w:color="0071C5"/>
            </w:tcBorders>
            <w:shd w:val="clear" w:color="auto" w:fill="auto"/>
            <w:tcMar>
              <w:top w:w="40" w:type="dxa"/>
              <w:left w:w="20" w:type="dxa"/>
              <w:bottom w:w="40" w:type="dxa"/>
              <w:right w:w="20" w:type="dxa"/>
            </w:tcMar>
            <w:vAlign w:val="center"/>
          </w:tcPr>
          <w:p w14:paraId="20AE3413" w14:textId="77777777" w:rsidR="00B626E7" w:rsidRDefault="00175C1D">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Viewer10_files/intc-20200627_g36.jpg"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BF" wp14:editId="20AE3CC0">
                  <wp:extent cx="304800" cy="304800"/>
                  <wp:effectExtent l="0" t="0" r="0" b="0"/>
                  <wp:docPr id="26" name="图片 144"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4" descr="IMG_32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Arial" w:eastAsia="宋体" w:hAnsi="Arial" w:cs="Arial"/>
                <w:color w:val="333333"/>
                <w:sz w:val="16"/>
                <w:szCs w:val="16"/>
              </w:rPr>
              <w:t>MD&amp;A</w:t>
            </w:r>
          </w:p>
        </w:tc>
        <w:tc>
          <w:tcPr>
            <w:tcW w:w="0" w:type="auto"/>
            <w:gridSpan w:val="3"/>
            <w:tcBorders>
              <w:top w:val="single" w:sz="8" w:space="0" w:color="0071C5"/>
            </w:tcBorders>
            <w:shd w:val="clear" w:color="auto" w:fill="auto"/>
            <w:tcMar>
              <w:left w:w="20" w:type="dxa"/>
              <w:right w:w="20" w:type="dxa"/>
            </w:tcMar>
            <w:vAlign w:val="bottom"/>
          </w:tcPr>
          <w:p w14:paraId="20AE3414"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3415" w14:textId="77777777" w:rsidR="00B626E7" w:rsidRDefault="00175C1D">
            <w:pPr>
              <w:jc w:val="right"/>
              <w:textAlignment w:val="bottom"/>
            </w:pPr>
            <w:r>
              <w:rPr>
                <w:rFonts w:ascii="Arial" w:eastAsia="宋体" w:hAnsi="Arial" w:cs="Arial"/>
                <w:color w:val="333333"/>
                <w:sz w:val="16"/>
                <w:szCs w:val="16"/>
              </w:rPr>
              <w:t>42</w:t>
            </w:r>
          </w:p>
        </w:tc>
      </w:tr>
    </w:tbl>
    <w:p w14:paraId="20AE3417" w14:textId="77777777" w:rsidR="00B626E7" w:rsidRDefault="00175C1D">
      <w:r>
        <w:pict w14:anchorId="20AE3CC1">
          <v:rect id="_x0000_i1068" style="width:415.3pt;height:1.5pt" o:hralign="center" o:hrstd="t" o:hr="t" fillcolor="#a0a0a0" stroked="f"/>
        </w:pict>
      </w:r>
    </w:p>
    <w:p w14:paraId="20AE3418" w14:textId="77777777" w:rsidR="00B626E7" w:rsidRDefault="00175C1D">
      <w:pPr>
        <w:spacing w:after="180"/>
        <w:jc w:val="right"/>
      </w:pPr>
      <w:hyperlink r:id="rId69" w:anchor="ib035cc8759904e51927d703ec8414366_7" w:history="1">
        <w:r>
          <w:rPr>
            <w:rStyle w:val="a5"/>
            <w:rFonts w:ascii="Arial" w:eastAsia="宋体" w:hAnsi="Arial" w:cs="Arial"/>
            <w:b/>
            <w:bCs/>
            <w:sz w:val="16"/>
            <w:szCs w:val="16"/>
          </w:rPr>
          <w:t>Table of Contents</w:t>
        </w:r>
      </w:hyperlink>
    </w:p>
    <w:p w14:paraId="20AE3419" w14:textId="77777777" w:rsidR="00B626E7" w:rsidRDefault="00B626E7">
      <w:pPr>
        <w:spacing w:after="180"/>
        <w:jc w:val="right"/>
      </w:pPr>
    </w:p>
    <w:p w14:paraId="20AE341A" w14:textId="77777777" w:rsidR="00B626E7" w:rsidRDefault="00175C1D">
      <w:pPr>
        <w:spacing w:after="120"/>
      </w:pPr>
      <w:r>
        <w:rPr>
          <w:rFonts w:ascii="Arial" w:eastAsia="宋体" w:hAnsi="Arial" w:cs="Arial"/>
          <w:color w:val="333333"/>
          <w:sz w:val="18"/>
          <w:szCs w:val="18"/>
        </w:rPr>
        <w:t xml:space="preserve">Following are the reconciliations of our most comparable U.S. GAAP measures to </w:t>
      </w:r>
      <w:r>
        <w:rPr>
          <w:rFonts w:ascii="Arial" w:eastAsia="宋体" w:hAnsi="Arial" w:cs="Arial"/>
          <w:color w:val="333333"/>
          <w:sz w:val="18"/>
          <w:szCs w:val="18"/>
        </w:rPr>
        <w:t>our non-GAAP measures presented:</w:t>
      </w:r>
    </w:p>
    <w:tbl>
      <w:tblPr>
        <w:tblW w:w="5000" w:type="pct"/>
        <w:tblCellMar>
          <w:top w:w="15" w:type="dxa"/>
          <w:left w:w="15" w:type="dxa"/>
          <w:bottom w:w="15" w:type="dxa"/>
          <w:right w:w="15" w:type="dxa"/>
        </w:tblCellMar>
        <w:tblLook w:val="04A0" w:firstRow="1" w:lastRow="0" w:firstColumn="1" w:lastColumn="0" w:noHBand="0" w:noVBand="1"/>
      </w:tblPr>
      <w:tblGrid>
        <w:gridCol w:w="38"/>
        <w:gridCol w:w="5719"/>
        <w:gridCol w:w="37"/>
        <w:gridCol w:w="36"/>
        <w:gridCol w:w="36"/>
        <w:gridCol w:w="36"/>
        <w:gridCol w:w="136"/>
        <w:gridCol w:w="686"/>
        <w:gridCol w:w="196"/>
        <w:gridCol w:w="36"/>
        <w:gridCol w:w="36"/>
        <w:gridCol w:w="36"/>
        <w:gridCol w:w="136"/>
        <w:gridCol w:w="616"/>
        <w:gridCol w:w="196"/>
        <w:gridCol w:w="36"/>
        <w:gridCol w:w="36"/>
        <w:gridCol w:w="36"/>
        <w:gridCol w:w="36"/>
        <w:gridCol w:w="36"/>
        <w:gridCol w:w="36"/>
        <w:gridCol w:w="36"/>
        <w:gridCol w:w="36"/>
        <w:gridCol w:w="36"/>
        <w:gridCol w:w="36"/>
      </w:tblGrid>
      <w:tr w:rsidR="00B626E7" w14:paraId="20AE342E" w14:textId="77777777">
        <w:trPr>
          <w:gridAfter w:val="6"/>
        </w:trPr>
        <w:tc>
          <w:tcPr>
            <w:tcW w:w="50" w:type="pct"/>
            <w:shd w:val="clear" w:color="auto" w:fill="auto"/>
          </w:tcPr>
          <w:p w14:paraId="20AE341B" w14:textId="77777777" w:rsidR="00B626E7" w:rsidRDefault="00B626E7">
            <w:pPr>
              <w:rPr>
                <w:rFonts w:ascii="宋体"/>
              </w:rPr>
            </w:pPr>
          </w:p>
        </w:tc>
        <w:tc>
          <w:tcPr>
            <w:tcW w:w="3643" w:type="pct"/>
            <w:shd w:val="clear" w:color="auto" w:fill="auto"/>
          </w:tcPr>
          <w:p w14:paraId="20AE341C" w14:textId="77777777" w:rsidR="00B626E7" w:rsidRDefault="00B626E7">
            <w:pPr>
              <w:rPr>
                <w:rFonts w:ascii="宋体"/>
              </w:rPr>
            </w:pPr>
          </w:p>
        </w:tc>
        <w:tc>
          <w:tcPr>
            <w:tcW w:w="50" w:type="pct"/>
            <w:shd w:val="clear" w:color="auto" w:fill="auto"/>
          </w:tcPr>
          <w:p w14:paraId="20AE341D" w14:textId="77777777" w:rsidR="00B626E7" w:rsidRDefault="00B626E7">
            <w:pPr>
              <w:rPr>
                <w:rFonts w:ascii="宋体"/>
              </w:rPr>
            </w:pPr>
          </w:p>
        </w:tc>
        <w:tc>
          <w:tcPr>
            <w:tcW w:w="5" w:type="pct"/>
            <w:shd w:val="clear" w:color="auto" w:fill="auto"/>
          </w:tcPr>
          <w:p w14:paraId="20AE341E" w14:textId="77777777" w:rsidR="00B626E7" w:rsidRDefault="00B626E7">
            <w:pPr>
              <w:rPr>
                <w:rFonts w:ascii="宋体"/>
              </w:rPr>
            </w:pPr>
          </w:p>
        </w:tc>
        <w:tc>
          <w:tcPr>
            <w:tcW w:w="24" w:type="pct"/>
            <w:shd w:val="clear" w:color="auto" w:fill="auto"/>
          </w:tcPr>
          <w:p w14:paraId="20AE341F" w14:textId="77777777" w:rsidR="00B626E7" w:rsidRDefault="00B626E7">
            <w:pPr>
              <w:rPr>
                <w:rFonts w:ascii="宋体"/>
              </w:rPr>
            </w:pPr>
          </w:p>
        </w:tc>
        <w:tc>
          <w:tcPr>
            <w:tcW w:w="5" w:type="pct"/>
            <w:shd w:val="clear" w:color="auto" w:fill="auto"/>
          </w:tcPr>
          <w:p w14:paraId="20AE3420" w14:textId="77777777" w:rsidR="00B626E7" w:rsidRDefault="00B626E7">
            <w:pPr>
              <w:rPr>
                <w:rFonts w:ascii="宋体"/>
              </w:rPr>
            </w:pPr>
          </w:p>
        </w:tc>
        <w:tc>
          <w:tcPr>
            <w:tcW w:w="50" w:type="pct"/>
            <w:shd w:val="clear" w:color="auto" w:fill="auto"/>
          </w:tcPr>
          <w:p w14:paraId="20AE3421" w14:textId="77777777" w:rsidR="00B626E7" w:rsidRDefault="00B626E7">
            <w:pPr>
              <w:rPr>
                <w:rFonts w:ascii="宋体"/>
              </w:rPr>
            </w:pPr>
          </w:p>
        </w:tc>
        <w:tc>
          <w:tcPr>
            <w:tcW w:w="494" w:type="pct"/>
            <w:shd w:val="clear" w:color="auto" w:fill="auto"/>
          </w:tcPr>
          <w:p w14:paraId="20AE3422" w14:textId="77777777" w:rsidR="00B626E7" w:rsidRDefault="00B626E7">
            <w:pPr>
              <w:rPr>
                <w:rFonts w:ascii="宋体"/>
              </w:rPr>
            </w:pPr>
          </w:p>
        </w:tc>
        <w:tc>
          <w:tcPr>
            <w:tcW w:w="50" w:type="pct"/>
            <w:shd w:val="clear" w:color="auto" w:fill="auto"/>
          </w:tcPr>
          <w:p w14:paraId="20AE3423" w14:textId="77777777" w:rsidR="00B626E7" w:rsidRDefault="00B626E7">
            <w:pPr>
              <w:rPr>
                <w:rFonts w:ascii="宋体"/>
              </w:rPr>
            </w:pPr>
          </w:p>
        </w:tc>
        <w:tc>
          <w:tcPr>
            <w:tcW w:w="5" w:type="pct"/>
            <w:shd w:val="clear" w:color="auto" w:fill="auto"/>
          </w:tcPr>
          <w:p w14:paraId="20AE3424" w14:textId="77777777" w:rsidR="00B626E7" w:rsidRDefault="00B626E7">
            <w:pPr>
              <w:rPr>
                <w:rFonts w:ascii="宋体"/>
              </w:rPr>
            </w:pPr>
          </w:p>
        </w:tc>
        <w:tc>
          <w:tcPr>
            <w:tcW w:w="24" w:type="pct"/>
            <w:shd w:val="clear" w:color="auto" w:fill="auto"/>
          </w:tcPr>
          <w:p w14:paraId="20AE3425" w14:textId="77777777" w:rsidR="00B626E7" w:rsidRDefault="00B626E7">
            <w:pPr>
              <w:rPr>
                <w:rFonts w:ascii="宋体"/>
              </w:rPr>
            </w:pPr>
          </w:p>
        </w:tc>
        <w:tc>
          <w:tcPr>
            <w:tcW w:w="5" w:type="pct"/>
            <w:shd w:val="clear" w:color="auto" w:fill="auto"/>
          </w:tcPr>
          <w:p w14:paraId="20AE3426" w14:textId="77777777" w:rsidR="00B626E7" w:rsidRDefault="00B626E7">
            <w:pPr>
              <w:rPr>
                <w:rFonts w:ascii="宋体"/>
              </w:rPr>
            </w:pPr>
          </w:p>
        </w:tc>
        <w:tc>
          <w:tcPr>
            <w:tcW w:w="50" w:type="pct"/>
            <w:shd w:val="clear" w:color="auto" w:fill="auto"/>
          </w:tcPr>
          <w:p w14:paraId="20AE3427" w14:textId="77777777" w:rsidR="00B626E7" w:rsidRDefault="00B626E7">
            <w:pPr>
              <w:rPr>
                <w:rFonts w:ascii="宋体"/>
              </w:rPr>
            </w:pPr>
          </w:p>
        </w:tc>
        <w:tc>
          <w:tcPr>
            <w:tcW w:w="494" w:type="pct"/>
            <w:shd w:val="clear" w:color="auto" w:fill="auto"/>
          </w:tcPr>
          <w:p w14:paraId="20AE3428" w14:textId="77777777" w:rsidR="00B626E7" w:rsidRDefault="00B626E7">
            <w:pPr>
              <w:rPr>
                <w:rFonts w:ascii="宋体"/>
              </w:rPr>
            </w:pPr>
          </w:p>
        </w:tc>
        <w:tc>
          <w:tcPr>
            <w:tcW w:w="50" w:type="pct"/>
            <w:shd w:val="clear" w:color="auto" w:fill="auto"/>
          </w:tcPr>
          <w:p w14:paraId="20AE3429" w14:textId="77777777" w:rsidR="00B626E7" w:rsidRDefault="00B626E7">
            <w:pPr>
              <w:rPr>
                <w:rFonts w:ascii="宋体"/>
              </w:rPr>
            </w:pPr>
          </w:p>
        </w:tc>
        <w:tc>
          <w:tcPr>
            <w:tcW w:w="0" w:type="auto"/>
            <w:shd w:val="clear" w:color="auto" w:fill="auto"/>
          </w:tcPr>
          <w:p w14:paraId="20AE342A" w14:textId="77777777" w:rsidR="00B626E7" w:rsidRDefault="00B626E7">
            <w:pPr>
              <w:rPr>
                <w:rFonts w:ascii="宋体"/>
                <w:vanish/>
              </w:rPr>
            </w:pPr>
          </w:p>
        </w:tc>
        <w:tc>
          <w:tcPr>
            <w:tcW w:w="0" w:type="auto"/>
            <w:shd w:val="clear" w:color="auto" w:fill="auto"/>
          </w:tcPr>
          <w:p w14:paraId="20AE342B" w14:textId="77777777" w:rsidR="00B626E7" w:rsidRDefault="00B626E7">
            <w:pPr>
              <w:rPr>
                <w:rFonts w:ascii="宋体"/>
                <w:vanish/>
              </w:rPr>
            </w:pPr>
          </w:p>
        </w:tc>
        <w:tc>
          <w:tcPr>
            <w:tcW w:w="0" w:type="auto"/>
            <w:shd w:val="clear" w:color="auto" w:fill="auto"/>
          </w:tcPr>
          <w:p w14:paraId="20AE342C" w14:textId="77777777" w:rsidR="00B626E7" w:rsidRDefault="00B626E7">
            <w:pPr>
              <w:rPr>
                <w:rFonts w:ascii="宋体"/>
                <w:vanish/>
              </w:rPr>
            </w:pPr>
          </w:p>
        </w:tc>
        <w:tc>
          <w:tcPr>
            <w:tcW w:w="0" w:type="auto"/>
            <w:shd w:val="clear" w:color="auto" w:fill="auto"/>
          </w:tcPr>
          <w:p w14:paraId="20AE342D" w14:textId="77777777" w:rsidR="00B626E7" w:rsidRDefault="00B626E7">
            <w:pPr>
              <w:rPr>
                <w:rFonts w:ascii="宋体"/>
                <w:vanish/>
              </w:rPr>
            </w:pPr>
          </w:p>
        </w:tc>
      </w:tr>
      <w:tr w:rsidR="00B626E7" w14:paraId="20AE3438" w14:textId="77777777">
        <w:tc>
          <w:tcPr>
            <w:tcW w:w="0" w:type="auto"/>
            <w:gridSpan w:val="3"/>
            <w:shd w:val="clear" w:color="auto" w:fill="auto"/>
            <w:tcMar>
              <w:left w:w="20" w:type="dxa"/>
              <w:right w:w="20" w:type="dxa"/>
            </w:tcMar>
            <w:vAlign w:val="bottom"/>
          </w:tcPr>
          <w:p w14:paraId="20AE342F"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430" w14:textId="77777777" w:rsidR="00B626E7" w:rsidRDefault="00B626E7">
            <w:pPr>
              <w:rPr>
                <w:rFonts w:ascii="宋体"/>
              </w:rPr>
            </w:pPr>
          </w:p>
        </w:tc>
        <w:tc>
          <w:tcPr>
            <w:tcW w:w="0" w:type="auto"/>
            <w:gridSpan w:val="9"/>
            <w:shd w:val="clear" w:color="auto" w:fill="auto"/>
            <w:tcMar>
              <w:top w:w="40" w:type="dxa"/>
              <w:left w:w="20" w:type="dxa"/>
              <w:bottom w:w="40" w:type="dxa"/>
              <w:right w:w="20" w:type="dxa"/>
            </w:tcMar>
            <w:vAlign w:val="bottom"/>
          </w:tcPr>
          <w:p w14:paraId="20AE3431" w14:textId="77777777" w:rsidR="00B626E7" w:rsidRDefault="00175C1D">
            <w:pPr>
              <w:jc w:val="center"/>
              <w:textAlignment w:val="bottom"/>
            </w:pPr>
            <w:r>
              <w:rPr>
                <w:rFonts w:ascii="Arial" w:eastAsia="宋体" w:hAnsi="Arial" w:cs="Arial"/>
                <w:b/>
                <w:bCs/>
                <w:color w:val="333333"/>
                <w:sz w:val="18"/>
                <w:szCs w:val="18"/>
              </w:rPr>
              <w:t>Three Months Ended</w:t>
            </w:r>
          </w:p>
        </w:tc>
        <w:tc>
          <w:tcPr>
            <w:tcW w:w="0" w:type="auto"/>
            <w:shd w:val="clear" w:color="auto" w:fill="auto"/>
          </w:tcPr>
          <w:p w14:paraId="20AE3432" w14:textId="77777777" w:rsidR="00B626E7" w:rsidRDefault="00B626E7">
            <w:pPr>
              <w:rPr>
                <w:rFonts w:ascii="宋体"/>
                <w:vanish/>
              </w:rPr>
            </w:pPr>
          </w:p>
        </w:tc>
        <w:tc>
          <w:tcPr>
            <w:tcW w:w="0" w:type="auto"/>
            <w:shd w:val="clear" w:color="auto" w:fill="auto"/>
          </w:tcPr>
          <w:p w14:paraId="20AE3433" w14:textId="77777777" w:rsidR="00B626E7" w:rsidRDefault="00B626E7">
            <w:pPr>
              <w:rPr>
                <w:rFonts w:ascii="宋体"/>
                <w:vanish/>
              </w:rPr>
            </w:pPr>
          </w:p>
        </w:tc>
        <w:tc>
          <w:tcPr>
            <w:tcW w:w="0" w:type="auto"/>
            <w:shd w:val="clear" w:color="auto" w:fill="auto"/>
          </w:tcPr>
          <w:p w14:paraId="20AE3434" w14:textId="77777777" w:rsidR="00B626E7" w:rsidRDefault="00B626E7">
            <w:pPr>
              <w:rPr>
                <w:rFonts w:ascii="宋体"/>
                <w:vanish/>
              </w:rPr>
            </w:pPr>
          </w:p>
        </w:tc>
        <w:tc>
          <w:tcPr>
            <w:tcW w:w="0" w:type="auto"/>
            <w:shd w:val="clear" w:color="auto" w:fill="auto"/>
          </w:tcPr>
          <w:p w14:paraId="20AE3435" w14:textId="77777777" w:rsidR="00B626E7" w:rsidRDefault="00B626E7">
            <w:pPr>
              <w:rPr>
                <w:rFonts w:ascii="宋体"/>
                <w:vanish/>
              </w:rPr>
            </w:pPr>
          </w:p>
        </w:tc>
        <w:tc>
          <w:tcPr>
            <w:tcW w:w="0" w:type="auto"/>
            <w:gridSpan w:val="3"/>
            <w:shd w:val="clear" w:color="auto" w:fill="auto"/>
          </w:tcPr>
          <w:p w14:paraId="20AE3436" w14:textId="77777777" w:rsidR="00B626E7" w:rsidRDefault="00B626E7">
            <w:pPr>
              <w:rPr>
                <w:rFonts w:ascii="宋体"/>
                <w:vanish/>
              </w:rPr>
            </w:pPr>
          </w:p>
        </w:tc>
        <w:tc>
          <w:tcPr>
            <w:tcW w:w="0" w:type="auto"/>
            <w:gridSpan w:val="3"/>
            <w:shd w:val="clear" w:color="auto" w:fill="auto"/>
          </w:tcPr>
          <w:p w14:paraId="20AE3437" w14:textId="77777777" w:rsidR="00B626E7" w:rsidRDefault="00B626E7">
            <w:pPr>
              <w:rPr>
                <w:rFonts w:ascii="宋体"/>
                <w:vanish/>
              </w:rPr>
            </w:pPr>
          </w:p>
        </w:tc>
      </w:tr>
      <w:tr w:rsidR="00B626E7" w14:paraId="20AE3448" w14:textId="77777777">
        <w:tc>
          <w:tcPr>
            <w:tcW w:w="0" w:type="auto"/>
            <w:gridSpan w:val="3"/>
            <w:shd w:val="clear" w:color="auto" w:fill="auto"/>
            <w:tcMar>
              <w:top w:w="40" w:type="dxa"/>
              <w:left w:w="20" w:type="dxa"/>
              <w:bottom w:w="40" w:type="dxa"/>
              <w:right w:w="20" w:type="dxa"/>
            </w:tcMar>
            <w:vAlign w:val="bottom"/>
          </w:tcPr>
          <w:p w14:paraId="20AE3439" w14:textId="77777777" w:rsidR="00B626E7" w:rsidRDefault="00175C1D">
            <w:pPr>
              <w:textAlignment w:val="bottom"/>
            </w:pPr>
            <w:r>
              <w:rPr>
                <w:rFonts w:ascii="Arial" w:eastAsia="宋体" w:hAnsi="Arial" w:cs="Arial"/>
                <w:b/>
                <w:bCs/>
                <w:color w:val="333333"/>
                <w:sz w:val="18"/>
                <w:szCs w:val="18"/>
              </w:rPr>
              <w:t>(In Millions, Except Per Share Amounts)</w:t>
            </w:r>
          </w:p>
        </w:tc>
        <w:tc>
          <w:tcPr>
            <w:tcW w:w="0" w:type="auto"/>
            <w:gridSpan w:val="3"/>
            <w:shd w:val="clear" w:color="auto" w:fill="auto"/>
            <w:tcMar>
              <w:left w:w="20" w:type="dxa"/>
              <w:right w:w="20" w:type="dxa"/>
            </w:tcMar>
            <w:vAlign w:val="bottom"/>
          </w:tcPr>
          <w:p w14:paraId="20AE343A"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343B" w14:textId="77777777" w:rsidR="00B626E7" w:rsidRDefault="00175C1D">
            <w:pPr>
              <w:jc w:val="center"/>
              <w:textAlignment w:val="bottom"/>
            </w:pPr>
            <w:r>
              <w:rPr>
                <w:rFonts w:ascii="Arial" w:eastAsia="宋体" w:hAnsi="Arial" w:cs="Arial"/>
                <w:b/>
                <w:bCs/>
                <w:color w:val="333333"/>
                <w:sz w:val="18"/>
                <w:szCs w:val="18"/>
              </w:rPr>
              <w:t>Jun 27, 2020</w:t>
            </w:r>
          </w:p>
        </w:tc>
        <w:tc>
          <w:tcPr>
            <w:tcW w:w="0" w:type="auto"/>
            <w:gridSpan w:val="3"/>
            <w:tcBorders>
              <w:top w:val="single" w:sz="8" w:space="0" w:color="0071C5"/>
            </w:tcBorders>
            <w:shd w:val="clear" w:color="auto" w:fill="auto"/>
            <w:tcMar>
              <w:left w:w="20" w:type="dxa"/>
              <w:right w:w="20" w:type="dxa"/>
            </w:tcMar>
            <w:vAlign w:val="bottom"/>
          </w:tcPr>
          <w:p w14:paraId="20AE343C"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343D" w14:textId="77777777" w:rsidR="00B626E7" w:rsidRDefault="00175C1D">
            <w:pPr>
              <w:jc w:val="center"/>
              <w:textAlignment w:val="bottom"/>
            </w:pPr>
            <w:r>
              <w:rPr>
                <w:rFonts w:ascii="Arial" w:eastAsia="宋体" w:hAnsi="Arial" w:cs="Arial"/>
                <w:b/>
                <w:bCs/>
                <w:color w:val="333333"/>
                <w:sz w:val="18"/>
                <w:szCs w:val="18"/>
              </w:rPr>
              <w:t>Jun 29, 2019</w:t>
            </w:r>
          </w:p>
        </w:tc>
        <w:tc>
          <w:tcPr>
            <w:tcW w:w="0" w:type="auto"/>
            <w:shd w:val="clear" w:color="auto" w:fill="auto"/>
          </w:tcPr>
          <w:p w14:paraId="20AE343E" w14:textId="77777777" w:rsidR="00B626E7" w:rsidRDefault="00B626E7">
            <w:pPr>
              <w:rPr>
                <w:rFonts w:ascii="宋体"/>
                <w:vanish/>
              </w:rPr>
            </w:pPr>
          </w:p>
        </w:tc>
        <w:tc>
          <w:tcPr>
            <w:tcW w:w="0" w:type="auto"/>
            <w:shd w:val="clear" w:color="auto" w:fill="auto"/>
          </w:tcPr>
          <w:p w14:paraId="20AE343F" w14:textId="77777777" w:rsidR="00B626E7" w:rsidRDefault="00B626E7">
            <w:pPr>
              <w:rPr>
                <w:rFonts w:ascii="宋体"/>
                <w:vanish/>
              </w:rPr>
            </w:pPr>
          </w:p>
        </w:tc>
        <w:tc>
          <w:tcPr>
            <w:tcW w:w="0" w:type="auto"/>
            <w:shd w:val="clear" w:color="auto" w:fill="auto"/>
          </w:tcPr>
          <w:p w14:paraId="20AE3440" w14:textId="77777777" w:rsidR="00B626E7" w:rsidRDefault="00B626E7">
            <w:pPr>
              <w:rPr>
                <w:rFonts w:ascii="宋体"/>
                <w:vanish/>
              </w:rPr>
            </w:pPr>
          </w:p>
        </w:tc>
        <w:tc>
          <w:tcPr>
            <w:tcW w:w="0" w:type="auto"/>
            <w:shd w:val="clear" w:color="auto" w:fill="auto"/>
          </w:tcPr>
          <w:p w14:paraId="20AE3441" w14:textId="77777777" w:rsidR="00B626E7" w:rsidRDefault="00B626E7">
            <w:pPr>
              <w:rPr>
                <w:rFonts w:ascii="宋体"/>
                <w:vanish/>
              </w:rPr>
            </w:pPr>
          </w:p>
        </w:tc>
        <w:tc>
          <w:tcPr>
            <w:tcW w:w="0" w:type="auto"/>
            <w:shd w:val="clear" w:color="auto" w:fill="auto"/>
          </w:tcPr>
          <w:p w14:paraId="20AE3442" w14:textId="77777777" w:rsidR="00B626E7" w:rsidRDefault="00B626E7">
            <w:pPr>
              <w:rPr>
                <w:rFonts w:ascii="宋体"/>
              </w:rPr>
            </w:pPr>
          </w:p>
        </w:tc>
        <w:tc>
          <w:tcPr>
            <w:tcW w:w="0" w:type="auto"/>
            <w:shd w:val="clear" w:color="auto" w:fill="auto"/>
          </w:tcPr>
          <w:p w14:paraId="20AE3443" w14:textId="77777777" w:rsidR="00B626E7" w:rsidRDefault="00B626E7">
            <w:pPr>
              <w:rPr>
                <w:rFonts w:ascii="宋体"/>
              </w:rPr>
            </w:pPr>
          </w:p>
        </w:tc>
        <w:tc>
          <w:tcPr>
            <w:tcW w:w="0" w:type="auto"/>
            <w:shd w:val="clear" w:color="auto" w:fill="auto"/>
          </w:tcPr>
          <w:p w14:paraId="20AE3444" w14:textId="77777777" w:rsidR="00B626E7" w:rsidRDefault="00B626E7">
            <w:pPr>
              <w:rPr>
                <w:rFonts w:ascii="宋体"/>
              </w:rPr>
            </w:pPr>
          </w:p>
        </w:tc>
        <w:tc>
          <w:tcPr>
            <w:tcW w:w="0" w:type="auto"/>
            <w:shd w:val="clear" w:color="auto" w:fill="auto"/>
          </w:tcPr>
          <w:p w14:paraId="20AE3445" w14:textId="77777777" w:rsidR="00B626E7" w:rsidRDefault="00B626E7">
            <w:pPr>
              <w:rPr>
                <w:rFonts w:ascii="宋体"/>
              </w:rPr>
            </w:pPr>
          </w:p>
        </w:tc>
        <w:tc>
          <w:tcPr>
            <w:tcW w:w="0" w:type="auto"/>
            <w:shd w:val="clear" w:color="auto" w:fill="auto"/>
          </w:tcPr>
          <w:p w14:paraId="20AE3446" w14:textId="77777777" w:rsidR="00B626E7" w:rsidRDefault="00B626E7">
            <w:pPr>
              <w:rPr>
                <w:rFonts w:ascii="宋体"/>
              </w:rPr>
            </w:pPr>
          </w:p>
        </w:tc>
        <w:tc>
          <w:tcPr>
            <w:tcW w:w="0" w:type="auto"/>
            <w:shd w:val="clear" w:color="auto" w:fill="auto"/>
          </w:tcPr>
          <w:p w14:paraId="20AE3447" w14:textId="77777777" w:rsidR="00B626E7" w:rsidRDefault="00B626E7">
            <w:pPr>
              <w:rPr>
                <w:rFonts w:ascii="宋体"/>
              </w:rPr>
            </w:pPr>
          </w:p>
        </w:tc>
      </w:tr>
      <w:tr w:rsidR="00B626E7" w14:paraId="20AE3458" w14:textId="77777777">
        <w:trPr>
          <w:hidden/>
        </w:trPr>
        <w:tc>
          <w:tcPr>
            <w:tcW w:w="0" w:type="auto"/>
            <w:gridSpan w:val="3"/>
            <w:shd w:val="clear" w:color="auto" w:fill="auto"/>
          </w:tcPr>
          <w:p w14:paraId="20AE3449" w14:textId="77777777" w:rsidR="00B626E7" w:rsidRDefault="00B626E7">
            <w:pPr>
              <w:rPr>
                <w:rFonts w:ascii="宋体"/>
                <w:vanish/>
              </w:rPr>
            </w:pPr>
          </w:p>
        </w:tc>
        <w:tc>
          <w:tcPr>
            <w:tcW w:w="0" w:type="auto"/>
            <w:gridSpan w:val="3"/>
            <w:shd w:val="clear" w:color="auto" w:fill="auto"/>
          </w:tcPr>
          <w:p w14:paraId="20AE344A" w14:textId="77777777" w:rsidR="00B626E7" w:rsidRDefault="00B626E7">
            <w:pPr>
              <w:rPr>
                <w:rFonts w:ascii="宋体"/>
                <w:vanish/>
              </w:rPr>
            </w:pPr>
          </w:p>
        </w:tc>
        <w:tc>
          <w:tcPr>
            <w:tcW w:w="0" w:type="auto"/>
            <w:gridSpan w:val="3"/>
            <w:shd w:val="clear" w:color="auto" w:fill="auto"/>
          </w:tcPr>
          <w:p w14:paraId="20AE344B" w14:textId="77777777" w:rsidR="00B626E7" w:rsidRDefault="00B626E7">
            <w:pPr>
              <w:rPr>
                <w:rFonts w:ascii="宋体"/>
                <w:vanish/>
              </w:rPr>
            </w:pPr>
          </w:p>
        </w:tc>
        <w:tc>
          <w:tcPr>
            <w:tcW w:w="0" w:type="auto"/>
            <w:gridSpan w:val="3"/>
            <w:shd w:val="clear" w:color="auto" w:fill="auto"/>
          </w:tcPr>
          <w:p w14:paraId="20AE344C" w14:textId="77777777" w:rsidR="00B626E7" w:rsidRDefault="00B626E7">
            <w:pPr>
              <w:rPr>
                <w:rFonts w:ascii="宋体"/>
                <w:vanish/>
              </w:rPr>
            </w:pPr>
          </w:p>
        </w:tc>
        <w:tc>
          <w:tcPr>
            <w:tcW w:w="0" w:type="auto"/>
            <w:gridSpan w:val="3"/>
            <w:shd w:val="clear" w:color="auto" w:fill="auto"/>
          </w:tcPr>
          <w:p w14:paraId="20AE344D" w14:textId="77777777" w:rsidR="00B626E7" w:rsidRDefault="00B626E7">
            <w:pPr>
              <w:rPr>
                <w:rFonts w:ascii="宋体"/>
                <w:vanish/>
              </w:rPr>
            </w:pPr>
          </w:p>
        </w:tc>
        <w:tc>
          <w:tcPr>
            <w:tcW w:w="0" w:type="auto"/>
            <w:shd w:val="clear" w:color="auto" w:fill="auto"/>
          </w:tcPr>
          <w:p w14:paraId="20AE344E" w14:textId="77777777" w:rsidR="00B626E7" w:rsidRDefault="00B626E7">
            <w:pPr>
              <w:rPr>
                <w:rFonts w:ascii="宋体"/>
                <w:vanish/>
              </w:rPr>
            </w:pPr>
          </w:p>
        </w:tc>
        <w:tc>
          <w:tcPr>
            <w:tcW w:w="0" w:type="auto"/>
            <w:shd w:val="clear" w:color="auto" w:fill="auto"/>
          </w:tcPr>
          <w:p w14:paraId="20AE344F" w14:textId="77777777" w:rsidR="00B626E7" w:rsidRDefault="00B626E7">
            <w:pPr>
              <w:rPr>
                <w:rFonts w:ascii="宋体"/>
                <w:vanish/>
              </w:rPr>
            </w:pPr>
          </w:p>
        </w:tc>
        <w:tc>
          <w:tcPr>
            <w:tcW w:w="0" w:type="auto"/>
            <w:shd w:val="clear" w:color="auto" w:fill="auto"/>
          </w:tcPr>
          <w:p w14:paraId="20AE3450" w14:textId="77777777" w:rsidR="00B626E7" w:rsidRDefault="00B626E7">
            <w:pPr>
              <w:rPr>
                <w:rFonts w:ascii="宋体"/>
                <w:vanish/>
              </w:rPr>
            </w:pPr>
          </w:p>
        </w:tc>
        <w:tc>
          <w:tcPr>
            <w:tcW w:w="0" w:type="auto"/>
            <w:shd w:val="clear" w:color="auto" w:fill="auto"/>
          </w:tcPr>
          <w:p w14:paraId="20AE3451" w14:textId="77777777" w:rsidR="00B626E7" w:rsidRDefault="00B626E7">
            <w:pPr>
              <w:rPr>
                <w:rFonts w:ascii="宋体"/>
                <w:vanish/>
              </w:rPr>
            </w:pPr>
          </w:p>
        </w:tc>
        <w:tc>
          <w:tcPr>
            <w:tcW w:w="0" w:type="auto"/>
            <w:shd w:val="clear" w:color="auto" w:fill="auto"/>
          </w:tcPr>
          <w:p w14:paraId="20AE3452" w14:textId="77777777" w:rsidR="00B626E7" w:rsidRDefault="00B626E7">
            <w:pPr>
              <w:rPr>
                <w:rFonts w:ascii="宋体"/>
              </w:rPr>
            </w:pPr>
          </w:p>
        </w:tc>
        <w:tc>
          <w:tcPr>
            <w:tcW w:w="0" w:type="auto"/>
            <w:shd w:val="clear" w:color="auto" w:fill="auto"/>
          </w:tcPr>
          <w:p w14:paraId="20AE3453" w14:textId="77777777" w:rsidR="00B626E7" w:rsidRDefault="00B626E7">
            <w:pPr>
              <w:rPr>
                <w:rFonts w:ascii="宋体"/>
              </w:rPr>
            </w:pPr>
          </w:p>
        </w:tc>
        <w:tc>
          <w:tcPr>
            <w:tcW w:w="0" w:type="auto"/>
            <w:shd w:val="clear" w:color="auto" w:fill="auto"/>
          </w:tcPr>
          <w:p w14:paraId="20AE3454" w14:textId="77777777" w:rsidR="00B626E7" w:rsidRDefault="00B626E7">
            <w:pPr>
              <w:rPr>
                <w:rFonts w:ascii="宋体"/>
              </w:rPr>
            </w:pPr>
          </w:p>
        </w:tc>
        <w:tc>
          <w:tcPr>
            <w:tcW w:w="0" w:type="auto"/>
            <w:shd w:val="clear" w:color="auto" w:fill="auto"/>
          </w:tcPr>
          <w:p w14:paraId="20AE3455" w14:textId="77777777" w:rsidR="00B626E7" w:rsidRDefault="00B626E7">
            <w:pPr>
              <w:rPr>
                <w:rFonts w:ascii="宋体"/>
              </w:rPr>
            </w:pPr>
          </w:p>
        </w:tc>
        <w:tc>
          <w:tcPr>
            <w:tcW w:w="0" w:type="auto"/>
            <w:shd w:val="clear" w:color="auto" w:fill="auto"/>
          </w:tcPr>
          <w:p w14:paraId="20AE3456" w14:textId="77777777" w:rsidR="00B626E7" w:rsidRDefault="00B626E7">
            <w:pPr>
              <w:rPr>
                <w:rFonts w:ascii="宋体"/>
              </w:rPr>
            </w:pPr>
          </w:p>
        </w:tc>
        <w:tc>
          <w:tcPr>
            <w:tcW w:w="0" w:type="auto"/>
            <w:shd w:val="clear" w:color="auto" w:fill="auto"/>
          </w:tcPr>
          <w:p w14:paraId="20AE3457" w14:textId="77777777" w:rsidR="00B626E7" w:rsidRDefault="00B626E7">
            <w:pPr>
              <w:rPr>
                <w:rFonts w:ascii="宋体"/>
              </w:rPr>
            </w:pPr>
          </w:p>
        </w:tc>
      </w:tr>
      <w:tr w:rsidR="00B626E7" w14:paraId="20AE3468" w14:textId="77777777">
        <w:trPr>
          <w:hidden/>
        </w:trPr>
        <w:tc>
          <w:tcPr>
            <w:tcW w:w="0" w:type="auto"/>
            <w:gridSpan w:val="3"/>
            <w:shd w:val="clear" w:color="auto" w:fill="auto"/>
          </w:tcPr>
          <w:p w14:paraId="20AE3459" w14:textId="77777777" w:rsidR="00B626E7" w:rsidRDefault="00B626E7">
            <w:pPr>
              <w:rPr>
                <w:rFonts w:ascii="宋体"/>
                <w:vanish/>
              </w:rPr>
            </w:pPr>
          </w:p>
        </w:tc>
        <w:tc>
          <w:tcPr>
            <w:tcW w:w="0" w:type="auto"/>
            <w:gridSpan w:val="3"/>
            <w:shd w:val="clear" w:color="auto" w:fill="auto"/>
          </w:tcPr>
          <w:p w14:paraId="20AE345A" w14:textId="77777777" w:rsidR="00B626E7" w:rsidRDefault="00B626E7">
            <w:pPr>
              <w:rPr>
                <w:rFonts w:ascii="宋体"/>
                <w:vanish/>
              </w:rPr>
            </w:pPr>
          </w:p>
        </w:tc>
        <w:tc>
          <w:tcPr>
            <w:tcW w:w="0" w:type="auto"/>
            <w:gridSpan w:val="3"/>
            <w:shd w:val="clear" w:color="auto" w:fill="auto"/>
          </w:tcPr>
          <w:p w14:paraId="20AE345B" w14:textId="77777777" w:rsidR="00B626E7" w:rsidRDefault="00B626E7">
            <w:pPr>
              <w:rPr>
                <w:rFonts w:ascii="宋体"/>
                <w:vanish/>
              </w:rPr>
            </w:pPr>
          </w:p>
        </w:tc>
        <w:tc>
          <w:tcPr>
            <w:tcW w:w="0" w:type="auto"/>
            <w:gridSpan w:val="3"/>
            <w:shd w:val="clear" w:color="auto" w:fill="auto"/>
          </w:tcPr>
          <w:p w14:paraId="20AE345C" w14:textId="77777777" w:rsidR="00B626E7" w:rsidRDefault="00B626E7">
            <w:pPr>
              <w:rPr>
                <w:rFonts w:ascii="宋体"/>
                <w:vanish/>
              </w:rPr>
            </w:pPr>
          </w:p>
        </w:tc>
        <w:tc>
          <w:tcPr>
            <w:tcW w:w="0" w:type="auto"/>
            <w:gridSpan w:val="3"/>
            <w:shd w:val="clear" w:color="auto" w:fill="auto"/>
          </w:tcPr>
          <w:p w14:paraId="20AE345D" w14:textId="77777777" w:rsidR="00B626E7" w:rsidRDefault="00B626E7">
            <w:pPr>
              <w:rPr>
                <w:rFonts w:ascii="宋体"/>
                <w:vanish/>
              </w:rPr>
            </w:pPr>
          </w:p>
        </w:tc>
        <w:tc>
          <w:tcPr>
            <w:tcW w:w="0" w:type="auto"/>
            <w:shd w:val="clear" w:color="auto" w:fill="auto"/>
          </w:tcPr>
          <w:p w14:paraId="20AE345E" w14:textId="77777777" w:rsidR="00B626E7" w:rsidRDefault="00B626E7">
            <w:pPr>
              <w:rPr>
                <w:rFonts w:ascii="宋体"/>
                <w:vanish/>
              </w:rPr>
            </w:pPr>
          </w:p>
        </w:tc>
        <w:tc>
          <w:tcPr>
            <w:tcW w:w="0" w:type="auto"/>
            <w:shd w:val="clear" w:color="auto" w:fill="auto"/>
          </w:tcPr>
          <w:p w14:paraId="20AE345F" w14:textId="77777777" w:rsidR="00B626E7" w:rsidRDefault="00B626E7">
            <w:pPr>
              <w:rPr>
                <w:rFonts w:ascii="宋体"/>
                <w:vanish/>
              </w:rPr>
            </w:pPr>
          </w:p>
        </w:tc>
        <w:tc>
          <w:tcPr>
            <w:tcW w:w="0" w:type="auto"/>
            <w:shd w:val="clear" w:color="auto" w:fill="auto"/>
          </w:tcPr>
          <w:p w14:paraId="20AE3460" w14:textId="77777777" w:rsidR="00B626E7" w:rsidRDefault="00B626E7">
            <w:pPr>
              <w:rPr>
                <w:rFonts w:ascii="宋体"/>
                <w:vanish/>
              </w:rPr>
            </w:pPr>
          </w:p>
        </w:tc>
        <w:tc>
          <w:tcPr>
            <w:tcW w:w="0" w:type="auto"/>
            <w:shd w:val="clear" w:color="auto" w:fill="auto"/>
          </w:tcPr>
          <w:p w14:paraId="20AE3461" w14:textId="77777777" w:rsidR="00B626E7" w:rsidRDefault="00B626E7">
            <w:pPr>
              <w:rPr>
                <w:rFonts w:ascii="宋体"/>
                <w:vanish/>
              </w:rPr>
            </w:pPr>
          </w:p>
        </w:tc>
        <w:tc>
          <w:tcPr>
            <w:tcW w:w="0" w:type="auto"/>
            <w:shd w:val="clear" w:color="auto" w:fill="auto"/>
          </w:tcPr>
          <w:p w14:paraId="20AE3462" w14:textId="77777777" w:rsidR="00B626E7" w:rsidRDefault="00B626E7">
            <w:pPr>
              <w:rPr>
                <w:rFonts w:ascii="宋体"/>
              </w:rPr>
            </w:pPr>
          </w:p>
        </w:tc>
        <w:tc>
          <w:tcPr>
            <w:tcW w:w="0" w:type="auto"/>
            <w:shd w:val="clear" w:color="auto" w:fill="auto"/>
          </w:tcPr>
          <w:p w14:paraId="20AE3463" w14:textId="77777777" w:rsidR="00B626E7" w:rsidRDefault="00B626E7">
            <w:pPr>
              <w:rPr>
                <w:rFonts w:ascii="宋体"/>
              </w:rPr>
            </w:pPr>
          </w:p>
        </w:tc>
        <w:tc>
          <w:tcPr>
            <w:tcW w:w="0" w:type="auto"/>
            <w:shd w:val="clear" w:color="auto" w:fill="auto"/>
          </w:tcPr>
          <w:p w14:paraId="20AE3464" w14:textId="77777777" w:rsidR="00B626E7" w:rsidRDefault="00B626E7">
            <w:pPr>
              <w:rPr>
                <w:rFonts w:ascii="宋体"/>
              </w:rPr>
            </w:pPr>
          </w:p>
        </w:tc>
        <w:tc>
          <w:tcPr>
            <w:tcW w:w="0" w:type="auto"/>
            <w:shd w:val="clear" w:color="auto" w:fill="auto"/>
          </w:tcPr>
          <w:p w14:paraId="20AE3465" w14:textId="77777777" w:rsidR="00B626E7" w:rsidRDefault="00B626E7">
            <w:pPr>
              <w:rPr>
                <w:rFonts w:ascii="宋体"/>
              </w:rPr>
            </w:pPr>
          </w:p>
        </w:tc>
        <w:tc>
          <w:tcPr>
            <w:tcW w:w="0" w:type="auto"/>
            <w:shd w:val="clear" w:color="auto" w:fill="auto"/>
          </w:tcPr>
          <w:p w14:paraId="20AE3466" w14:textId="77777777" w:rsidR="00B626E7" w:rsidRDefault="00B626E7">
            <w:pPr>
              <w:rPr>
                <w:rFonts w:ascii="宋体"/>
              </w:rPr>
            </w:pPr>
          </w:p>
        </w:tc>
        <w:tc>
          <w:tcPr>
            <w:tcW w:w="0" w:type="auto"/>
            <w:shd w:val="clear" w:color="auto" w:fill="auto"/>
          </w:tcPr>
          <w:p w14:paraId="20AE3467" w14:textId="77777777" w:rsidR="00B626E7" w:rsidRDefault="00B626E7">
            <w:pPr>
              <w:rPr>
                <w:rFonts w:ascii="宋体"/>
              </w:rPr>
            </w:pPr>
          </w:p>
        </w:tc>
      </w:tr>
      <w:tr w:rsidR="00B626E7" w14:paraId="20AE3478" w14:textId="77777777">
        <w:trPr>
          <w:hidden/>
        </w:trPr>
        <w:tc>
          <w:tcPr>
            <w:tcW w:w="0" w:type="auto"/>
            <w:gridSpan w:val="3"/>
            <w:shd w:val="clear" w:color="auto" w:fill="auto"/>
          </w:tcPr>
          <w:p w14:paraId="20AE3469" w14:textId="77777777" w:rsidR="00B626E7" w:rsidRDefault="00B626E7">
            <w:pPr>
              <w:rPr>
                <w:rFonts w:ascii="宋体"/>
                <w:vanish/>
              </w:rPr>
            </w:pPr>
          </w:p>
        </w:tc>
        <w:tc>
          <w:tcPr>
            <w:tcW w:w="0" w:type="auto"/>
            <w:gridSpan w:val="3"/>
            <w:shd w:val="clear" w:color="auto" w:fill="auto"/>
          </w:tcPr>
          <w:p w14:paraId="20AE346A" w14:textId="77777777" w:rsidR="00B626E7" w:rsidRDefault="00B626E7">
            <w:pPr>
              <w:rPr>
                <w:rFonts w:ascii="宋体"/>
                <w:vanish/>
              </w:rPr>
            </w:pPr>
          </w:p>
        </w:tc>
        <w:tc>
          <w:tcPr>
            <w:tcW w:w="0" w:type="auto"/>
            <w:gridSpan w:val="3"/>
            <w:shd w:val="clear" w:color="auto" w:fill="auto"/>
          </w:tcPr>
          <w:p w14:paraId="20AE346B" w14:textId="77777777" w:rsidR="00B626E7" w:rsidRDefault="00B626E7">
            <w:pPr>
              <w:rPr>
                <w:rFonts w:ascii="宋体"/>
                <w:vanish/>
              </w:rPr>
            </w:pPr>
          </w:p>
        </w:tc>
        <w:tc>
          <w:tcPr>
            <w:tcW w:w="0" w:type="auto"/>
            <w:gridSpan w:val="3"/>
            <w:shd w:val="clear" w:color="auto" w:fill="auto"/>
          </w:tcPr>
          <w:p w14:paraId="20AE346C" w14:textId="77777777" w:rsidR="00B626E7" w:rsidRDefault="00B626E7">
            <w:pPr>
              <w:rPr>
                <w:rFonts w:ascii="宋体"/>
                <w:vanish/>
              </w:rPr>
            </w:pPr>
          </w:p>
        </w:tc>
        <w:tc>
          <w:tcPr>
            <w:tcW w:w="0" w:type="auto"/>
            <w:gridSpan w:val="3"/>
            <w:shd w:val="clear" w:color="auto" w:fill="auto"/>
          </w:tcPr>
          <w:p w14:paraId="20AE346D" w14:textId="77777777" w:rsidR="00B626E7" w:rsidRDefault="00B626E7">
            <w:pPr>
              <w:rPr>
                <w:rFonts w:ascii="宋体"/>
                <w:vanish/>
              </w:rPr>
            </w:pPr>
          </w:p>
        </w:tc>
        <w:tc>
          <w:tcPr>
            <w:tcW w:w="0" w:type="auto"/>
            <w:shd w:val="clear" w:color="auto" w:fill="auto"/>
          </w:tcPr>
          <w:p w14:paraId="20AE346E" w14:textId="77777777" w:rsidR="00B626E7" w:rsidRDefault="00B626E7">
            <w:pPr>
              <w:rPr>
                <w:rFonts w:ascii="宋体"/>
                <w:vanish/>
              </w:rPr>
            </w:pPr>
          </w:p>
        </w:tc>
        <w:tc>
          <w:tcPr>
            <w:tcW w:w="0" w:type="auto"/>
            <w:shd w:val="clear" w:color="auto" w:fill="auto"/>
          </w:tcPr>
          <w:p w14:paraId="20AE346F" w14:textId="77777777" w:rsidR="00B626E7" w:rsidRDefault="00B626E7">
            <w:pPr>
              <w:rPr>
                <w:rFonts w:ascii="宋体"/>
                <w:vanish/>
              </w:rPr>
            </w:pPr>
          </w:p>
        </w:tc>
        <w:tc>
          <w:tcPr>
            <w:tcW w:w="0" w:type="auto"/>
            <w:shd w:val="clear" w:color="auto" w:fill="auto"/>
          </w:tcPr>
          <w:p w14:paraId="20AE3470" w14:textId="77777777" w:rsidR="00B626E7" w:rsidRDefault="00B626E7">
            <w:pPr>
              <w:rPr>
                <w:rFonts w:ascii="宋体"/>
                <w:vanish/>
              </w:rPr>
            </w:pPr>
          </w:p>
        </w:tc>
        <w:tc>
          <w:tcPr>
            <w:tcW w:w="0" w:type="auto"/>
            <w:shd w:val="clear" w:color="auto" w:fill="auto"/>
          </w:tcPr>
          <w:p w14:paraId="20AE3471" w14:textId="77777777" w:rsidR="00B626E7" w:rsidRDefault="00B626E7">
            <w:pPr>
              <w:rPr>
                <w:rFonts w:ascii="宋体"/>
                <w:vanish/>
              </w:rPr>
            </w:pPr>
          </w:p>
        </w:tc>
        <w:tc>
          <w:tcPr>
            <w:tcW w:w="0" w:type="auto"/>
            <w:shd w:val="clear" w:color="auto" w:fill="auto"/>
          </w:tcPr>
          <w:p w14:paraId="20AE3472" w14:textId="77777777" w:rsidR="00B626E7" w:rsidRDefault="00B626E7">
            <w:pPr>
              <w:rPr>
                <w:rFonts w:ascii="宋体"/>
              </w:rPr>
            </w:pPr>
          </w:p>
        </w:tc>
        <w:tc>
          <w:tcPr>
            <w:tcW w:w="0" w:type="auto"/>
            <w:shd w:val="clear" w:color="auto" w:fill="auto"/>
          </w:tcPr>
          <w:p w14:paraId="20AE3473" w14:textId="77777777" w:rsidR="00B626E7" w:rsidRDefault="00B626E7">
            <w:pPr>
              <w:rPr>
                <w:rFonts w:ascii="宋体"/>
              </w:rPr>
            </w:pPr>
          </w:p>
        </w:tc>
        <w:tc>
          <w:tcPr>
            <w:tcW w:w="0" w:type="auto"/>
            <w:shd w:val="clear" w:color="auto" w:fill="auto"/>
          </w:tcPr>
          <w:p w14:paraId="20AE3474" w14:textId="77777777" w:rsidR="00B626E7" w:rsidRDefault="00B626E7">
            <w:pPr>
              <w:rPr>
                <w:rFonts w:ascii="宋体"/>
              </w:rPr>
            </w:pPr>
          </w:p>
        </w:tc>
        <w:tc>
          <w:tcPr>
            <w:tcW w:w="0" w:type="auto"/>
            <w:shd w:val="clear" w:color="auto" w:fill="auto"/>
          </w:tcPr>
          <w:p w14:paraId="20AE3475" w14:textId="77777777" w:rsidR="00B626E7" w:rsidRDefault="00B626E7">
            <w:pPr>
              <w:rPr>
                <w:rFonts w:ascii="宋体"/>
              </w:rPr>
            </w:pPr>
          </w:p>
        </w:tc>
        <w:tc>
          <w:tcPr>
            <w:tcW w:w="0" w:type="auto"/>
            <w:shd w:val="clear" w:color="auto" w:fill="auto"/>
          </w:tcPr>
          <w:p w14:paraId="20AE3476" w14:textId="77777777" w:rsidR="00B626E7" w:rsidRDefault="00B626E7">
            <w:pPr>
              <w:rPr>
                <w:rFonts w:ascii="宋体"/>
              </w:rPr>
            </w:pPr>
          </w:p>
        </w:tc>
        <w:tc>
          <w:tcPr>
            <w:tcW w:w="0" w:type="auto"/>
            <w:shd w:val="clear" w:color="auto" w:fill="auto"/>
          </w:tcPr>
          <w:p w14:paraId="20AE3477" w14:textId="77777777" w:rsidR="00B626E7" w:rsidRDefault="00B626E7">
            <w:pPr>
              <w:rPr>
                <w:rFonts w:ascii="宋体"/>
              </w:rPr>
            </w:pPr>
          </w:p>
        </w:tc>
      </w:tr>
      <w:tr w:rsidR="00B626E7" w14:paraId="20AE3488" w14:textId="77777777">
        <w:trPr>
          <w:hidden/>
        </w:trPr>
        <w:tc>
          <w:tcPr>
            <w:tcW w:w="0" w:type="auto"/>
            <w:gridSpan w:val="3"/>
            <w:shd w:val="clear" w:color="auto" w:fill="auto"/>
          </w:tcPr>
          <w:p w14:paraId="20AE3479" w14:textId="77777777" w:rsidR="00B626E7" w:rsidRDefault="00B626E7">
            <w:pPr>
              <w:rPr>
                <w:rFonts w:ascii="宋体"/>
                <w:vanish/>
              </w:rPr>
            </w:pPr>
          </w:p>
        </w:tc>
        <w:tc>
          <w:tcPr>
            <w:tcW w:w="0" w:type="auto"/>
            <w:gridSpan w:val="3"/>
            <w:shd w:val="clear" w:color="auto" w:fill="auto"/>
          </w:tcPr>
          <w:p w14:paraId="20AE347A" w14:textId="77777777" w:rsidR="00B626E7" w:rsidRDefault="00B626E7">
            <w:pPr>
              <w:rPr>
                <w:rFonts w:ascii="宋体"/>
                <w:vanish/>
              </w:rPr>
            </w:pPr>
          </w:p>
        </w:tc>
        <w:tc>
          <w:tcPr>
            <w:tcW w:w="0" w:type="auto"/>
            <w:gridSpan w:val="3"/>
            <w:shd w:val="clear" w:color="auto" w:fill="auto"/>
          </w:tcPr>
          <w:p w14:paraId="20AE347B" w14:textId="77777777" w:rsidR="00B626E7" w:rsidRDefault="00B626E7">
            <w:pPr>
              <w:rPr>
                <w:rFonts w:ascii="宋体"/>
                <w:vanish/>
              </w:rPr>
            </w:pPr>
          </w:p>
        </w:tc>
        <w:tc>
          <w:tcPr>
            <w:tcW w:w="0" w:type="auto"/>
            <w:gridSpan w:val="3"/>
            <w:shd w:val="clear" w:color="auto" w:fill="auto"/>
          </w:tcPr>
          <w:p w14:paraId="20AE347C" w14:textId="77777777" w:rsidR="00B626E7" w:rsidRDefault="00B626E7">
            <w:pPr>
              <w:rPr>
                <w:rFonts w:ascii="宋体"/>
                <w:vanish/>
              </w:rPr>
            </w:pPr>
          </w:p>
        </w:tc>
        <w:tc>
          <w:tcPr>
            <w:tcW w:w="0" w:type="auto"/>
            <w:gridSpan w:val="3"/>
            <w:shd w:val="clear" w:color="auto" w:fill="auto"/>
          </w:tcPr>
          <w:p w14:paraId="20AE347D" w14:textId="77777777" w:rsidR="00B626E7" w:rsidRDefault="00B626E7">
            <w:pPr>
              <w:rPr>
                <w:rFonts w:ascii="宋体"/>
                <w:vanish/>
              </w:rPr>
            </w:pPr>
          </w:p>
        </w:tc>
        <w:tc>
          <w:tcPr>
            <w:tcW w:w="0" w:type="auto"/>
            <w:shd w:val="clear" w:color="auto" w:fill="auto"/>
          </w:tcPr>
          <w:p w14:paraId="20AE347E" w14:textId="77777777" w:rsidR="00B626E7" w:rsidRDefault="00B626E7">
            <w:pPr>
              <w:rPr>
                <w:rFonts w:ascii="宋体"/>
                <w:vanish/>
              </w:rPr>
            </w:pPr>
          </w:p>
        </w:tc>
        <w:tc>
          <w:tcPr>
            <w:tcW w:w="0" w:type="auto"/>
            <w:shd w:val="clear" w:color="auto" w:fill="auto"/>
          </w:tcPr>
          <w:p w14:paraId="20AE347F" w14:textId="77777777" w:rsidR="00B626E7" w:rsidRDefault="00B626E7">
            <w:pPr>
              <w:rPr>
                <w:rFonts w:ascii="宋体"/>
                <w:vanish/>
              </w:rPr>
            </w:pPr>
          </w:p>
        </w:tc>
        <w:tc>
          <w:tcPr>
            <w:tcW w:w="0" w:type="auto"/>
            <w:shd w:val="clear" w:color="auto" w:fill="auto"/>
          </w:tcPr>
          <w:p w14:paraId="20AE3480" w14:textId="77777777" w:rsidR="00B626E7" w:rsidRDefault="00B626E7">
            <w:pPr>
              <w:rPr>
                <w:rFonts w:ascii="宋体"/>
                <w:vanish/>
              </w:rPr>
            </w:pPr>
          </w:p>
        </w:tc>
        <w:tc>
          <w:tcPr>
            <w:tcW w:w="0" w:type="auto"/>
            <w:shd w:val="clear" w:color="auto" w:fill="auto"/>
          </w:tcPr>
          <w:p w14:paraId="20AE3481" w14:textId="77777777" w:rsidR="00B626E7" w:rsidRDefault="00B626E7">
            <w:pPr>
              <w:rPr>
                <w:rFonts w:ascii="宋体"/>
                <w:vanish/>
              </w:rPr>
            </w:pPr>
          </w:p>
        </w:tc>
        <w:tc>
          <w:tcPr>
            <w:tcW w:w="0" w:type="auto"/>
            <w:shd w:val="clear" w:color="auto" w:fill="auto"/>
          </w:tcPr>
          <w:p w14:paraId="20AE3482" w14:textId="77777777" w:rsidR="00B626E7" w:rsidRDefault="00B626E7">
            <w:pPr>
              <w:rPr>
                <w:rFonts w:ascii="宋体"/>
              </w:rPr>
            </w:pPr>
          </w:p>
        </w:tc>
        <w:tc>
          <w:tcPr>
            <w:tcW w:w="0" w:type="auto"/>
            <w:shd w:val="clear" w:color="auto" w:fill="auto"/>
          </w:tcPr>
          <w:p w14:paraId="20AE3483" w14:textId="77777777" w:rsidR="00B626E7" w:rsidRDefault="00B626E7">
            <w:pPr>
              <w:rPr>
                <w:rFonts w:ascii="宋体"/>
              </w:rPr>
            </w:pPr>
          </w:p>
        </w:tc>
        <w:tc>
          <w:tcPr>
            <w:tcW w:w="0" w:type="auto"/>
            <w:shd w:val="clear" w:color="auto" w:fill="auto"/>
          </w:tcPr>
          <w:p w14:paraId="20AE3484" w14:textId="77777777" w:rsidR="00B626E7" w:rsidRDefault="00B626E7">
            <w:pPr>
              <w:rPr>
                <w:rFonts w:ascii="宋体"/>
              </w:rPr>
            </w:pPr>
          </w:p>
        </w:tc>
        <w:tc>
          <w:tcPr>
            <w:tcW w:w="0" w:type="auto"/>
            <w:shd w:val="clear" w:color="auto" w:fill="auto"/>
          </w:tcPr>
          <w:p w14:paraId="20AE3485" w14:textId="77777777" w:rsidR="00B626E7" w:rsidRDefault="00B626E7">
            <w:pPr>
              <w:rPr>
                <w:rFonts w:ascii="宋体"/>
              </w:rPr>
            </w:pPr>
          </w:p>
        </w:tc>
        <w:tc>
          <w:tcPr>
            <w:tcW w:w="0" w:type="auto"/>
            <w:shd w:val="clear" w:color="auto" w:fill="auto"/>
          </w:tcPr>
          <w:p w14:paraId="20AE3486" w14:textId="77777777" w:rsidR="00B626E7" w:rsidRDefault="00B626E7">
            <w:pPr>
              <w:rPr>
                <w:rFonts w:ascii="宋体"/>
              </w:rPr>
            </w:pPr>
          </w:p>
        </w:tc>
        <w:tc>
          <w:tcPr>
            <w:tcW w:w="0" w:type="auto"/>
            <w:shd w:val="clear" w:color="auto" w:fill="auto"/>
          </w:tcPr>
          <w:p w14:paraId="20AE3487" w14:textId="77777777" w:rsidR="00B626E7" w:rsidRDefault="00B626E7">
            <w:pPr>
              <w:rPr>
                <w:rFonts w:ascii="宋体"/>
              </w:rPr>
            </w:pPr>
          </w:p>
        </w:tc>
      </w:tr>
      <w:tr w:rsidR="00B626E7" w14:paraId="20AE3498" w14:textId="77777777">
        <w:trPr>
          <w:hidden/>
        </w:trPr>
        <w:tc>
          <w:tcPr>
            <w:tcW w:w="0" w:type="auto"/>
            <w:gridSpan w:val="3"/>
            <w:shd w:val="clear" w:color="auto" w:fill="auto"/>
          </w:tcPr>
          <w:p w14:paraId="20AE3489" w14:textId="77777777" w:rsidR="00B626E7" w:rsidRDefault="00B626E7">
            <w:pPr>
              <w:rPr>
                <w:rFonts w:ascii="宋体"/>
                <w:vanish/>
              </w:rPr>
            </w:pPr>
          </w:p>
        </w:tc>
        <w:tc>
          <w:tcPr>
            <w:tcW w:w="0" w:type="auto"/>
            <w:gridSpan w:val="3"/>
            <w:shd w:val="clear" w:color="auto" w:fill="auto"/>
          </w:tcPr>
          <w:p w14:paraId="20AE348A" w14:textId="77777777" w:rsidR="00B626E7" w:rsidRDefault="00B626E7">
            <w:pPr>
              <w:rPr>
                <w:rFonts w:ascii="宋体"/>
                <w:vanish/>
              </w:rPr>
            </w:pPr>
          </w:p>
        </w:tc>
        <w:tc>
          <w:tcPr>
            <w:tcW w:w="0" w:type="auto"/>
            <w:gridSpan w:val="3"/>
            <w:shd w:val="clear" w:color="auto" w:fill="auto"/>
          </w:tcPr>
          <w:p w14:paraId="20AE348B" w14:textId="77777777" w:rsidR="00B626E7" w:rsidRDefault="00B626E7">
            <w:pPr>
              <w:rPr>
                <w:rFonts w:ascii="宋体"/>
                <w:vanish/>
              </w:rPr>
            </w:pPr>
          </w:p>
        </w:tc>
        <w:tc>
          <w:tcPr>
            <w:tcW w:w="0" w:type="auto"/>
            <w:gridSpan w:val="3"/>
            <w:shd w:val="clear" w:color="auto" w:fill="auto"/>
          </w:tcPr>
          <w:p w14:paraId="20AE348C" w14:textId="77777777" w:rsidR="00B626E7" w:rsidRDefault="00B626E7">
            <w:pPr>
              <w:rPr>
                <w:rFonts w:ascii="宋体"/>
                <w:vanish/>
              </w:rPr>
            </w:pPr>
          </w:p>
        </w:tc>
        <w:tc>
          <w:tcPr>
            <w:tcW w:w="0" w:type="auto"/>
            <w:gridSpan w:val="3"/>
            <w:shd w:val="clear" w:color="auto" w:fill="auto"/>
          </w:tcPr>
          <w:p w14:paraId="20AE348D" w14:textId="77777777" w:rsidR="00B626E7" w:rsidRDefault="00B626E7">
            <w:pPr>
              <w:rPr>
                <w:rFonts w:ascii="宋体"/>
                <w:vanish/>
              </w:rPr>
            </w:pPr>
          </w:p>
        </w:tc>
        <w:tc>
          <w:tcPr>
            <w:tcW w:w="0" w:type="auto"/>
            <w:shd w:val="clear" w:color="auto" w:fill="auto"/>
          </w:tcPr>
          <w:p w14:paraId="20AE348E" w14:textId="77777777" w:rsidR="00B626E7" w:rsidRDefault="00B626E7">
            <w:pPr>
              <w:rPr>
                <w:rFonts w:ascii="宋体"/>
                <w:vanish/>
              </w:rPr>
            </w:pPr>
          </w:p>
        </w:tc>
        <w:tc>
          <w:tcPr>
            <w:tcW w:w="0" w:type="auto"/>
            <w:shd w:val="clear" w:color="auto" w:fill="auto"/>
          </w:tcPr>
          <w:p w14:paraId="20AE348F" w14:textId="77777777" w:rsidR="00B626E7" w:rsidRDefault="00B626E7">
            <w:pPr>
              <w:rPr>
                <w:rFonts w:ascii="宋体"/>
                <w:vanish/>
              </w:rPr>
            </w:pPr>
          </w:p>
        </w:tc>
        <w:tc>
          <w:tcPr>
            <w:tcW w:w="0" w:type="auto"/>
            <w:shd w:val="clear" w:color="auto" w:fill="auto"/>
          </w:tcPr>
          <w:p w14:paraId="20AE3490" w14:textId="77777777" w:rsidR="00B626E7" w:rsidRDefault="00B626E7">
            <w:pPr>
              <w:rPr>
                <w:rFonts w:ascii="宋体"/>
                <w:vanish/>
              </w:rPr>
            </w:pPr>
          </w:p>
        </w:tc>
        <w:tc>
          <w:tcPr>
            <w:tcW w:w="0" w:type="auto"/>
            <w:shd w:val="clear" w:color="auto" w:fill="auto"/>
          </w:tcPr>
          <w:p w14:paraId="20AE3491" w14:textId="77777777" w:rsidR="00B626E7" w:rsidRDefault="00B626E7">
            <w:pPr>
              <w:rPr>
                <w:rFonts w:ascii="宋体"/>
                <w:vanish/>
              </w:rPr>
            </w:pPr>
          </w:p>
        </w:tc>
        <w:tc>
          <w:tcPr>
            <w:tcW w:w="0" w:type="auto"/>
            <w:shd w:val="clear" w:color="auto" w:fill="auto"/>
          </w:tcPr>
          <w:p w14:paraId="20AE3492" w14:textId="77777777" w:rsidR="00B626E7" w:rsidRDefault="00B626E7">
            <w:pPr>
              <w:rPr>
                <w:rFonts w:ascii="宋体"/>
              </w:rPr>
            </w:pPr>
          </w:p>
        </w:tc>
        <w:tc>
          <w:tcPr>
            <w:tcW w:w="0" w:type="auto"/>
            <w:shd w:val="clear" w:color="auto" w:fill="auto"/>
          </w:tcPr>
          <w:p w14:paraId="20AE3493" w14:textId="77777777" w:rsidR="00B626E7" w:rsidRDefault="00B626E7">
            <w:pPr>
              <w:rPr>
                <w:rFonts w:ascii="宋体"/>
              </w:rPr>
            </w:pPr>
          </w:p>
        </w:tc>
        <w:tc>
          <w:tcPr>
            <w:tcW w:w="0" w:type="auto"/>
            <w:shd w:val="clear" w:color="auto" w:fill="auto"/>
          </w:tcPr>
          <w:p w14:paraId="20AE3494" w14:textId="77777777" w:rsidR="00B626E7" w:rsidRDefault="00B626E7">
            <w:pPr>
              <w:rPr>
                <w:rFonts w:ascii="宋体"/>
              </w:rPr>
            </w:pPr>
          </w:p>
        </w:tc>
        <w:tc>
          <w:tcPr>
            <w:tcW w:w="0" w:type="auto"/>
            <w:shd w:val="clear" w:color="auto" w:fill="auto"/>
          </w:tcPr>
          <w:p w14:paraId="20AE3495" w14:textId="77777777" w:rsidR="00B626E7" w:rsidRDefault="00B626E7">
            <w:pPr>
              <w:rPr>
                <w:rFonts w:ascii="宋体"/>
              </w:rPr>
            </w:pPr>
          </w:p>
        </w:tc>
        <w:tc>
          <w:tcPr>
            <w:tcW w:w="0" w:type="auto"/>
            <w:shd w:val="clear" w:color="auto" w:fill="auto"/>
          </w:tcPr>
          <w:p w14:paraId="20AE3496" w14:textId="77777777" w:rsidR="00B626E7" w:rsidRDefault="00B626E7">
            <w:pPr>
              <w:rPr>
                <w:rFonts w:ascii="宋体"/>
              </w:rPr>
            </w:pPr>
          </w:p>
        </w:tc>
        <w:tc>
          <w:tcPr>
            <w:tcW w:w="0" w:type="auto"/>
            <w:shd w:val="clear" w:color="auto" w:fill="auto"/>
          </w:tcPr>
          <w:p w14:paraId="20AE3497" w14:textId="77777777" w:rsidR="00B626E7" w:rsidRDefault="00B626E7">
            <w:pPr>
              <w:rPr>
                <w:rFonts w:ascii="宋体"/>
              </w:rPr>
            </w:pPr>
          </w:p>
        </w:tc>
      </w:tr>
      <w:tr w:rsidR="00B626E7" w14:paraId="20AE34A8" w14:textId="77777777">
        <w:trPr>
          <w:hidden/>
        </w:trPr>
        <w:tc>
          <w:tcPr>
            <w:tcW w:w="0" w:type="auto"/>
            <w:gridSpan w:val="3"/>
            <w:shd w:val="clear" w:color="auto" w:fill="auto"/>
          </w:tcPr>
          <w:p w14:paraId="20AE3499" w14:textId="77777777" w:rsidR="00B626E7" w:rsidRDefault="00B626E7">
            <w:pPr>
              <w:rPr>
                <w:rFonts w:ascii="宋体"/>
                <w:vanish/>
              </w:rPr>
            </w:pPr>
          </w:p>
        </w:tc>
        <w:tc>
          <w:tcPr>
            <w:tcW w:w="0" w:type="auto"/>
            <w:gridSpan w:val="3"/>
            <w:shd w:val="clear" w:color="auto" w:fill="auto"/>
          </w:tcPr>
          <w:p w14:paraId="20AE349A" w14:textId="77777777" w:rsidR="00B626E7" w:rsidRDefault="00B626E7">
            <w:pPr>
              <w:rPr>
                <w:rFonts w:ascii="宋体"/>
                <w:vanish/>
              </w:rPr>
            </w:pPr>
          </w:p>
        </w:tc>
        <w:tc>
          <w:tcPr>
            <w:tcW w:w="0" w:type="auto"/>
            <w:gridSpan w:val="3"/>
            <w:shd w:val="clear" w:color="auto" w:fill="auto"/>
          </w:tcPr>
          <w:p w14:paraId="20AE349B" w14:textId="77777777" w:rsidR="00B626E7" w:rsidRDefault="00B626E7">
            <w:pPr>
              <w:rPr>
                <w:rFonts w:ascii="宋体"/>
                <w:vanish/>
              </w:rPr>
            </w:pPr>
          </w:p>
        </w:tc>
        <w:tc>
          <w:tcPr>
            <w:tcW w:w="0" w:type="auto"/>
            <w:gridSpan w:val="3"/>
            <w:shd w:val="clear" w:color="auto" w:fill="auto"/>
          </w:tcPr>
          <w:p w14:paraId="20AE349C" w14:textId="77777777" w:rsidR="00B626E7" w:rsidRDefault="00B626E7">
            <w:pPr>
              <w:rPr>
                <w:rFonts w:ascii="宋体"/>
                <w:vanish/>
              </w:rPr>
            </w:pPr>
          </w:p>
        </w:tc>
        <w:tc>
          <w:tcPr>
            <w:tcW w:w="0" w:type="auto"/>
            <w:gridSpan w:val="3"/>
            <w:shd w:val="clear" w:color="auto" w:fill="auto"/>
          </w:tcPr>
          <w:p w14:paraId="20AE349D" w14:textId="77777777" w:rsidR="00B626E7" w:rsidRDefault="00B626E7">
            <w:pPr>
              <w:rPr>
                <w:rFonts w:ascii="宋体"/>
                <w:vanish/>
              </w:rPr>
            </w:pPr>
          </w:p>
        </w:tc>
        <w:tc>
          <w:tcPr>
            <w:tcW w:w="0" w:type="auto"/>
            <w:shd w:val="clear" w:color="auto" w:fill="auto"/>
          </w:tcPr>
          <w:p w14:paraId="20AE349E" w14:textId="77777777" w:rsidR="00B626E7" w:rsidRDefault="00B626E7">
            <w:pPr>
              <w:rPr>
                <w:rFonts w:ascii="宋体"/>
                <w:vanish/>
              </w:rPr>
            </w:pPr>
          </w:p>
        </w:tc>
        <w:tc>
          <w:tcPr>
            <w:tcW w:w="0" w:type="auto"/>
            <w:shd w:val="clear" w:color="auto" w:fill="auto"/>
          </w:tcPr>
          <w:p w14:paraId="20AE349F" w14:textId="77777777" w:rsidR="00B626E7" w:rsidRDefault="00B626E7">
            <w:pPr>
              <w:rPr>
                <w:rFonts w:ascii="宋体"/>
                <w:vanish/>
              </w:rPr>
            </w:pPr>
          </w:p>
        </w:tc>
        <w:tc>
          <w:tcPr>
            <w:tcW w:w="0" w:type="auto"/>
            <w:shd w:val="clear" w:color="auto" w:fill="auto"/>
          </w:tcPr>
          <w:p w14:paraId="20AE34A0" w14:textId="77777777" w:rsidR="00B626E7" w:rsidRDefault="00B626E7">
            <w:pPr>
              <w:rPr>
                <w:rFonts w:ascii="宋体"/>
                <w:vanish/>
              </w:rPr>
            </w:pPr>
          </w:p>
        </w:tc>
        <w:tc>
          <w:tcPr>
            <w:tcW w:w="0" w:type="auto"/>
            <w:shd w:val="clear" w:color="auto" w:fill="auto"/>
          </w:tcPr>
          <w:p w14:paraId="20AE34A1" w14:textId="77777777" w:rsidR="00B626E7" w:rsidRDefault="00B626E7">
            <w:pPr>
              <w:rPr>
                <w:rFonts w:ascii="宋体"/>
                <w:vanish/>
              </w:rPr>
            </w:pPr>
          </w:p>
        </w:tc>
        <w:tc>
          <w:tcPr>
            <w:tcW w:w="0" w:type="auto"/>
            <w:shd w:val="clear" w:color="auto" w:fill="auto"/>
          </w:tcPr>
          <w:p w14:paraId="20AE34A2" w14:textId="77777777" w:rsidR="00B626E7" w:rsidRDefault="00B626E7">
            <w:pPr>
              <w:rPr>
                <w:rFonts w:ascii="宋体"/>
              </w:rPr>
            </w:pPr>
          </w:p>
        </w:tc>
        <w:tc>
          <w:tcPr>
            <w:tcW w:w="0" w:type="auto"/>
            <w:shd w:val="clear" w:color="auto" w:fill="auto"/>
          </w:tcPr>
          <w:p w14:paraId="20AE34A3" w14:textId="77777777" w:rsidR="00B626E7" w:rsidRDefault="00B626E7">
            <w:pPr>
              <w:rPr>
                <w:rFonts w:ascii="宋体"/>
              </w:rPr>
            </w:pPr>
          </w:p>
        </w:tc>
        <w:tc>
          <w:tcPr>
            <w:tcW w:w="0" w:type="auto"/>
            <w:shd w:val="clear" w:color="auto" w:fill="auto"/>
          </w:tcPr>
          <w:p w14:paraId="20AE34A4" w14:textId="77777777" w:rsidR="00B626E7" w:rsidRDefault="00B626E7">
            <w:pPr>
              <w:rPr>
                <w:rFonts w:ascii="宋体"/>
              </w:rPr>
            </w:pPr>
          </w:p>
        </w:tc>
        <w:tc>
          <w:tcPr>
            <w:tcW w:w="0" w:type="auto"/>
            <w:shd w:val="clear" w:color="auto" w:fill="auto"/>
          </w:tcPr>
          <w:p w14:paraId="20AE34A5" w14:textId="77777777" w:rsidR="00B626E7" w:rsidRDefault="00B626E7">
            <w:pPr>
              <w:rPr>
                <w:rFonts w:ascii="宋体"/>
              </w:rPr>
            </w:pPr>
          </w:p>
        </w:tc>
        <w:tc>
          <w:tcPr>
            <w:tcW w:w="0" w:type="auto"/>
            <w:shd w:val="clear" w:color="auto" w:fill="auto"/>
          </w:tcPr>
          <w:p w14:paraId="20AE34A6" w14:textId="77777777" w:rsidR="00B626E7" w:rsidRDefault="00B626E7">
            <w:pPr>
              <w:rPr>
                <w:rFonts w:ascii="宋体"/>
              </w:rPr>
            </w:pPr>
          </w:p>
        </w:tc>
        <w:tc>
          <w:tcPr>
            <w:tcW w:w="0" w:type="auto"/>
            <w:shd w:val="clear" w:color="auto" w:fill="auto"/>
          </w:tcPr>
          <w:p w14:paraId="20AE34A7" w14:textId="77777777" w:rsidR="00B626E7" w:rsidRDefault="00B626E7">
            <w:pPr>
              <w:rPr>
                <w:rFonts w:ascii="宋体"/>
              </w:rPr>
            </w:pPr>
          </w:p>
        </w:tc>
      </w:tr>
      <w:tr w:rsidR="00B626E7" w14:paraId="20AE34B8" w14:textId="77777777">
        <w:trPr>
          <w:hidden/>
        </w:trPr>
        <w:tc>
          <w:tcPr>
            <w:tcW w:w="0" w:type="auto"/>
            <w:gridSpan w:val="3"/>
            <w:shd w:val="clear" w:color="auto" w:fill="auto"/>
          </w:tcPr>
          <w:p w14:paraId="20AE34A9" w14:textId="77777777" w:rsidR="00B626E7" w:rsidRDefault="00B626E7">
            <w:pPr>
              <w:rPr>
                <w:rFonts w:ascii="宋体"/>
                <w:vanish/>
              </w:rPr>
            </w:pPr>
          </w:p>
        </w:tc>
        <w:tc>
          <w:tcPr>
            <w:tcW w:w="0" w:type="auto"/>
            <w:gridSpan w:val="3"/>
            <w:shd w:val="clear" w:color="auto" w:fill="auto"/>
          </w:tcPr>
          <w:p w14:paraId="20AE34AA" w14:textId="77777777" w:rsidR="00B626E7" w:rsidRDefault="00B626E7">
            <w:pPr>
              <w:rPr>
                <w:rFonts w:ascii="宋体"/>
                <w:vanish/>
              </w:rPr>
            </w:pPr>
          </w:p>
        </w:tc>
        <w:tc>
          <w:tcPr>
            <w:tcW w:w="0" w:type="auto"/>
            <w:gridSpan w:val="3"/>
            <w:shd w:val="clear" w:color="auto" w:fill="auto"/>
          </w:tcPr>
          <w:p w14:paraId="20AE34AB" w14:textId="77777777" w:rsidR="00B626E7" w:rsidRDefault="00B626E7">
            <w:pPr>
              <w:rPr>
                <w:rFonts w:ascii="宋体"/>
                <w:vanish/>
              </w:rPr>
            </w:pPr>
          </w:p>
        </w:tc>
        <w:tc>
          <w:tcPr>
            <w:tcW w:w="0" w:type="auto"/>
            <w:gridSpan w:val="3"/>
            <w:shd w:val="clear" w:color="auto" w:fill="auto"/>
          </w:tcPr>
          <w:p w14:paraId="20AE34AC" w14:textId="77777777" w:rsidR="00B626E7" w:rsidRDefault="00B626E7">
            <w:pPr>
              <w:rPr>
                <w:rFonts w:ascii="宋体"/>
                <w:vanish/>
              </w:rPr>
            </w:pPr>
          </w:p>
        </w:tc>
        <w:tc>
          <w:tcPr>
            <w:tcW w:w="0" w:type="auto"/>
            <w:gridSpan w:val="3"/>
            <w:shd w:val="clear" w:color="auto" w:fill="auto"/>
          </w:tcPr>
          <w:p w14:paraId="20AE34AD" w14:textId="77777777" w:rsidR="00B626E7" w:rsidRDefault="00B626E7">
            <w:pPr>
              <w:rPr>
                <w:rFonts w:ascii="宋体"/>
                <w:vanish/>
              </w:rPr>
            </w:pPr>
          </w:p>
        </w:tc>
        <w:tc>
          <w:tcPr>
            <w:tcW w:w="0" w:type="auto"/>
            <w:shd w:val="clear" w:color="auto" w:fill="auto"/>
          </w:tcPr>
          <w:p w14:paraId="20AE34AE" w14:textId="77777777" w:rsidR="00B626E7" w:rsidRDefault="00B626E7">
            <w:pPr>
              <w:rPr>
                <w:rFonts w:ascii="宋体"/>
                <w:vanish/>
              </w:rPr>
            </w:pPr>
          </w:p>
        </w:tc>
        <w:tc>
          <w:tcPr>
            <w:tcW w:w="0" w:type="auto"/>
            <w:shd w:val="clear" w:color="auto" w:fill="auto"/>
          </w:tcPr>
          <w:p w14:paraId="20AE34AF" w14:textId="77777777" w:rsidR="00B626E7" w:rsidRDefault="00B626E7">
            <w:pPr>
              <w:rPr>
                <w:rFonts w:ascii="宋体"/>
                <w:vanish/>
              </w:rPr>
            </w:pPr>
          </w:p>
        </w:tc>
        <w:tc>
          <w:tcPr>
            <w:tcW w:w="0" w:type="auto"/>
            <w:shd w:val="clear" w:color="auto" w:fill="auto"/>
          </w:tcPr>
          <w:p w14:paraId="20AE34B0" w14:textId="77777777" w:rsidR="00B626E7" w:rsidRDefault="00B626E7">
            <w:pPr>
              <w:rPr>
                <w:rFonts w:ascii="宋体"/>
                <w:vanish/>
              </w:rPr>
            </w:pPr>
          </w:p>
        </w:tc>
        <w:tc>
          <w:tcPr>
            <w:tcW w:w="0" w:type="auto"/>
            <w:shd w:val="clear" w:color="auto" w:fill="auto"/>
          </w:tcPr>
          <w:p w14:paraId="20AE34B1" w14:textId="77777777" w:rsidR="00B626E7" w:rsidRDefault="00B626E7">
            <w:pPr>
              <w:rPr>
                <w:rFonts w:ascii="宋体"/>
                <w:vanish/>
              </w:rPr>
            </w:pPr>
          </w:p>
        </w:tc>
        <w:tc>
          <w:tcPr>
            <w:tcW w:w="0" w:type="auto"/>
            <w:shd w:val="clear" w:color="auto" w:fill="auto"/>
          </w:tcPr>
          <w:p w14:paraId="20AE34B2" w14:textId="77777777" w:rsidR="00B626E7" w:rsidRDefault="00B626E7">
            <w:pPr>
              <w:rPr>
                <w:rFonts w:ascii="宋体"/>
              </w:rPr>
            </w:pPr>
          </w:p>
        </w:tc>
        <w:tc>
          <w:tcPr>
            <w:tcW w:w="0" w:type="auto"/>
            <w:shd w:val="clear" w:color="auto" w:fill="auto"/>
          </w:tcPr>
          <w:p w14:paraId="20AE34B3" w14:textId="77777777" w:rsidR="00B626E7" w:rsidRDefault="00B626E7">
            <w:pPr>
              <w:rPr>
                <w:rFonts w:ascii="宋体"/>
              </w:rPr>
            </w:pPr>
          </w:p>
        </w:tc>
        <w:tc>
          <w:tcPr>
            <w:tcW w:w="0" w:type="auto"/>
            <w:shd w:val="clear" w:color="auto" w:fill="auto"/>
          </w:tcPr>
          <w:p w14:paraId="20AE34B4" w14:textId="77777777" w:rsidR="00B626E7" w:rsidRDefault="00B626E7">
            <w:pPr>
              <w:rPr>
                <w:rFonts w:ascii="宋体"/>
              </w:rPr>
            </w:pPr>
          </w:p>
        </w:tc>
        <w:tc>
          <w:tcPr>
            <w:tcW w:w="0" w:type="auto"/>
            <w:shd w:val="clear" w:color="auto" w:fill="auto"/>
          </w:tcPr>
          <w:p w14:paraId="20AE34B5" w14:textId="77777777" w:rsidR="00B626E7" w:rsidRDefault="00B626E7">
            <w:pPr>
              <w:rPr>
                <w:rFonts w:ascii="宋体"/>
              </w:rPr>
            </w:pPr>
          </w:p>
        </w:tc>
        <w:tc>
          <w:tcPr>
            <w:tcW w:w="0" w:type="auto"/>
            <w:shd w:val="clear" w:color="auto" w:fill="auto"/>
          </w:tcPr>
          <w:p w14:paraId="20AE34B6" w14:textId="77777777" w:rsidR="00B626E7" w:rsidRDefault="00B626E7">
            <w:pPr>
              <w:rPr>
                <w:rFonts w:ascii="宋体"/>
              </w:rPr>
            </w:pPr>
          </w:p>
        </w:tc>
        <w:tc>
          <w:tcPr>
            <w:tcW w:w="0" w:type="auto"/>
            <w:shd w:val="clear" w:color="auto" w:fill="auto"/>
          </w:tcPr>
          <w:p w14:paraId="20AE34B7" w14:textId="77777777" w:rsidR="00B626E7" w:rsidRDefault="00B626E7">
            <w:pPr>
              <w:rPr>
                <w:rFonts w:ascii="宋体"/>
              </w:rPr>
            </w:pPr>
          </w:p>
        </w:tc>
      </w:tr>
      <w:tr w:rsidR="00B626E7" w14:paraId="20AE34CC" w14:textId="77777777">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34B9" w14:textId="77777777" w:rsidR="00B626E7" w:rsidRDefault="00175C1D">
            <w:pPr>
              <w:textAlignment w:val="bottom"/>
            </w:pPr>
            <w:r>
              <w:rPr>
                <w:rFonts w:ascii="Arial" w:eastAsia="宋体" w:hAnsi="Arial" w:cs="Arial"/>
                <w:b/>
                <w:bCs/>
                <w:color w:val="333333"/>
                <w:sz w:val="18"/>
                <w:szCs w:val="18"/>
              </w:rPr>
              <w:t>Operating income</w:t>
            </w:r>
          </w:p>
        </w:tc>
        <w:tc>
          <w:tcPr>
            <w:tcW w:w="0" w:type="auto"/>
            <w:gridSpan w:val="3"/>
            <w:shd w:val="clear" w:color="auto" w:fill="auto"/>
            <w:tcMar>
              <w:left w:w="20" w:type="dxa"/>
              <w:right w:w="20" w:type="dxa"/>
            </w:tcMar>
            <w:vAlign w:val="bottom"/>
          </w:tcPr>
          <w:p w14:paraId="20AE34BA"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34BB" w14:textId="77777777" w:rsidR="00B626E7" w:rsidRDefault="00175C1D">
            <w:pPr>
              <w:textAlignment w:val="bottom"/>
            </w:pPr>
            <w:r>
              <w:rPr>
                <w:rFonts w:ascii="Arial" w:eastAsia="宋体" w:hAnsi="Arial" w:cs="Arial"/>
                <w:b/>
                <w:bCs/>
                <w:color w:val="0071C5"/>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34BC" w14:textId="77777777" w:rsidR="00B626E7" w:rsidRDefault="00175C1D">
            <w:pPr>
              <w:jc w:val="right"/>
              <w:textAlignment w:val="bottom"/>
            </w:pPr>
            <w:r>
              <w:rPr>
                <w:rFonts w:ascii="Arial" w:eastAsia="宋体" w:hAnsi="Arial" w:cs="Arial"/>
                <w:b/>
                <w:bCs/>
                <w:color w:val="0071C5"/>
                <w:sz w:val="18"/>
                <w:szCs w:val="18"/>
              </w:rPr>
              <w:t>5,697 </w:t>
            </w:r>
          </w:p>
        </w:tc>
        <w:tc>
          <w:tcPr>
            <w:tcW w:w="0" w:type="auto"/>
            <w:tcBorders>
              <w:top w:val="single" w:sz="8" w:space="0" w:color="0071C5"/>
            </w:tcBorders>
            <w:shd w:val="clear" w:color="auto" w:fill="auto"/>
            <w:tcMar>
              <w:top w:w="40" w:type="dxa"/>
              <w:bottom w:w="40" w:type="dxa"/>
              <w:right w:w="20" w:type="dxa"/>
            </w:tcMar>
            <w:vAlign w:val="bottom"/>
          </w:tcPr>
          <w:p w14:paraId="20AE34BD"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34BE"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34BF"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34C0" w14:textId="77777777" w:rsidR="00B626E7" w:rsidRDefault="00175C1D">
            <w:pPr>
              <w:jc w:val="right"/>
              <w:textAlignment w:val="bottom"/>
            </w:pPr>
            <w:r>
              <w:rPr>
                <w:rFonts w:ascii="Arial" w:eastAsia="宋体" w:hAnsi="Arial" w:cs="Arial"/>
                <w:b/>
                <w:bCs/>
                <w:color w:val="333333"/>
                <w:sz w:val="18"/>
                <w:szCs w:val="18"/>
              </w:rPr>
              <w:t>4,617 </w:t>
            </w:r>
          </w:p>
        </w:tc>
        <w:tc>
          <w:tcPr>
            <w:tcW w:w="0" w:type="auto"/>
            <w:tcBorders>
              <w:top w:val="single" w:sz="8" w:space="0" w:color="0071C5"/>
            </w:tcBorders>
            <w:shd w:val="clear" w:color="auto" w:fill="auto"/>
            <w:tcMar>
              <w:top w:w="40" w:type="dxa"/>
              <w:bottom w:w="40" w:type="dxa"/>
              <w:right w:w="20" w:type="dxa"/>
            </w:tcMar>
            <w:vAlign w:val="bottom"/>
          </w:tcPr>
          <w:p w14:paraId="20AE34C1"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E34C2" w14:textId="77777777" w:rsidR="00B626E7" w:rsidRDefault="00B626E7">
            <w:pPr>
              <w:rPr>
                <w:rFonts w:ascii="宋体"/>
                <w:vanish/>
              </w:rPr>
            </w:pPr>
          </w:p>
        </w:tc>
        <w:tc>
          <w:tcPr>
            <w:tcW w:w="0" w:type="auto"/>
            <w:shd w:val="clear" w:color="auto" w:fill="auto"/>
          </w:tcPr>
          <w:p w14:paraId="20AE34C3" w14:textId="77777777" w:rsidR="00B626E7" w:rsidRDefault="00B626E7">
            <w:pPr>
              <w:rPr>
                <w:rFonts w:ascii="宋体"/>
                <w:vanish/>
              </w:rPr>
            </w:pPr>
          </w:p>
        </w:tc>
        <w:tc>
          <w:tcPr>
            <w:tcW w:w="0" w:type="auto"/>
            <w:shd w:val="clear" w:color="auto" w:fill="auto"/>
          </w:tcPr>
          <w:p w14:paraId="20AE34C4" w14:textId="77777777" w:rsidR="00B626E7" w:rsidRDefault="00B626E7">
            <w:pPr>
              <w:rPr>
                <w:rFonts w:ascii="宋体"/>
                <w:vanish/>
              </w:rPr>
            </w:pPr>
          </w:p>
        </w:tc>
        <w:tc>
          <w:tcPr>
            <w:tcW w:w="0" w:type="auto"/>
            <w:shd w:val="clear" w:color="auto" w:fill="auto"/>
          </w:tcPr>
          <w:p w14:paraId="20AE34C5" w14:textId="77777777" w:rsidR="00B626E7" w:rsidRDefault="00B626E7">
            <w:pPr>
              <w:rPr>
                <w:rFonts w:ascii="宋体"/>
                <w:vanish/>
              </w:rPr>
            </w:pPr>
          </w:p>
        </w:tc>
        <w:tc>
          <w:tcPr>
            <w:tcW w:w="0" w:type="auto"/>
            <w:shd w:val="clear" w:color="auto" w:fill="auto"/>
          </w:tcPr>
          <w:p w14:paraId="20AE34C6" w14:textId="77777777" w:rsidR="00B626E7" w:rsidRDefault="00B626E7">
            <w:pPr>
              <w:rPr>
                <w:rFonts w:ascii="宋体"/>
              </w:rPr>
            </w:pPr>
          </w:p>
        </w:tc>
        <w:tc>
          <w:tcPr>
            <w:tcW w:w="0" w:type="auto"/>
            <w:shd w:val="clear" w:color="auto" w:fill="auto"/>
          </w:tcPr>
          <w:p w14:paraId="20AE34C7" w14:textId="77777777" w:rsidR="00B626E7" w:rsidRDefault="00B626E7">
            <w:pPr>
              <w:rPr>
                <w:rFonts w:ascii="宋体"/>
              </w:rPr>
            </w:pPr>
          </w:p>
        </w:tc>
        <w:tc>
          <w:tcPr>
            <w:tcW w:w="0" w:type="auto"/>
            <w:shd w:val="clear" w:color="auto" w:fill="auto"/>
          </w:tcPr>
          <w:p w14:paraId="20AE34C8" w14:textId="77777777" w:rsidR="00B626E7" w:rsidRDefault="00B626E7">
            <w:pPr>
              <w:rPr>
                <w:rFonts w:ascii="宋体"/>
              </w:rPr>
            </w:pPr>
          </w:p>
        </w:tc>
        <w:tc>
          <w:tcPr>
            <w:tcW w:w="0" w:type="auto"/>
            <w:shd w:val="clear" w:color="auto" w:fill="auto"/>
          </w:tcPr>
          <w:p w14:paraId="20AE34C9" w14:textId="77777777" w:rsidR="00B626E7" w:rsidRDefault="00B626E7">
            <w:pPr>
              <w:rPr>
                <w:rFonts w:ascii="宋体"/>
              </w:rPr>
            </w:pPr>
          </w:p>
        </w:tc>
        <w:tc>
          <w:tcPr>
            <w:tcW w:w="0" w:type="auto"/>
            <w:shd w:val="clear" w:color="auto" w:fill="auto"/>
          </w:tcPr>
          <w:p w14:paraId="20AE34CA" w14:textId="77777777" w:rsidR="00B626E7" w:rsidRDefault="00B626E7">
            <w:pPr>
              <w:rPr>
                <w:rFonts w:ascii="宋体"/>
              </w:rPr>
            </w:pPr>
          </w:p>
        </w:tc>
        <w:tc>
          <w:tcPr>
            <w:tcW w:w="0" w:type="auto"/>
            <w:shd w:val="clear" w:color="auto" w:fill="auto"/>
          </w:tcPr>
          <w:p w14:paraId="20AE34CB" w14:textId="77777777" w:rsidR="00B626E7" w:rsidRDefault="00B626E7">
            <w:pPr>
              <w:rPr>
                <w:rFonts w:ascii="宋体"/>
              </w:rPr>
            </w:pPr>
          </w:p>
        </w:tc>
      </w:tr>
      <w:tr w:rsidR="00B626E7" w14:paraId="20AE34DE" w14:textId="77777777">
        <w:tc>
          <w:tcPr>
            <w:tcW w:w="0" w:type="auto"/>
            <w:gridSpan w:val="3"/>
            <w:shd w:val="clear" w:color="auto" w:fill="auto"/>
            <w:tcMar>
              <w:top w:w="40" w:type="dxa"/>
              <w:left w:w="225" w:type="dxa"/>
              <w:bottom w:w="40" w:type="dxa"/>
              <w:right w:w="20" w:type="dxa"/>
            </w:tcMar>
            <w:vAlign w:val="bottom"/>
          </w:tcPr>
          <w:p w14:paraId="20AE34CD" w14:textId="77777777" w:rsidR="00B626E7" w:rsidRDefault="00175C1D">
            <w:pPr>
              <w:textAlignment w:val="bottom"/>
            </w:pPr>
            <w:r>
              <w:rPr>
                <w:rFonts w:ascii="Arial" w:eastAsia="宋体" w:hAnsi="Arial" w:cs="Arial"/>
                <w:color w:val="333333"/>
                <w:sz w:val="18"/>
                <w:szCs w:val="18"/>
              </w:rPr>
              <w:t>A</w:t>
            </w:r>
            <w:r>
              <w:rPr>
                <w:rFonts w:ascii="Arial" w:eastAsia="宋体" w:hAnsi="Arial" w:cs="Arial"/>
                <w:color w:val="333333"/>
                <w:sz w:val="18"/>
                <w:szCs w:val="18"/>
              </w:rPr>
              <w:t>cquisition-related adjustments</w:t>
            </w:r>
          </w:p>
        </w:tc>
        <w:tc>
          <w:tcPr>
            <w:tcW w:w="0" w:type="auto"/>
            <w:gridSpan w:val="3"/>
            <w:shd w:val="clear" w:color="auto" w:fill="auto"/>
            <w:tcMar>
              <w:left w:w="20" w:type="dxa"/>
              <w:right w:w="20" w:type="dxa"/>
            </w:tcMar>
            <w:vAlign w:val="bottom"/>
          </w:tcPr>
          <w:p w14:paraId="20AE34CE"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34CF" w14:textId="77777777" w:rsidR="00B626E7" w:rsidRDefault="00175C1D">
            <w:pPr>
              <w:jc w:val="right"/>
              <w:textAlignment w:val="bottom"/>
            </w:pPr>
            <w:r>
              <w:rPr>
                <w:rFonts w:ascii="Arial" w:eastAsia="宋体" w:hAnsi="Arial" w:cs="Arial"/>
                <w:color w:val="0071C5"/>
                <w:sz w:val="18"/>
                <w:szCs w:val="18"/>
              </w:rPr>
              <w:t>352 </w:t>
            </w:r>
          </w:p>
        </w:tc>
        <w:tc>
          <w:tcPr>
            <w:tcW w:w="0" w:type="auto"/>
            <w:shd w:val="clear" w:color="auto" w:fill="auto"/>
            <w:tcMar>
              <w:top w:w="40" w:type="dxa"/>
              <w:bottom w:w="40" w:type="dxa"/>
              <w:right w:w="20" w:type="dxa"/>
            </w:tcMar>
            <w:vAlign w:val="bottom"/>
          </w:tcPr>
          <w:p w14:paraId="20AE34D0"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34D1"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34D2" w14:textId="77777777" w:rsidR="00B626E7" w:rsidRDefault="00175C1D">
            <w:pPr>
              <w:jc w:val="right"/>
              <w:textAlignment w:val="bottom"/>
            </w:pPr>
            <w:r>
              <w:rPr>
                <w:rFonts w:ascii="Arial" w:eastAsia="宋体" w:hAnsi="Arial" w:cs="Arial"/>
                <w:color w:val="333333"/>
                <w:sz w:val="18"/>
                <w:szCs w:val="18"/>
              </w:rPr>
              <w:t>337 </w:t>
            </w:r>
          </w:p>
        </w:tc>
        <w:tc>
          <w:tcPr>
            <w:tcW w:w="0" w:type="auto"/>
            <w:shd w:val="clear" w:color="auto" w:fill="auto"/>
            <w:tcMar>
              <w:top w:w="40" w:type="dxa"/>
              <w:bottom w:w="40" w:type="dxa"/>
              <w:right w:w="20" w:type="dxa"/>
            </w:tcMar>
            <w:vAlign w:val="bottom"/>
          </w:tcPr>
          <w:p w14:paraId="20AE34D3"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34D4" w14:textId="77777777" w:rsidR="00B626E7" w:rsidRDefault="00B626E7">
            <w:pPr>
              <w:rPr>
                <w:rFonts w:ascii="宋体"/>
                <w:vanish/>
              </w:rPr>
            </w:pPr>
          </w:p>
        </w:tc>
        <w:tc>
          <w:tcPr>
            <w:tcW w:w="0" w:type="auto"/>
            <w:shd w:val="clear" w:color="auto" w:fill="auto"/>
          </w:tcPr>
          <w:p w14:paraId="20AE34D5" w14:textId="77777777" w:rsidR="00B626E7" w:rsidRDefault="00B626E7">
            <w:pPr>
              <w:rPr>
                <w:rFonts w:ascii="宋体"/>
                <w:vanish/>
              </w:rPr>
            </w:pPr>
          </w:p>
        </w:tc>
        <w:tc>
          <w:tcPr>
            <w:tcW w:w="0" w:type="auto"/>
            <w:shd w:val="clear" w:color="auto" w:fill="auto"/>
          </w:tcPr>
          <w:p w14:paraId="20AE34D6" w14:textId="77777777" w:rsidR="00B626E7" w:rsidRDefault="00B626E7">
            <w:pPr>
              <w:rPr>
                <w:rFonts w:ascii="宋体"/>
                <w:vanish/>
              </w:rPr>
            </w:pPr>
          </w:p>
        </w:tc>
        <w:tc>
          <w:tcPr>
            <w:tcW w:w="0" w:type="auto"/>
            <w:shd w:val="clear" w:color="auto" w:fill="auto"/>
          </w:tcPr>
          <w:p w14:paraId="20AE34D7" w14:textId="77777777" w:rsidR="00B626E7" w:rsidRDefault="00B626E7">
            <w:pPr>
              <w:rPr>
                <w:rFonts w:ascii="宋体"/>
                <w:vanish/>
              </w:rPr>
            </w:pPr>
          </w:p>
        </w:tc>
        <w:tc>
          <w:tcPr>
            <w:tcW w:w="0" w:type="auto"/>
            <w:shd w:val="clear" w:color="auto" w:fill="auto"/>
          </w:tcPr>
          <w:p w14:paraId="20AE34D8" w14:textId="77777777" w:rsidR="00B626E7" w:rsidRDefault="00B626E7">
            <w:pPr>
              <w:rPr>
                <w:rFonts w:ascii="宋体"/>
              </w:rPr>
            </w:pPr>
          </w:p>
        </w:tc>
        <w:tc>
          <w:tcPr>
            <w:tcW w:w="0" w:type="auto"/>
            <w:shd w:val="clear" w:color="auto" w:fill="auto"/>
          </w:tcPr>
          <w:p w14:paraId="20AE34D9" w14:textId="77777777" w:rsidR="00B626E7" w:rsidRDefault="00B626E7">
            <w:pPr>
              <w:rPr>
                <w:rFonts w:ascii="宋体"/>
              </w:rPr>
            </w:pPr>
          </w:p>
        </w:tc>
        <w:tc>
          <w:tcPr>
            <w:tcW w:w="0" w:type="auto"/>
            <w:shd w:val="clear" w:color="auto" w:fill="auto"/>
          </w:tcPr>
          <w:p w14:paraId="20AE34DA" w14:textId="77777777" w:rsidR="00B626E7" w:rsidRDefault="00B626E7">
            <w:pPr>
              <w:rPr>
                <w:rFonts w:ascii="宋体"/>
              </w:rPr>
            </w:pPr>
          </w:p>
        </w:tc>
        <w:tc>
          <w:tcPr>
            <w:tcW w:w="0" w:type="auto"/>
            <w:shd w:val="clear" w:color="auto" w:fill="auto"/>
          </w:tcPr>
          <w:p w14:paraId="20AE34DB" w14:textId="77777777" w:rsidR="00B626E7" w:rsidRDefault="00B626E7">
            <w:pPr>
              <w:rPr>
                <w:rFonts w:ascii="宋体"/>
              </w:rPr>
            </w:pPr>
          </w:p>
        </w:tc>
        <w:tc>
          <w:tcPr>
            <w:tcW w:w="0" w:type="auto"/>
            <w:shd w:val="clear" w:color="auto" w:fill="auto"/>
          </w:tcPr>
          <w:p w14:paraId="20AE34DC" w14:textId="77777777" w:rsidR="00B626E7" w:rsidRDefault="00B626E7">
            <w:pPr>
              <w:rPr>
                <w:rFonts w:ascii="宋体"/>
              </w:rPr>
            </w:pPr>
          </w:p>
        </w:tc>
        <w:tc>
          <w:tcPr>
            <w:tcW w:w="0" w:type="auto"/>
            <w:shd w:val="clear" w:color="auto" w:fill="auto"/>
          </w:tcPr>
          <w:p w14:paraId="20AE34DD" w14:textId="77777777" w:rsidR="00B626E7" w:rsidRDefault="00B626E7">
            <w:pPr>
              <w:rPr>
                <w:rFonts w:ascii="宋体"/>
              </w:rPr>
            </w:pPr>
          </w:p>
        </w:tc>
      </w:tr>
      <w:tr w:rsidR="00B626E7" w14:paraId="20AE34EE" w14:textId="77777777">
        <w:trPr>
          <w:hidden/>
        </w:trPr>
        <w:tc>
          <w:tcPr>
            <w:tcW w:w="0" w:type="auto"/>
            <w:gridSpan w:val="3"/>
            <w:shd w:val="clear" w:color="auto" w:fill="auto"/>
          </w:tcPr>
          <w:p w14:paraId="20AE34DF" w14:textId="77777777" w:rsidR="00B626E7" w:rsidRDefault="00B626E7">
            <w:pPr>
              <w:rPr>
                <w:rFonts w:ascii="宋体"/>
                <w:vanish/>
              </w:rPr>
            </w:pPr>
          </w:p>
        </w:tc>
        <w:tc>
          <w:tcPr>
            <w:tcW w:w="0" w:type="auto"/>
            <w:gridSpan w:val="3"/>
            <w:shd w:val="clear" w:color="auto" w:fill="auto"/>
          </w:tcPr>
          <w:p w14:paraId="20AE34E0" w14:textId="77777777" w:rsidR="00B626E7" w:rsidRDefault="00B626E7">
            <w:pPr>
              <w:rPr>
                <w:rFonts w:ascii="宋体"/>
                <w:vanish/>
              </w:rPr>
            </w:pPr>
          </w:p>
        </w:tc>
        <w:tc>
          <w:tcPr>
            <w:tcW w:w="0" w:type="auto"/>
            <w:gridSpan w:val="3"/>
            <w:shd w:val="clear" w:color="auto" w:fill="auto"/>
          </w:tcPr>
          <w:p w14:paraId="20AE34E1" w14:textId="77777777" w:rsidR="00B626E7" w:rsidRDefault="00B626E7">
            <w:pPr>
              <w:rPr>
                <w:rFonts w:ascii="宋体"/>
                <w:vanish/>
              </w:rPr>
            </w:pPr>
          </w:p>
        </w:tc>
        <w:tc>
          <w:tcPr>
            <w:tcW w:w="0" w:type="auto"/>
            <w:gridSpan w:val="3"/>
            <w:shd w:val="clear" w:color="auto" w:fill="auto"/>
          </w:tcPr>
          <w:p w14:paraId="20AE34E2" w14:textId="77777777" w:rsidR="00B626E7" w:rsidRDefault="00B626E7">
            <w:pPr>
              <w:rPr>
                <w:rFonts w:ascii="宋体"/>
                <w:vanish/>
              </w:rPr>
            </w:pPr>
          </w:p>
        </w:tc>
        <w:tc>
          <w:tcPr>
            <w:tcW w:w="0" w:type="auto"/>
            <w:gridSpan w:val="3"/>
            <w:shd w:val="clear" w:color="auto" w:fill="auto"/>
          </w:tcPr>
          <w:p w14:paraId="20AE34E3" w14:textId="77777777" w:rsidR="00B626E7" w:rsidRDefault="00B626E7">
            <w:pPr>
              <w:rPr>
                <w:rFonts w:ascii="宋体"/>
                <w:vanish/>
              </w:rPr>
            </w:pPr>
          </w:p>
        </w:tc>
        <w:tc>
          <w:tcPr>
            <w:tcW w:w="0" w:type="auto"/>
            <w:shd w:val="clear" w:color="auto" w:fill="auto"/>
          </w:tcPr>
          <w:p w14:paraId="20AE34E4" w14:textId="77777777" w:rsidR="00B626E7" w:rsidRDefault="00B626E7">
            <w:pPr>
              <w:rPr>
                <w:rFonts w:ascii="宋体"/>
                <w:vanish/>
              </w:rPr>
            </w:pPr>
          </w:p>
        </w:tc>
        <w:tc>
          <w:tcPr>
            <w:tcW w:w="0" w:type="auto"/>
            <w:shd w:val="clear" w:color="auto" w:fill="auto"/>
          </w:tcPr>
          <w:p w14:paraId="20AE34E5" w14:textId="77777777" w:rsidR="00B626E7" w:rsidRDefault="00B626E7">
            <w:pPr>
              <w:rPr>
                <w:rFonts w:ascii="宋体"/>
                <w:vanish/>
              </w:rPr>
            </w:pPr>
          </w:p>
        </w:tc>
        <w:tc>
          <w:tcPr>
            <w:tcW w:w="0" w:type="auto"/>
            <w:shd w:val="clear" w:color="auto" w:fill="auto"/>
          </w:tcPr>
          <w:p w14:paraId="20AE34E6" w14:textId="77777777" w:rsidR="00B626E7" w:rsidRDefault="00B626E7">
            <w:pPr>
              <w:rPr>
                <w:rFonts w:ascii="宋体"/>
                <w:vanish/>
              </w:rPr>
            </w:pPr>
          </w:p>
        </w:tc>
        <w:tc>
          <w:tcPr>
            <w:tcW w:w="0" w:type="auto"/>
            <w:shd w:val="clear" w:color="auto" w:fill="auto"/>
          </w:tcPr>
          <w:p w14:paraId="20AE34E7" w14:textId="77777777" w:rsidR="00B626E7" w:rsidRDefault="00B626E7">
            <w:pPr>
              <w:rPr>
                <w:rFonts w:ascii="宋体"/>
                <w:vanish/>
              </w:rPr>
            </w:pPr>
          </w:p>
        </w:tc>
        <w:tc>
          <w:tcPr>
            <w:tcW w:w="0" w:type="auto"/>
            <w:shd w:val="clear" w:color="auto" w:fill="auto"/>
          </w:tcPr>
          <w:p w14:paraId="20AE34E8" w14:textId="77777777" w:rsidR="00B626E7" w:rsidRDefault="00B626E7">
            <w:pPr>
              <w:rPr>
                <w:rFonts w:ascii="宋体"/>
              </w:rPr>
            </w:pPr>
          </w:p>
        </w:tc>
        <w:tc>
          <w:tcPr>
            <w:tcW w:w="0" w:type="auto"/>
            <w:shd w:val="clear" w:color="auto" w:fill="auto"/>
          </w:tcPr>
          <w:p w14:paraId="20AE34E9" w14:textId="77777777" w:rsidR="00B626E7" w:rsidRDefault="00B626E7">
            <w:pPr>
              <w:rPr>
                <w:rFonts w:ascii="宋体"/>
              </w:rPr>
            </w:pPr>
          </w:p>
        </w:tc>
        <w:tc>
          <w:tcPr>
            <w:tcW w:w="0" w:type="auto"/>
            <w:shd w:val="clear" w:color="auto" w:fill="auto"/>
          </w:tcPr>
          <w:p w14:paraId="20AE34EA" w14:textId="77777777" w:rsidR="00B626E7" w:rsidRDefault="00B626E7">
            <w:pPr>
              <w:rPr>
                <w:rFonts w:ascii="宋体"/>
              </w:rPr>
            </w:pPr>
          </w:p>
        </w:tc>
        <w:tc>
          <w:tcPr>
            <w:tcW w:w="0" w:type="auto"/>
            <w:shd w:val="clear" w:color="auto" w:fill="auto"/>
          </w:tcPr>
          <w:p w14:paraId="20AE34EB" w14:textId="77777777" w:rsidR="00B626E7" w:rsidRDefault="00B626E7">
            <w:pPr>
              <w:rPr>
                <w:rFonts w:ascii="宋体"/>
              </w:rPr>
            </w:pPr>
          </w:p>
        </w:tc>
        <w:tc>
          <w:tcPr>
            <w:tcW w:w="0" w:type="auto"/>
            <w:shd w:val="clear" w:color="auto" w:fill="auto"/>
          </w:tcPr>
          <w:p w14:paraId="20AE34EC" w14:textId="77777777" w:rsidR="00B626E7" w:rsidRDefault="00B626E7">
            <w:pPr>
              <w:rPr>
                <w:rFonts w:ascii="宋体"/>
              </w:rPr>
            </w:pPr>
          </w:p>
        </w:tc>
        <w:tc>
          <w:tcPr>
            <w:tcW w:w="0" w:type="auto"/>
            <w:shd w:val="clear" w:color="auto" w:fill="auto"/>
          </w:tcPr>
          <w:p w14:paraId="20AE34ED" w14:textId="77777777" w:rsidR="00B626E7" w:rsidRDefault="00B626E7">
            <w:pPr>
              <w:rPr>
                <w:rFonts w:ascii="宋体"/>
              </w:rPr>
            </w:pPr>
          </w:p>
        </w:tc>
      </w:tr>
      <w:tr w:rsidR="00B626E7" w14:paraId="20AE34FE" w14:textId="77777777">
        <w:trPr>
          <w:hidden/>
        </w:trPr>
        <w:tc>
          <w:tcPr>
            <w:tcW w:w="0" w:type="auto"/>
            <w:gridSpan w:val="3"/>
            <w:shd w:val="clear" w:color="auto" w:fill="auto"/>
          </w:tcPr>
          <w:p w14:paraId="20AE34EF" w14:textId="77777777" w:rsidR="00B626E7" w:rsidRDefault="00B626E7">
            <w:pPr>
              <w:rPr>
                <w:rFonts w:ascii="宋体"/>
                <w:vanish/>
              </w:rPr>
            </w:pPr>
          </w:p>
        </w:tc>
        <w:tc>
          <w:tcPr>
            <w:tcW w:w="0" w:type="auto"/>
            <w:gridSpan w:val="3"/>
            <w:shd w:val="clear" w:color="auto" w:fill="auto"/>
          </w:tcPr>
          <w:p w14:paraId="20AE34F0" w14:textId="77777777" w:rsidR="00B626E7" w:rsidRDefault="00B626E7">
            <w:pPr>
              <w:rPr>
                <w:rFonts w:ascii="宋体"/>
                <w:vanish/>
              </w:rPr>
            </w:pPr>
          </w:p>
        </w:tc>
        <w:tc>
          <w:tcPr>
            <w:tcW w:w="0" w:type="auto"/>
            <w:gridSpan w:val="3"/>
            <w:shd w:val="clear" w:color="auto" w:fill="auto"/>
          </w:tcPr>
          <w:p w14:paraId="20AE34F1" w14:textId="77777777" w:rsidR="00B626E7" w:rsidRDefault="00B626E7">
            <w:pPr>
              <w:rPr>
                <w:rFonts w:ascii="宋体"/>
                <w:vanish/>
              </w:rPr>
            </w:pPr>
          </w:p>
        </w:tc>
        <w:tc>
          <w:tcPr>
            <w:tcW w:w="0" w:type="auto"/>
            <w:gridSpan w:val="3"/>
            <w:shd w:val="clear" w:color="auto" w:fill="auto"/>
          </w:tcPr>
          <w:p w14:paraId="20AE34F2" w14:textId="77777777" w:rsidR="00B626E7" w:rsidRDefault="00B626E7">
            <w:pPr>
              <w:rPr>
                <w:rFonts w:ascii="宋体"/>
                <w:vanish/>
              </w:rPr>
            </w:pPr>
          </w:p>
        </w:tc>
        <w:tc>
          <w:tcPr>
            <w:tcW w:w="0" w:type="auto"/>
            <w:gridSpan w:val="3"/>
            <w:shd w:val="clear" w:color="auto" w:fill="auto"/>
          </w:tcPr>
          <w:p w14:paraId="20AE34F3" w14:textId="77777777" w:rsidR="00B626E7" w:rsidRDefault="00B626E7">
            <w:pPr>
              <w:rPr>
                <w:rFonts w:ascii="宋体"/>
                <w:vanish/>
              </w:rPr>
            </w:pPr>
          </w:p>
        </w:tc>
        <w:tc>
          <w:tcPr>
            <w:tcW w:w="0" w:type="auto"/>
            <w:shd w:val="clear" w:color="auto" w:fill="auto"/>
          </w:tcPr>
          <w:p w14:paraId="20AE34F4" w14:textId="77777777" w:rsidR="00B626E7" w:rsidRDefault="00B626E7">
            <w:pPr>
              <w:rPr>
                <w:rFonts w:ascii="宋体"/>
                <w:vanish/>
              </w:rPr>
            </w:pPr>
          </w:p>
        </w:tc>
        <w:tc>
          <w:tcPr>
            <w:tcW w:w="0" w:type="auto"/>
            <w:shd w:val="clear" w:color="auto" w:fill="auto"/>
          </w:tcPr>
          <w:p w14:paraId="20AE34F5" w14:textId="77777777" w:rsidR="00B626E7" w:rsidRDefault="00B626E7">
            <w:pPr>
              <w:rPr>
                <w:rFonts w:ascii="宋体"/>
                <w:vanish/>
              </w:rPr>
            </w:pPr>
          </w:p>
        </w:tc>
        <w:tc>
          <w:tcPr>
            <w:tcW w:w="0" w:type="auto"/>
            <w:shd w:val="clear" w:color="auto" w:fill="auto"/>
          </w:tcPr>
          <w:p w14:paraId="20AE34F6" w14:textId="77777777" w:rsidR="00B626E7" w:rsidRDefault="00B626E7">
            <w:pPr>
              <w:rPr>
                <w:rFonts w:ascii="宋体"/>
                <w:vanish/>
              </w:rPr>
            </w:pPr>
          </w:p>
        </w:tc>
        <w:tc>
          <w:tcPr>
            <w:tcW w:w="0" w:type="auto"/>
            <w:shd w:val="clear" w:color="auto" w:fill="auto"/>
          </w:tcPr>
          <w:p w14:paraId="20AE34F7" w14:textId="77777777" w:rsidR="00B626E7" w:rsidRDefault="00B626E7">
            <w:pPr>
              <w:rPr>
                <w:rFonts w:ascii="宋体"/>
                <w:vanish/>
              </w:rPr>
            </w:pPr>
          </w:p>
        </w:tc>
        <w:tc>
          <w:tcPr>
            <w:tcW w:w="0" w:type="auto"/>
            <w:shd w:val="clear" w:color="auto" w:fill="auto"/>
          </w:tcPr>
          <w:p w14:paraId="20AE34F8" w14:textId="77777777" w:rsidR="00B626E7" w:rsidRDefault="00B626E7">
            <w:pPr>
              <w:rPr>
                <w:rFonts w:ascii="宋体"/>
              </w:rPr>
            </w:pPr>
          </w:p>
        </w:tc>
        <w:tc>
          <w:tcPr>
            <w:tcW w:w="0" w:type="auto"/>
            <w:shd w:val="clear" w:color="auto" w:fill="auto"/>
          </w:tcPr>
          <w:p w14:paraId="20AE34F9" w14:textId="77777777" w:rsidR="00B626E7" w:rsidRDefault="00B626E7">
            <w:pPr>
              <w:rPr>
                <w:rFonts w:ascii="宋体"/>
              </w:rPr>
            </w:pPr>
          </w:p>
        </w:tc>
        <w:tc>
          <w:tcPr>
            <w:tcW w:w="0" w:type="auto"/>
            <w:shd w:val="clear" w:color="auto" w:fill="auto"/>
          </w:tcPr>
          <w:p w14:paraId="20AE34FA" w14:textId="77777777" w:rsidR="00B626E7" w:rsidRDefault="00B626E7">
            <w:pPr>
              <w:rPr>
                <w:rFonts w:ascii="宋体"/>
              </w:rPr>
            </w:pPr>
          </w:p>
        </w:tc>
        <w:tc>
          <w:tcPr>
            <w:tcW w:w="0" w:type="auto"/>
            <w:shd w:val="clear" w:color="auto" w:fill="auto"/>
          </w:tcPr>
          <w:p w14:paraId="20AE34FB" w14:textId="77777777" w:rsidR="00B626E7" w:rsidRDefault="00B626E7">
            <w:pPr>
              <w:rPr>
                <w:rFonts w:ascii="宋体"/>
              </w:rPr>
            </w:pPr>
          </w:p>
        </w:tc>
        <w:tc>
          <w:tcPr>
            <w:tcW w:w="0" w:type="auto"/>
            <w:shd w:val="clear" w:color="auto" w:fill="auto"/>
          </w:tcPr>
          <w:p w14:paraId="20AE34FC" w14:textId="77777777" w:rsidR="00B626E7" w:rsidRDefault="00B626E7">
            <w:pPr>
              <w:rPr>
                <w:rFonts w:ascii="宋体"/>
              </w:rPr>
            </w:pPr>
          </w:p>
        </w:tc>
        <w:tc>
          <w:tcPr>
            <w:tcW w:w="0" w:type="auto"/>
            <w:shd w:val="clear" w:color="auto" w:fill="auto"/>
          </w:tcPr>
          <w:p w14:paraId="20AE34FD" w14:textId="77777777" w:rsidR="00B626E7" w:rsidRDefault="00B626E7">
            <w:pPr>
              <w:rPr>
                <w:rFonts w:ascii="宋体"/>
              </w:rPr>
            </w:pPr>
          </w:p>
        </w:tc>
      </w:tr>
      <w:tr w:rsidR="00B626E7" w14:paraId="20AE350E" w14:textId="77777777">
        <w:trPr>
          <w:hidden/>
        </w:trPr>
        <w:tc>
          <w:tcPr>
            <w:tcW w:w="0" w:type="auto"/>
            <w:gridSpan w:val="3"/>
            <w:shd w:val="clear" w:color="auto" w:fill="auto"/>
          </w:tcPr>
          <w:p w14:paraId="20AE34FF" w14:textId="77777777" w:rsidR="00B626E7" w:rsidRDefault="00B626E7">
            <w:pPr>
              <w:rPr>
                <w:rFonts w:ascii="宋体"/>
                <w:vanish/>
              </w:rPr>
            </w:pPr>
          </w:p>
        </w:tc>
        <w:tc>
          <w:tcPr>
            <w:tcW w:w="0" w:type="auto"/>
            <w:gridSpan w:val="3"/>
            <w:shd w:val="clear" w:color="auto" w:fill="auto"/>
          </w:tcPr>
          <w:p w14:paraId="20AE3500" w14:textId="77777777" w:rsidR="00B626E7" w:rsidRDefault="00B626E7">
            <w:pPr>
              <w:rPr>
                <w:rFonts w:ascii="宋体"/>
                <w:vanish/>
              </w:rPr>
            </w:pPr>
          </w:p>
        </w:tc>
        <w:tc>
          <w:tcPr>
            <w:tcW w:w="0" w:type="auto"/>
            <w:gridSpan w:val="3"/>
            <w:shd w:val="clear" w:color="auto" w:fill="auto"/>
          </w:tcPr>
          <w:p w14:paraId="20AE3501" w14:textId="77777777" w:rsidR="00B626E7" w:rsidRDefault="00B626E7">
            <w:pPr>
              <w:rPr>
                <w:rFonts w:ascii="宋体"/>
                <w:vanish/>
              </w:rPr>
            </w:pPr>
          </w:p>
        </w:tc>
        <w:tc>
          <w:tcPr>
            <w:tcW w:w="0" w:type="auto"/>
            <w:gridSpan w:val="3"/>
            <w:shd w:val="clear" w:color="auto" w:fill="auto"/>
          </w:tcPr>
          <w:p w14:paraId="20AE3502" w14:textId="77777777" w:rsidR="00B626E7" w:rsidRDefault="00B626E7">
            <w:pPr>
              <w:rPr>
                <w:rFonts w:ascii="宋体"/>
                <w:vanish/>
              </w:rPr>
            </w:pPr>
          </w:p>
        </w:tc>
        <w:tc>
          <w:tcPr>
            <w:tcW w:w="0" w:type="auto"/>
            <w:gridSpan w:val="3"/>
            <w:shd w:val="clear" w:color="auto" w:fill="auto"/>
          </w:tcPr>
          <w:p w14:paraId="20AE3503" w14:textId="77777777" w:rsidR="00B626E7" w:rsidRDefault="00B626E7">
            <w:pPr>
              <w:rPr>
                <w:rFonts w:ascii="宋体"/>
                <w:vanish/>
              </w:rPr>
            </w:pPr>
          </w:p>
        </w:tc>
        <w:tc>
          <w:tcPr>
            <w:tcW w:w="0" w:type="auto"/>
            <w:shd w:val="clear" w:color="auto" w:fill="auto"/>
          </w:tcPr>
          <w:p w14:paraId="20AE3504" w14:textId="77777777" w:rsidR="00B626E7" w:rsidRDefault="00B626E7">
            <w:pPr>
              <w:rPr>
                <w:rFonts w:ascii="宋体"/>
                <w:vanish/>
              </w:rPr>
            </w:pPr>
          </w:p>
        </w:tc>
        <w:tc>
          <w:tcPr>
            <w:tcW w:w="0" w:type="auto"/>
            <w:shd w:val="clear" w:color="auto" w:fill="auto"/>
          </w:tcPr>
          <w:p w14:paraId="20AE3505" w14:textId="77777777" w:rsidR="00B626E7" w:rsidRDefault="00B626E7">
            <w:pPr>
              <w:rPr>
                <w:rFonts w:ascii="宋体"/>
                <w:vanish/>
              </w:rPr>
            </w:pPr>
          </w:p>
        </w:tc>
        <w:tc>
          <w:tcPr>
            <w:tcW w:w="0" w:type="auto"/>
            <w:shd w:val="clear" w:color="auto" w:fill="auto"/>
          </w:tcPr>
          <w:p w14:paraId="20AE3506" w14:textId="77777777" w:rsidR="00B626E7" w:rsidRDefault="00B626E7">
            <w:pPr>
              <w:rPr>
                <w:rFonts w:ascii="宋体"/>
                <w:vanish/>
              </w:rPr>
            </w:pPr>
          </w:p>
        </w:tc>
        <w:tc>
          <w:tcPr>
            <w:tcW w:w="0" w:type="auto"/>
            <w:shd w:val="clear" w:color="auto" w:fill="auto"/>
          </w:tcPr>
          <w:p w14:paraId="20AE3507" w14:textId="77777777" w:rsidR="00B626E7" w:rsidRDefault="00B626E7">
            <w:pPr>
              <w:rPr>
                <w:rFonts w:ascii="宋体"/>
                <w:vanish/>
              </w:rPr>
            </w:pPr>
          </w:p>
        </w:tc>
        <w:tc>
          <w:tcPr>
            <w:tcW w:w="0" w:type="auto"/>
            <w:shd w:val="clear" w:color="auto" w:fill="auto"/>
          </w:tcPr>
          <w:p w14:paraId="20AE3508" w14:textId="77777777" w:rsidR="00B626E7" w:rsidRDefault="00B626E7">
            <w:pPr>
              <w:rPr>
                <w:rFonts w:ascii="宋体"/>
              </w:rPr>
            </w:pPr>
          </w:p>
        </w:tc>
        <w:tc>
          <w:tcPr>
            <w:tcW w:w="0" w:type="auto"/>
            <w:shd w:val="clear" w:color="auto" w:fill="auto"/>
          </w:tcPr>
          <w:p w14:paraId="20AE3509" w14:textId="77777777" w:rsidR="00B626E7" w:rsidRDefault="00B626E7">
            <w:pPr>
              <w:rPr>
                <w:rFonts w:ascii="宋体"/>
              </w:rPr>
            </w:pPr>
          </w:p>
        </w:tc>
        <w:tc>
          <w:tcPr>
            <w:tcW w:w="0" w:type="auto"/>
            <w:shd w:val="clear" w:color="auto" w:fill="auto"/>
          </w:tcPr>
          <w:p w14:paraId="20AE350A" w14:textId="77777777" w:rsidR="00B626E7" w:rsidRDefault="00B626E7">
            <w:pPr>
              <w:rPr>
                <w:rFonts w:ascii="宋体"/>
              </w:rPr>
            </w:pPr>
          </w:p>
        </w:tc>
        <w:tc>
          <w:tcPr>
            <w:tcW w:w="0" w:type="auto"/>
            <w:shd w:val="clear" w:color="auto" w:fill="auto"/>
          </w:tcPr>
          <w:p w14:paraId="20AE350B" w14:textId="77777777" w:rsidR="00B626E7" w:rsidRDefault="00B626E7">
            <w:pPr>
              <w:rPr>
                <w:rFonts w:ascii="宋体"/>
              </w:rPr>
            </w:pPr>
          </w:p>
        </w:tc>
        <w:tc>
          <w:tcPr>
            <w:tcW w:w="0" w:type="auto"/>
            <w:shd w:val="clear" w:color="auto" w:fill="auto"/>
          </w:tcPr>
          <w:p w14:paraId="20AE350C" w14:textId="77777777" w:rsidR="00B626E7" w:rsidRDefault="00B626E7">
            <w:pPr>
              <w:rPr>
                <w:rFonts w:ascii="宋体"/>
              </w:rPr>
            </w:pPr>
          </w:p>
        </w:tc>
        <w:tc>
          <w:tcPr>
            <w:tcW w:w="0" w:type="auto"/>
            <w:shd w:val="clear" w:color="auto" w:fill="auto"/>
          </w:tcPr>
          <w:p w14:paraId="20AE350D" w14:textId="77777777" w:rsidR="00B626E7" w:rsidRDefault="00B626E7">
            <w:pPr>
              <w:rPr>
                <w:rFonts w:ascii="宋体"/>
              </w:rPr>
            </w:pPr>
          </w:p>
        </w:tc>
      </w:tr>
      <w:tr w:rsidR="00B626E7" w14:paraId="20AE351E" w14:textId="77777777">
        <w:trPr>
          <w:hidden/>
        </w:trPr>
        <w:tc>
          <w:tcPr>
            <w:tcW w:w="0" w:type="auto"/>
            <w:gridSpan w:val="3"/>
            <w:shd w:val="clear" w:color="auto" w:fill="auto"/>
          </w:tcPr>
          <w:p w14:paraId="20AE350F" w14:textId="77777777" w:rsidR="00B626E7" w:rsidRDefault="00B626E7">
            <w:pPr>
              <w:rPr>
                <w:rFonts w:ascii="宋体"/>
                <w:vanish/>
              </w:rPr>
            </w:pPr>
          </w:p>
        </w:tc>
        <w:tc>
          <w:tcPr>
            <w:tcW w:w="0" w:type="auto"/>
            <w:gridSpan w:val="3"/>
            <w:shd w:val="clear" w:color="auto" w:fill="auto"/>
          </w:tcPr>
          <w:p w14:paraId="20AE3510" w14:textId="77777777" w:rsidR="00B626E7" w:rsidRDefault="00B626E7">
            <w:pPr>
              <w:rPr>
                <w:rFonts w:ascii="宋体"/>
                <w:vanish/>
              </w:rPr>
            </w:pPr>
          </w:p>
        </w:tc>
        <w:tc>
          <w:tcPr>
            <w:tcW w:w="0" w:type="auto"/>
            <w:gridSpan w:val="3"/>
            <w:shd w:val="clear" w:color="auto" w:fill="auto"/>
          </w:tcPr>
          <w:p w14:paraId="20AE3511" w14:textId="77777777" w:rsidR="00B626E7" w:rsidRDefault="00B626E7">
            <w:pPr>
              <w:rPr>
                <w:rFonts w:ascii="宋体"/>
                <w:vanish/>
              </w:rPr>
            </w:pPr>
          </w:p>
        </w:tc>
        <w:tc>
          <w:tcPr>
            <w:tcW w:w="0" w:type="auto"/>
            <w:gridSpan w:val="3"/>
            <w:shd w:val="clear" w:color="auto" w:fill="auto"/>
          </w:tcPr>
          <w:p w14:paraId="20AE3512" w14:textId="77777777" w:rsidR="00B626E7" w:rsidRDefault="00B626E7">
            <w:pPr>
              <w:rPr>
                <w:rFonts w:ascii="宋体"/>
                <w:vanish/>
              </w:rPr>
            </w:pPr>
          </w:p>
        </w:tc>
        <w:tc>
          <w:tcPr>
            <w:tcW w:w="0" w:type="auto"/>
            <w:gridSpan w:val="3"/>
            <w:shd w:val="clear" w:color="auto" w:fill="auto"/>
          </w:tcPr>
          <w:p w14:paraId="20AE3513" w14:textId="77777777" w:rsidR="00B626E7" w:rsidRDefault="00B626E7">
            <w:pPr>
              <w:rPr>
                <w:rFonts w:ascii="宋体"/>
                <w:vanish/>
              </w:rPr>
            </w:pPr>
          </w:p>
        </w:tc>
        <w:tc>
          <w:tcPr>
            <w:tcW w:w="0" w:type="auto"/>
            <w:shd w:val="clear" w:color="auto" w:fill="auto"/>
          </w:tcPr>
          <w:p w14:paraId="20AE3514" w14:textId="77777777" w:rsidR="00B626E7" w:rsidRDefault="00B626E7">
            <w:pPr>
              <w:rPr>
                <w:rFonts w:ascii="宋体"/>
                <w:vanish/>
              </w:rPr>
            </w:pPr>
          </w:p>
        </w:tc>
        <w:tc>
          <w:tcPr>
            <w:tcW w:w="0" w:type="auto"/>
            <w:shd w:val="clear" w:color="auto" w:fill="auto"/>
          </w:tcPr>
          <w:p w14:paraId="20AE3515" w14:textId="77777777" w:rsidR="00B626E7" w:rsidRDefault="00B626E7">
            <w:pPr>
              <w:rPr>
                <w:rFonts w:ascii="宋体"/>
                <w:vanish/>
              </w:rPr>
            </w:pPr>
          </w:p>
        </w:tc>
        <w:tc>
          <w:tcPr>
            <w:tcW w:w="0" w:type="auto"/>
            <w:shd w:val="clear" w:color="auto" w:fill="auto"/>
          </w:tcPr>
          <w:p w14:paraId="20AE3516" w14:textId="77777777" w:rsidR="00B626E7" w:rsidRDefault="00B626E7">
            <w:pPr>
              <w:rPr>
                <w:rFonts w:ascii="宋体"/>
                <w:vanish/>
              </w:rPr>
            </w:pPr>
          </w:p>
        </w:tc>
        <w:tc>
          <w:tcPr>
            <w:tcW w:w="0" w:type="auto"/>
            <w:shd w:val="clear" w:color="auto" w:fill="auto"/>
          </w:tcPr>
          <w:p w14:paraId="20AE3517" w14:textId="77777777" w:rsidR="00B626E7" w:rsidRDefault="00B626E7">
            <w:pPr>
              <w:rPr>
                <w:rFonts w:ascii="宋体"/>
                <w:vanish/>
              </w:rPr>
            </w:pPr>
          </w:p>
        </w:tc>
        <w:tc>
          <w:tcPr>
            <w:tcW w:w="0" w:type="auto"/>
            <w:shd w:val="clear" w:color="auto" w:fill="auto"/>
          </w:tcPr>
          <w:p w14:paraId="20AE3518" w14:textId="77777777" w:rsidR="00B626E7" w:rsidRDefault="00B626E7">
            <w:pPr>
              <w:rPr>
                <w:rFonts w:ascii="宋体"/>
              </w:rPr>
            </w:pPr>
          </w:p>
        </w:tc>
        <w:tc>
          <w:tcPr>
            <w:tcW w:w="0" w:type="auto"/>
            <w:shd w:val="clear" w:color="auto" w:fill="auto"/>
          </w:tcPr>
          <w:p w14:paraId="20AE3519" w14:textId="77777777" w:rsidR="00B626E7" w:rsidRDefault="00B626E7">
            <w:pPr>
              <w:rPr>
                <w:rFonts w:ascii="宋体"/>
              </w:rPr>
            </w:pPr>
          </w:p>
        </w:tc>
        <w:tc>
          <w:tcPr>
            <w:tcW w:w="0" w:type="auto"/>
            <w:shd w:val="clear" w:color="auto" w:fill="auto"/>
          </w:tcPr>
          <w:p w14:paraId="20AE351A" w14:textId="77777777" w:rsidR="00B626E7" w:rsidRDefault="00B626E7">
            <w:pPr>
              <w:rPr>
                <w:rFonts w:ascii="宋体"/>
              </w:rPr>
            </w:pPr>
          </w:p>
        </w:tc>
        <w:tc>
          <w:tcPr>
            <w:tcW w:w="0" w:type="auto"/>
            <w:shd w:val="clear" w:color="auto" w:fill="auto"/>
          </w:tcPr>
          <w:p w14:paraId="20AE351B" w14:textId="77777777" w:rsidR="00B626E7" w:rsidRDefault="00B626E7">
            <w:pPr>
              <w:rPr>
                <w:rFonts w:ascii="宋体"/>
              </w:rPr>
            </w:pPr>
          </w:p>
        </w:tc>
        <w:tc>
          <w:tcPr>
            <w:tcW w:w="0" w:type="auto"/>
            <w:shd w:val="clear" w:color="auto" w:fill="auto"/>
          </w:tcPr>
          <w:p w14:paraId="20AE351C" w14:textId="77777777" w:rsidR="00B626E7" w:rsidRDefault="00B626E7">
            <w:pPr>
              <w:rPr>
                <w:rFonts w:ascii="宋体"/>
              </w:rPr>
            </w:pPr>
          </w:p>
        </w:tc>
        <w:tc>
          <w:tcPr>
            <w:tcW w:w="0" w:type="auto"/>
            <w:shd w:val="clear" w:color="auto" w:fill="auto"/>
          </w:tcPr>
          <w:p w14:paraId="20AE351D" w14:textId="77777777" w:rsidR="00B626E7" w:rsidRDefault="00B626E7">
            <w:pPr>
              <w:rPr>
                <w:rFonts w:ascii="宋体"/>
              </w:rPr>
            </w:pPr>
          </w:p>
        </w:tc>
      </w:tr>
      <w:tr w:rsidR="00B626E7" w14:paraId="20AE3530" w14:textId="77777777">
        <w:tc>
          <w:tcPr>
            <w:tcW w:w="0" w:type="auto"/>
            <w:gridSpan w:val="3"/>
            <w:shd w:val="clear" w:color="auto" w:fill="auto"/>
            <w:tcMar>
              <w:top w:w="40" w:type="dxa"/>
              <w:left w:w="225" w:type="dxa"/>
              <w:bottom w:w="40" w:type="dxa"/>
              <w:right w:w="20" w:type="dxa"/>
            </w:tcMar>
            <w:vAlign w:val="bottom"/>
          </w:tcPr>
          <w:p w14:paraId="20AE351F" w14:textId="77777777" w:rsidR="00B626E7" w:rsidRDefault="00175C1D">
            <w:pPr>
              <w:textAlignment w:val="bottom"/>
            </w:pPr>
            <w:r>
              <w:rPr>
                <w:rFonts w:ascii="Arial" w:eastAsia="宋体" w:hAnsi="Arial" w:cs="Arial"/>
                <w:color w:val="333333"/>
                <w:sz w:val="18"/>
                <w:szCs w:val="18"/>
              </w:rPr>
              <w:t>Restructuring and other charges</w:t>
            </w:r>
          </w:p>
        </w:tc>
        <w:tc>
          <w:tcPr>
            <w:tcW w:w="0" w:type="auto"/>
            <w:gridSpan w:val="3"/>
            <w:shd w:val="clear" w:color="auto" w:fill="auto"/>
            <w:tcMar>
              <w:left w:w="20" w:type="dxa"/>
              <w:right w:w="20" w:type="dxa"/>
            </w:tcMar>
            <w:vAlign w:val="bottom"/>
          </w:tcPr>
          <w:p w14:paraId="20AE3520"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3521" w14:textId="77777777" w:rsidR="00B626E7" w:rsidRDefault="00175C1D">
            <w:pPr>
              <w:jc w:val="right"/>
              <w:textAlignment w:val="bottom"/>
            </w:pPr>
            <w:r>
              <w:rPr>
                <w:rFonts w:ascii="Arial" w:eastAsia="宋体" w:hAnsi="Arial" w:cs="Arial"/>
                <w:color w:val="0071C5"/>
                <w:sz w:val="18"/>
                <w:szCs w:val="18"/>
              </w:rPr>
              <w:t>9 </w:t>
            </w:r>
          </w:p>
        </w:tc>
        <w:tc>
          <w:tcPr>
            <w:tcW w:w="0" w:type="auto"/>
            <w:shd w:val="clear" w:color="auto" w:fill="auto"/>
            <w:tcMar>
              <w:top w:w="40" w:type="dxa"/>
              <w:bottom w:w="40" w:type="dxa"/>
              <w:right w:w="20" w:type="dxa"/>
            </w:tcMar>
            <w:vAlign w:val="bottom"/>
          </w:tcPr>
          <w:p w14:paraId="20AE3522"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3523"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3524" w14:textId="77777777" w:rsidR="00B626E7" w:rsidRDefault="00175C1D">
            <w:pPr>
              <w:jc w:val="right"/>
              <w:textAlignment w:val="bottom"/>
            </w:pPr>
            <w:r>
              <w:rPr>
                <w:rFonts w:ascii="Arial" w:eastAsia="宋体" w:hAnsi="Arial" w:cs="Arial"/>
                <w:color w:val="333333"/>
                <w:sz w:val="18"/>
                <w:szCs w:val="18"/>
              </w:rPr>
              <w:t>184 </w:t>
            </w:r>
          </w:p>
        </w:tc>
        <w:tc>
          <w:tcPr>
            <w:tcW w:w="0" w:type="auto"/>
            <w:shd w:val="clear" w:color="auto" w:fill="auto"/>
            <w:tcMar>
              <w:top w:w="40" w:type="dxa"/>
              <w:bottom w:w="40" w:type="dxa"/>
              <w:right w:w="20" w:type="dxa"/>
            </w:tcMar>
            <w:vAlign w:val="bottom"/>
          </w:tcPr>
          <w:p w14:paraId="20AE3525"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3526" w14:textId="77777777" w:rsidR="00B626E7" w:rsidRDefault="00B626E7">
            <w:pPr>
              <w:rPr>
                <w:rFonts w:ascii="宋体"/>
                <w:vanish/>
              </w:rPr>
            </w:pPr>
          </w:p>
        </w:tc>
        <w:tc>
          <w:tcPr>
            <w:tcW w:w="0" w:type="auto"/>
            <w:shd w:val="clear" w:color="auto" w:fill="auto"/>
          </w:tcPr>
          <w:p w14:paraId="20AE3527" w14:textId="77777777" w:rsidR="00B626E7" w:rsidRDefault="00B626E7">
            <w:pPr>
              <w:rPr>
                <w:rFonts w:ascii="宋体"/>
                <w:vanish/>
              </w:rPr>
            </w:pPr>
          </w:p>
        </w:tc>
        <w:tc>
          <w:tcPr>
            <w:tcW w:w="0" w:type="auto"/>
            <w:shd w:val="clear" w:color="auto" w:fill="auto"/>
          </w:tcPr>
          <w:p w14:paraId="20AE3528" w14:textId="77777777" w:rsidR="00B626E7" w:rsidRDefault="00B626E7">
            <w:pPr>
              <w:rPr>
                <w:rFonts w:ascii="宋体"/>
                <w:vanish/>
              </w:rPr>
            </w:pPr>
          </w:p>
        </w:tc>
        <w:tc>
          <w:tcPr>
            <w:tcW w:w="0" w:type="auto"/>
            <w:shd w:val="clear" w:color="auto" w:fill="auto"/>
          </w:tcPr>
          <w:p w14:paraId="20AE3529" w14:textId="77777777" w:rsidR="00B626E7" w:rsidRDefault="00B626E7">
            <w:pPr>
              <w:rPr>
                <w:rFonts w:ascii="宋体"/>
                <w:vanish/>
              </w:rPr>
            </w:pPr>
          </w:p>
        </w:tc>
        <w:tc>
          <w:tcPr>
            <w:tcW w:w="0" w:type="auto"/>
            <w:shd w:val="clear" w:color="auto" w:fill="auto"/>
          </w:tcPr>
          <w:p w14:paraId="20AE352A" w14:textId="77777777" w:rsidR="00B626E7" w:rsidRDefault="00B626E7">
            <w:pPr>
              <w:rPr>
                <w:rFonts w:ascii="宋体"/>
              </w:rPr>
            </w:pPr>
          </w:p>
        </w:tc>
        <w:tc>
          <w:tcPr>
            <w:tcW w:w="0" w:type="auto"/>
            <w:shd w:val="clear" w:color="auto" w:fill="auto"/>
          </w:tcPr>
          <w:p w14:paraId="20AE352B" w14:textId="77777777" w:rsidR="00B626E7" w:rsidRDefault="00B626E7">
            <w:pPr>
              <w:rPr>
                <w:rFonts w:ascii="宋体"/>
              </w:rPr>
            </w:pPr>
          </w:p>
        </w:tc>
        <w:tc>
          <w:tcPr>
            <w:tcW w:w="0" w:type="auto"/>
            <w:shd w:val="clear" w:color="auto" w:fill="auto"/>
          </w:tcPr>
          <w:p w14:paraId="20AE352C" w14:textId="77777777" w:rsidR="00B626E7" w:rsidRDefault="00B626E7">
            <w:pPr>
              <w:rPr>
                <w:rFonts w:ascii="宋体"/>
              </w:rPr>
            </w:pPr>
          </w:p>
        </w:tc>
        <w:tc>
          <w:tcPr>
            <w:tcW w:w="0" w:type="auto"/>
            <w:shd w:val="clear" w:color="auto" w:fill="auto"/>
          </w:tcPr>
          <w:p w14:paraId="20AE352D" w14:textId="77777777" w:rsidR="00B626E7" w:rsidRDefault="00B626E7">
            <w:pPr>
              <w:rPr>
                <w:rFonts w:ascii="宋体"/>
              </w:rPr>
            </w:pPr>
          </w:p>
        </w:tc>
        <w:tc>
          <w:tcPr>
            <w:tcW w:w="0" w:type="auto"/>
            <w:shd w:val="clear" w:color="auto" w:fill="auto"/>
          </w:tcPr>
          <w:p w14:paraId="20AE352E" w14:textId="77777777" w:rsidR="00B626E7" w:rsidRDefault="00B626E7">
            <w:pPr>
              <w:rPr>
                <w:rFonts w:ascii="宋体"/>
              </w:rPr>
            </w:pPr>
          </w:p>
        </w:tc>
        <w:tc>
          <w:tcPr>
            <w:tcW w:w="0" w:type="auto"/>
            <w:shd w:val="clear" w:color="auto" w:fill="auto"/>
          </w:tcPr>
          <w:p w14:paraId="20AE352F" w14:textId="77777777" w:rsidR="00B626E7" w:rsidRDefault="00B626E7">
            <w:pPr>
              <w:rPr>
                <w:rFonts w:ascii="宋体"/>
              </w:rPr>
            </w:pPr>
          </w:p>
        </w:tc>
      </w:tr>
      <w:tr w:rsidR="00B626E7" w14:paraId="20AE3544" w14:textId="77777777">
        <w:tc>
          <w:tcPr>
            <w:tcW w:w="0" w:type="auto"/>
            <w:gridSpan w:val="3"/>
            <w:shd w:val="clear" w:color="auto" w:fill="auto"/>
            <w:tcMar>
              <w:top w:w="40" w:type="dxa"/>
              <w:left w:w="20" w:type="dxa"/>
              <w:bottom w:w="40" w:type="dxa"/>
              <w:right w:w="20" w:type="dxa"/>
            </w:tcMar>
            <w:vAlign w:val="bottom"/>
          </w:tcPr>
          <w:p w14:paraId="20AE3531" w14:textId="77777777" w:rsidR="00B626E7" w:rsidRDefault="00175C1D">
            <w:pPr>
              <w:textAlignment w:val="bottom"/>
            </w:pPr>
            <w:r>
              <w:rPr>
                <w:rFonts w:ascii="Arial" w:eastAsia="宋体" w:hAnsi="Arial" w:cs="Arial"/>
                <w:b/>
                <w:bCs/>
                <w:color w:val="333333"/>
                <w:sz w:val="18"/>
                <w:szCs w:val="18"/>
              </w:rPr>
              <w:t>Non-GAAP operating income</w:t>
            </w:r>
          </w:p>
        </w:tc>
        <w:tc>
          <w:tcPr>
            <w:tcW w:w="0" w:type="auto"/>
            <w:gridSpan w:val="3"/>
            <w:shd w:val="clear" w:color="auto" w:fill="auto"/>
            <w:tcMar>
              <w:left w:w="20" w:type="dxa"/>
              <w:right w:w="20" w:type="dxa"/>
            </w:tcMar>
            <w:vAlign w:val="bottom"/>
          </w:tcPr>
          <w:p w14:paraId="20AE3532" w14:textId="77777777" w:rsidR="00B626E7" w:rsidRDefault="00B626E7">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20AE3533" w14:textId="77777777" w:rsidR="00B626E7" w:rsidRDefault="00175C1D">
            <w:pPr>
              <w:textAlignment w:val="bottom"/>
            </w:pPr>
            <w:r>
              <w:rPr>
                <w:rFonts w:ascii="Arial" w:eastAsia="宋体" w:hAnsi="Arial" w:cs="Arial"/>
                <w:b/>
                <w:bCs/>
                <w:color w:val="0071C5"/>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20AE3534" w14:textId="77777777" w:rsidR="00B626E7" w:rsidRDefault="00175C1D">
            <w:pPr>
              <w:jc w:val="right"/>
              <w:textAlignment w:val="bottom"/>
            </w:pPr>
            <w:r>
              <w:rPr>
                <w:rFonts w:ascii="Arial" w:eastAsia="宋体" w:hAnsi="Arial" w:cs="Arial"/>
                <w:b/>
                <w:bCs/>
                <w:color w:val="0071C5"/>
                <w:sz w:val="18"/>
                <w:szCs w:val="18"/>
              </w:rPr>
              <w:t>6,058 </w:t>
            </w:r>
          </w:p>
        </w:tc>
        <w:tc>
          <w:tcPr>
            <w:tcW w:w="0" w:type="auto"/>
            <w:tcBorders>
              <w:top w:val="single" w:sz="8" w:space="0" w:color="333333"/>
            </w:tcBorders>
            <w:shd w:val="clear" w:color="auto" w:fill="auto"/>
            <w:tcMar>
              <w:top w:w="40" w:type="dxa"/>
              <w:bottom w:w="40" w:type="dxa"/>
              <w:right w:w="20" w:type="dxa"/>
            </w:tcMar>
            <w:vAlign w:val="bottom"/>
          </w:tcPr>
          <w:p w14:paraId="20AE3535"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3536" w14:textId="77777777" w:rsidR="00B626E7" w:rsidRDefault="00B626E7">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20AE3537"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20AE3538" w14:textId="77777777" w:rsidR="00B626E7" w:rsidRDefault="00175C1D">
            <w:pPr>
              <w:jc w:val="right"/>
              <w:textAlignment w:val="bottom"/>
            </w:pPr>
            <w:r>
              <w:rPr>
                <w:rFonts w:ascii="Arial" w:eastAsia="宋体" w:hAnsi="Arial" w:cs="Arial"/>
                <w:b/>
                <w:bCs/>
                <w:color w:val="333333"/>
                <w:sz w:val="18"/>
                <w:szCs w:val="18"/>
              </w:rPr>
              <w:t>5,138 </w:t>
            </w:r>
          </w:p>
        </w:tc>
        <w:tc>
          <w:tcPr>
            <w:tcW w:w="0" w:type="auto"/>
            <w:tcBorders>
              <w:top w:val="single" w:sz="8" w:space="0" w:color="333333"/>
            </w:tcBorders>
            <w:shd w:val="clear" w:color="auto" w:fill="auto"/>
            <w:tcMar>
              <w:top w:w="40" w:type="dxa"/>
              <w:bottom w:w="40" w:type="dxa"/>
              <w:right w:w="20" w:type="dxa"/>
            </w:tcMar>
            <w:vAlign w:val="bottom"/>
          </w:tcPr>
          <w:p w14:paraId="20AE3539"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E353A" w14:textId="77777777" w:rsidR="00B626E7" w:rsidRDefault="00B626E7">
            <w:pPr>
              <w:rPr>
                <w:rFonts w:ascii="宋体"/>
                <w:vanish/>
              </w:rPr>
            </w:pPr>
          </w:p>
        </w:tc>
        <w:tc>
          <w:tcPr>
            <w:tcW w:w="0" w:type="auto"/>
            <w:shd w:val="clear" w:color="auto" w:fill="auto"/>
          </w:tcPr>
          <w:p w14:paraId="20AE353B" w14:textId="77777777" w:rsidR="00B626E7" w:rsidRDefault="00B626E7">
            <w:pPr>
              <w:rPr>
                <w:rFonts w:ascii="宋体"/>
                <w:vanish/>
              </w:rPr>
            </w:pPr>
          </w:p>
        </w:tc>
        <w:tc>
          <w:tcPr>
            <w:tcW w:w="0" w:type="auto"/>
            <w:shd w:val="clear" w:color="auto" w:fill="auto"/>
          </w:tcPr>
          <w:p w14:paraId="20AE353C" w14:textId="77777777" w:rsidR="00B626E7" w:rsidRDefault="00B626E7">
            <w:pPr>
              <w:rPr>
                <w:rFonts w:ascii="宋体"/>
                <w:vanish/>
              </w:rPr>
            </w:pPr>
          </w:p>
        </w:tc>
        <w:tc>
          <w:tcPr>
            <w:tcW w:w="0" w:type="auto"/>
            <w:shd w:val="clear" w:color="auto" w:fill="auto"/>
          </w:tcPr>
          <w:p w14:paraId="20AE353D" w14:textId="77777777" w:rsidR="00B626E7" w:rsidRDefault="00B626E7">
            <w:pPr>
              <w:rPr>
                <w:rFonts w:ascii="宋体"/>
                <w:vanish/>
              </w:rPr>
            </w:pPr>
          </w:p>
        </w:tc>
        <w:tc>
          <w:tcPr>
            <w:tcW w:w="0" w:type="auto"/>
            <w:shd w:val="clear" w:color="auto" w:fill="auto"/>
          </w:tcPr>
          <w:p w14:paraId="20AE353E" w14:textId="77777777" w:rsidR="00B626E7" w:rsidRDefault="00B626E7">
            <w:pPr>
              <w:rPr>
                <w:rFonts w:ascii="宋体"/>
              </w:rPr>
            </w:pPr>
          </w:p>
        </w:tc>
        <w:tc>
          <w:tcPr>
            <w:tcW w:w="0" w:type="auto"/>
            <w:shd w:val="clear" w:color="auto" w:fill="auto"/>
          </w:tcPr>
          <w:p w14:paraId="20AE353F" w14:textId="77777777" w:rsidR="00B626E7" w:rsidRDefault="00B626E7">
            <w:pPr>
              <w:rPr>
                <w:rFonts w:ascii="宋体"/>
              </w:rPr>
            </w:pPr>
          </w:p>
        </w:tc>
        <w:tc>
          <w:tcPr>
            <w:tcW w:w="0" w:type="auto"/>
            <w:shd w:val="clear" w:color="auto" w:fill="auto"/>
          </w:tcPr>
          <w:p w14:paraId="20AE3540" w14:textId="77777777" w:rsidR="00B626E7" w:rsidRDefault="00B626E7">
            <w:pPr>
              <w:rPr>
                <w:rFonts w:ascii="宋体"/>
              </w:rPr>
            </w:pPr>
          </w:p>
        </w:tc>
        <w:tc>
          <w:tcPr>
            <w:tcW w:w="0" w:type="auto"/>
            <w:shd w:val="clear" w:color="auto" w:fill="auto"/>
          </w:tcPr>
          <w:p w14:paraId="20AE3541" w14:textId="77777777" w:rsidR="00B626E7" w:rsidRDefault="00B626E7">
            <w:pPr>
              <w:rPr>
                <w:rFonts w:ascii="宋体"/>
              </w:rPr>
            </w:pPr>
          </w:p>
        </w:tc>
        <w:tc>
          <w:tcPr>
            <w:tcW w:w="0" w:type="auto"/>
            <w:shd w:val="clear" w:color="auto" w:fill="auto"/>
          </w:tcPr>
          <w:p w14:paraId="20AE3542" w14:textId="77777777" w:rsidR="00B626E7" w:rsidRDefault="00B626E7">
            <w:pPr>
              <w:rPr>
                <w:rFonts w:ascii="宋体"/>
              </w:rPr>
            </w:pPr>
          </w:p>
        </w:tc>
        <w:tc>
          <w:tcPr>
            <w:tcW w:w="0" w:type="auto"/>
            <w:shd w:val="clear" w:color="auto" w:fill="auto"/>
          </w:tcPr>
          <w:p w14:paraId="20AE3543" w14:textId="77777777" w:rsidR="00B626E7" w:rsidRDefault="00B626E7">
            <w:pPr>
              <w:rPr>
                <w:rFonts w:ascii="宋体"/>
              </w:rPr>
            </w:pPr>
          </w:p>
        </w:tc>
      </w:tr>
      <w:tr w:rsidR="00B626E7" w14:paraId="20AE3554" w14:textId="77777777">
        <w:trPr>
          <w:trHeight w:val="240"/>
        </w:trPr>
        <w:tc>
          <w:tcPr>
            <w:tcW w:w="0" w:type="auto"/>
            <w:gridSpan w:val="3"/>
            <w:shd w:val="clear" w:color="auto" w:fill="auto"/>
            <w:tcMar>
              <w:left w:w="20" w:type="dxa"/>
              <w:right w:w="20" w:type="dxa"/>
            </w:tcMar>
            <w:vAlign w:val="bottom"/>
          </w:tcPr>
          <w:p w14:paraId="20AE3545"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546" w14:textId="77777777" w:rsidR="00B626E7" w:rsidRDefault="00B626E7">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20AE3547"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548" w14:textId="77777777" w:rsidR="00B626E7" w:rsidRDefault="00B626E7">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20AE3549" w14:textId="77777777" w:rsidR="00B626E7" w:rsidRDefault="00B626E7">
            <w:pPr>
              <w:rPr>
                <w:rFonts w:ascii="宋体"/>
              </w:rPr>
            </w:pPr>
          </w:p>
        </w:tc>
        <w:tc>
          <w:tcPr>
            <w:tcW w:w="0" w:type="auto"/>
            <w:shd w:val="clear" w:color="auto" w:fill="auto"/>
          </w:tcPr>
          <w:p w14:paraId="20AE354A" w14:textId="77777777" w:rsidR="00B626E7" w:rsidRDefault="00B626E7">
            <w:pPr>
              <w:rPr>
                <w:rFonts w:ascii="宋体"/>
                <w:vanish/>
              </w:rPr>
            </w:pPr>
          </w:p>
        </w:tc>
        <w:tc>
          <w:tcPr>
            <w:tcW w:w="0" w:type="auto"/>
            <w:shd w:val="clear" w:color="auto" w:fill="auto"/>
          </w:tcPr>
          <w:p w14:paraId="20AE354B" w14:textId="77777777" w:rsidR="00B626E7" w:rsidRDefault="00B626E7">
            <w:pPr>
              <w:rPr>
                <w:rFonts w:ascii="宋体"/>
                <w:vanish/>
              </w:rPr>
            </w:pPr>
          </w:p>
        </w:tc>
        <w:tc>
          <w:tcPr>
            <w:tcW w:w="0" w:type="auto"/>
            <w:shd w:val="clear" w:color="auto" w:fill="auto"/>
          </w:tcPr>
          <w:p w14:paraId="20AE354C" w14:textId="77777777" w:rsidR="00B626E7" w:rsidRDefault="00B626E7">
            <w:pPr>
              <w:rPr>
                <w:rFonts w:ascii="宋体"/>
                <w:vanish/>
              </w:rPr>
            </w:pPr>
          </w:p>
        </w:tc>
        <w:tc>
          <w:tcPr>
            <w:tcW w:w="0" w:type="auto"/>
            <w:shd w:val="clear" w:color="auto" w:fill="auto"/>
          </w:tcPr>
          <w:p w14:paraId="20AE354D" w14:textId="77777777" w:rsidR="00B626E7" w:rsidRDefault="00B626E7">
            <w:pPr>
              <w:rPr>
                <w:rFonts w:ascii="宋体"/>
                <w:vanish/>
              </w:rPr>
            </w:pPr>
          </w:p>
        </w:tc>
        <w:tc>
          <w:tcPr>
            <w:tcW w:w="0" w:type="auto"/>
            <w:shd w:val="clear" w:color="auto" w:fill="auto"/>
          </w:tcPr>
          <w:p w14:paraId="20AE354E" w14:textId="77777777" w:rsidR="00B626E7" w:rsidRDefault="00B626E7">
            <w:pPr>
              <w:rPr>
                <w:rFonts w:ascii="宋体"/>
              </w:rPr>
            </w:pPr>
          </w:p>
        </w:tc>
        <w:tc>
          <w:tcPr>
            <w:tcW w:w="0" w:type="auto"/>
            <w:shd w:val="clear" w:color="auto" w:fill="auto"/>
          </w:tcPr>
          <w:p w14:paraId="20AE354F" w14:textId="77777777" w:rsidR="00B626E7" w:rsidRDefault="00B626E7">
            <w:pPr>
              <w:rPr>
                <w:rFonts w:ascii="宋体"/>
              </w:rPr>
            </w:pPr>
          </w:p>
        </w:tc>
        <w:tc>
          <w:tcPr>
            <w:tcW w:w="0" w:type="auto"/>
            <w:shd w:val="clear" w:color="auto" w:fill="auto"/>
          </w:tcPr>
          <w:p w14:paraId="20AE3550" w14:textId="77777777" w:rsidR="00B626E7" w:rsidRDefault="00B626E7">
            <w:pPr>
              <w:rPr>
                <w:rFonts w:ascii="宋体"/>
              </w:rPr>
            </w:pPr>
          </w:p>
        </w:tc>
        <w:tc>
          <w:tcPr>
            <w:tcW w:w="0" w:type="auto"/>
            <w:shd w:val="clear" w:color="auto" w:fill="auto"/>
          </w:tcPr>
          <w:p w14:paraId="20AE3551" w14:textId="77777777" w:rsidR="00B626E7" w:rsidRDefault="00B626E7">
            <w:pPr>
              <w:rPr>
                <w:rFonts w:ascii="宋体"/>
              </w:rPr>
            </w:pPr>
          </w:p>
        </w:tc>
        <w:tc>
          <w:tcPr>
            <w:tcW w:w="0" w:type="auto"/>
            <w:shd w:val="clear" w:color="auto" w:fill="auto"/>
          </w:tcPr>
          <w:p w14:paraId="20AE3552" w14:textId="77777777" w:rsidR="00B626E7" w:rsidRDefault="00B626E7">
            <w:pPr>
              <w:rPr>
                <w:rFonts w:ascii="宋体"/>
              </w:rPr>
            </w:pPr>
          </w:p>
        </w:tc>
        <w:tc>
          <w:tcPr>
            <w:tcW w:w="0" w:type="auto"/>
            <w:shd w:val="clear" w:color="auto" w:fill="auto"/>
          </w:tcPr>
          <w:p w14:paraId="20AE3553" w14:textId="77777777" w:rsidR="00B626E7" w:rsidRDefault="00B626E7">
            <w:pPr>
              <w:rPr>
                <w:rFonts w:ascii="宋体"/>
              </w:rPr>
            </w:pPr>
          </w:p>
        </w:tc>
      </w:tr>
      <w:tr w:rsidR="00B626E7" w14:paraId="20AE3566" w14:textId="77777777">
        <w:tc>
          <w:tcPr>
            <w:tcW w:w="0" w:type="auto"/>
            <w:gridSpan w:val="3"/>
            <w:shd w:val="clear" w:color="auto" w:fill="auto"/>
            <w:tcMar>
              <w:top w:w="40" w:type="dxa"/>
              <w:left w:w="20" w:type="dxa"/>
              <w:bottom w:w="40" w:type="dxa"/>
              <w:right w:w="20" w:type="dxa"/>
            </w:tcMar>
            <w:vAlign w:val="bottom"/>
          </w:tcPr>
          <w:p w14:paraId="20AE3555" w14:textId="77777777" w:rsidR="00B626E7" w:rsidRDefault="00175C1D">
            <w:pPr>
              <w:textAlignment w:val="bottom"/>
            </w:pPr>
            <w:r>
              <w:rPr>
                <w:rFonts w:ascii="Arial" w:eastAsia="宋体" w:hAnsi="Arial" w:cs="Arial"/>
                <w:b/>
                <w:bCs/>
                <w:color w:val="000000"/>
                <w:sz w:val="18"/>
                <w:szCs w:val="18"/>
              </w:rPr>
              <w:t>Operating margin</w:t>
            </w:r>
          </w:p>
        </w:tc>
        <w:tc>
          <w:tcPr>
            <w:tcW w:w="0" w:type="auto"/>
            <w:gridSpan w:val="3"/>
            <w:shd w:val="clear" w:color="auto" w:fill="auto"/>
            <w:tcMar>
              <w:left w:w="20" w:type="dxa"/>
              <w:right w:w="20" w:type="dxa"/>
            </w:tcMar>
            <w:vAlign w:val="bottom"/>
          </w:tcPr>
          <w:p w14:paraId="20AE3556"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3557" w14:textId="77777777" w:rsidR="00B626E7" w:rsidRDefault="00175C1D">
            <w:pPr>
              <w:jc w:val="right"/>
              <w:textAlignment w:val="bottom"/>
            </w:pPr>
            <w:r>
              <w:rPr>
                <w:rFonts w:ascii="Arial" w:eastAsia="宋体" w:hAnsi="Arial" w:cs="Arial"/>
                <w:b/>
                <w:bCs/>
                <w:color w:val="0071C5"/>
                <w:sz w:val="18"/>
                <w:szCs w:val="18"/>
              </w:rPr>
              <w:t>28.9 </w:t>
            </w:r>
          </w:p>
        </w:tc>
        <w:tc>
          <w:tcPr>
            <w:tcW w:w="0" w:type="auto"/>
            <w:shd w:val="clear" w:color="auto" w:fill="auto"/>
            <w:tcMar>
              <w:top w:w="40" w:type="dxa"/>
              <w:bottom w:w="40" w:type="dxa"/>
              <w:right w:w="20" w:type="dxa"/>
            </w:tcMar>
            <w:vAlign w:val="bottom"/>
          </w:tcPr>
          <w:p w14:paraId="20AE3558" w14:textId="77777777" w:rsidR="00B626E7" w:rsidRDefault="00175C1D">
            <w:pPr>
              <w:jc w:val="right"/>
              <w:textAlignment w:val="bottom"/>
            </w:pPr>
            <w:r>
              <w:rPr>
                <w:rFonts w:ascii="Arial" w:eastAsia="宋体" w:hAnsi="Arial" w:cs="Arial"/>
                <w:b/>
                <w:bCs/>
                <w:color w:val="0071C5"/>
                <w:sz w:val="18"/>
                <w:szCs w:val="18"/>
              </w:rPr>
              <w:t>%</w:t>
            </w:r>
          </w:p>
        </w:tc>
        <w:tc>
          <w:tcPr>
            <w:tcW w:w="0" w:type="auto"/>
            <w:gridSpan w:val="3"/>
            <w:shd w:val="clear" w:color="auto" w:fill="auto"/>
            <w:tcMar>
              <w:left w:w="20" w:type="dxa"/>
              <w:right w:w="20" w:type="dxa"/>
            </w:tcMar>
            <w:vAlign w:val="bottom"/>
          </w:tcPr>
          <w:p w14:paraId="20AE3559"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355A" w14:textId="77777777" w:rsidR="00B626E7" w:rsidRDefault="00175C1D">
            <w:pPr>
              <w:jc w:val="right"/>
              <w:textAlignment w:val="bottom"/>
            </w:pPr>
            <w:r>
              <w:rPr>
                <w:rFonts w:ascii="Arial" w:eastAsia="宋体" w:hAnsi="Arial" w:cs="Arial"/>
                <w:b/>
                <w:bCs/>
                <w:color w:val="333333"/>
                <w:sz w:val="18"/>
                <w:szCs w:val="18"/>
              </w:rPr>
              <w:t>28.0 </w:t>
            </w:r>
          </w:p>
        </w:tc>
        <w:tc>
          <w:tcPr>
            <w:tcW w:w="0" w:type="auto"/>
            <w:shd w:val="clear" w:color="auto" w:fill="auto"/>
            <w:tcMar>
              <w:top w:w="40" w:type="dxa"/>
              <w:bottom w:w="40" w:type="dxa"/>
              <w:right w:w="20" w:type="dxa"/>
            </w:tcMar>
            <w:vAlign w:val="bottom"/>
          </w:tcPr>
          <w:p w14:paraId="20AE355B" w14:textId="77777777" w:rsidR="00B626E7" w:rsidRDefault="00175C1D">
            <w:pPr>
              <w:jc w:val="right"/>
              <w:textAlignment w:val="bottom"/>
            </w:pPr>
            <w:r>
              <w:rPr>
                <w:rFonts w:ascii="Arial" w:eastAsia="宋体" w:hAnsi="Arial" w:cs="Arial"/>
                <w:b/>
                <w:bCs/>
                <w:color w:val="333333"/>
                <w:sz w:val="18"/>
                <w:szCs w:val="18"/>
              </w:rPr>
              <w:t>%</w:t>
            </w:r>
          </w:p>
        </w:tc>
        <w:tc>
          <w:tcPr>
            <w:tcW w:w="0" w:type="auto"/>
            <w:shd w:val="clear" w:color="auto" w:fill="auto"/>
          </w:tcPr>
          <w:p w14:paraId="20AE355C" w14:textId="77777777" w:rsidR="00B626E7" w:rsidRDefault="00B626E7">
            <w:pPr>
              <w:rPr>
                <w:rFonts w:ascii="宋体"/>
                <w:vanish/>
              </w:rPr>
            </w:pPr>
          </w:p>
        </w:tc>
        <w:tc>
          <w:tcPr>
            <w:tcW w:w="0" w:type="auto"/>
            <w:shd w:val="clear" w:color="auto" w:fill="auto"/>
          </w:tcPr>
          <w:p w14:paraId="20AE355D" w14:textId="77777777" w:rsidR="00B626E7" w:rsidRDefault="00B626E7">
            <w:pPr>
              <w:rPr>
                <w:rFonts w:ascii="宋体"/>
                <w:vanish/>
              </w:rPr>
            </w:pPr>
          </w:p>
        </w:tc>
        <w:tc>
          <w:tcPr>
            <w:tcW w:w="0" w:type="auto"/>
            <w:shd w:val="clear" w:color="auto" w:fill="auto"/>
          </w:tcPr>
          <w:p w14:paraId="20AE355E" w14:textId="77777777" w:rsidR="00B626E7" w:rsidRDefault="00B626E7">
            <w:pPr>
              <w:rPr>
                <w:rFonts w:ascii="宋体"/>
                <w:vanish/>
              </w:rPr>
            </w:pPr>
          </w:p>
        </w:tc>
        <w:tc>
          <w:tcPr>
            <w:tcW w:w="0" w:type="auto"/>
            <w:shd w:val="clear" w:color="auto" w:fill="auto"/>
          </w:tcPr>
          <w:p w14:paraId="20AE355F" w14:textId="77777777" w:rsidR="00B626E7" w:rsidRDefault="00B626E7">
            <w:pPr>
              <w:rPr>
                <w:rFonts w:ascii="宋体"/>
                <w:vanish/>
              </w:rPr>
            </w:pPr>
          </w:p>
        </w:tc>
        <w:tc>
          <w:tcPr>
            <w:tcW w:w="0" w:type="auto"/>
            <w:shd w:val="clear" w:color="auto" w:fill="auto"/>
          </w:tcPr>
          <w:p w14:paraId="20AE3560" w14:textId="77777777" w:rsidR="00B626E7" w:rsidRDefault="00B626E7">
            <w:pPr>
              <w:rPr>
                <w:rFonts w:ascii="宋体"/>
              </w:rPr>
            </w:pPr>
          </w:p>
        </w:tc>
        <w:tc>
          <w:tcPr>
            <w:tcW w:w="0" w:type="auto"/>
            <w:shd w:val="clear" w:color="auto" w:fill="auto"/>
          </w:tcPr>
          <w:p w14:paraId="20AE3561" w14:textId="77777777" w:rsidR="00B626E7" w:rsidRDefault="00B626E7">
            <w:pPr>
              <w:rPr>
                <w:rFonts w:ascii="宋体"/>
              </w:rPr>
            </w:pPr>
          </w:p>
        </w:tc>
        <w:tc>
          <w:tcPr>
            <w:tcW w:w="0" w:type="auto"/>
            <w:shd w:val="clear" w:color="auto" w:fill="auto"/>
          </w:tcPr>
          <w:p w14:paraId="20AE3562" w14:textId="77777777" w:rsidR="00B626E7" w:rsidRDefault="00B626E7">
            <w:pPr>
              <w:rPr>
                <w:rFonts w:ascii="宋体"/>
              </w:rPr>
            </w:pPr>
          </w:p>
        </w:tc>
        <w:tc>
          <w:tcPr>
            <w:tcW w:w="0" w:type="auto"/>
            <w:shd w:val="clear" w:color="auto" w:fill="auto"/>
          </w:tcPr>
          <w:p w14:paraId="20AE3563" w14:textId="77777777" w:rsidR="00B626E7" w:rsidRDefault="00B626E7">
            <w:pPr>
              <w:rPr>
                <w:rFonts w:ascii="宋体"/>
              </w:rPr>
            </w:pPr>
          </w:p>
        </w:tc>
        <w:tc>
          <w:tcPr>
            <w:tcW w:w="0" w:type="auto"/>
            <w:shd w:val="clear" w:color="auto" w:fill="auto"/>
          </w:tcPr>
          <w:p w14:paraId="20AE3564" w14:textId="77777777" w:rsidR="00B626E7" w:rsidRDefault="00B626E7">
            <w:pPr>
              <w:rPr>
                <w:rFonts w:ascii="宋体"/>
              </w:rPr>
            </w:pPr>
          </w:p>
        </w:tc>
        <w:tc>
          <w:tcPr>
            <w:tcW w:w="0" w:type="auto"/>
            <w:shd w:val="clear" w:color="auto" w:fill="auto"/>
          </w:tcPr>
          <w:p w14:paraId="20AE3565" w14:textId="77777777" w:rsidR="00B626E7" w:rsidRDefault="00B626E7">
            <w:pPr>
              <w:rPr>
                <w:rFonts w:ascii="宋体"/>
              </w:rPr>
            </w:pPr>
          </w:p>
        </w:tc>
      </w:tr>
      <w:tr w:rsidR="00B626E7" w14:paraId="20AE3578" w14:textId="77777777">
        <w:tc>
          <w:tcPr>
            <w:tcW w:w="0" w:type="auto"/>
            <w:gridSpan w:val="3"/>
            <w:shd w:val="clear" w:color="auto" w:fill="auto"/>
            <w:tcMar>
              <w:top w:w="40" w:type="dxa"/>
              <w:left w:w="225" w:type="dxa"/>
              <w:bottom w:w="40" w:type="dxa"/>
              <w:right w:w="20" w:type="dxa"/>
            </w:tcMar>
            <w:vAlign w:val="bottom"/>
          </w:tcPr>
          <w:p w14:paraId="20AE3567" w14:textId="77777777" w:rsidR="00B626E7" w:rsidRDefault="00175C1D">
            <w:pPr>
              <w:textAlignment w:val="bottom"/>
            </w:pPr>
            <w:r>
              <w:rPr>
                <w:rFonts w:ascii="Arial" w:eastAsia="宋体" w:hAnsi="Arial" w:cs="Arial"/>
                <w:color w:val="333333"/>
                <w:sz w:val="18"/>
                <w:szCs w:val="18"/>
              </w:rPr>
              <w:t>Acquisition-related adjustments</w:t>
            </w:r>
          </w:p>
        </w:tc>
        <w:tc>
          <w:tcPr>
            <w:tcW w:w="0" w:type="auto"/>
            <w:gridSpan w:val="3"/>
            <w:shd w:val="clear" w:color="auto" w:fill="auto"/>
            <w:tcMar>
              <w:left w:w="20" w:type="dxa"/>
              <w:right w:w="20" w:type="dxa"/>
            </w:tcMar>
            <w:vAlign w:val="bottom"/>
          </w:tcPr>
          <w:p w14:paraId="20AE3568"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3569" w14:textId="77777777" w:rsidR="00B626E7" w:rsidRDefault="00175C1D">
            <w:pPr>
              <w:jc w:val="right"/>
              <w:textAlignment w:val="bottom"/>
            </w:pPr>
            <w:r>
              <w:rPr>
                <w:rFonts w:ascii="Arial" w:eastAsia="宋体" w:hAnsi="Arial" w:cs="Arial"/>
                <w:color w:val="0071C5"/>
                <w:sz w:val="18"/>
                <w:szCs w:val="18"/>
              </w:rPr>
              <w:t>1.8 </w:t>
            </w:r>
          </w:p>
        </w:tc>
        <w:tc>
          <w:tcPr>
            <w:tcW w:w="0" w:type="auto"/>
            <w:shd w:val="clear" w:color="auto" w:fill="auto"/>
            <w:tcMar>
              <w:top w:w="40" w:type="dxa"/>
              <w:bottom w:w="40" w:type="dxa"/>
              <w:right w:w="20" w:type="dxa"/>
            </w:tcMar>
            <w:vAlign w:val="bottom"/>
          </w:tcPr>
          <w:p w14:paraId="20AE356A" w14:textId="77777777" w:rsidR="00B626E7" w:rsidRDefault="00175C1D">
            <w:pPr>
              <w:jc w:val="right"/>
              <w:textAlignment w:val="bottom"/>
            </w:pPr>
            <w:r>
              <w:rPr>
                <w:rFonts w:ascii="Arial" w:eastAsia="宋体" w:hAnsi="Arial" w:cs="Arial"/>
                <w:color w:val="0071C5"/>
                <w:sz w:val="18"/>
                <w:szCs w:val="18"/>
              </w:rPr>
              <w:t>%</w:t>
            </w:r>
          </w:p>
        </w:tc>
        <w:tc>
          <w:tcPr>
            <w:tcW w:w="0" w:type="auto"/>
            <w:gridSpan w:val="3"/>
            <w:shd w:val="clear" w:color="auto" w:fill="auto"/>
            <w:tcMar>
              <w:left w:w="20" w:type="dxa"/>
              <w:right w:w="20" w:type="dxa"/>
            </w:tcMar>
            <w:vAlign w:val="bottom"/>
          </w:tcPr>
          <w:p w14:paraId="20AE356B"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356C" w14:textId="77777777" w:rsidR="00B626E7" w:rsidRDefault="00175C1D">
            <w:pPr>
              <w:jc w:val="right"/>
              <w:textAlignment w:val="bottom"/>
            </w:pPr>
            <w:r>
              <w:rPr>
                <w:rFonts w:ascii="Arial" w:eastAsia="宋体" w:hAnsi="Arial" w:cs="Arial"/>
                <w:color w:val="333333"/>
                <w:sz w:val="18"/>
                <w:szCs w:val="18"/>
              </w:rPr>
              <w:t>2.0 </w:t>
            </w:r>
          </w:p>
        </w:tc>
        <w:tc>
          <w:tcPr>
            <w:tcW w:w="0" w:type="auto"/>
            <w:shd w:val="clear" w:color="auto" w:fill="auto"/>
            <w:tcMar>
              <w:top w:w="40" w:type="dxa"/>
              <w:bottom w:w="40" w:type="dxa"/>
              <w:right w:w="20" w:type="dxa"/>
            </w:tcMar>
            <w:vAlign w:val="bottom"/>
          </w:tcPr>
          <w:p w14:paraId="20AE356D" w14:textId="77777777" w:rsidR="00B626E7" w:rsidRDefault="00175C1D">
            <w:pPr>
              <w:jc w:val="right"/>
              <w:textAlignment w:val="bottom"/>
            </w:pPr>
            <w:r>
              <w:rPr>
                <w:rFonts w:ascii="Arial" w:eastAsia="宋体" w:hAnsi="Arial" w:cs="Arial"/>
                <w:color w:val="333333"/>
                <w:sz w:val="18"/>
                <w:szCs w:val="18"/>
              </w:rPr>
              <w:t>%</w:t>
            </w:r>
          </w:p>
        </w:tc>
        <w:tc>
          <w:tcPr>
            <w:tcW w:w="0" w:type="auto"/>
            <w:shd w:val="clear" w:color="auto" w:fill="auto"/>
          </w:tcPr>
          <w:p w14:paraId="20AE356E" w14:textId="77777777" w:rsidR="00B626E7" w:rsidRDefault="00B626E7">
            <w:pPr>
              <w:rPr>
                <w:rFonts w:ascii="宋体"/>
                <w:vanish/>
              </w:rPr>
            </w:pPr>
          </w:p>
        </w:tc>
        <w:tc>
          <w:tcPr>
            <w:tcW w:w="0" w:type="auto"/>
            <w:shd w:val="clear" w:color="auto" w:fill="auto"/>
          </w:tcPr>
          <w:p w14:paraId="20AE356F" w14:textId="77777777" w:rsidR="00B626E7" w:rsidRDefault="00B626E7">
            <w:pPr>
              <w:rPr>
                <w:rFonts w:ascii="宋体"/>
                <w:vanish/>
              </w:rPr>
            </w:pPr>
          </w:p>
        </w:tc>
        <w:tc>
          <w:tcPr>
            <w:tcW w:w="0" w:type="auto"/>
            <w:shd w:val="clear" w:color="auto" w:fill="auto"/>
          </w:tcPr>
          <w:p w14:paraId="20AE3570" w14:textId="77777777" w:rsidR="00B626E7" w:rsidRDefault="00B626E7">
            <w:pPr>
              <w:rPr>
                <w:rFonts w:ascii="宋体"/>
                <w:vanish/>
              </w:rPr>
            </w:pPr>
          </w:p>
        </w:tc>
        <w:tc>
          <w:tcPr>
            <w:tcW w:w="0" w:type="auto"/>
            <w:shd w:val="clear" w:color="auto" w:fill="auto"/>
          </w:tcPr>
          <w:p w14:paraId="20AE3571" w14:textId="77777777" w:rsidR="00B626E7" w:rsidRDefault="00B626E7">
            <w:pPr>
              <w:rPr>
                <w:rFonts w:ascii="宋体"/>
                <w:vanish/>
              </w:rPr>
            </w:pPr>
          </w:p>
        </w:tc>
        <w:tc>
          <w:tcPr>
            <w:tcW w:w="0" w:type="auto"/>
            <w:shd w:val="clear" w:color="auto" w:fill="auto"/>
          </w:tcPr>
          <w:p w14:paraId="20AE3572" w14:textId="77777777" w:rsidR="00B626E7" w:rsidRDefault="00B626E7">
            <w:pPr>
              <w:rPr>
                <w:rFonts w:ascii="宋体"/>
              </w:rPr>
            </w:pPr>
          </w:p>
        </w:tc>
        <w:tc>
          <w:tcPr>
            <w:tcW w:w="0" w:type="auto"/>
            <w:shd w:val="clear" w:color="auto" w:fill="auto"/>
          </w:tcPr>
          <w:p w14:paraId="20AE3573" w14:textId="77777777" w:rsidR="00B626E7" w:rsidRDefault="00B626E7">
            <w:pPr>
              <w:rPr>
                <w:rFonts w:ascii="宋体"/>
              </w:rPr>
            </w:pPr>
          </w:p>
        </w:tc>
        <w:tc>
          <w:tcPr>
            <w:tcW w:w="0" w:type="auto"/>
            <w:shd w:val="clear" w:color="auto" w:fill="auto"/>
          </w:tcPr>
          <w:p w14:paraId="20AE3574" w14:textId="77777777" w:rsidR="00B626E7" w:rsidRDefault="00B626E7">
            <w:pPr>
              <w:rPr>
                <w:rFonts w:ascii="宋体"/>
              </w:rPr>
            </w:pPr>
          </w:p>
        </w:tc>
        <w:tc>
          <w:tcPr>
            <w:tcW w:w="0" w:type="auto"/>
            <w:shd w:val="clear" w:color="auto" w:fill="auto"/>
          </w:tcPr>
          <w:p w14:paraId="20AE3575" w14:textId="77777777" w:rsidR="00B626E7" w:rsidRDefault="00B626E7">
            <w:pPr>
              <w:rPr>
                <w:rFonts w:ascii="宋体"/>
              </w:rPr>
            </w:pPr>
          </w:p>
        </w:tc>
        <w:tc>
          <w:tcPr>
            <w:tcW w:w="0" w:type="auto"/>
            <w:shd w:val="clear" w:color="auto" w:fill="auto"/>
          </w:tcPr>
          <w:p w14:paraId="20AE3576" w14:textId="77777777" w:rsidR="00B626E7" w:rsidRDefault="00B626E7">
            <w:pPr>
              <w:rPr>
                <w:rFonts w:ascii="宋体"/>
              </w:rPr>
            </w:pPr>
          </w:p>
        </w:tc>
        <w:tc>
          <w:tcPr>
            <w:tcW w:w="0" w:type="auto"/>
            <w:shd w:val="clear" w:color="auto" w:fill="auto"/>
          </w:tcPr>
          <w:p w14:paraId="20AE3577" w14:textId="77777777" w:rsidR="00B626E7" w:rsidRDefault="00B626E7">
            <w:pPr>
              <w:rPr>
                <w:rFonts w:ascii="宋体"/>
              </w:rPr>
            </w:pPr>
          </w:p>
        </w:tc>
      </w:tr>
      <w:tr w:rsidR="00B626E7" w14:paraId="20AE3588" w14:textId="77777777">
        <w:trPr>
          <w:hidden/>
        </w:trPr>
        <w:tc>
          <w:tcPr>
            <w:tcW w:w="0" w:type="auto"/>
            <w:gridSpan w:val="3"/>
            <w:shd w:val="clear" w:color="auto" w:fill="auto"/>
          </w:tcPr>
          <w:p w14:paraId="20AE3579" w14:textId="77777777" w:rsidR="00B626E7" w:rsidRDefault="00B626E7">
            <w:pPr>
              <w:rPr>
                <w:rFonts w:ascii="宋体"/>
                <w:vanish/>
              </w:rPr>
            </w:pPr>
          </w:p>
        </w:tc>
        <w:tc>
          <w:tcPr>
            <w:tcW w:w="0" w:type="auto"/>
            <w:gridSpan w:val="3"/>
            <w:shd w:val="clear" w:color="auto" w:fill="auto"/>
          </w:tcPr>
          <w:p w14:paraId="20AE357A" w14:textId="77777777" w:rsidR="00B626E7" w:rsidRDefault="00B626E7">
            <w:pPr>
              <w:rPr>
                <w:rFonts w:ascii="宋体"/>
                <w:vanish/>
              </w:rPr>
            </w:pPr>
          </w:p>
        </w:tc>
        <w:tc>
          <w:tcPr>
            <w:tcW w:w="0" w:type="auto"/>
            <w:gridSpan w:val="3"/>
            <w:shd w:val="clear" w:color="auto" w:fill="auto"/>
          </w:tcPr>
          <w:p w14:paraId="20AE357B" w14:textId="77777777" w:rsidR="00B626E7" w:rsidRDefault="00B626E7">
            <w:pPr>
              <w:rPr>
                <w:rFonts w:ascii="宋体"/>
                <w:vanish/>
              </w:rPr>
            </w:pPr>
          </w:p>
        </w:tc>
        <w:tc>
          <w:tcPr>
            <w:tcW w:w="0" w:type="auto"/>
            <w:gridSpan w:val="3"/>
            <w:shd w:val="clear" w:color="auto" w:fill="auto"/>
          </w:tcPr>
          <w:p w14:paraId="20AE357C" w14:textId="77777777" w:rsidR="00B626E7" w:rsidRDefault="00B626E7">
            <w:pPr>
              <w:rPr>
                <w:rFonts w:ascii="宋体"/>
                <w:vanish/>
              </w:rPr>
            </w:pPr>
          </w:p>
        </w:tc>
        <w:tc>
          <w:tcPr>
            <w:tcW w:w="0" w:type="auto"/>
            <w:gridSpan w:val="3"/>
            <w:shd w:val="clear" w:color="auto" w:fill="auto"/>
          </w:tcPr>
          <w:p w14:paraId="20AE357D" w14:textId="77777777" w:rsidR="00B626E7" w:rsidRDefault="00B626E7">
            <w:pPr>
              <w:rPr>
                <w:rFonts w:ascii="宋体"/>
                <w:vanish/>
              </w:rPr>
            </w:pPr>
          </w:p>
        </w:tc>
        <w:tc>
          <w:tcPr>
            <w:tcW w:w="0" w:type="auto"/>
            <w:shd w:val="clear" w:color="auto" w:fill="auto"/>
          </w:tcPr>
          <w:p w14:paraId="20AE357E" w14:textId="77777777" w:rsidR="00B626E7" w:rsidRDefault="00B626E7">
            <w:pPr>
              <w:rPr>
                <w:rFonts w:ascii="宋体"/>
                <w:vanish/>
              </w:rPr>
            </w:pPr>
          </w:p>
        </w:tc>
        <w:tc>
          <w:tcPr>
            <w:tcW w:w="0" w:type="auto"/>
            <w:shd w:val="clear" w:color="auto" w:fill="auto"/>
          </w:tcPr>
          <w:p w14:paraId="20AE357F" w14:textId="77777777" w:rsidR="00B626E7" w:rsidRDefault="00B626E7">
            <w:pPr>
              <w:rPr>
                <w:rFonts w:ascii="宋体"/>
                <w:vanish/>
              </w:rPr>
            </w:pPr>
          </w:p>
        </w:tc>
        <w:tc>
          <w:tcPr>
            <w:tcW w:w="0" w:type="auto"/>
            <w:shd w:val="clear" w:color="auto" w:fill="auto"/>
          </w:tcPr>
          <w:p w14:paraId="20AE3580" w14:textId="77777777" w:rsidR="00B626E7" w:rsidRDefault="00B626E7">
            <w:pPr>
              <w:rPr>
                <w:rFonts w:ascii="宋体"/>
                <w:vanish/>
              </w:rPr>
            </w:pPr>
          </w:p>
        </w:tc>
        <w:tc>
          <w:tcPr>
            <w:tcW w:w="0" w:type="auto"/>
            <w:shd w:val="clear" w:color="auto" w:fill="auto"/>
          </w:tcPr>
          <w:p w14:paraId="20AE3581" w14:textId="77777777" w:rsidR="00B626E7" w:rsidRDefault="00B626E7">
            <w:pPr>
              <w:rPr>
                <w:rFonts w:ascii="宋体"/>
                <w:vanish/>
              </w:rPr>
            </w:pPr>
          </w:p>
        </w:tc>
        <w:tc>
          <w:tcPr>
            <w:tcW w:w="0" w:type="auto"/>
            <w:shd w:val="clear" w:color="auto" w:fill="auto"/>
          </w:tcPr>
          <w:p w14:paraId="20AE3582" w14:textId="77777777" w:rsidR="00B626E7" w:rsidRDefault="00B626E7">
            <w:pPr>
              <w:rPr>
                <w:rFonts w:ascii="宋体"/>
              </w:rPr>
            </w:pPr>
          </w:p>
        </w:tc>
        <w:tc>
          <w:tcPr>
            <w:tcW w:w="0" w:type="auto"/>
            <w:shd w:val="clear" w:color="auto" w:fill="auto"/>
          </w:tcPr>
          <w:p w14:paraId="20AE3583" w14:textId="77777777" w:rsidR="00B626E7" w:rsidRDefault="00B626E7">
            <w:pPr>
              <w:rPr>
                <w:rFonts w:ascii="宋体"/>
              </w:rPr>
            </w:pPr>
          </w:p>
        </w:tc>
        <w:tc>
          <w:tcPr>
            <w:tcW w:w="0" w:type="auto"/>
            <w:shd w:val="clear" w:color="auto" w:fill="auto"/>
          </w:tcPr>
          <w:p w14:paraId="20AE3584" w14:textId="77777777" w:rsidR="00B626E7" w:rsidRDefault="00B626E7">
            <w:pPr>
              <w:rPr>
                <w:rFonts w:ascii="宋体"/>
              </w:rPr>
            </w:pPr>
          </w:p>
        </w:tc>
        <w:tc>
          <w:tcPr>
            <w:tcW w:w="0" w:type="auto"/>
            <w:shd w:val="clear" w:color="auto" w:fill="auto"/>
          </w:tcPr>
          <w:p w14:paraId="20AE3585" w14:textId="77777777" w:rsidR="00B626E7" w:rsidRDefault="00B626E7">
            <w:pPr>
              <w:rPr>
                <w:rFonts w:ascii="宋体"/>
              </w:rPr>
            </w:pPr>
          </w:p>
        </w:tc>
        <w:tc>
          <w:tcPr>
            <w:tcW w:w="0" w:type="auto"/>
            <w:shd w:val="clear" w:color="auto" w:fill="auto"/>
          </w:tcPr>
          <w:p w14:paraId="20AE3586" w14:textId="77777777" w:rsidR="00B626E7" w:rsidRDefault="00B626E7">
            <w:pPr>
              <w:rPr>
                <w:rFonts w:ascii="宋体"/>
              </w:rPr>
            </w:pPr>
          </w:p>
        </w:tc>
        <w:tc>
          <w:tcPr>
            <w:tcW w:w="0" w:type="auto"/>
            <w:shd w:val="clear" w:color="auto" w:fill="auto"/>
          </w:tcPr>
          <w:p w14:paraId="20AE3587" w14:textId="77777777" w:rsidR="00B626E7" w:rsidRDefault="00B626E7">
            <w:pPr>
              <w:rPr>
                <w:rFonts w:ascii="宋体"/>
              </w:rPr>
            </w:pPr>
          </w:p>
        </w:tc>
      </w:tr>
      <w:tr w:rsidR="00B626E7" w14:paraId="20AE3598" w14:textId="77777777">
        <w:trPr>
          <w:hidden/>
        </w:trPr>
        <w:tc>
          <w:tcPr>
            <w:tcW w:w="0" w:type="auto"/>
            <w:gridSpan w:val="3"/>
            <w:shd w:val="clear" w:color="auto" w:fill="auto"/>
          </w:tcPr>
          <w:p w14:paraId="20AE3589" w14:textId="77777777" w:rsidR="00B626E7" w:rsidRDefault="00B626E7">
            <w:pPr>
              <w:rPr>
                <w:rFonts w:ascii="宋体"/>
                <w:vanish/>
              </w:rPr>
            </w:pPr>
          </w:p>
        </w:tc>
        <w:tc>
          <w:tcPr>
            <w:tcW w:w="0" w:type="auto"/>
            <w:gridSpan w:val="3"/>
            <w:shd w:val="clear" w:color="auto" w:fill="auto"/>
          </w:tcPr>
          <w:p w14:paraId="20AE358A" w14:textId="77777777" w:rsidR="00B626E7" w:rsidRDefault="00B626E7">
            <w:pPr>
              <w:rPr>
                <w:rFonts w:ascii="宋体"/>
                <w:vanish/>
              </w:rPr>
            </w:pPr>
          </w:p>
        </w:tc>
        <w:tc>
          <w:tcPr>
            <w:tcW w:w="0" w:type="auto"/>
            <w:gridSpan w:val="3"/>
            <w:shd w:val="clear" w:color="auto" w:fill="auto"/>
          </w:tcPr>
          <w:p w14:paraId="20AE358B" w14:textId="77777777" w:rsidR="00B626E7" w:rsidRDefault="00B626E7">
            <w:pPr>
              <w:rPr>
                <w:rFonts w:ascii="宋体"/>
                <w:vanish/>
              </w:rPr>
            </w:pPr>
          </w:p>
        </w:tc>
        <w:tc>
          <w:tcPr>
            <w:tcW w:w="0" w:type="auto"/>
            <w:gridSpan w:val="3"/>
            <w:shd w:val="clear" w:color="auto" w:fill="auto"/>
          </w:tcPr>
          <w:p w14:paraId="20AE358C" w14:textId="77777777" w:rsidR="00B626E7" w:rsidRDefault="00B626E7">
            <w:pPr>
              <w:rPr>
                <w:rFonts w:ascii="宋体"/>
                <w:vanish/>
              </w:rPr>
            </w:pPr>
          </w:p>
        </w:tc>
        <w:tc>
          <w:tcPr>
            <w:tcW w:w="0" w:type="auto"/>
            <w:gridSpan w:val="3"/>
            <w:shd w:val="clear" w:color="auto" w:fill="auto"/>
          </w:tcPr>
          <w:p w14:paraId="20AE358D" w14:textId="77777777" w:rsidR="00B626E7" w:rsidRDefault="00B626E7">
            <w:pPr>
              <w:rPr>
                <w:rFonts w:ascii="宋体"/>
                <w:vanish/>
              </w:rPr>
            </w:pPr>
          </w:p>
        </w:tc>
        <w:tc>
          <w:tcPr>
            <w:tcW w:w="0" w:type="auto"/>
            <w:shd w:val="clear" w:color="auto" w:fill="auto"/>
          </w:tcPr>
          <w:p w14:paraId="20AE358E" w14:textId="77777777" w:rsidR="00B626E7" w:rsidRDefault="00B626E7">
            <w:pPr>
              <w:rPr>
                <w:rFonts w:ascii="宋体"/>
                <w:vanish/>
              </w:rPr>
            </w:pPr>
          </w:p>
        </w:tc>
        <w:tc>
          <w:tcPr>
            <w:tcW w:w="0" w:type="auto"/>
            <w:shd w:val="clear" w:color="auto" w:fill="auto"/>
          </w:tcPr>
          <w:p w14:paraId="20AE358F" w14:textId="77777777" w:rsidR="00B626E7" w:rsidRDefault="00B626E7">
            <w:pPr>
              <w:rPr>
                <w:rFonts w:ascii="宋体"/>
                <w:vanish/>
              </w:rPr>
            </w:pPr>
          </w:p>
        </w:tc>
        <w:tc>
          <w:tcPr>
            <w:tcW w:w="0" w:type="auto"/>
            <w:shd w:val="clear" w:color="auto" w:fill="auto"/>
          </w:tcPr>
          <w:p w14:paraId="20AE3590" w14:textId="77777777" w:rsidR="00B626E7" w:rsidRDefault="00B626E7">
            <w:pPr>
              <w:rPr>
                <w:rFonts w:ascii="宋体"/>
                <w:vanish/>
              </w:rPr>
            </w:pPr>
          </w:p>
        </w:tc>
        <w:tc>
          <w:tcPr>
            <w:tcW w:w="0" w:type="auto"/>
            <w:shd w:val="clear" w:color="auto" w:fill="auto"/>
          </w:tcPr>
          <w:p w14:paraId="20AE3591" w14:textId="77777777" w:rsidR="00B626E7" w:rsidRDefault="00B626E7">
            <w:pPr>
              <w:rPr>
                <w:rFonts w:ascii="宋体"/>
                <w:vanish/>
              </w:rPr>
            </w:pPr>
          </w:p>
        </w:tc>
        <w:tc>
          <w:tcPr>
            <w:tcW w:w="0" w:type="auto"/>
            <w:shd w:val="clear" w:color="auto" w:fill="auto"/>
          </w:tcPr>
          <w:p w14:paraId="20AE3592" w14:textId="77777777" w:rsidR="00B626E7" w:rsidRDefault="00B626E7">
            <w:pPr>
              <w:rPr>
                <w:rFonts w:ascii="宋体"/>
              </w:rPr>
            </w:pPr>
          </w:p>
        </w:tc>
        <w:tc>
          <w:tcPr>
            <w:tcW w:w="0" w:type="auto"/>
            <w:shd w:val="clear" w:color="auto" w:fill="auto"/>
          </w:tcPr>
          <w:p w14:paraId="20AE3593" w14:textId="77777777" w:rsidR="00B626E7" w:rsidRDefault="00B626E7">
            <w:pPr>
              <w:rPr>
                <w:rFonts w:ascii="宋体"/>
              </w:rPr>
            </w:pPr>
          </w:p>
        </w:tc>
        <w:tc>
          <w:tcPr>
            <w:tcW w:w="0" w:type="auto"/>
            <w:shd w:val="clear" w:color="auto" w:fill="auto"/>
          </w:tcPr>
          <w:p w14:paraId="20AE3594" w14:textId="77777777" w:rsidR="00B626E7" w:rsidRDefault="00B626E7">
            <w:pPr>
              <w:rPr>
                <w:rFonts w:ascii="宋体"/>
              </w:rPr>
            </w:pPr>
          </w:p>
        </w:tc>
        <w:tc>
          <w:tcPr>
            <w:tcW w:w="0" w:type="auto"/>
            <w:shd w:val="clear" w:color="auto" w:fill="auto"/>
          </w:tcPr>
          <w:p w14:paraId="20AE3595" w14:textId="77777777" w:rsidR="00B626E7" w:rsidRDefault="00B626E7">
            <w:pPr>
              <w:rPr>
                <w:rFonts w:ascii="宋体"/>
              </w:rPr>
            </w:pPr>
          </w:p>
        </w:tc>
        <w:tc>
          <w:tcPr>
            <w:tcW w:w="0" w:type="auto"/>
            <w:shd w:val="clear" w:color="auto" w:fill="auto"/>
          </w:tcPr>
          <w:p w14:paraId="20AE3596" w14:textId="77777777" w:rsidR="00B626E7" w:rsidRDefault="00B626E7">
            <w:pPr>
              <w:rPr>
                <w:rFonts w:ascii="宋体"/>
              </w:rPr>
            </w:pPr>
          </w:p>
        </w:tc>
        <w:tc>
          <w:tcPr>
            <w:tcW w:w="0" w:type="auto"/>
            <w:shd w:val="clear" w:color="auto" w:fill="auto"/>
          </w:tcPr>
          <w:p w14:paraId="20AE3597" w14:textId="77777777" w:rsidR="00B626E7" w:rsidRDefault="00B626E7">
            <w:pPr>
              <w:rPr>
                <w:rFonts w:ascii="宋体"/>
              </w:rPr>
            </w:pPr>
          </w:p>
        </w:tc>
      </w:tr>
      <w:tr w:rsidR="00B626E7" w14:paraId="20AE35A8" w14:textId="77777777">
        <w:trPr>
          <w:hidden/>
        </w:trPr>
        <w:tc>
          <w:tcPr>
            <w:tcW w:w="0" w:type="auto"/>
            <w:gridSpan w:val="3"/>
            <w:shd w:val="clear" w:color="auto" w:fill="auto"/>
          </w:tcPr>
          <w:p w14:paraId="20AE3599" w14:textId="77777777" w:rsidR="00B626E7" w:rsidRDefault="00B626E7">
            <w:pPr>
              <w:rPr>
                <w:rFonts w:ascii="宋体"/>
                <w:vanish/>
              </w:rPr>
            </w:pPr>
          </w:p>
        </w:tc>
        <w:tc>
          <w:tcPr>
            <w:tcW w:w="0" w:type="auto"/>
            <w:gridSpan w:val="3"/>
            <w:shd w:val="clear" w:color="auto" w:fill="auto"/>
          </w:tcPr>
          <w:p w14:paraId="20AE359A" w14:textId="77777777" w:rsidR="00B626E7" w:rsidRDefault="00B626E7">
            <w:pPr>
              <w:rPr>
                <w:rFonts w:ascii="宋体"/>
                <w:vanish/>
              </w:rPr>
            </w:pPr>
          </w:p>
        </w:tc>
        <w:tc>
          <w:tcPr>
            <w:tcW w:w="0" w:type="auto"/>
            <w:gridSpan w:val="3"/>
            <w:shd w:val="clear" w:color="auto" w:fill="auto"/>
          </w:tcPr>
          <w:p w14:paraId="20AE359B" w14:textId="77777777" w:rsidR="00B626E7" w:rsidRDefault="00B626E7">
            <w:pPr>
              <w:rPr>
                <w:rFonts w:ascii="宋体"/>
                <w:vanish/>
              </w:rPr>
            </w:pPr>
          </w:p>
        </w:tc>
        <w:tc>
          <w:tcPr>
            <w:tcW w:w="0" w:type="auto"/>
            <w:gridSpan w:val="3"/>
            <w:shd w:val="clear" w:color="auto" w:fill="auto"/>
          </w:tcPr>
          <w:p w14:paraId="20AE359C" w14:textId="77777777" w:rsidR="00B626E7" w:rsidRDefault="00B626E7">
            <w:pPr>
              <w:rPr>
                <w:rFonts w:ascii="宋体"/>
                <w:vanish/>
              </w:rPr>
            </w:pPr>
          </w:p>
        </w:tc>
        <w:tc>
          <w:tcPr>
            <w:tcW w:w="0" w:type="auto"/>
            <w:gridSpan w:val="3"/>
            <w:shd w:val="clear" w:color="auto" w:fill="auto"/>
          </w:tcPr>
          <w:p w14:paraId="20AE359D" w14:textId="77777777" w:rsidR="00B626E7" w:rsidRDefault="00B626E7">
            <w:pPr>
              <w:rPr>
                <w:rFonts w:ascii="宋体"/>
                <w:vanish/>
              </w:rPr>
            </w:pPr>
          </w:p>
        </w:tc>
        <w:tc>
          <w:tcPr>
            <w:tcW w:w="0" w:type="auto"/>
            <w:shd w:val="clear" w:color="auto" w:fill="auto"/>
          </w:tcPr>
          <w:p w14:paraId="20AE359E" w14:textId="77777777" w:rsidR="00B626E7" w:rsidRDefault="00B626E7">
            <w:pPr>
              <w:rPr>
                <w:rFonts w:ascii="宋体"/>
                <w:vanish/>
              </w:rPr>
            </w:pPr>
          </w:p>
        </w:tc>
        <w:tc>
          <w:tcPr>
            <w:tcW w:w="0" w:type="auto"/>
            <w:shd w:val="clear" w:color="auto" w:fill="auto"/>
          </w:tcPr>
          <w:p w14:paraId="20AE359F" w14:textId="77777777" w:rsidR="00B626E7" w:rsidRDefault="00B626E7">
            <w:pPr>
              <w:rPr>
                <w:rFonts w:ascii="宋体"/>
                <w:vanish/>
              </w:rPr>
            </w:pPr>
          </w:p>
        </w:tc>
        <w:tc>
          <w:tcPr>
            <w:tcW w:w="0" w:type="auto"/>
            <w:shd w:val="clear" w:color="auto" w:fill="auto"/>
          </w:tcPr>
          <w:p w14:paraId="20AE35A0" w14:textId="77777777" w:rsidR="00B626E7" w:rsidRDefault="00B626E7">
            <w:pPr>
              <w:rPr>
                <w:rFonts w:ascii="宋体"/>
                <w:vanish/>
              </w:rPr>
            </w:pPr>
          </w:p>
        </w:tc>
        <w:tc>
          <w:tcPr>
            <w:tcW w:w="0" w:type="auto"/>
            <w:shd w:val="clear" w:color="auto" w:fill="auto"/>
          </w:tcPr>
          <w:p w14:paraId="20AE35A1" w14:textId="77777777" w:rsidR="00B626E7" w:rsidRDefault="00B626E7">
            <w:pPr>
              <w:rPr>
                <w:rFonts w:ascii="宋体"/>
                <w:vanish/>
              </w:rPr>
            </w:pPr>
          </w:p>
        </w:tc>
        <w:tc>
          <w:tcPr>
            <w:tcW w:w="0" w:type="auto"/>
            <w:shd w:val="clear" w:color="auto" w:fill="auto"/>
          </w:tcPr>
          <w:p w14:paraId="20AE35A2" w14:textId="77777777" w:rsidR="00B626E7" w:rsidRDefault="00B626E7">
            <w:pPr>
              <w:rPr>
                <w:rFonts w:ascii="宋体"/>
              </w:rPr>
            </w:pPr>
          </w:p>
        </w:tc>
        <w:tc>
          <w:tcPr>
            <w:tcW w:w="0" w:type="auto"/>
            <w:shd w:val="clear" w:color="auto" w:fill="auto"/>
          </w:tcPr>
          <w:p w14:paraId="20AE35A3" w14:textId="77777777" w:rsidR="00B626E7" w:rsidRDefault="00B626E7">
            <w:pPr>
              <w:rPr>
                <w:rFonts w:ascii="宋体"/>
              </w:rPr>
            </w:pPr>
          </w:p>
        </w:tc>
        <w:tc>
          <w:tcPr>
            <w:tcW w:w="0" w:type="auto"/>
            <w:shd w:val="clear" w:color="auto" w:fill="auto"/>
          </w:tcPr>
          <w:p w14:paraId="20AE35A4" w14:textId="77777777" w:rsidR="00B626E7" w:rsidRDefault="00B626E7">
            <w:pPr>
              <w:rPr>
                <w:rFonts w:ascii="宋体"/>
              </w:rPr>
            </w:pPr>
          </w:p>
        </w:tc>
        <w:tc>
          <w:tcPr>
            <w:tcW w:w="0" w:type="auto"/>
            <w:shd w:val="clear" w:color="auto" w:fill="auto"/>
          </w:tcPr>
          <w:p w14:paraId="20AE35A5" w14:textId="77777777" w:rsidR="00B626E7" w:rsidRDefault="00B626E7">
            <w:pPr>
              <w:rPr>
                <w:rFonts w:ascii="宋体"/>
              </w:rPr>
            </w:pPr>
          </w:p>
        </w:tc>
        <w:tc>
          <w:tcPr>
            <w:tcW w:w="0" w:type="auto"/>
            <w:shd w:val="clear" w:color="auto" w:fill="auto"/>
          </w:tcPr>
          <w:p w14:paraId="20AE35A6" w14:textId="77777777" w:rsidR="00B626E7" w:rsidRDefault="00B626E7">
            <w:pPr>
              <w:rPr>
                <w:rFonts w:ascii="宋体"/>
              </w:rPr>
            </w:pPr>
          </w:p>
        </w:tc>
        <w:tc>
          <w:tcPr>
            <w:tcW w:w="0" w:type="auto"/>
            <w:shd w:val="clear" w:color="auto" w:fill="auto"/>
          </w:tcPr>
          <w:p w14:paraId="20AE35A7" w14:textId="77777777" w:rsidR="00B626E7" w:rsidRDefault="00B626E7">
            <w:pPr>
              <w:rPr>
                <w:rFonts w:ascii="宋体"/>
              </w:rPr>
            </w:pPr>
          </w:p>
        </w:tc>
      </w:tr>
      <w:tr w:rsidR="00B626E7" w14:paraId="20AE35B8" w14:textId="77777777">
        <w:trPr>
          <w:hidden/>
        </w:trPr>
        <w:tc>
          <w:tcPr>
            <w:tcW w:w="0" w:type="auto"/>
            <w:gridSpan w:val="3"/>
            <w:shd w:val="clear" w:color="auto" w:fill="auto"/>
          </w:tcPr>
          <w:p w14:paraId="20AE35A9" w14:textId="77777777" w:rsidR="00B626E7" w:rsidRDefault="00B626E7">
            <w:pPr>
              <w:rPr>
                <w:rFonts w:ascii="宋体"/>
                <w:vanish/>
              </w:rPr>
            </w:pPr>
          </w:p>
        </w:tc>
        <w:tc>
          <w:tcPr>
            <w:tcW w:w="0" w:type="auto"/>
            <w:gridSpan w:val="3"/>
            <w:shd w:val="clear" w:color="auto" w:fill="auto"/>
          </w:tcPr>
          <w:p w14:paraId="20AE35AA" w14:textId="77777777" w:rsidR="00B626E7" w:rsidRDefault="00B626E7">
            <w:pPr>
              <w:rPr>
                <w:rFonts w:ascii="宋体"/>
                <w:vanish/>
              </w:rPr>
            </w:pPr>
          </w:p>
        </w:tc>
        <w:tc>
          <w:tcPr>
            <w:tcW w:w="0" w:type="auto"/>
            <w:gridSpan w:val="3"/>
            <w:shd w:val="clear" w:color="auto" w:fill="auto"/>
          </w:tcPr>
          <w:p w14:paraId="20AE35AB" w14:textId="77777777" w:rsidR="00B626E7" w:rsidRDefault="00B626E7">
            <w:pPr>
              <w:rPr>
                <w:rFonts w:ascii="宋体"/>
                <w:vanish/>
              </w:rPr>
            </w:pPr>
          </w:p>
        </w:tc>
        <w:tc>
          <w:tcPr>
            <w:tcW w:w="0" w:type="auto"/>
            <w:gridSpan w:val="3"/>
            <w:shd w:val="clear" w:color="auto" w:fill="auto"/>
          </w:tcPr>
          <w:p w14:paraId="20AE35AC" w14:textId="77777777" w:rsidR="00B626E7" w:rsidRDefault="00B626E7">
            <w:pPr>
              <w:rPr>
                <w:rFonts w:ascii="宋体"/>
                <w:vanish/>
              </w:rPr>
            </w:pPr>
          </w:p>
        </w:tc>
        <w:tc>
          <w:tcPr>
            <w:tcW w:w="0" w:type="auto"/>
            <w:gridSpan w:val="3"/>
            <w:shd w:val="clear" w:color="auto" w:fill="auto"/>
          </w:tcPr>
          <w:p w14:paraId="20AE35AD" w14:textId="77777777" w:rsidR="00B626E7" w:rsidRDefault="00B626E7">
            <w:pPr>
              <w:rPr>
                <w:rFonts w:ascii="宋体"/>
                <w:vanish/>
              </w:rPr>
            </w:pPr>
          </w:p>
        </w:tc>
        <w:tc>
          <w:tcPr>
            <w:tcW w:w="0" w:type="auto"/>
            <w:shd w:val="clear" w:color="auto" w:fill="auto"/>
          </w:tcPr>
          <w:p w14:paraId="20AE35AE" w14:textId="77777777" w:rsidR="00B626E7" w:rsidRDefault="00B626E7">
            <w:pPr>
              <w:rPr>
                <w:rFonts w:ascii="宋体"/>
                <w:vanish/>
              </w:rPr>
            </w:pPr>
          </w:p>
        </w:tc>
        <w:tc>
          <w:tcPr>
            <w:tcW w:w="0" w:type="auto"/>
            <w:shd w:val="clear" w:color="auto" w:fill="auto"/>
          </w:tcPr>
          <w:p w14:paraId="20AE35AF" w14:textId="77777777" w:rsidR="00B626E7" w:rsidRDefault="00B626E7">
            <w:pPr>
              <w:rPr>
                <w:rFonts w:ascii="宋体"/>
                <w:vanish/>
              </w:rPr>
            </w:pPr>
          </w:p>
        </w:tc>
        <w:tc>
          <w:tcPr>
            <w:tcW w:w="0" w:type="auto"/>
            <w:shd w:val="clear" w:color="auto" w:fill="auto"/>
          </w:tcPr>
          <w:p w14:paraId="20AE35B0" w14:textId="77777777" w:rsidR="00B626E7" w:rsidRDefault="00B626E7">
            <w:pPr>
              <w:rPr>
                <w:rFonts w:ascii="宋体"/>
                <w:vanish/>
              </w:rPr>
            </w:pPr>
          </w:p>
        </w:tc>
        <w:tc>
          <w:tcPr>
            <w:tcW w:w="0" w:type="auto"/>
            <w:shd w:val="clear" w:color="auto" w:fill="auto"/>
          </w:tcPr>
          <w:p w14:paraId="20AE35B1" w14:textId="77777777" w:rsidR="00B626E7" w:rsidRDefault="00B626E7">
            <w:pPr>
              <w:rPr>
                <w:rFonts w:ascii="宋体"/>
                <w:vanish/>
              </w:rPr>
            </w:pPr>
          </w:p>
        </w:tc>
        <w:tc>
          <w:tcPr>
            <w:tcW w:w="0" w:type="auto"/>
            <w:shd w:val="clear" w:color="auto" w:fill="auto"/>
          </w:tcPr>
          <w:p w14:paraId="20AE35B2" w14:textId="77777777" w:rsidR="00B626E7" w:rsidRDefault="00B626E7">
            <w:pPr>
              <w:rPr>
                <w:rFonts w:ascii="宋体"/>
              </w:rPr>
            </w:pPr>
          </w:p>
        </w:tc>
        <w:tc>
          <w:tcPr>
            <w:tcW w:w="0" w:type="auto"/>
            <w:shd w:val="clear" w:color="auto" w:fill="auto"/>
          </w:tcPr>
          <w:p w14:paraId="20AE35B3" w14:textId="77777777" w:rsidR="00B626E7" w:rsidRDefault="00B626E7">
            <w:pPr>
              <w:rPr>
                <w:rFonts w:ascii="宋体"/>
              </w:rPr>
            </w:pPr>
          </w:p>
        </w:tc>
        <w:tc>
          <w:tcPr>
            <w:tcW w:w="0" w:type="auto"/>
            <w:shd w:val="clear" w:color="auto" w:fill="auto"/>
          </w:tcPr>
          <w:p w14:paraId="20AE35B4" w14:textId="77777777" w:rsidR="00B626E7" w:rsidRDefault="00B626E7">
            <w:pPr>
              <w:rPr>
                <w:rFonts w:ascii="宋体"/>
              </w:rPr>
            </w:pPr>
          </w:p>
        </w:tc>
        <w:tc>
          <w:tcPr>
            <w:tcW w:w="0" w:type="auto"/>
            <w:shd w:val="clear" w:color="auto" w:fill="auto"/>
          </w:tcPr>
          <w:p w14:paraId="20AE35B5" w14:textId="77777777" w:rsidR="00B626E7" w:rsidRDefault="00B626E7">
            <w:pPr>
              <w:rPr>
                <w:rFonts w:ascii="宋体"/>
              </w:rPr>
            </w:pPr>
          </w:p>
        </w:tc>
        <w:tc>
          <w:tcPr>
            <w:tcW w:w="0" w:type="auto"/>
            <w:shd w:val="clear" w:color="auto" w:fill="auto"/>
          </w:tcPr>
          <w:p w14:paraId="20AE35B6" w14:textId="77777777" w:rsidR="00B626E7" w:rsidRDefault="00B626E7">
            <w:pPr>
              <w:rPr>
                <w:rFonts w:ascii="宋体"/>
              </w:rPr>
            </w:pPr>
          </w:p>
        </w:tc>
        <w:tc>
          <w:tcPr>
            <w:tcW w:w="0" w:type="auto"/>
            <w:shd w:val="clear" w:color="auto" w:fill="auto"/>
          </w:tcPr>
          <w:p w14:paraId="20AE35B7" w14:textId="77777777" w:rsidR="00B626E7" w:rsidRDefault="00B626E7">
            <w:pPr>
              <w:rPr>
                <w:rFonts w:ascii="宋体"/>
              </w:rPr>
            </w:pPr>
          </w:p>
        </w:tc>
      </w:tr>
      <w:tr w:rsidR="00B626E7" w14:paraId="20AE35CA" w14:textId="77777777">
        <w:tc>
          <w:tcPr>
            <w:tcW w:w="0" w:type="auto"/>
            <w:gridSpan w:val="3"/>
            <w:shd w:val="clear" w:color="auto" w:fill="auto"/>
            <w:tcMar>
              <w:top w:w="40" w:type="dxa"/>
              <w:left w:w="225" w:type="dxa"/>
              <w:bottom w:w="40" w:type="dxa"/>
              <w:right w:w="20" w:type="dxa"/>
            </w:tcMar>
            <w:vAlign w:val="bottom"/>
          </w:tcPr>
          <w:p w14:paraId="20AE35B9" w14:textId="77777777" w:rsidR="00B626E7" w:rsidRDefault="00175C1D">
            <w:pPr>
              <w:textAlignment w:val="bottom"/>
            </w:pPr>
            <w:r>
              <w:rPr>
                <w:rFonts w:ascii="Arial" w:eastAsia="宋体" w:hAnsi="Arial" w:cs="Arial"/>
                <w:color w:val="333333"/>
                <w:sz w:val="18"/>
                <w:szCs w:val="18"/>
              </w:rPr>
              <w:t>Restructuring and other charges</w:t>
            </w:r>
          </w:p>
        </w:tc>
        <w:tc>
          <w:tcPr>
            <w:tcW w:w="0" w:type="auto"/>
            <w:gridSpan w:val="3"/>
            <w:shd w:val="clear" w:color="auto" w:fill="auto"/>
            <w:tcMar>
              <w:left w:w="20" w:type="dxa"/>
              <w:right w:w="20" w:type="dxa"/>
            </w:tcMar>
            <w:vAlign w:val="bottom"/>
          </w:tcPr>
          <w:p w14:paraId="20AE35BA"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35BB"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20AE35BC" w14:textId="77777777" w:rsidR="00B626E7" w:rsidRDefault="00175C1D">
            <w:pPr>
              <w:jc w:val="right"/>
              <w:textAlignment w:val="bottom"/>
            </w:pPr>
            <w:r>
              <w:rPr>
                <w:rFonts w:ascii="Arial" w:eastAsia="宋体" w:hAnsi="Arial" w:cs="Arial"/>
                <w:color w:val="0071C5"/>
                <w:sz w:val="18"/>
                <w:szCs w:val="18"/>
              </w:rPr>
              <w:t>%</w:t>
            </w:r>
          </w:p>
        </w:tc>
        <w:tc>
          <w:tcPr>
            <w:tcW w:w="0" w:type="auto"/>
            <w:gridSpan w:val="3"/>
            <w:shd w:val="clear" w:color="auto" w:fill="auto"/>
            <w:tcMar>
              <w:left w:w="20" w:type="dxa"/>
              <w:right w:w="20" w:type="dxa"/>
            </w:tcMar>
            <w:vAlign w:val="bottom"/>
          </w:tcPr>
          <w:p w14:paraId="20AE35BD"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35BE" w14:textId="77777777" w:rsidR="00B626E7" w:rsidRDefault="00175C1D">
            <w:pPr>
              <w:jc w:val="right"/>
              <w:textAlignment w:val="bottom"/>
            </w:pPr>
            <w:r>
              <w:rPr>
                <w:rFonts w:ascii="Arial" w:eastAsia="宋体" w:hAnsi="Arial" w:cs="Arial"/>
                <w:color w:val="333333"/>
                <w:sz w:val="18"/>
                <w:szCs w:val="18"/>
              </w:rPr>
              <w:t>1.1 </w:t>
            </w:r>
          </w:p>
        </w:tc>
        <w:tc>
          <w:tcPr>
            <w:tcW w:w="0" w:type="auto"/>
            <w:shd w:val="clear" w:color="auto" w:fill="auto"/>
            <w:tcMar>
              <w:top w:w="40" w:type="dxa"/>
              <w:bottom w:w="40" w:type="dxa"/>
              <w:right w:w="20" w:type="dxa"/>
            </w:tcMar>
            <w:vAlign w:val="bottom"/>
          </w:tcPr>
          <w:p w14:paraId="20AE35BF" w14:textId="77777777" w:rsidR="00B626E7" w:rsidRDefault="00175C1D">
            <w:pPr>
              <w:jc w:val="right"/>
              <w:textAlignment w:val="bottom"/>
            </w:pPr>
            <w:r>
              <w:rPr>
                <w:rFonts w:ascii="Arial" w:eastAsia="宋体" w:hAnsi="Arial" w:cs="Arial"/>
                <w:color w:val="333333"/>
                <w:sz w:val="18"/>
                <w:szCs w:val="18"/>
              </w:rPr>
              <w:t>%</w:t>
            </w:r>
          </w:p>
        </w:tc>
        <w:tc>
          <w:tcPr>
            <w:tcW w:w="0" w:type="auto"/>
            <w:shd w:val="clear" w:color="auto" w:fill="auto"/>
          </w:tcPr>
          <w:p w14:paraId="20AE35C0" w14:textId="77777777" w:rsidR="00B626E7" w:rsidRDefault="00B626E7">
            <w:pPr>
              <w:rPr>
                <w:rFonts w:ascii="宋体"/>
                <w:vanish/>
              </w:rPr>
            </w:pPr>
          </w:p>
        </w:tc>
        <w:tc>
          <w:tcPr>
            <w:tcW w:w="0" w:type="auto"/>
            <w:shd w:val="clear" w:color="auto" w:fill="auto"/>
          </w:tcPr>
          <w:p w14:paraId="20AE35C1" w14:textId="77777777" w:rsidR="00B626E7" w:rsidRDefault="00B626E7">
            <w:pPr>
              <w:rPr>
                <w:rFonts w:ascii="宋体"/>
                <w:vanish/>
              </w:rPr>
            </w:pPr>
          </w:p>
        </w:tc>
        <w:tc>
          <w:tcPr>
            <w:tcW w:w="0" w:type="auto"/>
            <w:shd w:val="clear" w:color="auto" w:fill="auto"/>
          </w:tcPr>
          <w:p w14:paraId="20AE35C2" w14:textId="77777777" w:rsidR="00B626E7" w:rsidRDefault="00B626E7">
            <w:pPr>
              <w:rPr>
                <w:rFonts w:ascii="宋体"/>
                <w:vanish/>
              </w:rPr>
            </w:pPr>
          </w:p>
        </w:tc>
        <w:tc>
          <w:tcPr>
            <w:tcW w:w="0" w:type="auto"/>
            <w:shd w:val="clear" w:color="auto" w:fill="auto"/>
          </w:tcPr>
          <w:p w14:paraId="20AE35C3" w14:textId="77777777" w:rsidR="00B626E7" w:rsidRDefault="00B626E7">
            <w:pPr>
              <w:rPr>
                <w:rFonts w:ascii="宋体"/>
                <w:vanish/>
              </w:rPr>
            </w:pPr>
          </w:p>
        </w:tc>
        <w:tc>
          <w:tcPr>
            <w:tcW w:w="0" w:type="auto"/>
            <w:shd w:val="clear" w:color="auto" w:fill="auto"/>
          </w:tcPr>
          <w:p w14:paraId="20AE35C4" w14:textId="77777777" w:rsidR="00B626E7" w:rsidRDefault="00B626E7">
            <w:pPr>
              <w:rPr>
                <w:rFonts w:ascii="宋体"/>
              </w:rPr>
            </w:pPr>
          </w:p>
        </w:tc>
        <w:tc>
          <w:tcPr>
            <w:tcW w:w="0" w:type="auto"/>
            <w:shd w:val="clear" w:color="auto" w:fill="auto"/>
          </w:tcPr>
          <w:p w14:paraId="20AE35C5" w14:textId="77777777" w:rsidR="00B626E7" w:rsidRDefault="00B626E7">
            <w:pPr>
              <w:rPr>
                <w:rFonts w:ascii="宋体"/>
              </w:rPr>
            </w:pPr>
          </w:p>
        </w:tc>
        <w:tc>
          <w:tcPr>
            <w:tcW w:w="0" w:type="auto"/>
            <w:shd w:val="clear" w:color="auto" w:fill="auto"/>
          </w:tcPr>
          <w:p w14:paraId="20AE35C6" w14:textId="77777777" w:rsidR="00B626E7" w:rsidRDefault="00B626E7">
            <w:pPr>
              <w:rPr>
                <w:rFonts w:ascii="宋体"/>
              </w:rPr>
            </w:pPr>
          </w:p>
        </w:tc>
        <w:tc>
          <w:tcPr>
            <w:tcW w:w="0" w:type="auto"/>
            <w:shd w:val="clear" w:color="auto" w:fill="auto"/>
          </w:tcPr>
          <w:p w14:paraId="20AE35C7" w14:textId="77777777" w:rsidR="00B626E7" w:rsidRDefault="00B626E7">
            <w:pPr>
              <w:rPr>
                <w:rFonts w:ascii="宋体"/>
              </w:rPr>
            </w:pPr>
          </w:p>
        </w:tc>
        <w:tc>
          <w:tcPr>
            <w:tcW w:w="0" w:type="auto"/>
            <w:shd w:val="clear" w:color="auto" w:fill="auto"/>
          </w:tcPr>
          <w:p w14:paraId="20AE35C8" w14:textId="77777777" w:rsidR="00B626E7" w:rsidRDefault="00B626E7">
            <w:pPr>
              <w:rPr>
                <w:rFonts w:ascii="宋体"/>
              </w:rPr>
            </w:pPr>
          </w:p>
        </w:tc>
        <w:tc>
          <w:tcPr>
            <w:tcW w:w="0" w:type="auto"/>
            <w:shd w:val="clear" w:color="auto" w:fill="auto"/>
          </w:tcPr>
          <w:p w14:paraId="20AE35C9" w14:textId="77777777" w:rsidR="00B626E7" w:rsidRDefault="00B626E7">
            <w:pPr>
              <w:rPr>
                <w:rFonts w:ascii="宋体"/>
              </w:rPr>
            </w:pPr>
          </w:p>
        </w:tc>
      </w:tr>
      <w:tr w:rsidR="00B626E7" w14:paraId="20AE35DC" w14:textId="77777777">
        <w:tc>
          <w:tcPr>
            <w:tcW w:w="0" w:type="auto"/>
            <w:gridSpan w:val="3"/>
            <w:shd w:val="clear" w:color="auto" w:fill="auto"/>
            <w:tcMar>
              <w:top w:w="40" w:type="dxa"/>
              <w:left w:w="20" w:type="dxa"/>
              <w:bottom w:w="40" w:type="dxa"/>
              <w:right w:w="20" w:type="dxa"/>
            </w:tcMar>
            <w:vAlign w:val="bottom"/>
          </w:tcPr>
          <w:p w14:paraId="20AE35CB" w14:textId="77777777" w:rsidR="00B626E7" w:rsidRDefault="00175C1D">
            <w:pPr>
              <w:textAlignment w:val="bottom"/>
            </w:pPr>
            <w:r>
              <w:rPr>
                <w:rFonts w:ascii="Arial" w:eastAsia="宋体" w:hAnsi="Arial" w:cs="Arial"/>
                <w:b/>
                <w:bCs/>
                <w:color w:val="333333"/>
                <w:sz w:val="18"/>
                <w:szCs w:val="18"/>
              </w:rPr>
              <w:t xml:space="preserve">Non-GAAP </w:t>
            </w:r>
            <w:r>
              <w:rPr>
                <w:rFonts w:ascii="Arial" w:eastAsia="宋体" w:hAnsi="Arial" w:cs="Arial"/>
                <w:b/>
                <w:bCs/>
                <w:color w:val="333333"/>
                <w:sz w:val="18"/>
                <w:szCs w:val="18"/>
              </w:rPr>
              <w:t>operating margin</w:t>
            </w:r>
          </w:p>
        </w:tc>
        <w:tc>
          <w:tcPr>
            <w:tcW w:w="0" w:type="auto"/>
            <w:gridSpan w:val="3"/>
            <w:shd w:val="clear" w:color="auto" w:fill="auto"/>
            <w:tcMar>
              <w:left w:w="20" w:type="dxa"/>
              <w:right w:w="20" w:type="dxa"/>
            </w:tcMar>
            <w:vAlign w:val="bottom"/>
          </w:tcPr>
          <w:p w14:paraId="20AE35CC"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35CD" w14:textId="77777777" w:rsidR="00B626E7" w:rsidRDefault="00175C1D">
            <w:pPr>
              <w:jc w:val="right"/>
              <w:textAlignment w:val="bottom"/>
            </w:pPr>
            <w:r>
              <w:rPr>
                <w:rFonts w:ascii="Arial" w:eastAsia="宋体" w:hAnsi="Arial" w:cs="Arial"/>
                <w:b/>
                <w:bCs/>
                <w:color w:val="0071C5"/>
                <w:sz w:val="18"/>
                <w:szCs w:val="18"/>
              </w:rPr>
              <w:t>30.7 </w:t>
            </w:r>
          </w:p>
        </w:tc>
        <w:tc>
          <w:tcPr>
            <w:tcW w:w="0" w:type="auto"/>
            <w:tcBorders>
              <w:top w:val="single" w:sz="8" w:space="0" w:color="333333"/>
            </w:tcBorders>
            <w:shd w:val="clear" w:color="auto" w:fill="auto"/>
            <w:tcMar>
              <w:top w:w="40" w:type="dxa"/>
              <w:bottom w:w="40" w:type="dxa"/>
              <w:right w:w="20" w:type="dxa"/>
            </w:tcMar>
            <w:vAlign w:val="bottom"/>
          </w:tcPr>
          <w:p w14:paraId="20AE35CE" w14:textId="77777777" w:rsidR="00B626E7" w:rsidRDefault="00175C1D">
            <w:pPr>
              <w:jc w:val="right"/>
              <w:textAlignment w:val="bottom"/>
            </w:pPr>
            <w:r>
              <w:rPr>
                <w:rFonts w:ascii="Arial" w:eastAsia="宋体" w:hAnsi="Arial" w:cs="Arial"/>
                <w:b/>
                <w:bCs/>
                <w:color w:val="0071C5"/>
                <w:sz w:val="18"/>
                <w:szCs w:val="18"/>
              </w:rPr>
              <w:t>%</w:t>
            </w:r>
          </w:p>
        </w:tc>
        <w:tc>
          <w:tcPr>
            <w:tcW w:w="0" w:type="auto"/>
            <w:gridSpan w:val="3"/>
            <w:shd w:val="clear" w:color="auto" w:fill="auto"/>
            <w:tcMar>
              <w:left w:w="20" w:type="dxa"/>
              <w:right w:w="20" w:type="dxa"/>
            </w:tcMar>
            <w:vAlign w:val="bottom"/>
          </w:tcPr>
          <w:p w14:paraId="20AE35CF" w14:textId="77777777" w:rsidR="00B626E7" w:rsidRDefault="00B626E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20AE35D0" w14:textId="77777777" w:rsidR="00B626E7" w:rsidRDefault="00175C1D">
            <w:pPr>
              <w:jc w:val="right"/>
              <w:textAlignment w:val="bottom"/>
            </w:pPr>
            <w:r>
              <w:rPr>
                <w:rFonts w:ascii="Arial" w:eastAsia="宋体" w:hAnsi="Arial" w:cs="Arial"/>
                <w:b/>
                <w:bCs/>
                <w:color w:val="333333"/>
                <w:sz w:val="18"/>
                <w:szCs w:val="18"/>
              </w:rPr>
              <w:t>31.1 </w:t>
            </w:r>
          </w:p>
        </w:tc>
        <w:tc>
          <w:tcPr>
            <w:tcW w:w="0" w:type="auto"/>
            <w:tcBorders>
              <w:top w:val="single" w:sz="8" w:space="0" w:color="333333"/>
            </w:tcBorders>
            <w:shd w:val="clear" w:color="auto" w:fill="auto"/>
            <w:tcMar>
              <w:top w:w="40" w:type="dxa"/>
              <w:bottom w:w="40" w:type="dxa"/>
              <w:right w:w="20" w:type="dxa"/>
            </w:tcMar>
            <w:vAlign w:val="bottom"/>
          </w:tcPr>
          <w:p w14:paraId="20AE35D1" w14:textId="77777777" w:rsidR="00B626E7" w:rsidRDefault="00175C1D">
            <w:pPr>
              <w:jc w:val="right"/>
              <w:textAlignment w:val="bottom"/>
            </w:pPr>
            <w:r>
              <w:rPr>
                <w:rFonts w:ascii="Arial" w:eastAsia="宋体" w:hAnsi="Arial" w:cs="Arial"/>
                <w:b/>
                <w:bCs/>
                <w:color w:val="333333"/>
                <w:sz w:val="18"/>
                <w:szCs w:val="18"/>
              </w:rPr>
              <w:t>%</w:t>
            </w:r>
          </w:p>
        </w:tc>
        <w:tc>
          <w:tcPr>
            <w:tcW w:w="0" w:type="auto"/>
            <w:shd w:val="clear" w:color="auto" w:fill="auto"/>
          </w:tcPr>
          <w:p w14:paraId="20AE35D2" w14:textId="77777777" w:rsidR="00B626E7" w:rsidRDefault="00B626E7">
            <w:pPr>
              <w:rPr>
                <w:rFonts w:ascii="宋体"/>
                <w:vanish/>
              </w:rPr>
            </w:pPr>
          </w:p>
        </w:tc>
        <w:tc>
          <w:tcPr>
            <w:tcW w:w="0" w:type="auto"/>
            <w:shd w:val="clear" w:color="auto" w:fill="auto"/>
          </w:tcPr>
          <w:p w14:paraId="20AE35D3" w14:textId="77777777" w:rsidR="00B626E7" w:rsidRDefault="00B626E7">
            <w:pPr>
              <w:rPr>
                <w:rFonts w:ascii="宋体"/>
                <w:vanish/>
              </w:rPr>
            </w:pPr>
          </w:p>
        </w:tc>
        <w:tc>
          <w:tcPr>
            <w:tcW w:w="0" w:type="auto"/>
            <w:shd w:val="clear" w:color="auto" w:fill="auto"/>
          </w:tcPr>
          <w:p w14:paraId="20AE35D4" w14:textId="77777777" w:rsidR="00B626E7" w:rsidRDefault="00B626E7">
            <w:pPr>
              <w:rPr>
                <w:rFonts w:ascii="宋体"/>
                <w:vanish/>
              </w:rPr>
            </w:pPr>
          </w:p>
        </w:tc>
        <w:tc>
          <w:tcPr>
            <w:tcW w:w="0" w:type="auto"/>
            <w:shd w:val="clear" w:color="auto" w:fill="auto"/>
          </w:tcPr>
          <w:p w14:paraId="20AE35D5" w14:textId="77777777" w:rsidR="00B626E7" w:rsidRDefault="00B626E7">
            <w:pPr>
              <w:rPr>
                <w:rFonts w:ascii="宋体"/>
                <w:vanish/>
              </w:rPr>
            </w:pPr>
          </w:p>
        </w:tc>
        <w:tc>
          <w:tcPr>
            <w:tcW w:w="0" w:type="auto"/>
            <w:shd w:val="clear" w:color="auto" w:fill="auto"/>
          </w:tcPr>
          <w:p w14:paraId="20AE35D6" w14:textId="77777777" w:rsidR="00B626E7" w:rsidRDefault="00B626E7">
            <w:pPr>
              <w:rPr>
                <w:rFonts w:ascii="宋体"/>
              </w:rPr>
            </w:pPr>
          </w:p>
        </w:tc>
        <w:tc>
          <w:tcPr>
            <w:tcW w:w="0" w:type="auto"/>
            <w:shd w:val="clear" w:color="auto" w:fill="auto"/>
          </w:tcPr>
          <w:p w14:paraId="20AE35D7" w14:textId="77777777" w:rsidR="00B626E7" w:rsidRDefault="00B626E7">
            <w:pPr>
              <w:rPr>
                <w:rFonts w:ascii="宋体"/>
              </w:rPr>
            </w:pPr>
          </w:p>
        </w:tc>
        <w:tc>
          <w:tcPr>
            <w:tcW w:w="0" w:type="auto"/>
            <w:shd w:val="clear" w:color="auto" w:fill="auto"/>
          </w:tcPr>
          <w:p w14:paraId="20AE35D8" w14:textId="77777777" w:rsidR="00B626E7" w:rsidRDefault="00B626E7">
            <w:pPr>
              <w:rPr>
                <w:rFonts w:ascii="宋体"/>
              </w:rPr>
            </w:pPr>
          </w:p>
        </w:tc>
        <w:tc>
          <w:tcPr>
            <w:tcW w:w="0" w:type="auto"/>
            <w:shd w:val="clear" w:color="auto" w:fill="auto"/>
          </w:tcPr>
          <w:p w14:paraId="20AE35D9" w14:textId="77777777" w:rsidR="00B626E7" w:rsidRDefault="00B626E7">
            <w:pPr>
              <w:rPr>
                <w:rFonts w:ascii="宋体"/>
              </w:rPr>
            </w:pPr>
          </w:p>
        </w:tc>
        <w:tc>
          <w:tcPr>
            <w:tcW w:w="0" w:type="auto"/>
            <w:shd w:val="clear" w:color="auto" w:fill="auto"/>
          </w:tcPr>
          <w:p w14:paraId="20AE35DA" w14:textId="77777777" w:rsidR="00B626E7" w:rsidRDefault="00B626E7">
            <w:pPr>
              <w:rPr>
                <w:rFonts w:ascii="宋体"/>
              </w:rPr>
            </w:pPr>
          </w:p>
        </w:tc>
        <w:tc>
          <w:tcPr>
            <w:tcW w:w="0" w:type="auto"/>
            <w:shd w:val="clear" w:color="auto" w:fill="auto"/>
          </w:tcPr>
          <w:p w14:paraId="20AE35DB" w14:textId="77777777" w:rsidR="00B626E7" w:rsidRDefault="00B626E7">
            <w:pPr>
              <w:rPr>
                <w:rFonts w:ascii="宋体"/>
              </w:rPr>
            </w:pPr>
          </w:p>
        </w:tc>
      </w:tr>
      <w:tr w:rsidR="00B626E7" w14:paraId="20AE35EC" w14:textId="77777777">
        <w:trPr>
          <w:trHeight w:val="240"/>
        </w:trPr>
        <w:tc>
          <w:tcPr>
            <w:tcW w:w="0" w:type="auto"/>
            <w:gridSpan w:val="3"/>
            <w:shd w:val="clear" w:color="auto" w:fill="auto"/>
            <w:tcMar>
              <w:left w:w="20" w:type="dxa"/>
              <w:right w:w="20" w:type="dxa"/>
            </w:tcMar>
            <w:vAlign w:val="bottom"/>
          </w:tcPr>
          <w:p w14:paraId="20AE35DD"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5DE" w14:textId="77777777" w:rsidR="00B626E7" w:rsidRDefault="00B626E7">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0AE35DF"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5E0" w14:textId="77777777" w:rsidR="00B626E7" w:rsidRDefault="00B626E7">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0AE35E1" w14:textId="77777777" w:rsidR="00B626E7" w:rsidRDefault="00B626E7">
            <w:pPr>
              <w:rPr>
                <w:rFonts w:ascii="宋体"/>
              </w:rPr>
            </w:pPr>
          </w:p>
        </w:tc>
        <w:tc>
          <w:tcPr>
            <w:tcW w:w="0" w:type="auto"/>
            <w:shd w:val="clear" w:color="auto" w:fill="auto"/>
          </w:tcPr>
          <w:p w14:paraId="20AE35E2" w14:textId="77777777" w:rsidR="00B626E7" w:rsidRDefault="00B626E7">
            <w:pPr>
              <w:rPr>
                <w:rFonts w:ascii="宋体"/>
                <w:vanish/>
              </w:rPr>
            </w:pPr>
          </w:p>
        </w:tc>
        <w:tc>
          <w:tcPr>
            <w:tcW w:w="0" w:type="auto"/>
            <w:shd w:val="clear" w:color="auto" w:fill="auto"/>
          </w:tcPr>
          <w:p w14:paraId="20AE35E3" w14:textId="77777777" w:rsidR="00B626E7" w:rsidRDefault="00B626E7">
            <w:pPr>
              <w:rPr>
                <w:rFonts w:ascii="宋体"/>
                <w:vanish/>
              </w:rPr>
            </w:pPr>
          </w:p>
        </w:tc>
        <w:tc>
          <w:tcPr>
            <w:tcW w:w="0" w:type="auto"/>
            <w:shd w:val="clear" w:color="auto" w:fill="auto"/>
          </w:tcPr>
          <w:p w14:paraId="20AE35E4" w14:textId="77777777" w:rsidR="00B626E7" w:rsidRDefault="00B626E7">
            <w:pPr>
              <w:rPr>
                <w:rFonts w:ascii="宋体"/>
                <w:vanish/>
              </w:rPr>
            </w:pPr>
          </w:p>
        </w:tc>
        <w:tc>
          <w:tcPr>
            <w:tcW w:w="0" w:type="auto"/>
            <w:shd w:val="clear" w:color="auto" w:fill="auto"/>
          </w:tcPr>
          <w:p w14:paraId="20AE35E5" w14:textId="77777777" w:rsidR="00B626E7" w:rsidRDefault="00B626E7">
            <w:pPr>
              <w:rPr>
                <w:rFonts w:ascii="宋体"/>
                <w:vanish/>
              </w:rPr>
            </w:pPr>
          </w:p>
        </w:tc>
        <w:tc>
          <w:tcPr>
            <w:tcW w:w="0" w:type="auto"/>
            <w:shd w:val="clear" w:color="auto" w:fill="auto"/>
          </w:tcPr>
          <w:p w14:paraId="20AE35E6" w14:textId="77777777" w:rsidR="00B626E7" w:rsidRDefault="00B626E7">
            <w:pPr>
              <w:rPr>
                <w:rFonts w:ascii="宋体"/>
              </w:rPr>
            </w:pPr>
          </w:p>
        </w:tc>
        <w:tc>
          <w:tcPr>
            <w:tcW w:w="0" w:type="auto"/>
            <w:shd w:val="clear" w:color="auto" w:fill="auto"/>
          </w:tcPr>
          <w:p w14:paraId="20AE35E7" w14:textId="77777777" w:rsidR="00B626E7" w:rsidRDefault="00B626E7">
            <w:pPr>
              <w:rPr>
                <w:rFonts w:ascii="宋体"/>
              </w:rPr>
            </w:pPr>
          </w:p>
        </w:tc>
        <w:tc>
          <w:tcPr>
            <w:tcW w:w="0" w:type="auto"/>
            <w:shd w:val="clear" w:color="auto" w:fill="auto"/>
          </w:tcPr>
          <w:p w14:paraId="20AE35E8" w14:textId="77777777" w:rsidR="00B626E7" w:rsidRDefault="00B626E7">
            <w:pPr>
              <w:rPr>
                <w:rFonts w:ascii="宋体"/>
              </w:rPr>
            </w:pPr>
          </w:p>
        </w:tc>
        <w:tc>
          <w:tcPr>
            <w:tcW w:w="0" w:type="auto"/>
            <w:shd w:val="clear" w:color="auto" w:fill="auto"/>
          </w:tcPr>
          <w:p w14:paraId="20AE35E9" w14:textId="77777777" w:rsidR="00B626E7" w:rsidRDefault="00B626E7">
            <w:pPr>
              <w:rPr>
                <w:rFonts w:ascii="宋体"/>
              </w:rPr>
            </w:pPr>
          </w:p>
        </w:tc>
        <w:tc>
          <w:tcPr>
            <w:tcW w:w="0" w:type="auto"/>
            <w:shd w:val="clear" w:color="auto" w:fill="auto"/>
          </w:tcPr>
          <w:p w14:paraId="20AE35EA" w14:textId="77777777" w:rsidR="00B626E7" w:rsidRDefault="00B626E7">
            <w:pPr>
              <w:rPr>
                <w:rFonts w:ascii="宋体"/>
              </w:rPr>
            </w:pPr>
          </w:p>
        </w:tc>
        <w:tc>
          <w:tcPr>
            <w:tcW w:w="0" w:type="auto"/>
            <w:shd w:val="clear" w:color="auto" w:fill="auto"/>
          </w:tcPr>
          <w:p w14:paraId="20AE35EB" w14:textId="77777777" w:rsidR="00B626E7" w:rsidRDefault="00B626E7">
            <w:pPr>
              <w:rPr>
                <w:rFonts w:ascii="宋体"/>
              </w:rPr>
            </w:pPr>
          </w:p>
        </w:tc>
      </w:tr>
      <w:tr w:rsidR="00B626E7" w14:paraId="20AE35FC" w14:textId="77777777">
        <w:trPr>
          <w:hidden/>
        </w:trPr>
        <w:tc>
          <w:tcPr>
            <w:tcW w:w="0" w:type="auto"/>
            <w:gridSpan w:val="3"/>
            <w:shd w:val="clear" w:color="auto" w:fill="auto"/>
          </w:tcPr>
          <w:p w14:paraId="20AE35ED" w14:textId="77777777" w:rsidR="00B626E7" w:rsidRDefault="00B626E7">
            <w:pPr>
              <w:rPr>
                <w:rFonts w:ascii="宋体"/>
                <w:vanish/>
              </w:rPr>
            </w:pPr>
          </w:p>
        </w:tc>
        <w:tc>
          <w:tcPr>
            <w:tcW w:w="0" w:type="auto"/>
            <w:gridSpan w:val="3"/>
            <w:shd w:val="clear" w:color="auto" w:fill="auto"/>
          </w:tcPr>
          <w:p w14:paraId="20AE35EE" w14:textId="77777777" w:rsidR="00B626E7" w:rsidRDefault="00B626E7">
            <w:pPr>
              <w:rPr>
                <w:rFonts w:ascii="宋体"/>
                <w:vanish/>
              </w:rPr>
            </w:pPr>
          </w:p>
        </w:tc>
        <w:tc>
          <w:tcPr>
            <w:tcW w:w="0" w:type="auto"/>
            <w:gridSpan w:val="3"/>
            <w:shd w:val="clear" w:color="auto" w:fill="auto"/>
          </w:tcPr>
          <w:p w14:paraId="20AE35EF" w14:textId="77777777" w:rsidR="00B626E7" w:rsidRDefault="00B626E7">
            <w:pPr>
              <w:rPr>
                <w:rFonts w:ascii="宋体"/>
                <w:vanish/>
              </w:rPr>
            </w:pPr>
          </w:p>
        </w:tc>
        <w:tc>
          <w:tcPr>
            <w:tcW w:w="0" w:type="auto"/>
            <w:gridSpan w:val="3"/>
            <w:shd w:val="clear" w:color="auto" w:fill="auto"/>
          </w:tcPr>
          <w:p w14:paraId="20AE35F0" w14:textId="77777777" w:rsidR="00B626E7" w:rsidRDefault="00B626E7">
            <w:pPr>
              <w:rPr>
                <w:rFonts w:ascii="宋体"/>
                <w:vanish/>
              </w:rPr>
            </w:pPr>
          </w:p>
        </w:tc>
        <w:tc>
          <w:tcPr>
            <w:tcW w:w="0" w:type="auto"/>
            <w:gridSpan w:val="3"/>
            <w:shd w:val="clear" w:color="auto" w:fill="auto"/>
          </w:tcPr>
          <w:p w14:paraId="20AE35F1" w14:textId="77777777" w:rsidR="00B626E7" w:rsidRDefault="00B626E7">
            <w:pPr>
              <w:rPr>
                <w:rFonts w:ascii="宋体"/>
                <w:vanish/>
              </w:rPr>
            </w:pPr>
          </w:p>
        </w:tc>
        <w:tc>
          <w:tcPr>
            <w:tcW w:w="0" w:type="auto"/>
            <w:shd w:val="clear" w:color="auto" w:fill="auto"/>
          </w:tcPr>
          <w:p w14:paraId="20AE35F2" w14:textId="77777777" w:rsidR="00B626E7" w:rsidRDefault="00B626E7">
            <w:pPr>
              <w:rPr>
                <w:rFonts w:ascii="宋体"/>
                <w:vanish/>
              </w:rPr>
            </w:pPr>
          </w:p>
        </w:tc>
        <w:tc>
          <w:tcPr>
            <w:tcW w:w="0" w:type="auto"/>
            <w:shd w:val="clear" w:color="auto" w:fill="auto"/>
          </w:tcPr>
          <w:p w14:paraId="20AE35F3" w14:textId="77777777" w:rsidR="00B626E7" w:rsidRDefault="00B626E7">
            <w:pPr>
              <w:rPr>
                <w:rFonts w:ascii="宋体"/>
                <w:vanish/>
              </w:rPr>
            </w:pPr>
          </w:p>
        </w:tc>
        <w:tc>
          <w:tcPr>
            <w:tcW w:w="0" w:type="auto"/>
            <w:shd w:val="clear" w:color="auto" w:fill="auto"/>
          </w:tcPr>
          <w:p w14:paraId="20AE35F4" w14:textId="77777777" w:rsidR="00B626E7" w:rsidRDefault="00B626E7">
            <w:pPr>
              <w:rPr>
                <w:rFonts w:ascii="宋体"/>
                <w:vanish/>
              </w:rPr>
            </w:pPr>
          </w:p>
        </w:tc>
        <w:tc>
          <w:tcPr>
            <w:tcW w:w="0" w:type="auto"/>
            <w:shd w:val="clear" w:color="auto" w:fill="auto"/>
          </w:tcPr>
          <w:p w14:paraId="20AE35F5" w14:textId="77777777" w:rsidR="00B626E7" w:rsidRDefault="00B626E7">
            <w:pPr>
              <w:rPr>
                <w:rFonts w:ascii="宋体"/>
                <w:vanish/>
              </w:rPr>
            </w:pPr>
          </w:p>
        </w:tc>
        <w:tc>
          <w:tcPr>
            <w:tcW w:w="0" w:type="auto"/>
            <w:shd w:val="clear" w:color="auto" w:fill="auto"/>
          </w:tcPr>
          <w:p w14:paraId="20AE35F6" w14:textId="77777777" w:rsidR="00B626E7" w:rsidRDefault="00B626E7">
            <w:pPr>
              <w:rPr>
                <w:rFonts w:ascii="宋体"/>
              </w:rPr>
            </w:pPr>
          </w:p>
        </w:tc>
        <w:tc>
          <w:tcPr>
            <w:tcW w:w="0" w:type="auto"/>
            <w:shd w:val="clear" w:color="auto" w:fill="auto"/>
          </w:tcPr>
          <w:p w14:paraId="20AE35F7" w14:textId="77777777" w:rsidR="00B626E7" w:rsidRDefault="00B626E7">
            <w:pPr>
              <w:rPr>
                <w:rFonts w:ascii="宋体"/>
              </w:rPr>
            </w:pPr>
          </w:p>
        </w:tc>
        <w:tc>
          <w:tcPr>
            <w:tcW w:w="0" w:type="auto"/>
            <w:shd w:val="clear" w:color="auto" w:fill="auto"/>
          </w:tcPr>
          <w:p w14:paraId="20AE35F8" w14:textId="77777777" w:rsidR="00B626E7" w:rsidRDefault="00B626E7">
            <w:pPr>
              <w:rPr>
                <w:rFonts w:ascii="宋体"/>
              </w:rPr>
            </w:pPr>
          </w:p>
        </w:tc>
        <w:tc>
          <w:tcPr>
            <w:tcW w:w="0" w:type="auto"/>
            <w:shd w:val="clear" w:color="auto" w:fill="auto"/>
          </w:tcPr>
          <w:p w14:paraId="20AE35F9" w14:textId="77777777" w:rsidR="00B626E7" w:rsidRDefault="00B626E7">
            <w:pPr>
              <w:rPr>
                <w:rFonts w:ascii="宋体"/>
              </w:rPr>
            </w:pPr>
          </w:p>
        </w:tc>
        <w:tc>
          <w:tcPr>
            <w:tcW w:w="0" w:type="auto"/>
            <w:shd w:val="clear" w:color="auto" w:fill="auto"/>
          </w:tcPr>
          <w:p w14:paraId="20AE35FA" w14:textId="77777777" w:rsidR="00B626E7" w:rsidRDefault="00B626E7">
            <w:pPr>
              <w:rPr>
                <w:rFonts w:ascii="宋体"/>
              </w:rPr>
            </w:pPr>
          </w:p>
        </w:tc>
        <w:tc>
          <w:tcPr>
            <w:tcW w:w="0" w:type="auto"/>
            <w:shd w:val="clear" w:color="auto" w:fill="auto"/>
          </w:tcPr>
          <w:p w14:paraId="20AE35FB" w14:textId="77777777" w:rsidR="00B626E7" w:rsidRDefault="00B626E7">
            <w:pPr>
              <w:rPr>
                <w:rFonts w:ascii="宋体"/>
              </w:rPr>
            </w:pPr>
          </w:p>
        </w:tc>
      </w:tr>
      <w:tr w:rsidR="00B626E7" w14:paraId="20AE360C" w14:textId="77777777">
        <w:trPr>
          <w:hidden/>
        </w:trPr>
        <w:tc>
          <w:tcPr>
            <w:tcW w:w="0" w:type="auto"/>
            <w:gridSpan w:val="3"/>
            <w:shd w:val="clear" w:color="auto" w:fill="auto"/>
          </w:tcPr>
          <w:p w14:paraId="20AE35FD" w14:textId="77777777" w:rsidR="00B626E7" w:rsidRDefault="00B626E7">
            <w:pPr>
              <w:rPr>
                <w:rFonts w:ascii="宋体"/>
                <w:vanish/>
              </w:rPr>
            </w:pPr>
          </w:p>
        </w:tc>
        <w:tc>
          <w:tcPr>
            <w:tcW w:w="0" w:type="auto"/>
            <w:gridSpan w:val="3"/>
            <w:shd w:val="clear" w:color="auto" w:fill="auto"/>
          </w:tcPr>
          <w:p w14:paraId="20AE35FE" w14:textId="77777777" w:rsidR="00B626E7" w:rsidRDefault="00B626E7">
            <w:pPr>
              <w:rPr>
                <w:rFonts w:ascii="宋体"/>
                <w:vanish/>
              </w:rPr>
            </w:pPr>
          </w:p>
        </w:tc>
        <w:tc>
          <w:tcPr>
            <w:tcW w:w="0" w:type="auto"/>
            <w:gridSpan w:val="3"/>
            <w:shd w:val="clear" w:color="auto" w:fill="auto"/>
          </w:tcPr>
          <w:p w14:paraId="20AE35FF" w14:textId="77777777" w:rsidR="00B626E7" w:rsidRDefault="00B626E7">
            <w:pPr>
              <w:rPr>
                <w:rFonts w:ascii="宋体"/>
                <w:vanish/>
              </w:rPr>
            </w:pPr>
          </w:p>
        </w:tc>
        <w:tc>
          <w:tcPr>
            <w:tcW w:w="0" w:type="auto"/>
            <w:gridSpan w:val="3"/>
            <w:shd w:val="clear" w:color="auto" w:fill="auto"/>
          </w:tcPr>
          <w:p w14:paraId="20AE3600" w14:textId="77777777" w:rsidR="00B626E7" w:rsidRDefault="00B626E7">
            <w:pPr>
              <w:rPr>
                <w:rFonts w:ascii="宋体"/>
                <w:vanish/>
              </w:rPr>
            </w:pPr>
          </w:p>
        </w:tc>
        <w:tc>
          <w:tcPr>
            <w:tcW w:w="0" w:type="auto"/>
            <w:gridSpan w:val="3"/>
            <w:shd w:val="clear" w:color="auto" w:fill="auto"/>
          </w:tcPr>
          <w:p w14:paraId="20AE3601" w14:textId="77777777" w:rsidR="00B626E7" w:rsidRDefault="00B626E7">
            <w:pPr>
              <w:rPr>
                <w:rFonts w:ascii="宋体"/>
                <w:vanish/>
              </w:rPr>
            </w:pPr>
          </w:p>
        </w:tc>
        <w:tc>
          <w:tcPr>
            <w:tcW w:w="0" w:type="auto"/>
            <w:shd w:val="clear" w:color="auto" w:fill="auto"/>
          </w:tcPr>
          <w:p w14:paraId="20AE3602" w14:textId="77777777" w:rsidR="00B626E7" w:rsidRDefault="00B626E7">
            <w:pPr>
              <w:rPr>
                <w:rFonts w:ascii="宋体"/>
                <w:vanish/>
              </w:rPr>
            </w:pPr>
          </w:p>
        </w:tc>
        <w:tc>
          <w:tcPr>
            <w:tcW w:w="0" w:type="auto"/>
            <w:shd w:val="clear" w:color="auto" w:fill="auto"/>
          </w:tcPr>
          <w:p w14:paraId="20AE3603" w14:textId="77777777" w:rsidR="00B626E7" w:rsidRDefault="00B626E7">
            <w:pPr>
              <w:rPr>
                <w:rFonts w:ascii="宋体"/>
                <w:vanish/>
              </w:rPr>
            </w:pPr>
          </w:p>
        </w:tc>
        <w:tc>
          <w:tcPr>
            <w:tcW w:w="0" w:type="auto"/>
            <w:shd w:val="clear" w:color="auto" w:fill="auto"/>
          </w:tcPr>
          <w:p w14:paraId="20AE3604" w14:textId="77777777" w:rsidR="00B626E7" w:rsidRDefault="00B626E7">
            <w:pPr>
              <w:rPr>
                <w:rFonts w:ascii="宋体"/>
                <w:vanish/>
              </w:rPr>
            </w:pPr>
          </w:p>
        </w:tc>
        <w:tc>
          <w:tcPr>
            <w:tcW w:w="0" w:type="auto"/>
            <w:shd w:val="clear" w:color="auto" w:fill="auto"/>
          </w:tcPr>
          <w:p w14:paraId="20AE3605" w14:textId="77777777" w:rsidR="00B626E7" w:rsidRDefault="00B626E7">
            <w:pPr>
              <w:rPr>
                <w:rFonts w:ascii="宋体"/>
                <w:vanish/>
              </w:rPr>
            </w:pPr>
          </w:p>
        </w:tc>
        <w:tc>
          <w:tcPr>
            <w:tcW w:w="0" w:type="auto"/>
            <w:shd w:val="clear" w:color="auto" w:fill="auto"/>
          </w:tcPr>
          <w:p w14:paraId="20AE3606" w14:textId="77777777" w:rsidR="00B626E7" w:rsidRDefault="00B626E7">
            <w:pPr>
              <w:rPr>
                <w:rFonts w:ascii="宋体"/>
              </w:rPr>
            </w:pPr>
          </w:p>
        </w:tc>
        <w:tc>
          <w:tcPr>
            <w:tcW w:w="0" w:type="auto"/>
            <w:shd w:val="clear" w:color="auto" w:fill="auto"/>
          </w:tcPr>
          <w:p w14:paraId="20AE3607" w14:textId="77777777" w:rsidR="00B626E7" w:rsidRDefault="00B626E7">
            <w:pPr>
              <w:rPr>
                <w:rFonts w:ascii="宋体"/>
              </w:rPr>
            </w:pPr>
          </w:p>
        </w:tc>
        <w:tc>
          <w:tcPr>
            <w:tcW w:w="0" w:type="auto"/>
            <w:shd w:val="clear" w:color="auto" w:fill="auto"/>
          </w:tcPr>
          <w:p w14:paraId="20AE3608" w14:textId="77777777" w:rsidR="00B626E7" w:rsidRDefault="00B626E7">
            <w:pPr>
              <w:rPr>
                <w:rFonts w:ascii="宋体"/>
              </w:rPr>
            </w:pPr>
          </w:p>
        </w:tc>
        <w:tc>
          <w:tcPr>
            <w:tcW w:w="0" w:type="auto"/>
            <w:shd w:val="clear" w:color="auto" w:fill="auto"/>
          </w:tcPr>
          <w:p w14:paraId="20AE3609" w14:textId="77777777" w:rsidR="00B626E7" w:rsidRDefault="00B626E7">
            <w:pPr>
              <w:rPr>
                <w:rFonts w:ascii="宋体"/>
              </w:rPr>
            </w:pPr>
          </w:p>
        </w:tc>
        <w:tc>
          <w:tcPr>
            <w:tcW w:w="0" w:type="auto"/>
            <w:shd w:val="clear" w:color="auto" w:fill="auto"/>
          </w:tcPr>
          <w:p w14:paraId="20AE360A" w14:textId="77777777" w:rsidR="00B626E7" w:rsidRDefault="00B626E7">
            <w:pPr>
              <w:rPr>
                <w:rFonts w:ascii="宋体"/>
              </w:rPr>
            </w:pPr>
          </w:p>
        </w:tc>
        <w:tc>
          <w:tcPr>
            <w:tcW w:w="0" w:type="auto"/>
            <w:shd w:val="clear" w:color="auto" w:fill="auto"/>
          </w:tcPr>
          <w:p w14:paraId="20AE360B" w14:textId="77777777" w:rsidR="00B626E7" w:rsidRDefault="00B626E7">
            <w:pPr>
              <w:rPr>
                <w:rFonts w:ascii="宋体"/>
              </w:rPr>
            </w:pPr>
          </w:p>
        </w:tc>
      </w:tr>
      <w:tr w:rsidR="00B626E7" w14:paraId="20AE361C" w14:textId="77777777">
        <w:trPr>
          <w:hidden/>
        </w:trPr>
        <w:tc>
          <w:tcPr>
            <w:tcW w:w="0" w:type="auto"/>
            <w:gridSpan w:val="3"/>
            <w:shd w:val="clear" w:color="auto" w:fill="auto"/>
          </w:tcPr>
          <w:p w14:paraId="20AE360D" w14:textId="77777777" w:rsidR="00B626E7" w:rsidRDefault="00B626E7">
            <w:pPr>
              <w:rPr>
                <w:rFonts w:ascii="宋体"/>
                <w:vanish/>
              </w:rPr>
            </w:pPr>
          </w:p>
        </w:tc>
        <w:tc>
          <w:tcPr>
            <w:tcW w:w="0" w:type="auto"/>
            <w:gridSpan w:val="3"/>
            <w:shd w:val="clear" w:color="auto" w:fill="auto"/>
          </w:tcPr>
          <w:p w14:paraId="20AE360E" w14:textId="77777777" w:rsidR="00B626E7" w:rsidRDefault="00B626E7">
            <w:pPr>
              <w:rPr>
                <w:rFonts w:ascii="宋体"/>
                <w:vanish/>
              </w:rPr>
            </w:pPr>
          </w:p>
        </w:tc>
        <w:tc>
          <w:tcPr>
            <w:tcW w:w="0" w:type="auto"/>
            <w:gridSpan w:val="3"/>
            <w:shd w:val="clear" w:color="auto" w:fill="auto"/>
          </w:tcPr>
          <w:p w14:paraId="20AE360F" w14:textId="77777777" w:rsidR="00B626E7" w:rsidRDefault="00B626E7">
            <w:pPr>
              <w:rPr>
                <w:rFonts w:ascii="宋体"/>
                <w:vanish/>
              </w:rPr>
            </w:pPr>
          </w:p>
        </w:tc>
        <w:tc>
          <w:tcPr>
            <w:tcW w:w="0" w:type="auto"/>
            <w:gridSpan w:val="3"/>
            <w:shd w:val="clear" w:color="auto" w:fill="auto"/>
          </w:tcPr>
          <w:p w14:paraId="20AE3610" w14:textId="77777777" w:rsidR="00B626E7" w:rsidRDefault="00B626E7">
            <w:pPr>
              <w:rPr>
                <w:rFonts w:ascii="宋体"/>
                <w:vanish/>
              </w:rPr>
            </w:pPr>
          </w:p>
        </w:tc>
        <w:tc>
          <w:tcPr>
            <w:tcW w:w="0" w:type="auto"/>
            <w:gridSpan w:val="3"/>
            <w:shd w:val="clear" w:color="auto" w:fill="auto"/>
          </w:tcPr>
          <w:p w14:paraId="20AE3611" w14:textId="77777777" w:rsidR="00B626E7" w:rsidRDefault="00B626E7">
            <w:pPr>
              <w:rPr>
                <w:rFonts w:ascii="宋体"/>
                <w:vanish/>
              </w:rPr>
            </w:pPr>
          </w:p>
        </w:tc>
        <w:tc>
          <w:tcPr>
            <w:tcW w:w="0" w:type="auto"/>
            <w:shd w:val="clear" w:color="auto" w:fill="auto"/>
          </w:tcPr>
          <w:p w14:paraId="20AE3612" w14:textId="77777777" w:rsidR="00B626E7" w:rsidRDefault="00B626E7">
            <w:pPr>
              <w:rPr>
                <w:rFonts w:ascii="宋体"/>
                <w:vanish/>
              </w:rPr>
            </w:pPr>
          </w:p>
        </w:tc>
        <w:tc>
          <w:tcPr>
            <w:tcW w:w="0" w:type="auto"/>
            <w:shd w:val="clear" w:color="auto" w:fill="auto"/>
          </w:tcPr>
          <w:p w14:paraId="20AE3613" w14:textId="77777777" w:rsidR="00B626E7" w:rsidRDefault="00B626E7">
            <w:pPr>
              <w:rPr>
                <w:rFonts w:ascii="宋体"/>
                <w:vanish/>
              </w:rPr>
            </w:pPr>
          </w:p>
        </w:tc>
        <w:tc>
          <w:tcPr>
            <w:tcW w:w="0" w:type="auto"/>
            <w:shd w:val="clear" w:color="auto" w:fill="auto"/>
          </w:tcPr>
          <w:p w14:paraId="20AE3614" w14:textId="77777777" w:rsidR="00B626E7" w:rsidRDefault="00B626E7">
            <w:pPr>
              <w:rPr>
                <w:rFonts w:ascii="宋体"/>
                <w:vanish/>
              </w:rPr>
            </w:pPr>
          </w:p>
        </w:tc>
        <w:tc>
          <w:tcPr>
            <w:tcW w:w="0" w:type="auto"/>
            <w:shd w:val="clear" w:color="auto" w:fill="auto"/>
          </w:tcPr>
          <w:p w14:paraId="20AE3615" w14:textId="77777777" w:rsidR="00B626E7" w:rsidRDefault="00B626E7">
            <w:pPr>
              <w:rPr>
                <w:rFonts w:ascii="宋体"/>
                <w:vanish/>
              </w:rPr>
            </w:pPr>
          </w:p>
        </w:tc>
        <w:tc>
          <w:tcPr>
            <w:tcW w:w="0" w:type="auto"/>
            <w:shd w:val="clear" w:color="auto" w:fill="auto"/>
          </w:tcPr>
          <w:p w14:paraId="20AE3616" w14:textId="77777777" w:rsidR="00B626E7" w:rsidRDefault="00B626E7">
            <w:pPr>
              <w:rPr>
                <w:rFonts w:ascii="宋体"/>
              </w:rPr>
            </w:pPr>
          </w:p>
        </w:tc>
        <w:tc>
          <w:tcPr>
            <w:tcW w:w="0" w:type="auto"/>
            <w:shd w:val="clear" w:color="auto" w:fill="auto"/>
          </w:tcPr>
          <w:p w14:paraId="20AE3617" w14:textId="77777777" w:rsidR="00B626E7" w:rsidRDefault="00B626E7">
            <w:pPr>
              <w:rPr>
                <w:rFonts w:ascii="宋体"/>
              </w:rPr>
            </w:pPr>
          </w:p>
        </w:tc>
        <w:tc>
          <w:tcPr>
            <w:tcW w:w="0" w:type="auto"/>
            <w:shd w:val="clear" w:color="auto" w:fill="auto"/>
          </w:tcPr>
          <w:p w14:paraId="20AE3618" w14:textId="77777777" w:rsidR="00B626E7" w:rsidRDefault="00B626E7">
            <w:pPr>
              <w:rPr>
                <w:rFonts w:ascii="宋体"/>
              </w:rPr>
            </w:pPr>
          </w:p>
        </w:tc>
        <w:tc>
          <w:tcPr>
            <w:tcW w:w="0" w:type="auto"/>
            <w:shd w:val="clear" w:color="auto" w:fill="auto"/>
          </w:tcPr>
          <w:p w14:paraId="20AE3619" w14:textId="77777777" w:rsidR="00B626E7" w:rsidRDefault="00B626E7">
            <w:pPr>
              <w:rPr>
                <w:rFonts w:ascii="宋体"/>
              </w:rPr>
            </w:pPr>
          </w:p>
        </w:tc>
        <w:tc>
          <w:tcPr>
            <w:tcW w:w="0" w:type="auto"/>
            <w:shd w:val="clear" w:color="auto" w:fill="auto"/>
          </w:tcPr>
          <w:p w14:paraId="20AE361A" w14:textId="77777777" w:rsidR="00B626E7" w:rsidRDefault="00B626E7">
            <w:pPr>
              <w:rPr>
                <w:rFonts w:ascii="宋体"/>
              </w:rPr>
            </w:pPr>
          </w:p>
        </w:tc>
        <w:tc>
          <w:tcPr>
            <w:tcW w:w="0" w:type="auto"/>
            <w:shd w:val="clear" w:color="auto" w:fill="auto"/>
          </w:tcPr>
          <w:p w14:paraId="20AE361B" w14:textId="77777777" w:rsidR="00B626E7" w:rsidRDefault="00B626E7">
            <w:pPr>
              <w:rPr>
                <w:rFonts w:ascii="宋体"/>
              </w:rPr>
            </w:pPr>
          </w:p>
        </w:tc>
      </w:tr>
      <w:tr w:rsidR="00B626E7" w14:paraId="20AE362C" w14:textId="77777777">
        <w:trPr>
          <w:hidden/>
        </w:trPr>
        <w:tc>
          <w:tcPr>
            <w:tcW w:w="0" w:type="auto"/>
            <w:gridSpan w:val="3"/>
            <w:shd w:val="clear" w:color="auto" w:fill="auto"/>
          </w:tcPr>
          <w:p w14:paraId="20AE361D" w14:textId="77777777" w:rsidR="00B626E7" w:rsidRDefault="00B626E7">
            <w:pPr>
              <w:rPr>
                <w:rFonts w:ascii="宋体"/>
                <w:vanish/>
              </w:rPr>
            </w:pPr>
          </w:p>
        </w:tc>
        <w:tc>
          <w:tcPr>
            <w:tcW w:w="0" w:type="auto"/>
            <w:gridSpan w:val="3"/>
            <w:shd w:val="clear" w:color="auto" w:fill="auto"/>
          </w:tcPr>
          <w:p w14:paraId="20AE361E" w14:textId="77777777" w:rsidR="00B626E7" w:rsidRDefault="00B626E7">
            <w:pPr>
              <w:rPr>
                <w:rFonts w:ascii="宋体"/>
                <w:vanish/>
              </w:rPr>
            </w:pPr>
          </w:p>
        </w:tc>
        <w:tc>
          <w:tcPr>
            <w:tcW w:w="0" w:type="auto"/>
            <w:gridSpan w:val="3"/>
            <w:shd w:val="clear" w:color="auto" w:fill="auto"/>
          </w:tcPr>
          <w:p w14:paraId="20AE361F" w14:textId="77777777" w:rsidR="00B626E7" w:rsidRDefault="00B626E7">
            <w:pPr>
              <w:rPr>
                <w:rFonts w:ascii="宋体"/>
                <w:vanish/>
              </w:rPr>
            </w:pPr>
          </w:p>
        </w:tc>
        <w:tc>
          <w:tcPr>
            <w:tcW w:w="0" w:type="auto"/>
            <w:gridSpan w:val="3"/>
            <w:shd w:val="clear" w:color="auto" w:fill="auto"/>
          </w:tcPr>
          <w:p w14:paraId="20AE3620" w14:textId="77777777" w:rsidR="00B626E7" w:rsidRDefault="00B626E7">
            <w:pPr>
              <w:rPr>
                <w:rFonts w:ascii="宋体"/>
                <w:vanish/>
              </w:rPr>
            </w:pPr>
          </w:p>
        </w:tc>
        <w:tc>
          <w:tcPr>
            <w:tcW w:w="0" w:type="auto"/>
            <w:gridSpan w:val="3"/>
            <w:shd w:val="clear" w:color="auto" w:fill="auto"/>
          </w:tcPr>
          <w:p w14:paraId="20AE3621" w14:textId="77777777" w:rsidR="00B626E7" w:rsidRDefault="00B626E7">
            <w:pPr>
              <w:rPr>
                <w:rFonts w:ascii="宋体"/>
                <w:vanish/>
              </w:rPr>
            </w:pPr>
          </w:p>
        </w:tc>
        <w:tc>
          <w:tcPr>
            <w:tcW w:w="0" w:type="auto"/>
            <w:shd w:val="clear" w:color="auto" w:fill="auto"/>
          </w:tcPr>
          <w:p w14:paraId="20AE3622" w14:textId="77777777" w:rsidR="00B626E7" w:rsidRDefault="00B626E7">
            <w:pPr>
              <w:rPr>
                <w:rFonts w:ascii="宋体"/>
                <w:vanish/>
              </w:rPr>
            </w:pPr>
          </w:p>
        </w:tc>
        <w:tc>
          <w:tcPr>
            <w:tcW w:w="0" w:type="auto"/>
            <w:shd w:val="clear" w:color="auto" w:fill="auto"/>
          </w:tcPr>
          <w:p w14:paraId="20AE3623" w14:textId="77777777" w:rsidR="00B626E7" w:rsidRDefault="00B626E7">
            <w:pPr>
              <w:rPr>
                <w:rFonts w:ascii="宋体"/>
                <w:vanish/>
              </w:rPr>
            </w:pPr>
          </w:p>
        </w:tc>
        <w:tc>
          <w:tcPr>
            <w:tcW w:w="0" w:type="auto"/>
            <w:shd w:val="clear" w:color="auto" w:fill="auto"/>
          </w:tcPr>
          <w:p w14:paraId="20AE3624" w14:textId="77777777" w:rsidR="00B626E7" w:rsidRDefault="00B626E7">
            <w:pPr>
              <w:rPr>
                <w:rFonts w:ascii="宋体"/>
                <w:vanish/>
              </w:rPr>
            </w:pPr>
          </w:p>
        </w:tc>
        <w:tc>
          <w:tcPr>
            <w:tcW w:w="0" w:type="auto"/>
            <w:shd w:val="clear" w:color="auto" w:fill="auto"/>
          </w:tcPr>
          <w:p w14:paraId="20AE3625" w14:textId="77777777" w:rsidR="00B626E7" w:rsidRDefault="00B626E7">
            <w:pPr>
              <w:rPr>
                <w:rFonts w:ascii="宋体"/>
                <w:vanish/>
              </w:rPr>
            </w:pPr>
          </w:p>
        </w:tc>
        <w:tc>
          <w:tcPr>
            <w:tcW w:w="0" w:type="auto"/>
            <w:shd w:val="clear" w:color="auto" w:fill="auto"/>
          </w:tcPr>
          <w:p w14:paraId="20AE3626" w14:textId="77777777" w:rsidR="00B626E7" w:rsidRDefault="00B626E7">
            <w:pPr>
              <w:rPr>
                <w:rFonts w:ascii="宋体"/>
              </w:rPr>
            </w:pPr>
          </w:p>
        </w:tc>
        <w:tc>
          <w:tcPr>
            <w:tcW w:w="0" w:type="auto"/>
            <w:shd w:val="clear" w:color="auto" w:fill="auto"/>
          </w:tcPr>
          <w:p w14:paraId="20AE3627" w14:textId="77777777" w:rsidR="00B626E7" w:rsidRDefault="00B626E7">
            <w:pPr>
              <w:rPr>
                <w:rFonts w:ascii="宋体"/>
              </w:rPr>
            </w:pPr>
          </w:p>
        </w:tc>
        <w:tc>
          <w:tcPr>
            <w:tcW w:w="0" w:type="auto"/>
            <w:shd w:val="clear" w:color="auto" w:fill="auto"/>
          </w:tcPr>
          <w:p w14:paraId="20AE3628" w14:textId="77777777" w:rsidR="00B626E7" w:rsidRDefault="00B626E7">
            <w:pPr>
              <w:rPr>
                <w:rFonts w:ascii="宋体"/>
              </w:rPr>
            </w:pPr>
          </w:p>
        </w:tc>
        <w:tc>
          <w:tcPr>
            <w:tcW w:w="0" w:type="auto"/>
            <w:shd w:val="clear" w:color="auto" w:fill="auto"/>
          </w:tcPr>
          <w:p w14:paraId="20AE3629" w14:textId="77777777" w:rsidR="00B626E7" w:rsidRDefault="00B626E7">
            <w:pPr>
              <w:rPr>
                <w:rFonts w:ascii="宋体"/>
              </w:rPr>
            </w:pPr>
          </w:p>
        </w:tc>
        <w:tc>
          <w:tcPr>
            <w:tcW w:w="0" w:type="auto"/>
            <w:shd w:val="clear" w:color="auto" w:fill="auto"/>
          </w:tcPr>
          <w:p w14:paraId="20AE362A" w14:textId="77777777" w:rsidR="00B626E7" w:rsidRDefault="00B626E7">
            <w:pPr>
              <w:rPr>
                <w:rFonts w:ascii="宋体"/>
              </w:rPr>
            </w:pPr>
          </w:p>
        </w:tc>
        <w:tc>
          <w:tcPr>
            <w:tcW w:w="0" w:type="auto"/>
            <w:shd w:val="clear" w:color="auto" w:fill="auto"/>
          </w:tcPr>
          <w:p w14:paraId="20AE362B" w14:textId="77777777" w:rsidR="00B626E7" w:rsidRDefault="00B626E7">
            <w:pPr>
              <w:rPr>
                <w:rFonts w:ascii="宋体"/>
              </w:rPr>
            </w:pPr>
          </w:p>
        </w:tc>
      </w:tr>
      <w:tr w:rsidR="00B626E7" w14:paraId="20AE363C" w14:textId="77777777">
        <w:trPr>
          <w:hidden/>
        </w:trPr>
        <w:tc>
          <w:tcPr>
            <w:tcW w:w="0" w:type="auto"/>
            <w:gridSpan w:val="3"/>
            <w:shd w:val="clear" w:color="auto" w:fill="auto"/>
          </w:tcPr>
          <w:p w14:paraId="20AE362D" w14:textId="77777777" w:rsidR="00B626E7" w:rsidRDefault="00B626E7">
            <w:pPr>
              <w:rPr>
                <w:rFonts w:ascii="宋体"/>
                <w:vanish/>
              </w:rPr>
            </w:pPr>
          </w:p>
        </w:tc>
        <w:tc>
          <w:tcPr>
            <w:tcW w:w="0" w:type="auto"/>
            <w:gridSpan w:val="3"/>
            <w:shd w:val="clear" w:color="auto" w:fill="auto"/>
          </w:tcPr>
          <w:p w14:paraId="20AE362E" w14:textId="77777777" w:rsidR="00B626E7" w:rsidRDefault="00B626E7">
            <w:pPr>
              <w:rPr>
                <w:rFonts w:ascii="宋体"/>
                <w:vanish/>
              </w:rPr>
            </w:pPr>
          </w:p>
        </w:tc>
        <w:tc>
          <w:tcPr>
            <w:tcW w:w="0" w:type="auto"/>
            <w:gridSpan w:val="3"/>
            <w:shd w:val="clear" w:color="auto" w:fill="auto"/>
          </w:tcPr>
          <w:p w14:paraId="20AE362F" w14:textId="77777777" w:rsidR="00B626E7" w:rsidRDefault="00B626E7">
            <w:pPr>
              <w:rPr>
                <w:rFonts w:ascii="宋体"/>
                <w:vanish/>
              </w:rPr>
            </w:pPr>
          </w:p>
        </w:tc>
        <w:tc>
          <w:tcPr>
            <w:tcW w:w="0" w:type="auto"/>
            <w:gridSpan w:val="3"/>
            <w:shd w:val="clear" w:color="auto" w:fill="auto"/>
          </w:tcPr>
          <w:p w14:paraId="20AE3630" w14:textId="77777777" w:rsidR="00B626E7" w:rsidRDefault="00B626E7">
            <w:pPr>
              <w:rPr>
                <w:rFonts w:ascii="宋体"/>
                <w:vanish/>
              </w:rPr>
            </w:pPr>
          </w:p>
        </w:tc>
        <w:tc>
          <w:tcPr>
            <w:tcW w:w="0" w:type="auto"/>
            <w:gridSpan w:val="3"/>
            <w:shd w:val="clear" w:color="auto" w:fill="auto"/>
          </w:tcPr>
          <w:p w14:paraId="20AE3631" w14:textId="77777777" w:rsidR="00B626E7" w:rsidRDefault="00B626E7">
            <w:pPr>
              <w:rPr>
                <w:rFonts w:ascii="宋体"/>
                <w:vanish/>
              </w:rPr>
            </w:pPr>
          </w:p>
        </w:tc>
        <w:tc>
          <w:tcPr>
            <w:tcW w:w="0" w:type="auto"/>
            <w:shd w:val="clear" w:color="auto" w:fill="auto"/>
          </w:tcPr>
          <w:p w14:paraId="20AE3632" w14:textId="77777777" w:rsidR="00B626E7" w:rsidRDefault="00B626E7">
            <w:pPr>
              <w:rPr>
                <w:rFonts w:ascii="宋体"/>
                <w:vanish/>
              </w:rPr>
            </w:pPr>
          </w:p>
        </w:tc>
        <w:tc>
          <w:tcPr>
            <w:tcW w:w="0" w:type="auto"/>
            <w:shd w:val="clear" w:color="auto" w:fill="auto"/>
          </w:tcPr>
          <w:p w14:paraId="20AE3633" w14:textId="77777777" w:rsidR="00B626E7" w:rsidRDefault="00B626E7">
            <w:pPr>
              <w:rPr>
                <w:rFonts w:ascii="宋体"/>
                <w:vanish/>
              </w:rPr>
            </w:pPr>
          </w:p>
        </w:tc>
        <w:tc>
          <w:tcPr>
            <w:tcW w:w="0" w:type="auto"/>
            <w:shd w:val="clear" w:color="auto" w:fill="auto"/>
          </w:tcPr>
          <w:p w14:paraId="20AE3634" w14:textId="77777777" w:rsidR="00B626E7" w:rsidRDefault="00B626E7">
            <w:pPr>
              <w:rPr>
                <w:rFonts w:ascii="宋体"/>
                <w:vanish/>
              </w:rPr>
            </w:pPr>
          </w:p>
        </w:tc>
        <w:tc>
          <w:tcPr>
            <w:tcW w:w="0" w:type="auto"/>
            <w:shd w:val="clear" w:color="auto" w:fill="auto"/>
          </w:tcPr>
          <w:p w14:paraId="20AE3635" w14:textId="77777777" w:rsidR="00B626E7" w:rsidRDefault="00B626E7">
            <w:pPr>
              <w:rPr>
                <w:rFonts w:ascii="宋体"/>
                <w:vanish/>
              </w:rPr>
            </w:pPr>
          </w:p>
        </w:tc>
        <w:tc>
          <w:tcPr>
            <w:tcW w:w="0" w:type="auto"/>
            <w:shd w:val="clear" w:color="auto" w:fill="auto"/>
          </w:tcPr>
          <w:p w14:paraId="20AE3636" w14:textId="77777777" w:rsidR="00B626E7" w:rsidRDefault="00B626E7">
            <w:pPr>
              <w:rPr>
                <w:rFonts w:ascii="宋体"/>
              </w:rPr>
            </w:pPr>
          </w:p>
        </w:tc>
        <w:tc>
          <w:tcPr>
            <w:tcW w:w="0" w:type="auto"/>
            <w:shd w:val="clear" w:color="auto" w:fill="auto"/>
          </w:tcPr>
          <w:p w14:paraId="20AE3637" w14:textId="77777777" w:rsidR="00B626E7" w:rsidRDefault="00B626E7">
            <w:pPr>
              <w:rPr>
                <w:rFonts w:ascii="宋体"/>
              </w:rPr>
            </w:pPr>
          </w:p>
        </w:tc>
        <w:tc>
          <w:tcPr>
            <w:tcW w:w="0" w:type="auto"/>
            <w:shd w:val="clear" w:color="auto" w:fill="auto"/>
          </w:tcPr>
          <w:p w14:paraId="20AE3638" w14:textId="77777777" w:rsidR="00B626E7" w:rsidRDefault="00B626E7">
            <w:pPr>
              <w:rPr>
                <w:rFonts w:ascii="宋体"/>
              </w:rPr>
            </w:pPr>
          </w:p>
        </w:tc>
        <w:tc>
          <w:tcPr>
            <w:tcW w:w="0" w:type="auto"/>
            <w:shd w:val="clear" w:color="auto" w:fill="auto"/>
          </w:tcPr>
          <w:p w14:paraId="20AE3639" w14:textId="77777777" w:rsidR="00B626E7" w:rsidRDefault="00B626E7">
            <w:pPr>
              <w:rPr>
                <w:rFonts w:ascii="宋体"/>
              </w:rPr>
            </w:pPr>
          </w:p>
        </w:tc>
        <w:tc>
          <w:tcPr>
            <w:tcW w:w="0" w:type="auto"/>
            <w:shd w:val="clear" w:color="auto" w:fill="auto"/>
          </w:tcPr>
          <w:p w14:paraId="20AE363A" w14:textId="77777777" w:rsidR="00B626E7" w:rsidRDefault="00B626E7">
            <w:pPr>
              <w:rPr>
                <w:rFonts w:ascii="宋体"/>
              </w:rPr>
            </w:pPr>
          </w:p>
        </w:tc>
        <w:tc>
          <w:tcPr>
            <w:tcW w:w="0" w:type="auto"/>
            <w:shd w:val="clear" w:color="auto" w:fill="auto"/>
          </w:tcPr>
          <w:p w14:paraId="20AE363B" w14:textId="77777777" w:rsidR="00B626E7" w:rsidRDefault="00B626E7">
            <w:pPr>
              <w:rPr>
                <w:rFonts w:ascii="宋体"/>
              </w:rPr>
            </w:pPr>
          </w:p>
        </w:tc>
      </w:tr>
      <w:tr w:rsidR="00B626E7" w14:paraId="20AE364C" w14:textId="77777777">
        <w:trPr>
          <w:hidden/>
        </w:trPr>
        <w:tc>
          <w:tcPr>
            <w:tcW w:w="0" w:type="auto"/>
            <w:gridSpan w:val="3"/>
            <w:shd w:val="clear" w:color="auto" w:fill="auto"/>
          </w:tcPr>
          <w:p w14:paraId="20AE363D" w14:textId="77777777" w:rsidR="00B626E7" w:rsidRDefault="00B626E7">
            <w:pPr>
              <w:rPr>
                <w:rFonts w:ascii="宋体"/>
                <w:vanish/>
              </w:rPr>
            </w:pPr>
          </w:p>
        </w:tc>
        <w:tc>
          <w:tcPr>
            <w:tcW w:w="0" w:type="auto"/>
            <w:gridSpan w:val="3"/>
            <w:shd w:val="clear" w:color="auto" w:fill="auto"/>
          </w:tcPr>
          <w:p w14:paraId="20AE363E" w14:textId="77777777" w:rsidR="00B626E7" w:rsidRDefault="00B626E7">
            <w:pPr>
              <w:rPr>
                <w:rFonts w:ascii="宋体"/>
                <w:vanish/>
              </w:rPr>
            </w:pPr>
          </w:p>
        </w:tc>
        <w:tc>
          <w:tcPr>
            <w:tcW w:w="0" w:type="auto"/>
            <w:gridSpan w:val="3"/>
            <w:shd w:val="clear" w:color="auto" w:fill="auto"/>
          </w:tcPr>
          <w:p w14:paraId="20AE363F" w14:textId="77777777" w:rsidR="00B626E7" w:rsidRDefault="00B626E7">
            <w:pPr>
              <w:rPr>
                <w:rFonts w:ascii="宋体"/>
                <w:vanish/>
              </w:rPr>
            </w:pPr>
          </w:p>
        </w:tc>
        <w:tc>
          <w:tcPr>
            <w:tcW w:w="0" w:type="auto"/>
            <w:gridSpan w:val="3"/>
            <w:shd w:val="clear" w:color="auto" w:fill="auto"/>
          </w:tcPr>
          <w:p w14:paraId="20AE3640" w14:textId="77777777" w:rsidR="00B626E7" w:rsidRDefault="00B626E7">
            <w:pPr>
              <w:rPr>
                <w:rFonts w:ascii="宋体"/>
                <w:vanish/>
              </w:rPr>
            </w:pPr>
          </w:p>
        </w:tc>
        <w:tc>
          <w:tcPr>
            <w:tcW w:w="0" w:type="auto"/>
            <w:gridSpan w:val="3"/>
            <w:shd w:val="clear" w:color="auto" w:fill="auto"/>
          </w:tcPr>
          <w:p w14:paraId="20AE3641" w14:textId="77777777" w:rsidR="00B626E7" w:rsidRDefault="00B626E7">
            <w:pPr>
              <w:rPr>
                <w:rFonts w:ascii="宋体"/>
                <w:vanish/>
              </w:rPr>
            </w:pPr>
          </w:p>
        </w:tc>
        <w:tc>
          <w:tcPr>
            <w:tcW w:w="0" w:type="auto"/>
            <w:shd w:val="clear" w:color="auto" w:fill="auto"/>
          </w:tcPr>
          <w:p w14:paraId="20AE3642" w14:textId="77777777" w:rsidR="00B626E7" w:rsidRDefault="00B626E7">
            <w:pPr>
              <w:rPr>
                <w:rFonts w:ascii="宋体"/>
                <w:vanish/>
              </w:rPr>
            </w:pPr>
          </w:p>
        </w:tc>
        <w:tc>
          <w:tcPr>
            <w:tcW w:w="0" w:type="auto"/>
            <w:shd w:val="clear" w:color="auto" w:fill="auto"/>
          </w:tcPr>
          <w:p w14:paraId="20AE3643" w14:textId="77777777" w:rsidR="00B626E7" w:rsidRDefault="00B626E7">
            <w:pPr>
              <w:rPr>
                <w:rFonts w:ascii="宋体"/>
                <w:vanish/>
              </w:rPr>
            </w:pPr>
          </w:p>
        </w:tc>
        <w:tc>
          <w:tcPr>
            <w:tcW w:w="0" w:type="auto"/>
            <w:shd w:val="clear" w:color="auto" w:fill="auto"/>
          </w:tcPr>
          <w:p w14:paraId="20AE3644" w14:textId="77777777" w:rsidR="00B626E7" w:rsidRDefault="00B626E7">
            <w:pPr>
              <w:rPr>
                <w:rFonts w:ascii="宋体"/>
                <w:vanish/>
              </w:rPr>
            </w:pPr>
          </w:p>
        </w:tc>
        <w:tc>
          <w:tcPr>
            <w:tcW w:w="0" w:type="auto"/>
            <w:shd w:val="clear" w:color="auto" w:fill="auto"/>
          </w:tcPr>
          <w:p w14:paraId="20AE3645" w14:textId="77777777" w:rsidR="00B626E7" w:rsidRDefault="00B626E7">
            <w:pPr>
              <w:rPr>
                <w:rFonts w:ascii="宋体"/>
                <w:vanish/>
              </w:rPr>
            </w:pPr>
          </w:p>
        </w:tc>
        <w:tc>
          <w:tcPr>
            <w:tcW w:w="0" w:type="auto"/>
            <w:shd w:val="clear" w:color="auto" w:fill="auto"/>
          </w:tcPr>
          <w:p w14:paraId="20AE3646" w14:textId="77777777" w:rsidR="00B626E7" w:rsidRDefault="00B626E7">
            <w:pPr>
              <w:rPr>
                <w:rFonts w:ascii="宋体"/>
              </w:rPr>
            </w:pPr>
          </w:p>
        </w:tc>
        <w:tc>
          <w:tcPr>
            <w:tcW w:w="0" w:type="auto"/>
            <w:shd w:val="clear" w:color="auto" w:fill="auto"/>
          </w:tcPr>
          <w:p w14:paraId="20AE3647" w14:textId="77777777" w:rsidR="00B626E7" w:rsidRDefault="00B626E7">
            <w:pPr>
              <w:rPr>
                <w:rFonts w:ascii="宋体"/>
              </w:rPr>
            </w:pPr>
          </w:p>
        </w:tc>
        <w:tc>
          <w:tcPr>
            <w:tcW w:w="0" w:type="auto"/>
            <w:shd w:val="clear" w:color="auto" w:fill="auto"/>
          </w:tcPr>
          <w:p w14:paraId="20AE3648" w14:textId="77777777" w:rsidR="00B626E7" w:rsidRDefault="00B626E7">
            <w:pPr>
              <w:rPr>
                <w:rFonts w:ascii="宋体"/>
              </w:rPr>
            </w:pPr>
          </w:p>
        </w:tc>
        <w:tc>
          <w:tcPr>
            <w:tcW w:w="0" w:type="auto"/>
            <w:shd w:val="clear" w:color="auto" w:fill="auto"/>
          </w:tcPr>
          <w:p w14:paraId="20AE3649" w14:textId="77777777" w:rsidR="00B626E7" w:rsidRDefault="00B626E7">
            <w:pPr>
              <w:rPr>
                <w:rFonts w:ascii="宋体"/>
              </w:rPr>
            </w:pPr>
          </w:p>
        </w:tc>
        <w:tc>
          <w:tcPr>
            <w:tcW w:w="0" w:type="auto"/>
            <w:shd w:val="clear" w:color="auto" w:fill="auto"/>
          </w:tcPr>
          <w:p w14:paraId="20AE364A" w14:textId="77777777" w:rsidR="00B626E7" w:rsidRDefault="00B626E7">
            <w:pPr>
              <w:rPr>
                <w:rFonts w:ascii="宋体"/>
              </w:rPr>
            </w:pPr>
          </w:p>
        </w:tc>
        <w:tc>
          <w:tcPr>
            <w:tcW w:w="0" w:type="auto"/>
            <w:shd w:val="clear" w:color="auto" w:fill="auto"/>
          </w:tcPr>
          <w:p w14:paraId="20AE364B" w14:textId="77777777" w:rsidR="00B626E7" w:rsidRDefault="00B626E7">
            <w:pPr>
              <w:rPr>
                <w:rFonts w:ascii="宋体"/>
              </w:rPr>
            </w:pPr>
          </w:p>
        </w:tc>
      </w:tr>
      <w:tr w:rsidR="00B626E7" w14:paraId="20AE365C" w14:textId="77777777">
        <w:trPr>
          <w:hidden/>
        </w:trPr>
        <w:tc>
          <w:tcPr>
            <w:tcW w:w="0" w:type="auto"/>
            <w:gridSpan w:val="3"/>
            <w:shd w:val="clear" w:color="auto" w:fill="auto"/>
          </w:tcPr>
          <w:p w14:paraId="20AE364D" w14:textId="77777777" w:rsidR="00B626E7" w:rsidRDefault="00B626E7">
            <w:pPr>
              <w:rPr>
                <w:rFonts w:ascii="宋体"/>
                <w:vanish/>
              </w:rPr>
            </w:pPr>
          </w:p>
        </w:tc>
        <w:tc>
          <w:tcPr>
            <w:tcW w:w="0" w:type="auto"/>
            <w:gridSpan w:val="3"/>
            <w:shd w:val="clear" w:color="auto" w:fill="auto"/>
          </w:tcPr>
          <w:p w14:paraId="20AE364E" w14:textId="77777777" w:rsidR="00B626E7" w:rsidRDefault="00B626E7">
            <w:pPr>
              <w:rPr>
                <w:rFonts w:ascii="宋体"/>
                <w:vanish/>
              </w:rPr>
            </w:pPr>
          </w:p>
        </w:tc>
        <w:tc>
          <w:tcPr>
            <w:tcW w:w="0" w:type="auto"/>
            <w:gridSpan w:val="3"/>
            <w:shd w:val="clear" w:color="auto" w:fill="auto"/>
          </w:tcPr>
          <w:p w14:paraId="20AE364F" w14:textId="77777777" w:rsidR="00B626E7" w:rsidRDefault="00B626E7">
            <w:pPr>
              <w:rPr>
                <w:rFonts w:ascii="宋体"/>
                <w:vanish/>
              </w:rPr>
            </w:pPr>
          </w:p>
        </w:tc>
        <w:tc>
          <w:tcPr>
            <w:tcW w:w="0" w:type="auto"/>
            <w:gridSpan w:val="3"/>
            <w:shd w:val="clear" w:color="auto" w:fill="auto"/>
          </w:tcPr>
          <w:p w14:paraId="20AE3650" w14:textId="77777777" w:rsidR="00B626E7" w:rsidRDefault="00B626E7">
            <w:pPr>
              <w:rPr>
                <w:rFonts w:ascii="宋体"/>
                <w:vanish/>
              </w:rPr>
            </w:pPr>
          </w:p>
        </w:tc>
        <w:tc>
          <w:tcPr>
            <w:tcW w:w="0" w:type="auto"/>
            <w:gridSpan w:val="3"/>
            <w:shd w:val="clear" w:color="auto" w:fill="auto"/>
          </w:tcPr>
          <w:p w14:paraId="20AE3651" w14:textId="77777777" w:rsidR="00B626E7" w:rsidRDefault="00B626E7">
            <w:pPr>
              <w:rPr>
                <w:rFonts w:ascii="宋体"/>
                <w:vanish/>
              </w:rPr>
            </w:pPr>
          </w:p>
        </w:tc>
        <w:tc>
          <w:tcPr>
            <w:tcW w:w="0" w:type="auto"/>
            <w:shd w:val="clear" w:color="auto" w:fill="auto"/>
          </w:tcPr>
          <w:p w14:paraId="20AE3652" w14:textId="77777777" w:rsidR="00B626E7" w:rsidRDefault="00B626E7">
            <w:pPr>
              <w:rPr>
                <w:rFonts w:ascii="宋体"/>
                <w:vanish/>
              </w:rPr>
            </w:pPr>
          </w:p>
        </w:tc>
        <w:tc>
          <w:tcPr>
            <w:tcW w:w="0" w:type="auto"/>
            <w:shd w:val="clear" w:color="auto" w:fill="auto"/>
          </w:tcPr>
          <w:p w14:paraId="20AE3653" w14:textId="77777777" w:rsidR="00B626E7" w:rsidRDefault="00B626E7">
            <w:pPr>
              <w:rPr>
                <w:rFonts w:ascii="宋体"/>
                <w:vanish/>
              </w:rPr>
            </w:pPr>
          </w:p>
        </w:tc>
        <w:tc>
          <w:tcPr>
            <w:tcW w:w="0" w:type="auto"/>
            <w:shd w:val="clear" w:color="auto" w:fill="auto"/>
          </w:tcPr>
          <w:p w14:paraId="20AE3654" w14:textId="77777777" w:rsidR="00B626E7" w:rsidRDefault="00B626E7">
            <w:pPr>
              <w:rPr>
                <w:rFonts w:ascii="宋体"/>
                <w:vanish/>
              </w:rPr>
            </w:pPr>
          </w:p>
        </w:tc>
        <w:tc>
          <w:tcPr>
            <w:tcW w:w="0" w:type="auto"/>
            <w:shd w:val="clear" w:color="auto" w:fill="auto"/>
          </w:tcPr>
          <w:p w14:paraId="20AE3655" w14:textId="77777777" w:rsidR="00B626E7" w:rsidRDefault="00B626E7">
            <w:pPr>
              <w:rPr>
                <w:rFonts w:ascii="宋体"/>
                <w:vanish/>
              </w:rPr>
            </w:pPr>
          </w:p>
        </w:tc>
        <w:tc>
          <w:tcPr>
            <w:tcW w:w="0" w:type="auto"/>
            <w:shd w:val="clear" w:color="auto" w:fill="auto"/>
          </w:tcPr>
          <w:p w14:paraId="20AE3656" w14:textId="77777777" w:rsidR="00B626E7" w:rsidRDefault="00B626E7">
            <w:pPr>
              <w:rPr>
                <w:rFonts w:ascii="宋体"/>
              </w:rPr>
            </w:pPr>
          </w:p>
        </w:tc>
        <w:tc>
          <w:tcPr>
            <w:tcW w:w="0" w:type="auto"/>
            <w:shd w:val="clear" w:color="auto" w:fill="auto"/>
          </w:tcPr>
          <w:p w14:paraId="20AE3657" w14:textId="77777777" w:rsidR="00B626E7" w:rsidRDefault="00B626E7">
            <w:pPr>
              <w:rPr>
                <w:rFonts w:ascii="宋体"/>
              </w:rPr>
            </w:pPr>
          </w:p>
        </w:tc>
        <w:tc>
          <w:tcPr>
            <w:tcW w:w="0" w:type="auto"/>
            <w:shd w:val="clear" w:color="auto" w:fill="auto"/>
          </w:tcPr>
          <w:p w14:paraId="20AE3658" w14:textId="77777777" w:rsidR="00B626E7" w:rsidRDefault="00B626E7">
            <w:pPr>
              <w:rPr>
                <w:rFonts w:ascii="宋体"/>
              </w:rPr>
            </w:pPr>
          </w:p>
        </w:tc>
        <w:tc>
          <w:tcPr>
            <w:tcW w:w="0" w:type="auto"/>
            <w:shd w:val="clear" w:color="auto" w:fill="auto"/>
          </w:tcPr>
          <w:p w14:paraId="20AE3659" w14:textId="77777777" w:rsidR="00B626E7" w:rsidRDefault="00B626E7">
            <w:pPr>
              <w:rPr>
                <w:rFonts w:ascii="宋体"/>
              </w:rPr>
            </w:pPr>
          </w:p>
        </w:tc>
        <w:tc>
          <w:tcPr>
            <w:tcW w:w="0" w:type="auto"/>
            <w:shd w:val="clear" w:color="auto" w:fill="auto"/>
          </w:tcPr>
          <w:p w14:paraId="20AE365A" w14:textId="77777777" w:rsidR="00B626E7" w:rsidRDefault="00B626E7">
            <w:pPr>
              <w:rPr>
                <w:rFonts w:ascii="宋体"/>
              </w:rPr>
            </w:pPr>
          </w:p>
        </w:tc>
        <w:tc>
          <w:tcPr>
            <w:tcW w:w="0" w:type="auto"/>
            <w:shd w:val="clear" w:color="auto" w:fill="auto"/>
          </w:tcPr>
          <w:p w14:paraId="20AE365B" w14:textId="77777777" w:rsidR="00B626E7" w:rsidRDefault="00B626E7">
            <w:pPr>
              <w:rPr>
                <w:rFonts w:ascii="宋体"/>
              </w:rPr>
            </w:pPr>
          </w:p>
        </w:tc>
      </w:tr>
      <w:tr w:rsidR="00B626E7" w14:paraId="20AE366C" w14:textId="77777777">
        <w:trPr>
          <w:hidden/>
        </w:trPr>
        <w:tc>
          <w:tcPr>
            <w:tcW w:w="0" w:type="auto"/>
            <w:gridSpan w:val="3"/>
            <w:shd w:val="clear" w:color="auto" w:fill="auto"/>
          </w:tcPr>
          <w:p w14:paraId="20AE365D" w14:textId="77777777" w:rsidR="00B626E7" w:rsidRDefault="00B626E7">
            <w:pPr>
              <w:rPr>
                <w:rFonts w:ascii="宋体"/>
                <w:vanish/>
              </w:rPr>
            </w:pPr>
          </w:p>
        </w:tc>
        <w:tc>
          <w:tcPr>
            <w:tcW w:w="0" w:type="auto"/>
            <w:gridSpan w:val="3"/>
            <w:shd w:val="clear" w:color="auto" w:fill="auto"/>
          </w:tcPr>
          <w:p w14:paraId="20AE365E" w14:textId="77777777" w:rsidR="00B626E7" w:rsidRDefault="00B626E7">
            <w:pPr>
              <w:rPr>
                <w:rFonts w:ascii="宋体"/>
                <w:vanish/>
              </w:rPr>
            </w:pPr>
          </w:p>
        </w:tc>
        <w:tc>
          <w:tcPr>
            <w:tcW w:w="0" w:type="auto"/>
            <w:gridSpan w:val="3"/>
            <w:shd w:val="clear" w:color="auto" w:fill="auto"/>
          </w:tcPr>
          <w:p w14:paraId="20AE365F" w14:textId="77777777" w:rsidR="00B626E7" w:rsidRDefault="00B626E7">
            <w:pPr>
              <w:rPr>
                <w:rFonts w:ascii="宋体"/>
                <w:vanish/>
              </w:rPr>
            </w:pPr>
          </w:p>
        </w:tc>
        <w:tc>
          <w:tcPr>
            <w:tcW w:w="0" w:type="auto"/>
            <w:gridSpan w:val="3"/>
            <w:shd w:val="clear" w:color="auto" w:fill="auto"/>
          </w:tcPr>
          <w:p w14:paraId="20AE3660" w14:textId="77777777" w:rsidR="00B626E7" w:rsidRDefault="00B626E7">
            <w:pPr>
              <w:rPr>
                <w:rFonts w:ascii="宋体"/>
                <w:vanish/>
              </w:rPr>
            </w:pPr>
          </w:p>
        </w:tc>
        <w:tc>
          <w:tcPr>
            <w:tcW w:w="0" w:type="auto"/>
            <w:gridSpan w:val="3"/>
            <w:shd w:val="clear" w:color="auto" w:fill="auto"/>
          </w:tcPr>
          <w:p w14:paraId="20AE3661" w14:textId="77777777" w:rsidR="00B626E7" w:rsidRDefault="00B626E7">
            <w:pPr>
              <w:rPr>
                <w:rFonts w:ascii="宋体"/>
                <w:vanish/>
              </w:rPr>
            </w:pPr>
          </w:p>
        </w:tc>
        <w:tc>
          <w:tcPr>
            <w:tcW w:w="0" w:type="auto"/>
            <w:shd w:val="clear" w:color="auto" w:fill="auto"/>
          </w:tcPr>
          <w:p w14:paraId="20AE3662" w14:textId="77777777" w:rsidR="00B626E7" w:rsidRDefault="00B626E7">
            <w:pPr>
              <w:rPr>
                <w:rFonts w:ascii="宋体"/>
                <w:vanish/>
              </w:rPr>
            </w:pPr>
          </w:p>
        </w:tc>
        <w:tc>
          <w:tcPr>
            <w:tcW w:w="0" w:type="auto"/>
            <w:shd w:val="clear" w:color="auto" w:fill="auto"/>
          </w:tcPr>
          <w:p w14:paraId="20AE3663" w14:textId="77777777" w:rsidR="00B626E7" w:rsidRDefault="00B626E7">
            <w:pPr>
              <w:rPr>
                <w:rFonts w:ascii="宋体"/>
                <w:vanish/>
              </w:rPr>
            </w:pPr>
          </w:p>
        </w:tc>
        <w:tc>
          <w:tcPr>
            <w:tcW w:w="0" w:type="auto"/>
            <w:shd w:val="clear" w:color="auto" w:fill="auto"/>
          </w:tcPr>
          <w:p w14:paraId="20AE3664" w14:textId="77777777" w:rsidR="00B626E7" w:rsidRDefault="00B626E7">
            <w:pPr>
              <w:rPr>
                <w:rFonts w:ascii="宋体"/>
                <w:vanish/>
              </w:rPr>
            </w:pPr>
          </w:p>
        </w:tc>
        <w:tc>
          <w:tcPr>
            <w:tcW w:w="0" w:type="auto"/>
            <w:shd w:val="clear" w:color="auto" w:fill="auto"/>
          </w:tcPr>
          <w:p w14:paraId="20AE3665" w14:textId="77777777" w:rsidR="00B626E7" w:rsidRDefault="00B626E7">
            <w:pPr>
              <w:rPr>
                <w:rFonts w:ascii="宋体"/>
                <w:vanish/>
              </w:rPr>
            </w:pPr>
          </w:p>
        </w:tc>
        <w:tc>
          <w:tcPr>
            <w:tcW w:w="0" w:type="auto"/>
            <w:shd w:val="clear" w:color="auto" w:fill="auto"/>
          </w:tcPr>
          <w:p w14:paraId="20AE3666" w14:textId="77777777" w:rsidR="00B626E7" w:rsidRDefault="00B626E7">
            <w:pPr>
              <w:rPr>
                <w:rFonts w:ascii="宋体"/>
              </w:rPr>
            </w:pPr>
          </w:p>
        </w:tc>
        <w:tc>
          <w:tcPr>
            <w:tcW w:w="0" w:type="auto"/>
            <w:shd w:val="clear" w:color="auto" w:fill="auto"/>
          </w:tcPr>
          <w:p w14:paraId="20AE3667" w14:textId="77777777" w:rsidR="00B626E7" w:rsidRDefault="00B626E7">
            <w:pPr>
              <w:rPr>
                <w:rFonts w:ascii="宋体"/>
              </w:rPr>
            </w:pPr>
          </w:p>
        </w:tc>
        <w:tc>
          <w:tcPr>
            <w:tcW w:w="0" w:type="auto"/>
            <w:shd w:val="clear" w:color="auto" w:fill="auto"/>
          </w:tcPr>
          <w:p w14:paraId="20AE3668" w14:textId="77777777" w:rsidR="00B626E7" w:rsidRDefault="00B626E7">
            <w:pPr>
              <w:rPr>
                <w:rFonts w:ascii="宋体"/>
              </w:rPr>
            </w:pPr>
          </w:p>
        </w:tc>
        <w:tc>
          <w:tcPr>
            <w:tcW w:w="0" w:type="auto"/>
            <w:shd w:val="clear" w:color="auto" w:fill="auto"/>
          </w:tcPr>
          <w:p w14:paraId="20AE3669" w14:textId="77777777" w:rsidR="00B626E7" w:rsidRDefault="00B626E7">
            <w:pPr>
              <w:rPr>
                <w:rFonts w:ascii="宋体"/>
              </w:rPr>
            </w:pPr>
          </w:p>
        </w:tc>
        <w:tc>
          <w:tcPr>
            <w:tcW w:w="0" w:type="auto"/>
            <w:shd w:val="clear" w:color="auto" w:fill="auto"/>
          </w:tcPr>
          <w:p w14:paraId="20AE366A" w14:textId="77777777" w:rsidR="00B626E7" w:rsidRDefault="00B626E7">
            <w:pPr>
              <w:rPr>
                <w:rFonts w:ascii="宋体"/>
              </w:rPr>
            </w:pPr>
          </w:p>
        </w:tc>
        <w:tc>
          <w:tcPr>
            <w:tcW w:w="0" w:type="auto"/>
            <w:shd w:val="clear" w:color="auto" w:fill="auto"/>
          </w:tcPr>
          <w:p w14:paraId="20AE366B" w14:textId="77777777" w:rsidR="00B626E7" w:rsidRDefault="00B626E7">
            <w:pPr>
              <w:rPr>
                <w:rFonts w:ascii="宋体"/>
              </w:rPr>
            </w:pPr>
          </w:p>
        </w:tc>
      </w:tr>
      <w:tr w:rsidR="00B626E7" w14:paraId="20AE367C" w14:textId="77777777">
        <w:trPr>
          <w:hidden/>
        </w:trPr>
        <w:tc>
          <w:tcPr>
            <w:tcW w:w="0" w:type="auto"/>
            <w:gridSpan w:val="3"/>
            <w:shd w:val="clear" w:color="auto" w:fill="auto"/>
          </w:tcPr>
          <w:p w14:paraId="20AE366D" w14:textId="77777777" w:rsidR="00B626E7" w:rsidRDefault="00B626E7">
            <w:pPr>
              <w:rPr>
                <w:rFonts w:ascii="宋体"/>
                <w:vanish/>
              </w:rPr>
            </w:pPr>
          </w:p>
        </w:tc>
        <w:tc>
          <w:tcPr>
            <w:tcW w:w="0" w:type="auto"/>
            <w:gridSpan w:val="3"/>
            <w:shd w:val="clear" w:color="auto" w:fill="auto"/>
          </w:tcPr>
          <w:p w14:paraId="20AE366E" w14:textId="77777777" w:rsidR="00B626E7" w:rsidRDefault="00B626E7">
            <w:pPr>
              <w:rPr>
                <w:rFonts w:ascii="宋体"/>
                <w:vanish/>
              </w:rPr>
            </w:pPr>
          </w:p>
        </w:tc>
        <w:tc>
          <w:tcPr>
            <w:tcW w:w="0" w:type="auto"/>
            <w:gridSpan w:val="3"/>
            <w:shd w:val="clear" w:color="auto" w:fill="auto"/>
          </w:tcPr>
          <w:p w14:paraId="20AE366F" w14:textId="77777777" w:rsidR="00B626E7" w:rsidRDefault="00B626E7">
            <w:pPr>
              <w:rPr>
                <w:rFonts w:ascii="宋体"/>
                <w:vanish/>
              </w:rPr>
            </w:pPr>
          </w:p>
        </w:tc>
        <w:tc>
          <w:tcPr>
            <w:tcW w:w="0" w:type="auto"/>
            <w:gridSpan w:val="3"/>
            <w:shd w:val="clear" w:color="auto" w:fill="auto"/>
          </w:tcPr>
          <w:p w14:paraId="20AE3670" w14:textId="77777777" w:rsidR="00B626E7" w:rsidRDefault="00B626E7">
            <w:pPr>
              <w:rPr>
                <w:rFonts w:ascii="宋体"/>
                <w:vanish/>
              </w:rPr>
            </w:pPr>
          </w:p>
        </w:tc>
        <w:tc>
          <w:tcPr>
            <w:tcW w:w="0" w:type="auto"/>
            <w:gridSpan w:val="3"/>
            <w:shd w:val="clear" w:color="auto" w:fill="auto"/>
          </w:tcPr>
          <w:p w14:paraId="20AE3671" w14:textId="77777777" w:rsidR="00B626E7" w:rsidRDefault="00B626E7">
            <w:pPr>
              <w:rPr>
                <w:rFonts w:ascii="宋体"/>
                <w:vanish/>
              </w:rPr>
            </w:pPr>
          </w:p>
        </w:tc>
        <w:tc>
          <w:tcPr>
            <w:tcW w:w="0" w:type="auto"/>
            <w:shd w:val="clear" w:color="auto" w:fill="auto"/>
          </w:tcPr>
          <w:p w14:paraId="20AE3672" w14:textId="77777777" w:rsidR="00B626E7" w:rsidRDefault="00B626E7">
            <w:pPr>
              <w:rPr>
                <w:rFonts w:ascii="宋体"/>
                <w:vanish/>
              </w:rPr>
            </w:pPr>
          </w:p>
        </w:tc>
        <w:tc>
          <w:tcPr>
            <w:tcW w:w="0" w:type="auto"/>
            <w:shd w:val="clear" w:color="auto" w:fill="auto"/>
          </w:tcPr>
          <w:p w14:paraId="20AE3673" w14:textId="77777777" w:rsidR="00B626E7" w:rsidRDefault="00B626E7">
            <w:pPr>
              <w:rPr>
                <w:rFonts w:ascii="宋体"/>
                <w:vanish/>
              </w:rPr>
            </w:pPr>
          </w:p>
        </w:tc>
        <w:tc>
          <w:tcPr>
            <w:tcW w:w="0" w:type="auto"/>
            <w:shd w:val="clear" w:color="auto" w:fill="auto"/>
          </w:tcPr>
          <w:p w14:paraId="20AE3674" w14:textId="77777777" w:rsidR="00B626E7" w:rsidRDefault="00B626E7">
            <w:pPr>
              <w:rPr>
                <w:rFonts w:ascii="宋体"/>
                <w:vanish/>
              </w:rPr>
            </w:pPr>
          </w:p>
        </w:tc>
        <w:tc>
          <w:tcPr>
            <w:tcW w:w="0" w:type="auto"/>
            <w:shd w:val="clear" w:color="auto" w:fill="auto"/>
          </w:tcPr>
          <w:p w14:paraId="20AE3675" w14:textId="77777777" w:rsidR="00B626E7" w:rsidRDefault="00B626E7">
            <w:pPr>
              <w:rPr>
                <w:rFonts w:ascii="宋体"/>
                <w:vanish/>
              </w:rPr>
            </w:pPr>
          </w:p>
        </w:tc>
        <w:tc>
          <w:tcPr>
            <w:tcW w:w="0" w:type="auto"/>
            <w:shd w:val="clear" w:color="auto" w:fill="auto"/>
          </w:tcPr>
          <w:p w14:paraId="20AE3676" w14:textId="77777777" w:rsidR="00B626E7" w:rsidRDefault="00B626E7">
            <w:pPr>
              <w:rPr>
                <w:rFonts w:ascii="宋体"/>
              </w:rPr>
            </w:pPr>
          </w:p>
        </w:tc>
        <w:tc>
          <w:tcPr>
            <w:tcW w:w="0" w:type="auto"/>
            <w:shd w:val="clear" w:color="auto" w:fill="auto"/>
          </w:tcPr>
          <w:p w14:paraId="20AE3677" w14:textId="77777777" w:rsidR="00B626E7" w:rsidRDefault="00B626E7">
            <w:pPr>
              <w:rPr>
                <w:rFonts w:ascii="宋体"/>
              </w:rPr>
            </w:pPr>
          </w:p>
        </w:tc>
        <w:tc>
          <w:tcPr>
            <w:tcW w:w="0" w:type="auto"/>
            <w:shd w:val="clear" w:color="auto" w:fill="auto"/>
          </w:tcPr>
          <w:p w14:paraId="20AE3678" w14:textId="77777777" w:rsidR="00B626E7" w:rsidRDefault="00B626E7">
            <w:pPr>
              <w:rPr>
                <w:rFonts w:ascii="宋体"/>
              </w:rPr>
            </w:pPr>
          </w:p>
        </w:tc>
        <w:tc>
          <w:tcPr>
            <w:tcW w:w="0" w:type="auto"/>
            <w:shd w:val="clear" w:color="auto" w:fill="auto"/>
          </w:tcPr>
          <w:p w14:paraId="20AE3679" w14:textId="77777777" w:rsidR="00B626E7" w:rsidRDefault="00B626E7">
            <w:pPr>
              <w:rPr>
                <w:rFonts w:ascii="宋体"/>
              </w:rPr>
            </w:pPr>
          </w:p>
        </w:tc>
        <w:tc>
          <w:tcPr>
            <w:tcW w:w="0" w:type="auto"/>
            <w:shd w:val="clear" w:color="auto" w:fill="auto"/>
          </w:tcPr>
          <w:p w14:paraId="20AE367A" w14:textId="77777777" w:rsidR="00B626E7" w:rsidRDefault="00B626E7">
            <w:pPr>
              <w:rPr>
                <w:rFonts w:ascii="宋体"/>
              </w:rPr>
            </w:pPr>
          </w:p>
        </w:tc>
        <w:tc>
          <w:tcPr>
            <w:tcW w:w="0" w:type="auto"/>
            <w:shd w:val="clear" w:color="auto" w:fill="auto"/>
          </w:tcPr>
          <w:p w14:paraId="20AE367B" w14:textId="77777777" w:rsidR="00B626E7" w:rsidRDefault="00B626E7">
            <w:pPr>
              <w:rPr>
                <w:rFonts w:ascii="宋体"/>
              </w:rPr>
            </w:pPr>
          </w:p>
        </w:tc>
      </w:tr>
      <w:tr w:rsidR="00B626E7" w14:paraId="20AE368C" w14:textId="77777777">
        <w:trPr>
          <w:hidden/>
        </w:trPr>
        <w:tc>
          <w:tcPr>
            <w:tcW w:w="0" w:type="auto"/>
            <w:gridSpan w:val="3"/>
            <w:shd w:val="clear" w:color="auto" w:fill="auto"/>
          </w:tcPr>
          <w:p w14:paraId="20AE367D" w14:textId="77777777" w:rsidR="00B626E7" w:rsidRDefault="00B626E7">
            <w:pPr>
              <w:rPr>
                <w:rFonts w:ascii="宋体"/>
                <w:vanish/>
              </w:rPr>
            </w:pPr>
          </w:p>
        </w:tc>
        <w:tc>
          <w:tcPr>
            <w:tcW w:w="0" w:type="auto"/>
            <w:gridSpan w:val="3"/>
            <w:shd w:val="clear" w:color="auto" w:fill="auto"/>
          </w:tcPr>
          <w:p w14:paraId="20AE367E" w14:textId="77777777" w:rsidR="00B626E7" w:rsidRDefault="00B626E7">
            <w:pPr>
              <w:rPr>
                <w:rFonts w:ascii="宋体"/>
                <w:vanish/>
              </w:rPr>
            </w:pPr>
          </w:p>
        </w:tc>
        <w:tc>
          <w:tcPr>
            <w:tcW w:w="0" w:type="auto"/>
            <w:gridSpan w:val="3"/>
            <w:shd w:val="clear" w:color="auto" w:fill="auto"/>
          </w:tcPr>
          <w:p w14:paraId="20AE367F" w14:textId="77777777" w:rsidR="00B626E7" w:rsidRDefault="00B626E7">
            <w:pPr>
              <w:rPr>
                <w:rFonts w:ascii="宋体"/>
                <w:vanish/>
              </w:rPr>
            </w:pPr>
          </w:p>
        </w:tc>
        <w:tc>
          <w:tcPr>
            <w:tcW w:w="0" w:type="auto"/>
            <w:gridSpan w:val="3"/>
            <w:shd w:val="clear" w:color="auto" w:fill="auto"/>
          </w:tcPr>
          <w:p w14:paraId="20AE3680" w14:textId="77777777" w:rsidR="00B626E7" w:rsidRDefault="00B626E7">
            <w:pPr>
              <w:rPr>
                <w:rFonts w:ascii="宋体"/>
                <w:vanish/>
              </w:rPr>
            </w:pPr>
          </w:p>
        </w:tc>
        <w:tc>
          <w:tcPr>
            <w:tcW w:w="0" w:type="auto"/>
            <w:gridSpan w:val="3"/>
            <w:shd w:val="clear" w:color="auto" w:fill="auto"/>
          </w:tcPr>
          <w:p w14:paraId="20AE3681" w14:textId="77777777" w:rsidR="00B626E7" w:rsidRDefault="00B626E7">
            <w:pPr>
              <w:rPr>
                <w:rFonts w:ascii="宋体"/>
                <w:vanish/>
              </w:rPr>
            </w:pPr>
          </w:p>
        </w:tc>
        <w:tc>
          <w:tcPr>
            <w:tcW w:w="0" w:type="auto"/>
            <w:shd w:val="clear" w:color="auto" w:fill="auto"/>
          </w:tcPr>
          <w:p w14:paraId="20AE3682" w14:textId="77777777" w:rsidR="00B626E7" w:rsidRDefault="00B626E7">
            <w:pPr>
              <w:rPr>
                <w:rFonts w:ascii="宋体"/>
                <w:vanish/>
              </w:rPr>
            </w:pPr>
          </w:p>
        </w:tc>
        <w:tc>
          <w:tcPr>
            <w:tcW w:w="0" w:type="auto"/>
            <w:shd w:val="clear" w:color="auto" w:fill="auto"/>
          </w:tcPr>
          <w:p w14:paraId="20AE3683" w14:textId="77777777" w:rsidR="00B626E7" w:rsidRDefault="00B626E7">
            <w:pPr>
              <w:rPr>
                <w:rFonts w:ascii="宋体"/>
                <w:vanish/>
              </w:rPr>
            </w:pPr>
          </w:p>
        </w:tc>
        <w:tc>
          <w:tcPr>
            <w:tcW w:w="0" w:type="auto"/>
            <w:shd w:val="clear" w:color="auto" w:fill="auto"/>
          </w:tcPr>
          <w:p w14:paraId="20AE3684" w14:textId="77777777" w:rsidR="00B626E7" w:rsidRDefault="00B626E7">
            <w:pPr>
              <w:rPr>
                <w:rFonts w:ascii="宋体"/>
                <w:vanish/>
              </w:rPr>
            </w:pPr>
          </w:p>
        </w:tc>
        <w:tc>
          <w:tcPr>
            <w:tcW w:w="0" w:type="auto"/>
            <w:shd w:val="clear" w:color="auto" w:fill="auto"/>
          </w:tcPr>
          <w:p w14:paraId="20AE3685" w14:textId="77777777" w:rsidR="00B626E7" w:rsidRDefault="00B626E7">
            <w:pPr>
              <w:rPr>
                <w:rFonts w:ascii="宋体"/>
                <w:vanish/>
              </w:rPr>
            </w:pPr>
          </w:p>
        </w:tc>
        <w:tc>
          <w:tcPr>
            <w:tcW w:w="0" w:type="auto"/>
            <w:shd w:val="clear" w:color="auto" w:fill="auto"/>
          </w:tcPr>
          <w:p w14:paraId="20AE3686" w14:textId="77777777" w:rsidR="00B626E7" w:rsidRDefault="00B626E7">
            <w:pPr>
              <w:rPr>
                <w:rFonts w:ascii="宋体"/>
              </w:rPr>
            </w:pPr>
          </w:p>
        </w:tc>
        <w:tc>
          <w:tcPr>
            <w:tcW w:w="0" w:type="auto"/>
            <w:shd w:val="clear" w:color="auto" w:fill="auto"/>
          </w:tcPr>
          <w:p w14:paraId="20AE3687" w14:textId="77777777" w:rsidR="00B626E7" w:rsidRDefault="00B626E7">
            <w:pPr>
              <w:rPr>
                <w:rFonts w:ascii="宋体"/>
              </w:rPr>
            </w:pPr>
          </w:p>
        </w:tc>
        <w:tc>
          <w:tcPr>
            <w:tcW w:w="0" w:type="auto"/>
            <w:shd w:val="clear" w:color="auto" w:fill="auto"/>
          </w:tcPr>
          <w:p w14:paraId="20AE3688" w14:textId="77777777" w:rsidR="00B626E7" w:rsidRDefault="00B626E7">
            <w:pPr>
              <w:rPr>
                <w:rFonts w:ascii="宋体"/>
              </w:rPr>
            </w:pPr>
          </w:p>
        </w:tc>
        <w:tc>
          <w:tcPr>
            <w:tcW w:w="0" w:type="auto"/>
            <w:shd w:val="clear" w:color="auto" w:fill="auto"/>
          </w:tcPr>
          <w:p w14:paraId="20AE3689" w14:textId="77777777" w:rsidR="00B626E7" w:rsidRDefault="00B626E7">
            <w:pPr>
              <w:rPr>
                <w:rFonts w:ascii="宋体"/>
              </w:rPr>
            </w:pPr>
          </w:p>
        </w:tc>
        <w:tc>
          <w:tcPr>
            <w:tcW w:w="0" w:type="auto"/>
            <w:shd w:val="clear" w:color="auto" w:fill="auto"/>
          </w:tcPr>
          <w:p w14:paraId="20AE368A" w14:textId="77777777" w:rsidR="00B626E7" w:rsidRDefault="00B626E7">
            <w:pPr>
              <w:rPr>
                <w:rFonts w:ascii="宋体"/>
              </w:rPr>
            </w:pPr>
          </w:p>
        </w:tc>
        <w:tc>
          <w:tcPr>
            <w:tcW w:w="0" w:type="auto"/>
            <w:shd w:val="clear" w:color="auto" w:fill="auto"/>
          </w:tcPr>
          <w:p w14:paraId="20AE368B" w14:textId="77777777" w:rsidR="00B626E7" w:rsidRDefault="00B626E7">
            <w:pPr>
              <w:rPr>
                <w:rFonts w:ascii="宋体"/>
              </w:rPr>
            </w:pPr>
          </w:p>
        </w:tc>
      </w:tr>
      <w:tr w:rsidR="00B626E7" w14:paraId="20AE369C" w14:textId="77777777">
        <w:trPr>
          <w:hidden/>
        </w:trPr>
        <w:tc>
          <w:tcPr>
            <w:tcW w:w="0" w:type="auto"/>
            <w:gridSpan w:val="3"/>
            <w:shd w:val="clear" w:color="auto" w:fill="auto"/>
          </w:tcPr>
          <w:p w14:paraId="20AE368D" w14:textId="77777777" w:rsidR="00B626E7" w:rsidRDefault="00B626E7">
            <w:pPr>
              <w:rPr>
                <w:rFonts w:ascii="宋体"/>
                <w:vanish/>
              </w:rPr>
            </w:pPr>
          </w:p>
        </w:tc>
        <w:tc>
          <w:tcPr>
            <w:tcW w:w="0" w:type="auto"/>
            <w:gridSpan w:val="3"/>
            <w:shd w:val="clear" w:color="auto" w:fill="auto"/>
          </w:tcPr>
          <w:p w14:paraId="20AE368E" w14:textId="77777777" w:rsidR="00B626E7" w:rsidRDefault="00B626E7">
            <w:pPr>
              <w:rPr>
                <w:rFonts w:ascii="宋体"/>
                <w:vanish/>
              </w:rPr>
            </w:pPr>
          </w:p>
        </w:tc>
        <w:tc>
          <w:tcPr>
            <w:tcW w:w="0" w:type="auto"/>
            <w:gridSpan w:val="3"/>
            <w:shd w:val="clear" w:color="auto" w:fill="auto"/>
          </w:tcPr>
          <w:p w14:paraId="20AE368F" w14:textId="77777777" w:rsidR="00B626E7" w:rsidRDefault="00B626E7">
            <w:pPr>
              <w:rPr>
                <w:rFonts w:ascii="宋体"/>
                <w:vanish/>
              </w:rPr>
            </w:pPr>
          </w:p>
        </w:tc>
        <w:tc>
          <w:tcPr>
            <w:tcW w:w="0" w:type="auto"/>
            <w:gridSpan w:val="3"/>
            <w:shd w:val="clear" w:color="auto" w:fill="auto"/>
          </w:tcPr>
          <w:p w14:paraId="20AE3690" w14:textId="77777777" w:rsidR="00B626E7" w:rsidRDefault="00B626E7">
            <w:pPr>
              <w:rPr>
                <w:rFonts w:ascii="宋体"/>
                <w:vanish/>
              </w:rPr>
            </w:pPr>
          </w:p>
        </w:tc>
        <w:tc>
          <w:tcPr>
            <w:tcW w:w="0" w:type="auto"/>
            <w:gridSpan w:val="3"/>
            <w:shd w:val="clear" w:color="auto" w:fill="auto"/>
          </w:tcPr>
          <w:p w14:paraId="20AE3691" w14:textId="77777777" w:rsidR="00B626E7" w:rsidRDefault="00B626E7">
            <w:pPr>
              <w:rPr>
                <w:rFonts w:ascii="宋体"/>
                <w:vanish/>
              </w:rPr>
            </w:pPr>
          </w:p>
        </w:tc>
        <w:tc>
          <w:tcPr>
            <w:tcW w:w="0" w:type="auto"/>
            <w:shd w:val="clear" w:color="auto" w:fill="auto"/>
          </w:tcPr>
          <w:p w14:paraId="20AE3692" w14:textId="77777777" w:rsidR="00B626E7" w:rsidRDefault="00B626E7">
            <w:pPr>
              <w:rPr>
                <w:rFonts w:ascii="宋体"/>
                <w:vanish/>
              </w:rPr>
            </w:pPr>
          </w:p>
        </w:tc>
        <w:tc>
          <w:tcPr>
            <w:tcW w:w="0" w:type="auto"/>
            <w:shd w:val="clear" w:color="auto" w:fill="auto"/>
          </w:tcPr>
          <w:p w14:paraId="20AE3693" w14:textId="77777777" w:rsidR="00B626E7" w:rsidRDefault="00B626E7">
            <w:pPr>
              <w:rPr>
                <w:rFonts w:ascii="宋体"/>
                <w:vanish/>
              </w:rPr>
            </w:pPr>
          </w:p>
        </w:tc>
        <w:tc>
          <w:tcPr>
            <w:tcW w:w="0" w:type="auto"/>
            <w:shd w:val="clear" w:color="auto" w:fill="auto"/>
          </w:tcPr>
          <w:p w14:paraId="20AE3694" w14:textId="77777777" w:rsidR="00B626E7" w:rsidRDefault="00B626E7">
            <w:pPr>
              <w:rPr>
                <w:rFonts w:ascii="宋体"/>
                <w:vanish/>
              </w:rPr>
            </w:pPr>
          </w:p>
        </w:tc>
        <w:tc>
          <w:tcPr>
            <w:tcW w:w="0" w:type="auto"/>
            <w:shd w:val="clear" w:color="auto" w:fill="auto"/>
          </w:tcPr>
          <w:p w14:paraId="20AE3695" w14:textId="77777777" w:rsidR="00B626E7" w:rsidRDefault="00B626E7">
            <w:pPr>
              <w:rPr>
                <w:rFonts w:ascii="宋体"/>
                <w:vanish/>
              </w:rPr>
            </w:pPr>
          </w:p>
        </w:tc>
        <w:tc>
          <w:tcPr>
            <w:tcW w:w="0" w:type="auto"/>
            <w:shd w:val="clear" w:color="auto" w:fill="auto"/>
          </w:tcPr>
          <w:p w14:paraId="20AE3696" w14:textId="77777777" w:rsidR="00B626E7" w:rsidRDefault="00B626E7">
            <w:pPr>
              <w:rPr>
                <w:rFonts w:ascii="宋体"/>
              </w:rPr>
            </w:pPr>
          </w:p>
        </w:tc>
        <w:tc>
          <w:tcPr>
            <w:tcW w:w="0" w:type="auto"/>
            <w:shd w:val="clear" w:color="auto" w:fill="auto"/>
          </w:tcPr>
          <w:p w14:paraId="20AE3697" w14:textId="77777777" w:rsidR="00B626E7" w:rsidRDefault="00B626E7">
            <w:pPr>
              <w:rPr>
                <w:rFonts w:ascii="宋体"/>
              </w:rPr>
            </w:pPr>
          </w:p>
        </w:tc>
        <w:tc>
          <w:tcPr>
            <w:tcW w:w="0" w:type="auto"/>
            <w:shd w:val="clear" w:color="auto" w:fill="auto"/>
          </w:tcPr>
          <w:p w14:paraId="20AE3698" w14:textId="77777777" w:rsidR="00B626E7" w:rsidRDefault="00B626E7">
            <w:pPr>
              <w:rPr>
                <w:rFonts w:ascii="宋体"/>
              </w:rPr>
            </w:pPr>
          </w:p>
        </w:tc>
        <w:tc>
          <w:tcPr>
            <w:tcW w:w="0" w:type="auto"/>
            <w:shd w:val="clear" w:color="auto" w:fill="auto"/>
          </w:tcPr>
          <w:p w14:paraId="20AE3699" w14:textId="77777777" w:rsidR="00B626E7" w:rsidRDefault="00B626E7">
            <w:pPr>
              <w:rPr>
                <w:rFonts w:ascii="宋体"/>
              </w:rPr>
            </w:pPr>
          </w:p>
        </w:tc>
        <w:tc>
          <w:tcPr>
            <w:tcW w:w="0" w:type="auto"/>
            <w:shd w:val="clear" w:color="auto" w:fill="auto"/>
          </w:tcPr>
          <w:p w14:paraId="20AE369A" w14:textId="77777777" w:rsidR="00B626E7" w:rsidRDefault="00B626E7">
            <w:pPr>
              <w:rPr>
                <w:rFonts w:ascii="宋体"/>
              </w:rPr>
            </w:pPr>
          </w:p>
        </w:tc>
        <w:tc>
          <w:tcPr>
            <w:tcW w:w="0" w:type="auto"/>
            <w:shd w:val="clear" w:color="auto" w:fill="auto"/>
          </w:tcPr>
          <w:p w14:paraId="20AE369B" w14:textId="77777777" w:rsidR="00B626E7" w:rsidRDefault="00B626E7">
            <w:pPr>
              <w:rPr>
                <w:rFonts w:ascii="宋体"/>
              </w:rPr>
            </w:pPr>
          </w:p>
        </w:tc>
      </w:tr>
      <w:tr w:rsidR="00B626E7" w14:paraId="20AE36AC" w14:textId="77777777">
        <w:trPr>
          <w:hidden/>
        </w:trPr>
        <w:tc>
          <w:tcPr>
            <w:tcW w:w="0" w:type="auto"/>
            <w:gridSpan w:val="3"/>
            <w:shd w:val="clear" w:color="auto" w:fill="auto"/>
          </w:tcPr>
          <w:p w14:paraId="20AE369D" w14:textId="77777777" w:rsidR="00B626E7" w:rsidRDefault="00B626E7">
            <w:pPr>
              <w:rPr>
                <w:rFonts w:ascii="宋体"/>
                <w:vanish/>
              </w:rPr>
            </w:pPr>
          </w:p>
        </w:tc>
        <w:tc>
          <w:tcPr>
            <w:tcW w:w="0" w:type="auto"/>
            <w:gridSpan w:val="3"/>
            <w:shd w:val="clear" w:color="auto" w:fill="auto"/>
          </w:tcPr>
          <w:p w14:paraId="20AE369E" w14:textId="77777777" w:rsidR="00B626E7" w:rsidRDefault="00B626E7">
            <w:pPr>
              <w:rPr>
                <w:rFonts w:ascii="宋体"/>
                <w:vanish/>
              </w:rPr>
            </w:pPr>
          </w:p>
        </w:tc>
        <w:tc>
          <w:tcPr>
            <w:tcW w:w="0" w:type="auto"/>
            <w:gridSpan w:val="3"/>
            <w:shd w:val="clear" w:color="auto" w:fill="auto"/>
          </w:tcPr>
          <w:p w14:paraId="20AE369F" w14:textId="77777777" w:rsidR="00B626E7" w:rsidRDefault="00B626E7">
            <w:pPr>
              <w:rPr>
                <w:rFonts w:ascii="宋体"/>
                <w:vanish/>
              </w:rPr>
            </w:pPr>
          </w:p>
        </w:tc>
        <w:tc>
          <w:tcPr>
            <w:tcW w:w="0" w:type="auto"/>
            <w:gridSpan w:val="3"/>
            <w:shd w:val="clear" w:color="auto" w:fill="auto"/>
          </w:tcPr>
          <w:p w14:paraId="20AE36A0" w14:textId="77777777" w:rsidR="00B626E7" w:rsidRDefault="00B626E7">
            <w:pPr>
              <w:rPr>
                <w:rFonts w:ascii="宋体"/>
                <w:vanish/>
              </w:rPr>
            </w:pPr>
          </w:p>
        </w:tc>
        <w:tc>
          <w:tcPr>
            <w:tcW w:w="0" w:type="auto"/>
            <w:gridSpan w:val="3"/>
            <w:shd w:val="clear" w:color="auto" w:fill="auto"/>
          </w:tcPr>
          <w:p w14:paraId="20AE36A1" w14:textId="77777777" w:rsidR="00B626E7" w:rsidRDefault="00B626E7">
            <w:pPr>
              <w:rPr>
                <w:rFonts w:ascii="宋体"/>
                <w:vanish/>
              </w:rPr>
            </w:pPr>
          </w:p>
        </w:tc>
        <w:tc>
          <w:tcPr>
            <w:tcW w:w="0" w:type="auto"/>
            <w:shd w:val="clear" w:color="auto" w:fill="auto"/>
          </w:tcPr>
          <w:p w14:paraId="20AE36A2" w14:textId="77777777" w:rsidR="00B626E7" w:rsidRDefault="00B626E7">
            <w:pPr>
              <w:rPr>
                <w:rFonts w:ascii="宋体"/>
                <w:vanish/>
              </w:rPr>
            </w:pPr>
          </w:p>
        </w:tc>
        <w:tc>
          <w:tcPr>
            <w:tcW w:w="0" w:type="auto"/>
            <w:shd w:val="clear" w:color="auto" w:fill="auto"/>
          </w:tcPr>
          <w:p w14:paraId="20AE36A3" w14:textId="77777777" w:rsidR="00B626E7" w:rsidRDefault="00B626E7">
            <w:pPr>
              <w:rPr>
                <w:rFonts w:ascii="宋体"/>
                <w:vanish/>
              </w:rPr>
            </w:pPr>
          </w:p>
        </w:tc>
        <w:tc>
          <w:tcPr>
            <w:tcW w:w="0" w:type="auto"/>
            <w:shd w:val="clear" w:color="auto" w:fill="auto"/>
          </w:tcPr>
          <w:p w14:paraId="20AE36A4" w14:textId="77777777" w:rsidR="00B626E7" w:rsidRDefault="00B626E7">
            <w:pPr>
              <w:rPr>
                <w:rFonts w:ascii="宋体"/>
                <w:vanish/>
              </w:rPr>
            </w:pPr>
          </w:p>
        </w:tc>
        <w:tc>
          <w:tcPr>
            <w:tcW w:w="0" w:type="auto"/>
            <w:shd w:val="clear" w:color="auto" w:fill="auto"/>
          </w:tcPr>
          <w:p w14:paraId="20AE36A5" w14:textId="77777777" w:rsidR="00B626E7" w:rsidRDefault="00B626E7">
            <w:pPr>
              <w:rPr>
                <w:rFonts w:ascii="宋体"/>
                <w:vanish/>
              </w:rPr>
            </w:pPr>
          </w:p>
        </w:tc>
        <w:tc>
          <w:tcPr>
            <w:tcW w:w="0" w:type="auto"/>
            <w:shd w:val="clear" w:color="auto" w:fill="auto"/>
          </w:tcPr>
          <w:p w14:paraId="20AE36A6" w14:textId="77777777" w:rsidR="00B626E7" w:rsidRDefault="00B626E7">
            <w:pPr>
              <w:rPr>
                <w:rFonts w:ascii="宋体"/>
              </w:rPr>
            </w:pPr>
          </w:p>
        </w:tc>
        <w:tc>
          <w:tcPr>
            <w:tcW w:w="0" w:type="auto"/>
            <w:shd w:val="clear" w:color="auto" w:fill="auto"/>
          </w:tcPr>
          <w:p w14:paraId="20AE36A7" w14:textId="77777777" w:rsidR="00B626E7" w:rsidRDefault="00B626E7">
            <w:pPr>
              <w:rPr>
                <w:rFonts w:ascii="宋体"/>
              </w:rPr>
            </w:pPr>
          </w:p>
        </w:tc>
        <w:tc>
          <w:tcPr>
            <w:tcW w:w="0" w:type="auto"/>
            <w:shd w:val="clear" w:color="auto" w:fill="auto"/>
          </w:tcPr>
          <w:p w14:paraId="20AE36A8" w14:textId="77777777" w:rsidR="00B626E7" w:rsidRDefault="00B626E7">
            <w:pPr>
              <w:rPr>
                <w:rFonts w:ascii="宋体"/>
              </w:rPr>
            </w:pPr>
          </w:p>
        </w:tc>
        <w:tc>
          <w:tcPr>
            <w:tcW w:w="0" w:type="auto"/>
            <w:shd w:val="clear" w:color="auto" w:fill="auto"/>
          </w:tcPr>
          <w:p w14:paraId="20AE36A9" w14:textId="77777777" w:rsidR="00B626E7" w:rsidRDefault="00B626E7">
            <w:pPr>
              <w:rPr>
                <w:rFonts w:ascii="宋体"/>
              </w:rPr>
            </w:pPr>
          </w:p>
        </w:tc>
        <w:tc>
          <w:tcPr>
            <w:tcW w:w="0" w:type="auto"/>
            <w:shd w:val="clear" w:color="auto" w:fill="auto"/>
          </w:tcPr>
          <w:p w14:paraId="20AE36AA" w14:textId="77777777" w:rsidR="00B626E7" w:rsidRDefault="00B626E7">
            <w:pPr>
              <w:rPr>
                <w:rFonts w:ascii="宋体"/>
              </w:rPr>
            </w:pPr>
          </w:p>
        </w:tc>
        <w:tc>
          <w:tcPr>
            <w:tcW w:w="0" w:type="auto"/>
            <w:shd w:val="clear" w:color="auto" w:fill="auto"/>
          </w:tcPr>
          <w:p w14:paraId="20AE36AB" w14:textId="77777777" w:rsidR="00B626E7" w:rsidRDefault="00B626E7">
            <w:pPr>
              <w:rPr>
                <w:rFonts w:ascii="宋体"/>
              </w:rPr>
            </w:pPr>
          </w:p>
        </w:tc>
      </w:tr>
      <w:tr w:rsidR="00B626E7" w14:paraId="20AE36BC" w14:textId="77777777">
        <w:trPr>
          <w:hidden/>
        </w:trPr>
        <w:tc>
          <w:tcPr>
            <w:tcW w:w="0" w:type="auto"/>
            <w:gridSpan w:val="3"/>
            <w:shd w:val="clear" w:color="auto" w:fill="auto"/>
          </w:tcPr>
          <w:p w14:paraId="20AE36AD" w14:textId="77777777" w:rsidR="00B626E7" w:rsidRDefault="00B626E7">
            <w:pPr>
              <w:rPr>
                <w:rFonts w:ascii="宋体"/>
                <w:vanish/>
              </w:rPr>
            </w:pPr>
          </w:p>
        </w:tc>
        <w:tc>
          <w:tcPr>
            <w:tcW w:w="0" w:type="auto"/>
            <w:gridSpan w:val="3"/>
            <w:shd w:val="clear" w:color="auto" w:fill="auto"/>
          </w:tcPr>
          <w:p w14:paraId="20AE36AE" w14:textId="77777777" w:rsidR="00B626E7" w:rsidRDefault="00B626E7">
            <w:pPr>
              <w:rPr>
                <w:rFonts w:ascii="宋体"/>
                <w:vanish/>
              </w:rPr>
            </w:pPr>
          </w:p>
        </w:tc>
        <w:tc>
          <w:tcPr>
            <w:tcW w:w="0" w:type="auto"/>
            <w:gridSpan w:val="3"/>
            <w:shd w:val="clear" w:color="auto" w:fill="auto"/>
          </w:tcPr>
          <w:p w14:paraId="20AE36AF" w14:textId="77777777" w:rsidR="00B626E7" w:rsidRDefault="00B626E7">
            <w:pPr>
              <w:rPr>
                <w:rFonts w:ascii="宋体"/>
                <w:vanish/>
              </w:rPr>
            </w:pPr>
          </w:p>
        </w:tc>
        <w:tc>
          <w:tcPr>
            <w:tcW w:w="0" w:type="auto"/>
            <w:gridSpan w:val="3"/>
            <w:shd w:val="clear" w:color="auto" w:fill="auto"/>
          </w:tcPr>
          <w:p w14:paraId="20AE36B0" w14:textId="77777777" w:rsidR="00B626E7" w:rsidRDefault="00B626E7">
            <w:pPr>
              <w:rPr>
                <w:rFonts w:ascii="宋体"/>
                <w:vanish/>
              </w:rPr>
            </w:pPr>
          </w:p>
        </w:tc>
        <w:tc>
          <w:tcPr>
            <w:tcW w:w="0" w:type="auto"/>
            <w:gridSpan w:val="3"/>
            <w:shd w:val="clear" w:color="auto" w:fill="auto"/>
          </w:tcPr>
          <w:p w14:paraId="20AE36B1" w14:textId="77777777" w:rsidR="00B626E7" w:rsidRDefault="00B626E7">
            <w:pPr>
              <w:rPr>
                <w:rFonts w:ascii="宋体"/>
                <w:vanish/>
              </w:rPr>
            </w:pPr>
          </w:p>
        </w:tc>
        <w:tc>
          <w:tcPr>
            <w:tcW w:w="0" w:type="auto"/>
            <w:shd w:val="clear" w:color="auto" w:fill="auto"/>
          </w:tcPr>
          <w:p w14:paraId="20AE36B2" w14:textId="77777777" w:rsidR="00B626E7" w:rsidRDefault="00B626E7">
            <w:pPr>
              <w:rPr>
                <w:rFonts w:ascii="宋体"/>
                <w:vanish/>
              </w:rPr>
            </w:pPr>
          </w:p>
        </w:tc>
        <w:tc>
          <w:tcPr>
            <w:tcW w:w="0" w:type="auto"/>
            <w:shd w:val="clear" w:color="auto" w:fill="auto"/>
          </w:tcPr>
          <w:p w14:paraId="20AE36B3" w14:textId="77777777" w:rsidR="00B626E7" w:rsidRDefault="00B626E7">
            <w:pPr>
              <w:rPr>
                <w:rFonts w:ascii="宋体"/>
                <w:vanish/>
              </w:rPr>
            </w:pPr>
          </w:p>
        </w:tc>
        <w:tc>
          <w:tcPr>
            <w:tcW w:w="0" w:type="auto"/>
            <w:shd w:val="clear" w:color="auto" w:fill="auto"/>
          </w:tcPr>
          <w:p w14:paraId="20AE36B4" w14:textId="77777777" w:rsidR="00B626E7" w:rsidRDefault="00B626E7">
            <w:pPr>
              <w:rPr>
                <w:rFonts w:ascii="宋体"/>
                <w:vanish/>
              </w:rPr>
            </w:pPr>
          </w:p>
        </w:tc>
        <w:tc>
          <w:tcPr>
            <w:tcW w:w="0" w:type="auto"/>
            <w:shd w:val="clear" w:color="auto" w:fill="auto"/>
          </w:tcPr>
          <w:p w14:paraId="20AE36B5" w14:textId="77777777" w:rsidR="00B626E7" w:rsidRDefault="00B626E7">
            <w:pPr>
              <w:rPr>
                <w:rFonts w:ascii="宋体"/>
                <w:vanish/>
              </w:rPr>
            </w:pPr>
          </w:p>
        </w:tc>
        <w:tc>
          <w:tcPr>
            <w:tcW w:w="0" w:type="auto"/>
            <w:shd w:val="clear" w:color="auto" w:fill="auto"/>
          </w:tcPr>
          <w:p w14:paraId="20AE36B6" w14:textId="77777777" w:rsidR="00B626E7" w:rsidRDefault="00B626E7">
            <w:pPr>
              <w:rPr>
                <w:rFonts w:ascii="宋体"/>
              </w:rPr>
            </w:pPr>
          </w:p>
        </w:tc>
        <w:tc>
          <w:tcPr>
            <w:tcW w:w="0" w:type="auto"/>
            <w:shd w:val="clear" w:color="auto" w:fill="auto"/>
          </w:tcPr>
          <w:p w14:paraId="20AE36B7" w14:textId="77777777" w:rsidR="00B626E7" w:rsidRDefault="00B626E7">
            <w:pPr>
              <w:rPr>
                <w:rFonts w:ascii="宋体"/>
              </w:rPr>
            </w:pPr>
          </w:p>
        </w:tc>
        <w:tc>
          <w:tcPr>
            <w:tcW w:w="0" w:type="auto"/>
            <w:shd w:val="clear" w:color="auto" w:fill="auto"/>
          </w:tcPr>
          <w:p w14:paraId="20AE36B8" w14:textId="77777777" w:rsidR="00B626E7" w:rsidRDefault="00B626E7">
            <w:pPr>
              <w:rPr>
                <w:rFonts w:ascii="宋体"/>
              </w:rPr>
            </w:pPr>
          </w:p>
        </w:tc>
        <w:tc>
          <w:tcPr>
            <w:tcW w:w="0" w:type="auto"/>
            <w:shd w:val="clear" w:color="auto" w:fill="auto"/>
          </w:tcPr>
          <w:p w14:paraId="20AE36B9" w14:textId="77777777" w:rsidR="00B626E7" w:rsidRDefault="00B626E7">
            <w:pPr>
              <w:rPr>
                <w:rFonts w:ascii="宋体"/>
              </w:rPr>
            </w:pPr>
          </w:p>
        </w:tc>
        <w:tc>
          <w:tcPr>
            <w:tcW w:w="0" w:type="auto"/>
            <w:shd w:val="clear" w:color="auto" w:fill="auto"/>
          </w:tcPr>
          <w:p w14:paraId="20AE36BA" w14:textId="77777777" w:rsidR="00B626E7" w:rsidRDefault="00B626E7">
            <w:pPr>
              <w:rPr>
                <w:rFonts w:ascii="宋体"/>
              </w:rPr>
            </w:pPr>
          </w:p>
        </w:tc>
        <w:tc>
          <w:tcPr>
            <w:tcW w:w="0" w:type="auto"/>
            <w:shd w:val="clear" w:color="auto" w:fill="auto"/>
          </w:tcPr>
          <w:p w14:paraId="20AE36BB" w14:textId="77777777" w:rsidR="00B626E7" w:rsidRDefault="00B626E7">
            <w:pPr>
              <w:rPr>
                <w:rFonts w:ascii="宋体"/>
              </w:rPr>
            </w:pPr>
          </w:p>
        </w:tc>
      </w:tr>
      <w:tr w:rsidR="00B626E7" w14:paraId="20AE36D0" w14:textId="77777777">
        <w:tc>
          <w:tcPr>
            <w:tcW w:w="0" w:type="auto"/>
            <w:gridSpan w:val="3"/>
            <w:shd w:val="clear" w:color="auto" w:fill="auto"/>
            <w:tcMar>
              <w:top w:w="40" w:type="dxa"/>
              <w:left w:w="20" w:type="dxa"/>
              <w:bottom w:w="40" w:type="dxa"/>
              <w:right w:w="20" w:type="dxa"/>
            </w:tcMar>
            <w:vAlign w:val="bottom"/>
          </w:tcPr>
          <w:p w14:paraId="20AE36BD" w14:textId="77777777" w:rsidR="00B626E7" w:rsidRDefault="00175C1D">
            <w:pPr>
              <w:textAlignment w:val="bottom"/>
            </w:pPr>
            <w:r>
              <w:rPr>
                <w:rFonts w:ascii="Arial" w:eastAsia="宋体" w:hAnsi="Arial" w:cs="Arial"/>
                <w:b/>
                <w:bCs/>
                <w:color w:val="333333"/>
                <w:sz w:val="18"/>
                <w:szCs w:val="18"/>
              </w:rPr>
              <w:t>Earnings per share—diluted</w:t>
            </w:r>
          </w:p>
        </w:tc>
        <w:tc>
          <w:tcPr>
            <w:tcW w:w="0" w:type="auto"/>
            <w:gridSpan w:val="3"/>
            <w:shd w:val="clear" w:color="auto" w:fill="auto"/>
            <w:tcMar>
              <w:left w:w="20" w:type="dxa"/>
              <w:right w:w="20" w:type="dxa"/>
            </w:tcMar>
            <w:vAlign w:val="bottom"/>
          </w:tcPr>
          <w:p w14:paraId="20AE36BE"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36BF" w14:textId="77777777" w:rsidR="00B626E7" w:rsidRDefault="00175C1D">
            <w:pPr>
              <w:textAlignment w:val="bottom"/>
            </w:pPr>
            <w:r>
              <w:rPr>
                <w:rFonts w:ascii="Arial" w:eastAsia="宋体" w:hAnsi="Arial" w:cs="Arial"/>
                <w:b/>
                <w:bCs/>
                <w:color w:val="0071C5"/>
                <w:sz w:val="18"/>
                <w:szCs w:val="18"/>
              </w:rPr>
              <w:t>$</w:t>
            </w:r>
          </w:p>
        </w:tc>
        <w:tc>
          <w:tcPr>
            <w:tcW w:w="0" w:type="auto"/>
            <w:shd w:val="clear" w:color="auto" w:fill="auto"/>
            <w:tcMar>
              <w:top w:w="40" w:type="dxa"/>
              <w:bottom w:w="40" w:type="dxa"/>
              <w:right w:w="0" w:type="dxa"/>
            </w:tcMar>
            <w:vAlign w:val="bottom"/>
          </w:tcPr>
          <w:p w14:paraId="20AE36C0" w14:textId="77777777" w:rsidR="00B626E7" w:rsidRDefault="00175C1D">
            <w:pPr>
              <w:jc w:val="right"/>
              <w:textAlignment w:val="bottom"/>
            </w:pPr>
            <w:r>
              <w:rPr>
                <w:rFonts w:ascii="Arial" w:eastAsia="宋体" w:hAnsi="Arial" w:cs="Arial"/>
                <w:b/>
                <w:bCs/>
                <w:color w:val="0071C5"/>
                <w:sz w:val="18"/>
                <w:szCs w:val="18"/>
              </w:rPr>
              <w:t>1.19 </w:t>
            </w:r>
          </w:p>
        </w:tc>
        <w:tc>
          <w:tcPr>
            <w:tcW w:w="0" w:type="auto"/>
            <w:shd w:val="clear" w:color="auto" w:fill="auto"/>
            <w:tcMar>
              <w:top w:w="40" w:type="dxa"/>
              <w:bottom w:w="40" w:type="dxa"/>
              <w:right w:w="20" w:type="dxa"/>
            </w:tcMar>
            <w:vAlign w:val="bottom"/>
          </w:tcPr>
          <w:p w14:paraId="20AE36C1"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36C2"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36C3" w14:textId="77777777" w:rsidR="00B626E7" w:rsidRDefault="00175C1D">
            <w:pPr>
              <w:textAlignment w:val="bottom"/>
            </w:pPr>
            <w:r>
              <w:rPr>
                <w:rFonts w:ascii="Arial" w:eastAsia="宋体" w:hAnsi="Arial" w:cs="Arial"/>
                <w:b/>
                <w:bCs/>
                <w:color w:val="333333"/>
                <w:sz w:val="18"/>
                <w:szCs w:val="18"/>
              </w:rPr>
              <w:t>$</w:t>
            </w:r>
          </w:p>
        </w:tc>
        <w:tc>
          <w:tcPr>
            <w:tcW w:w="0" w:type="auto"/>
            <w:shd w:val="clear" w:color="auto" w:fill="auto"/>
            <w:tcMar>
              <w:top w:w="40" w:type="dxa"/>
              <w:bottom w:w="40" w:type="dxa"/>
              <w:right w:w="0" w:type="dxa"/>
            </w:tcMar>
            <w:vAlign w:val="bottom"/>
          </w:tcPr>
          <w:p w14:paraId="20AE36C4" w14:textId="77777777" w:rsidR="00B626E7" w:rsidRDefault="00175C1D">
            <w:pPr>
              <w:jc w:val="right"/>
              <w:textAlignment w:val="bottom"/>
            </w:pPr>
            <w:r>
              <w:rPr>
                <w:rFonts w:ascii="Arial" w:eastAsia="宋体" w:hAnsi="Arial" w:cs="Arial"/>
                <w:b/>
                <w:bCs/>
                <w:color w:val="333333"/>
                <w:sz w:val="18"/>
                <w:szCs w:val="18"/>
              </w:rPr>
              <w:t>0.92 </w:t>
            </w:r>
          </w:p>
        </w:tc>
        <w:tc>
          <w:tcPr>
            <w:tcW w:w="0" w:type="auto"/>
            <w:shd w:val="clear" w:color="auto" w:fill="auto"/>
            <w:tcMar>
              <w:top w:w="40" w:type="dxa"/>
              <w:bottom w:w="40" w:type="dxa"/>
              <w:right w:w="20" w:type="dxa"/>
            </w:tcMar>
            <w:vAlign w:val="bottom"/>
          </w:tcPr>
          <w:p w14:paraId="20AE36C5"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E36C6" w14:textId="77777777" w:rsidR="00B626E7" w:rsidRDefault="00B626E7">
            <w:pPr>
              <w:rPr>
                <w:rFonts w:ascii="宋体"/>
                <w:vanish/>
              </w:rPr>
            </w:pPr>
          </w:p>
        </w:tc>
        <w:tc>
          <w:tcPr>
            <w:tcW w:w="0" w:type="auto"/>
            <w:shd w:val="clear" w:color="auto" w:fill="auto"/>
          </w:tcPr>
          <w:p w14:paraId="20AE36C7" w14:textId="77777777" w:rsidR="00B626E7" w:rsidRDefault="00B626E7">
            <w:pPr>
              <w:rPr>
                <w:rFonts w:ascii="宋体"/>
                <w:vanish/>
              </w:rPr>
            </w:pPr>
          </w:p>
        </w:tc>
        <w:tc>
          <w:tcPr>
            <w:tcW w:w="0" w:type="auto"/>
            <w:shd w:val="clear" w:color="auto" w:fill="auto"/>
          </w:tcPr>
          <w:p w14:paraId="20AE36C8" w14:textId="77777777" w:rsidR="00B626E7" w:rsidRDefault="00B626E7">
            <w:pPr>
              <w:rPr>
                <w:rFonts w:ascii="宋体"/>
                <w:vanish/>
              </w:rPr>
            </w:pPr>
          </w:p>
        </w:tc>
        <w:tc>
          <w:tcPr>
            <w:tcW w:w="0" w:type="auto"/>
            <w:shd w:val="clear" w:color="auto" w:fill="auto"/>
          </w:tcPr>
          <w:p w14:paraId="20AE36C9" w14:textId="77777777" w:rsidR="00B626E7" w:rsidRDefault="00B626E7">
            <w:pPr>
              <w:rPr>
                <w:rFonts w:ascii="宋体"/>
                <w:vanish/>
              </w:rPr>
            </w:pPr>
          </w:p>
        </w:tc>
        <w:tc>
          <w:tcPr>
            <w:tcW w:w="0" w:type="auto"/>
            <w:shd w:val="clear" w:color="auto" w:fill="auto"/>
          </w:tcPr>
          <w:p w14:paraId="20AE36CA" w14:textId="77777777" w:rsidR="00B626E7" w:rsidRDefault="00B626E7">
            <w:pPr>
              <w:rPr>
                <w:rFonts w:ascii="宋体"/>
              </w:rPr>
            </w:pPr>
          </w:p>
        </w:tc>
        <w:tc>
          <w:tcPr>
            <w:tcW w:w="0" w:type="auto"/>
            <w:shd w:val="clear" w:color="auto" w:fill="auto"/>
          </w:tcPr>
          <w:p w14:paraId="20AE36CB" w14:textId="77777777" w:rsidR="00B626E7" w:rsidRDefault="00B626E7">
            <w:pPr>
              <w:rPr>
                <w:rFonts w:ascii="宋体"/>
              </w:rPr>
            </w:pPr>
          </w:p>
        </w:tc>
        <w:tc>
          <w:tcPr>
            <w:tcW w:w="0" w:type="auto"/>
            <w:shd w:val="clear" w:color="auto" w:fill="auto"/>
          </w:tcPr>
          <w:p w14:paraId="20AE36CC" w14:textId="77777777" w:rsidR="00B626E7" w:rsidRDefault="00B626E7">
            <w:pPr>
              <w:rPr>
                <w:rFonts w:ascii="宋体"/>
              </w:rPr>
            </w:pPr>
          </w:p>
        </w:tc>
        <w:tc>
          <w:tcPr>
            <w:tcW w:w="0" w:type="auto"/>
            <w:shd w:val="clear" w:color="auto" w:fill="auto"/>
          </w:tcPr>
          <w:p w14:paraId="20AE36CD" w14:textId="77777777" w:rsidR="00B626E7" w:rsidRDefault="00B626E7">
            <w:pPr>
              <w:rPr>
                <w:rFonts w:ascii="宋体"/>
              </w:rPr>
            </w:pPr>
          </w:p>
        </w:tc>
        <w:tc>
          <w:tcPr>
            <w:tcW w:w="0" w:type="auto"/>
            <w:shd w:val="clear" w:color="auto" w:fill="auto"/>
          </w:tcPr>
          <w:p w14:paraId="20AE36CE" w14:textId="77777777" w:rsidR="00B626E7" w:rsidRDefault="00B626E7">
            <w:pPr>
              <w:rPr>
                <w:rFonts w:ascii="宋体"/>
              </w:rPr>
            </w:pPr>
          </w:p>
        </w:tc>
        <w:tc>
          <w:tcPr>
            <w:tcW w:w="0" w:type="auto"/>
            <w:shd w:val="clear" w:color="auto" w:fill="auto"/>
          </w:tcPr>
          <w:p w14:paraId="20AE36CF" w14:textId="77777777" w:rsidR="00B626E7" w:rsidRDefault="00B626E7">
            <w:pPr>
              <w:rPr>
                <w:rFonts w:ascii="宋体"/>
              </w:rPr>
            </w:pPr>
          </w:p>
        </w:tc>
      </w:tr>
      <w:tr w:rsidR="00B626E7" w14:paraId="20AE36E2" w14:textId="77777777">
        <w:tc>
          <w:tcPr>
            <w:tcW w:w="0" w:type="auto"/>
            <w:gridSpan w:val="3"/>
            <w:shd w:val="clear" w:color="auto" w:fill="auto"/>
            <w:tcMar>
              <w:top w:w="40" w:type="dxa"/>
              <w:left w:w="225" w:type="dxa"/>
              <w:bottom w:w="40" w:type="dxa"/>
              <w:right w:w="20" w:type="dxa"/>
            </w:tcMar>
            <w:vAlign w:val="bottom"/>
          </w:tcPr>
          <w:p w14:paraId="20AE36D1" w14:textId="77777777" w:rsidR="00B626E7" w:rsidRDefault="00175C1D">
            <w:pPr>
              <w:textAlignment w:val="bottom"/>
            </w:pPr>
            <w:r>
              <w:rPr>
                <w:rFonts w:ascii="Arial" w:eastAsia="宋体" w:hAnsi="Arial" w:cs="Arial"/>
                <w:color w:val="333333"/>
                <w:sz w:val="18"/>
                <w:szCs w:val="18"/>
              </w:rPr>
              <w:t>Acquisition-related adjustments</w:t>
            </w:r>
          </w:p>
        </w:tc>
        <w:tc>
          <w:tcPr>
            <w:tcW w:w="0" w:type="auto"/>
            <w:gridSpan w:val="3"/>
            <w:shd w:val="clear" w:color="auto" w:fill="auto"/>
            <w:tcMar>
              <w:left w:w="20" w:type="dxa"/>
              <w:right w:w="20" w:type="dxa"/>
            </w:tcMar>
            <w:vAlign w:val="bottom"/>
          </w:tcPr>
          <w:p w14:paraId="20AE36D2"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36D3" w14:textId="77777777" w:rsidR="00B626E7" w:rsidRDefault="00175C1D">
            <w:pPr>
              <w:jc w:val="right"/>
              <w:textAlignment w:val="bottom"/>
            </w:pPr>
            <w:r>
              <w:rPr>
                <w:rFonts w:ascii="Arial" w:eastAsia="宋体" w:hAnsi="Arial" w:cs="Arial"/>
                <w:color w:val="0071C5"/>
                <w:sz w:val="18"/>
                <w:szCs w:val="18"/>
              </w:rPr>
              <w:t>0.08 </w:t>
            </w:r>
          </w:p>
        </w:tc>
        <w:tc>
          <w:tcPr>
            <w:tcW w:w="0" w:type="auto"/>
            <w:shd w:val="clear" w:color="auto" w:fill="auto"/>
            <w:tcMar>
              <w:top w:w="40" w:type="dxa"/>
              <w:bottom w:w="40" w:type="dxa"/>
              <w:right w:w="20" w:type="dxa"/>
            </w:tcMar>
            <w:vAlign w:val="bottom"/>
          </w:tcPr>
          <w:p w14:paraId="20AE36D4"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36D5"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36D6" w14:textId="77777777" w:rsidR="00B626E7" w:rsidRDefault="00175C1D">
            <w:pPr>
              <w:jc w:val="right"/>
              <w:textAlignment w:val="bottom"/>
            </w:pPr>
            <w:r>
              <w:rPr>
                <w:rFonts w:ascii="Arial" w:eastAsia="宋体" w:hAnsi="Arial" w:cs="Arial"/>
                <w:color w:val="333333"/>
                <w:sz w:val="18"/>
                <w:szCs w:val="18"/>
              </w:rPr>
              <w:t>0.08 </w:t>
            </w:r>
          </w:p>
        </w:tc>
        <w:tc>
          <w:tcPr>
            <w:tcW w:w="0" w:type="auto"/>
            <w:shd w:val="clear" w:color="auto" w:fill="auto"/>
            <w:tcMar>
              <w:top w:w="40" w:type="dxa"/>
              <w:bottom w:w="40" w:type="dxa"/>
              <w:right w:w="20" w:type="dxa"/>
            </w:tcMar>
            <w:vAlign w:val="bottom"/>
          </w:tcPr>
          <w:p w14:paraId="20AE36D7"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36D8" w14:textId="77777777" w:rsidR="00B626E7" w:rsidRDefault="00B626E7">
            <w:pPr>
              <w:rPr>
                <w:rFonts w:ascii="宋体"/>
                <w:vanish/>
              </w:rPr>
            </w:pPr>
          </w:p>
        </w:tc>
        <w:tc>
          <w:tcPr>
            <w:tcW w:w="0" w:type="auto"/>
            <w:shd w:val="clear" w:color="auto" w:fill="auto"/>
          </w:tcPr>
          <w:p w14:paraId="20AE36D9" w14:textId="77777777" w:rsidR="00B626E7" w:rsidRDefault="00B626E7">
            <w:pPr>
              <w:rPr>
                <w:rFonts w:ascii="宋体"/>
                <w:vanish/>
              </w:rPr>
            </w:pPr>
          </w:p>
        </w:tc>
        <w:tc>
          <w:tcPr>
            <w:tcW w:w="0" w:type="auto"/>
            <w:shd w:val="clear" w:color="auto" w:fill="auto"/>
          </w:tcPr>
          <w:p w14:paraId="20AE36DA" w14:textId="77777777" w:rsidR="00B626E7" w:rsidRDefault="00B626E7">
            <w:pPr>
              <w:rPr>
                <w:rFonts w:ascii="宋体"/>
                <w:vanish/>
              </w:rPr>
            </w:pPr>
          </w:p>
        </w:tc>
        <w:tc>
          <w:tcPr>
            <w:tcW w:w="0" w:type="auto"/>
            <w:shd w:val="clear" w:color="auto" w:fill="auto"/>
          </w:tcPr>
          <w:p w14:paraId="20AE36DB" w14:textId="77777777" w:rsidR="00B626E7" w:rsidRDefault="00B626E7">
            <w:pPr>
              <w:rPr>
                <w:rFonts w:ascii="宋体"/>
                <w:vanish/>
              </w:rPr>
            </w:pPr>
          </w:p>
        </w:tc>
        <w:tc>
          <w:tcPr>
            <w:tcW w:w="0" w:type="auto"/>
            <w:shd w:val="clear" w:color="auto" w:fill="auto"/>
          </w:tcPr>
          <w:p w14:paraId="20AE36DC" w14:textId="77777777" w:rsidR="00B626E7" w:rsidRDefault="00B626E7">
            <w:pPr>
              <w:rPr>
                <w:rFonts w:ascii="宋体"/>
              </w:rPr>
            </w:pPr>
          </w:p>
        </w:tc>
        <w:tc>
          <w:tcPr>
            <w:tcW w:w="0" w:type="auto"/>
            <w:shd w:val="clear" w:color="auto" w:fill="auto"/>
          </w:tcPr>
          <w:p w14:paraId="20AE36DD" w14:textId="77777777" w:rsidR="00B626E7" w:rsidRDefault="00B626E7">
            <w:pPr>
              <w:rPr>
                <w:rFonts w:ascii="宋体"/>
              </w:rPr>
            </w:pPr>
          </w:p>
        </w:tc>
        <w:tc>
          <w:tcPr>
            <w:tcW w:w="0" w:type="auto"/>
            <w:shd w:val="clear" w:color="auto" w:fill="auto"/>
          </w:tcPr>
          <w:p w14:paraId="20AE36DE" w14:textId="77777777" w:rsidR="00B626E7" w:rsidRDefault="00B626E7">
            <w:pPr>
              <w:rPr>
                <w:rFonts w:ascii="宋体"/>
              </w:rPr>
            </w:pPr>
          </w:p>
        </w:tc>
        <w:tc>
          <w:tcPr>
            <w:tcW w:w="0" w:type="auto"/>
            <w:shd w:val="clear" w:color="auto" w:fill="auto"/>
          </w:tcPr>
          <w:p w14:paraId="20AE36DF" w14:textId="77777777" w:rsidR="00B626E7" w:rsidRDefault="00B626E7">
            <w:pPr>
              <w:rPr>
                <w:rFonts w:ascii="宋体"/>
              </w:rPr>
            </w:pPr>
          </w:p>
        </w:tc>
        <w:tc>
          <w:tcPr>
            <w:tcW w:w="0" w:type="auto"/>
            <w:shd w:val="clear" w:color="auto" w:fill="auto"/>
          </w:tcPr>
          <w:p w14:paraId="20AE36E0" w14:textId="77777777" w:rsidR="00B626E7" w:rsidRDefault="00B626E7">
            <w:pPr>
              <w:rPr>
                <w:rFonts w:ascii="宋体"/>
              </w:rPr>
            </w:pPr>
          </w:p>
        </w:tc>
        <w:tc>
          <w:tcPr>
            <w:tcW w:w="0" w:type="auto"/>
            <w:shd w:val="clear" w:color="auto" w:fill="auto"/>
          </w:tcPr>
          <w:p w14:paraId="20AE36E1" w14:textId="77777777" w:rsidR="00B626E7" w:rsidRDefault="00B626E7">
            <w:pPr>
              <w:rPr>
                <w:rFonts w:ascii="宋体"/>
              </w:rPr>
            </w:pPr>
          </w:p>
        </w:tc>
      </w:tr>
      <w:tr w:rsidR="00B626E7" w14:paraId="20AE36F2" w14:textId="77777777">
        <w:trPr>
          <w:hidden/>
        </w:trPr>
        <w:tc>
          <w:tcPr>
            <w:tcW w:w="0" w:type="auto"/>
            <w:gridSpan w:val="3"/>
            <w:shd w:val="clear" w:color="auto" w:fill="auto"/>
          </w:tcPr>
          <w:p w14:paraId="20AE36E3" w14:textId="77777777" w:rsidR="00B626E7" w:rsidRDefault="00B626E7">
            <w:pPr>
              <w:rPr>
                <w:rFonts w:ascii="宋体"/>
                <w:vanish/>
              </w:rPr>
            </w:pPr>
          </w:p>
        </w:tc>
        <w:tc>
          <w:tcPr>
            <w:tcW w:w="0" w:type="auto"/>
            <w:gridSpan w:val="3"/>
            <w:shd w:val="clear" w:color="auto" w:fill="auto"/>
          </w:tcPr>
          <w:p w14:paraId="20AE36E4" w14:textId="77777777" w:rsidR="00B626E7" w:rsidRDefault="00B626E7">
            <w:pPr>
              <w:rPr>
                <w:rFonts w:ascii="宋体"/>
                <w:vanish/>
              </w:rPr>
            </w:pPr>
          </w:p>
        </w:tc>
        <w:tc>
          <w:tcPr>
            <w:tcW w:w="0" w:type="auto"/>
            <w:gridSpan w:val="3"/>
            <w:shd w:val="clear" w:color="auto" w:fill="auto"/>
          </w:tcPr>
          <w:p w14:paraId="20AE36E5" w14:textId="77777777" w:rsidR="00B626E7" w:rsidRDefault="00B626E7">
            <w:pPr>
              <w:rPr>
                <w:rFonts w:ascii="宋体"/>
                <w:vanish/>
              </w:rPr>
            </w:pPr>
          </w:p>
        </w:tc>
        <w:tc>
          <w:tcPr>
            <w:tcW w:w="0" w:type="auto"/>
            <w:gridSpan w:val="3"/>
            <w:shd w:val="clear" w:color="auto" w:fill="auto"/>
          </w:tcPr>
          <w:p w14:paraId="20AE36E6" w14:textId="77777777" w:rsidR="00B626E7" w:rsidRDefault="00B626E7">
            <w:pPr>
              <w:rPr>
                <w:rFonts w:ascii="宋体"/>
                <w:vanish/>
              </w:rPr>
            </w:pPr>
          </w:p>
        </w:tc>
        <w:tc>
          <w:tcPr>
            <w:tcW w:w="0" w:type="auto"/>
            <w:gridSpan w:val="3"/>
            <w:shd w:val="clear" w:color="auto" w:fill="auto"/>
          </w:tcPr>
          <w:p w14:paraId="20AE36E7" w14:textId="77777777" w:rsidR="00B626E7" w:rsidRDefault="00B626E7">
            <w:pPr>
              <w:rPr>
                <w:rFonts w:ascii="宋体"/>
                <w:vanish/>
              </w:rPr>
            </w:pPr>
          </w:p>
        </w:tc>
        <w:tc>
          <w:tcPr>
            <w:tcW w:w="0" w:type="auto"/>
            <w:shd w:val="clear" w:color="auto" w:fill="auto"/>
          </w:tcPr>
          <w:p w14:paraId="20AE36E8" w14:textId="77777777" w:rsidR="00B626E7" w:rsidRDefault="00B626E7">
            <w:pPr>
              <w:rPr>
                <w:rFonts w:ascii="宋体"/>
                <w:vanish/>
              </w:rPr>
            </w:pPr>
          </w:p>
        </w:tc>
        <w:tc>
          <w:tcPr>
            <w:tcW w:w="0" w:type="auto"/>
            <w:shd w:val="clear" w:color="auto" w:fill="auto"/>
          </w:tcPr>
          <w:p w14:paraId="20AE36E9" w14:textId="77777777" w:rsidR="00B626E7" w:rsidRDefault="00B626E7">
            <w:pPr>
              <w:rPr>
                <w:rFonts w:ascii="宋体"/>
                <w:vanish/>
              </w:rPr>
            </w:pPr>
          </w:p>
        </w:tc>
        <w:tc>
          <w:tcPr>
            <w:tcW w:w="0" w:type="auto"/>
            <w:shd w:val="clear" w:color="auto" w:fill="auto"/>
          </w:tcPr>
          <w:p w14:paraId="20AE36EA" w14:textId="77777777" w:rsidR="00B626E7" w:rsidRDefault="00B626E7">
            <w:pPr>
              <w:rPr>
                <w:rFonts w:ascii="宋体"/>
                <w:vanish/>
              </w:rPr>
            </w:pPr>
          </w:p>
        </w:tc>
        <w:tc>
          <w:tcPr>
            <w:tcW w:w="0" w:type="auto"/>
            <w:shd w:val="clear" w:color="auto" w:fill="auto"/>
          </w:tcPr>
          <w:p w14:paraId="20AE36EB" w14:textId="77777777" w:rsidR="00B626E7" w:rsidRDefault="00B626E7">
            <w:pPr>
              <w:rPr>
                <w:rFonts w:ascii="宋体"/>
                <w:vanish/>
              </w:rPr>
            </w:pPr>
          </w:p>
        </w:tc>
        <w:tc>
          <w:tcPr>
            <w:tcW w:w="0" w:type="auto"/>
            <w:shd w:val="clear" w:color="auto" w:fill="auto"/>
          </w:tcPr>
          <w:p w14:paraId="20AE36EC" w14:textId="77777777" w:rsidR="00B626E7" w:rsidRDefault="00B626E7">
            <w:pPr>
              <w:rPr>
                <w:rFonts w:ascii="宋体"/>
              </w:rPr>
            </w:pPr>
          </w:p>
        </w:tc>
        <w:tc>
          <w:tcPr>
            <w:tcW w:w="0" w:type="auto"/>
            <w:shd w:val="clear" w:color="auto" w:fill="auto"/>
          </w:tcPr>
          <w:p w14:paraId="20AE36ED" w14:textId="77777777" w:rsidR="00B626E7" w:rsidRDefault="00B626E7">
            <w:pPr>
              <w:rPr>
                <w:rFonts w:ascii="宋体"/>
              </w:rPr>
            </w:pPr>
          </w:p>
        </w:tc>
        <w:tc>
          <w:tcPr>
            <w:tcW w:w="0" w:type="auto"/>
            <w:shd w:val="clear" w:color="auto" w:fill="auto"/>
          </w:tcPr>
          <w:p w14:paraId="20AE36EE" w14:textId="77777777" w:rsidR="00B626E7" w:rsidRDefault="00B626E7">
            <w:pPr>
              <w:rPr>
                <w:rFonts w:ascii="宋体"/>
              </w:rPr>
            </w:pPr>
          </w:p>
        </w:tc>
        <w:tc>
          <w:tcPr>
            <w:tcW w:w="0" w:type="auto"/>
            <w:shd w:val="clear" w:color="auto" w:fill="auto"/>
          </w:tcPr>
          <w:p w14:paraId="20AE36EF" w14:textId="77777777" w:rsidR="00B626E7" w:rsidRDefault="00B626E7">
            <w:pPr>
              <w:rPr>
                <w:rFonts w:ascii="宋体"/>
              </w:rPr>
            </w:pPr>
          </w:p>
        </w:tc>
        <w:tc>
          <w:tcPr>
            <w:tcW w:w="0" w:type="auto"/>
            <w:shd w:val="clear" w:color="auto" w:fill="auto"/>
          </w:tcPr>
          <w:p w14:paraId="20AE36F0" w14:textId="77777777" w:rsidR="00B626E7" w:rsidRDefault="00B626E7">
            <w:pPr>
              <w:rPr>
                <w:rFonts w:ascii="宋体"/>
              </w:rPr>
            </w:pPr>
          </w:p>
        </w:tc>
        <w:tc>
          <w:tcPr>
            <w:tcW w:w="0" w:type="auto"/>
            <w:shd w:val="clear" w:color="auto" w:fill="auto"/>
          </w:tcPr>
          <w:p w14:paraId="20AE36F1" w14:textId="77777777" w:rsidR="00B626E7" w:rsidRDefault="00B626E7">
            <w:pPr>
              <w:rPr>
                <w:rFonts w:ascii="宋体"/>
              </w:rPr>
            </w:pPr>
          </w:p>
        </w:tc>
      </w:tr>
      <w:tr w:rsidR="00B626E7" w14:paraId="20AE3702" w14:textId="77777777">
        <w:trPr>
          <w:hidden/>
        </w:trPr>
        <w:tc>
          <w:tcPr>
            <w:tcW w:w="0" w:type="auto"/>
            <w:gridSpan w:val="3"/>
            <w:shd w:val="clear" w:color="auto" w:fill="auto"/>
          </w:tcPr>
          <w:p w14:paraId="20AE36F3" w14:textId="77777777" w:rsidR="00B626E7" w:rsidRDefault="00B626E7">
            <w:pPr>
              <w:rPr>
                <w:rFonts w:ascii="宋体"/>
                <w:vanish/>
              </w:rPr>
            </w:pPr>
          </w:p>
        </w:tc>
        <w:tc>
          <w:tcPr>
            <w:tcW w:w="0" w:type="auto"/>
            <w:gridSpan w:val="3"/>
            <w:shd w:val="clear" w:color="auto" w:fill="auto"/>
          </w:tcPr>
          <w:p w14:paraId="20AE36F4" w14:textId="77777777" w:rsidR="00B626E7" w:rsidRDefault="00B626E7">
            <w:pPr>
              <w:rPr>
                <w:rFonts w:ascii="宋体"/>
                <w:vanish/>
              </w:rPr>
            </w:pPr>
          </w:p>
        </w:tc>
        <w:tc>
          <w:tcPr>
            <w:tcW w:w="0" w:type="auto"/>
            <w:gridSpan w:val="3"/>
            <w:shd w:val="clear" w:color="auto" w:fill="auto"/>
          </w:tcPr>
          <w:p w14:paraId="20AE36F5" w14:textId="77777777" w:rsidR="00B626E7" w:rsidRDefault="00B626E7">
            <w:pPr>
              <w:rPr>
                <w:rFonts w:ascii="宋体"/>
                <w:vanish/>
              </w:rPr>
            </w:pPr>
          </w:p>
        </w:tc>
        <w:tc>
          <w:tcPr>
            <w:tcW w:w="0" w:type="auto"/>
            <w:gridSpan w:val="3"/>
            <w:shd w:val="clear" w:color="auto" w:fill="auto"/>
          </w:tcPr>
          <w:p w14:paraId="20AE36F6" w14:textId="77777777" w:rsidR="00B626E7" w:rsidRDefault="00B626E7">
            <w:pPr>
              <w:rPr>
                <w:rFonts w:ascii="宋体"/>
                <w:vanish/>
              </w:rPr>
            </w:pPr>
          </w:p>
        </w:tc>
        <w:tc>
          <w:tcPr>
            <w:tcW w:w="0" w:type="auto"/>
            <w:gridSpan w:val="3"/>
            <w:shd w:val="clear" w:color="auto" w:fill="auto"/>
          </w:tcPr>
          <w:p w14:paraId="20AE36F7" w14:textId="77777777" w:rsidR="00B626E7" w:rsidRDefault="00B626E7">
            <w:pPr>
              <w:rPr>
                <w:rFonts w:ascii="宋体"/>
                <w:vanish/>
              </w:rPr>
            </w:pPr>
          </w:p>
        </w:tc>
        <w:tc>
          <w:tcPr>
            <w:tcW w:w="0" w:type="auto"/>
            <w:shd w:val="clear" w:color="auto" w:fill="auto"/>
          </w:tcPr>
          <w:p w14:paraId="20AE36F8" w14:textId="77777777" w:rsidR="00B626E7" w:rsidRDefault="00B626E7">
            <w:pPr>
              <w:rPr>
                <w:rFonts w:ascii="宋体"/>
                <w:vanish/>
              </w:rPr>
            </w:pPr>
          </w:p>
        </w:tc>
        <w:tc>
          <w:tcPr>
            <w:tcW w:w="0" w:type="auto"/>
            <w:shd w:val="clear" w:color="auto" w:fill="auto"/>
          </w:tcPr>
          <w:p w14:paraId="20AE36F9" w14:textId="77777777" w:rsidR="00B626E7" w:rsidRDefault="00B626E7">
            <w:pPr>
              <w:rPr>
                <w:rFonts w:ascii="宋体"/>
                <w:vanish/>
              </w:rPr>
            </w:pPr>
          </w:p>
        </w:tc>
        <w:tc>
          <w:tcPr>
            <w:tcW w:w="0" w:type="auto"/>
            <w:shd w:val="clear" w:color="auto" w:fill="auto"/>
          </w:tcPr>
          <w:p w14:paraId="20AE36FA" w14:textId="77777777" w:rsidR="00B626E7" w:rsidRDefault="00B626E7">
            <w:pPr>
              <w:rPr>
                <w:rFonts w:ascii="宋体"/>
                <w:vanish/>
              </w:rPr>
            </w:pPr>
          </w:p>
        </w:tc>
        <w:tc>
          <w:tcPr>
            <w:tcW w:w="0" w:type="auto"/>
            <w:shd w:val="clear" w:color="auto" w:fill="auto"/>
          </w:tcPr>
          <w:p w14:paraId="20AE36FB" w14:textId="77777777" w:rsidR="00B626E7" w:rsidRDefault="00B626E7">
            <w:pPr>
              <w:rPr>
                <w:rFonts w:ascii="宋体"/>
                <w:vanish/>
              </w:rPr>
            </w:pPr>
          </w:p>
        </w:tc>
        <w:tc>
          <w:tcPr>
            <w:tcW w:w="0" w:type="auto"/>
            <w:shd w:val="clear" w:color="auto" w:fill="auto"/>
          </w:tcPr>
          <w:p w14:paraId="20AE36FC" w14:textId="77777777" w:rsidR="00B626E7" w:rsidRDefault="00B626E7">
            <w:pPr>
              <w:rPr>
                <w:rFonts w:ascii="宋体"/>
              </w:rPr>
            </w:pPr>
          </w:p>
        </w:tc>
        <w:tc>
          <w:tcPr>
            <w:tcW w:w="0" w:type="auto"/>
            <w:shd w:val="clear" w:color="auto" w:fill="auto"/>
          </w:tcPr>
          <w:p w14:paraId="20AE36FD" w14:textId="77777777" w:rsidR="00B626E7" w:rsidRDefault="00B626E7">
            <w:pPr>
              <w:rPr>
                <w:rFonts w:ascii="宋体"/>
              </w:rPr>
            </w:pPr>
          </w:p>
        </w:tc>
        <w:tc>
          <w:tcPr>
            <w:tcW w:w="0" w:type="auto"/>
            <w:shd w:val="clear" w:color="auto" w:fill="auto"/>
          </w:tcPr>
          <w:p w14:paraId="20AE36FE" w14:textId="77777777" w:rsidR="00B626E7" w:rsidRDefault="00B626E7">
            <w:pPr>
              <w:rPr>
                <w:rFonts w:ascii="宋体"/>
              </w:rPr>
            </w:pPr>
          </w:p>
        </w:tc>
        <w:tc>
          <w:tcPr>
            <w:tcW w:w="0" w:type="auto"/>
            <w:shd w:val="clear" w:color="auto" w:fill="auto"/>
          </w:tcPr>
          <w:p w14:paraId="20AE36FF" w14:textId="77777777" w:rsidR="00B626E7" w:rsidRDefault="00B626E7">
            <w:pPr>
              <w:rPr>
                <w:rFonts w:ascii="宋体"/>
              </w:rPr>
            </w:pPr>
          </w:p>
        </w:tc>
        <w:tc>
          <w:tcPr>
            <w:tcW w:w="0" w:type="auto"/>
            <w:shd w:val="clear" w:color="auto" w:fill="auto"/>
          </w:tcPr>
          <w:p w14:paraId="20AE3700" w14:textId="77777777" w:rsidR="00B626E7" w:rsidRDefault="00B626E7">
            <w:pPr>
              <w:rPr>
                <w:rFonts w:ascii="宋体"/>
              </w:rPr>
            </w:pPr>
          </w:p>
        </w:tc>
        <w:tc>
          <w:tcPr>
            <w:tcW w:w="0" w:type="auto"/>
            <w:shd w:val="clear" w:color="auto" w:fill="auto"/>
          </w:tcPr>
          <w:p w14:paraId="20AE3701" w14:textId="77777777" w:rsidR="00B626E7" w:rsidRDefault="00B626E7">
            <w:pPr>
              <w:rPr>
                <w:rFonts w:ascii="宋体"/>
              </w:rPr>
            </w:pPr>
          </w:p>
        </w:tc>
      </w:tr>
      <w:tr w:rsidR="00B626E7" w14:paraId="20AE3712" w14:textId="77777777">
        <w:trPr>
          <w:hidden/>
        </w:trPr>
        <w:tc>
          <w:tcPr>
            <w:tcW w:w="0" w:type="auto"/>
            <w:gridSpan w:val="3"/>
            <w:shd w:val="clear" w:color="auto" w:fill="auto"/>
          </w:tcPr>
          <w:p w14:paraId="20AE3703" w14:textId="77777777" w:rsidR="00B626E7" w:rsidRDefault="00B626E7">
            <w:pPr>
              <w:rPr>
                <w:rFonts w:ascii="宋体"/>
                <w:vanish/>
              </w:rPr>
            </w:pPr>
          </w:p>
        </w:tc>
        <w:tc>
          <w:tcPr>
            <w:tcW w:w="0" w:type="auto"/>
            <w:gridSpan w:val="3"/>
            <w:shd w:val="clear" w:color="auto" w:fill="auto"/>
          </w:tcPr>
          <w:p w14:paraId="20AE3704" w14:textId="77777777" w:rsidR="00B626E7" w:rsidRDefault="00B626E7">
            <w:pPr>
              <w:rPr>
                <w:rFonts w:ascii="宋体"/>
                <w:vanish/>
              </w:rPr>
            </w:pPr>
          </w:p>
        </w:tc>
        <w:tc>
          <w:tcPr>
            <w:tcW w:w="0" w:type="auto"/>
            <w:gridSpan w:val="3"/>
            <w:shd w:val="clear" w:color="auto" w:fill="auto"/>
          </w:tcPr>
          <w:p w14:paraId="20AE3705" w14:textId="77777777" w:rsidR="00B626E7" w:rsidRDefault="00B626E7">
            <w:pPr>
              <w:rPr>
                <w:rFonts w:ascii="宋体"/>
                <w:vanish/>
              </w:rPr>
            </w:pPr>
          </w:p>
        </w:tc>
        <w:tc>
          <w:tcPr>
            <w:tcW w:w="0" w:type="auto"/>
            <w:gridSpan w:val="3"/>
            <w:shd w:val="clear" w:color="auto" w:fill="auto"/>
          </w:tcPr>
          <w:p w14:paraId="20AE3706" w14:textId="77777777" w:rsidR="00B626E7" w:rsidRDefault="00B626E7">
            <w:pPr>
              <w:rPr>
                <w:rFonts w:ascii="宋体"/>
                <w:vanish/>
              </w:rPr>
            </w:pPr>
          </w:p>
        </w:tc>
        <w:tc>
          <w:tcPr>
            <w:tcW w:w="0" w:type="auto"/>
            <w:gridSpan w:val="3"/>
            <w:shd w:val="clear" w:color="auto" w:fill="auto"/>
          </w:tcPr>
          <w:p w14:paraId="20AE3707" w14:textId="77777777" w:rsidR="00B626E7" w:rsidRDefault="00B626E7">
            <w:pPr>
              <w:rPr>
                <w:rFonts w:ascii="宋体"/>
                <w:vanish/>
              </w:rPr>
            </w:pPr>
          </w:p>
        </w:tc>
        <w:tc>
          <w:tcPr>
            <w:tcW w:w="0" w:type="auto"/>
            <w:shd w:val="clear" w:color="auto" w:fill="auto"/>
          </w:tcPr>
          <w:p w14:paraId="20AE3708" w14:textId="77777777" w:rsidR="00B626E7" w:rsidRDefault="00B626E7">
            <w:pPr>
              <w:rPr>
                <w:rFonts w:ascii="宋体"/>
                <w:vanish/>
              </w:rPr>
            </w:pPr>
          </w:p>
        </w:tc>
        <w:tc>
          <w:tcPr>
            <w:tcW w:w="0" w:type="auto"/>
            <w:shd w:val="clear" w:color="auto" w:fill="auto"/>
          </w:tcPr>
          <w:p w14:paraId="20AE3709" w14:textId="77777777" w:rsidR="00B626E7" w:rsidRDefault="00B626E7">
            <w:pPr>
              <w:rPr>
                <w:rFonts w:ascii="宋体"/>
                <w:vanish/>
              </w:rPr>
            </w:pPr>
          </w:p>
        </w:tc>
        <w:tc>
          <w:tcPr>
            <w:tcW w:w="0" w:type="auto"/>
            <w:shd w:val="clear" w:color="auto" w:fill="auto"/>
          </w:tcPr>
          <w:p w14:paraId="20AE370A" w14:textId="77777777" w:rsidR="00B626E7" w:rsidRDefault="00B626E7">
            <w:pPr>
              <w:rPr>
                <w:rFonts w:ascii="宋体"/>
                <w:vanish/>
              </w:rPr>
            </w:pPr>
          </w:p>
        </w:tc>
        <w:tc>
          <w:tcPr>
            <w:tcW w:w="0" w:type="auto"/>
            <w:shd w:val="clear" w:color="auto" w:fill="auto"/>
          </w:tcPr>
          <w:p w14:paraId="20AE370B" w14:textId="77777777" w:rsidR="00B626E7" w:rsidRDefault="00B626E7">
            <w:pPr>
              <w:rPr>
                <w:rFonts w:ascii="宋体"/>
                <w:vanish/>
              </w:rPr>
            </w:pPr>
          </w:p>
        </w:tc>
        <w:tc>
          <w:tcPr>
            <w:tcW w:w="0" w:type="auto"/>
            <w:shd w:val="clear" w:color="auto" w:fill="auto"/>
          </w:tcPr>
          <w:p w14:paraId="20AE370C" w14:textId="77777777" w:rsidR="00B626E7" w:rsidRDefault="00B626E7">
            <w:pPr>
              <w:rPr>
                <w:rFonts w:ascii="宋体"/>
              </w:rPr>
            </w:pPr>
          </w:p>
        </w:tc>
        <w:tc>
          <w:tcPr>
            <w:tcW w:w="0" w:type="auto"/>
            <w:shd w:val="clear" w:color="auto" w:fill="auto"/>
          </w:tcPr>
          <w:p w14:paraId="20AE370D" w14:textId="77777777" w:rsidR="00B626E7" w:rsidRDefault="00B626E7">
            <w:pPr>
              <w:rPr>
                <w:rFonts w:ascii="宋体"/>
              </w:rPr>
            </w:pPr>
          </w:p>
        </w:tc>
        <w:tc>
          <w:tcPr>
            <w:tcW w:w="0" w:type="auto"/>
            <w:shd w:val="clear" w:color="auto" w:fill="auto"/>
          </w:tcPr>
          <w:p w14:paraId="20AE370E" w14:textId="77777777" w:rsidR="00B626E7" w:rsidRDefault="00B626E7">
            <w:pPr>
              <w:rPr>
                <w:rFonts w:ascii="宋体"/>
              </w:rPr>
            </w:pPr>
          </w:p>
        </w:tc>
        <w:tc>
          <w:tcPr>
            <w:tcW w:w="0" w:type="auto"/>
            <w:shd w:val="clear" w:color="auto" w:fill="auto"/>
          </w:tcPr>
          <w:p w14:paraId="20AE370F" w14:textId="77777777" w:rsidR="00B626E7" w:rsidRDefault="00B626E7">
            <w:pPr>
              <w:rPr>
                <w:rFonts w:ascii="宋体"/>
              </w:rPr>
            </w:pPr>
          </w:p>
        </w:tc>
        <w:tc>
          <w:tcPr>
            <w:tcW w:w="0" w:type="auto"/>
            <w:shd w:val="clear" w:color="auto" w:fill="auto"/>
          </w:tcPr>
          <w:p w14:paraId="20AE3710" w14:textId="77777777" w:rsidR="00B626E7" w:rsidRDefault="00B626E7">
            <w:pPr>
              <w:rPr>
                <w:rFonts w:ascii="宋体"/>
              </w:rPr>
            </w:pPr>
          </w:p>
        </w:tc>
        <w:tc>
          <w:tcPr>
            <w:tcW w:w="0" w:type="auto"/>
            <w:shd w:val="clear" w:color="auto" w:fill="auto"/>
          </w:tcPr>
          <w:p w14:paraId="20AE3711" w14:textId="77777777" w:rsidR="00B626E7" w:rsidRDefault="00B626E7">
            <w:pPr>
              <w:rPr>
                <w:rFonts w:ascii="宋体"/>
              </w:rPr>
            </w:pPr>
          </w:p>
        </w:tc>
      </w:tr>
      <w:tr w:rsidR="00B626E7" w14:paraId="20AE3724" w14:textId="77777777">
        <w:tc>
          <w:tcPr>
            <w:tcW w:w="0" w:type="auto"/>
            <w:gridSpan w:val="3"/>
            <w:shd w:val="clear" w:color="auto" w:fill="auto"/>
            <w:tcMar>
              <w:top w:w="40" w:type="dxa"/>
              <w:left w:w="225" w:type="dxa"/>
              <w:bottom w:w="40" w:type="dxa"/>
              <w:right w:w="20" w:type="dxa"/>
            </w:tcMar>
            <w:vAlign w:val="bottom"/>
          </w:tcPr>
          <w:p w14:paraId="20AE3713" w14:textId="77777777" w:rsidR="00B626E7" w:rsidRDefault="00175C1D">
            <w:pPr>
              <w:textAlignment w:val="bottom"/>
            </w:pPr>
            <w:r>
              <w:rPr>
                <w:rFonts w:ascii="Arial" w:eastAsia="宋体" w:hAnsi="Arial" w:cs="Arial"/>
                <w:color w:val="333333"/>
                <w:sz w:val="18"/>
                <w:szCs w:val="18"/>
              </w:rPr>
              <w:t>Restructuring and other charges</w:t>
            </w:r>
          </w:p>
        </w:tc>
        <w:tc>
          <w:tcPr>
            <w:tcW w:w="0" w:type="auto"/>
            <w:gridSpan w:val="3"/>
            <w:shd w:val="clear" w:color="auto" w:fill="auto"/>
            <w:tcMar>
              <w:left w:w="20" w:type="dxa"/>
              <w:right w:w="20" w:type="dxa"/>
            </w:tcMar>
            <w:vAlign w:val="bottom"/>
          </w:tcPr>
          <w:p w14:paraId="20AE3714"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3715"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20AE3716"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3717"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3718" w14:textId="77777777" w:rsidR="00B626E7" w:rsidRDefault="00175C1D">
            <w:pPr>
              <w:jc w:val="right"/>
              <w:textAlignment w:val="bottom"/>
            </w:pPr>
            <w:r>
              <w:rPr>
                <w:rFonts w:ascii="Arial" w:eastAsia="宋体" w:hAnsi="Arial" w:cs="Arial"/>
                <w:color w:val="333333"/>
                <w:sz w:val="18"/>
                <w:szCs w:val="18"/>
              </w:rPr>
              <w:t>0.04 </w:t>
            </w:r>
          </w:p>
        </w:tc>
        <w:tc>
          <w:tcPr>
            <w:tcW w:w="0" w:type="auto"/>
            <w:shd w:val="clear" w:color="auto" w:fill="auto"/>
            <w:tcMar>
              <w:top w:w="40" w:type="dxa"/>
              <w:bottom w:w="40" w:type="dxa"/>
              <w:right w:w="20" w:type="dxa"/>
            </w:tcMar>
            <w:vAlign w:val="bottom"/>
          </w:tcPr>
          <w:p w14:paraId="20AE3719"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371A" w14:textId="77777777" w:rsidR="00B626E7" w:rsidRDefault="00B626E7">
            <w:pPr>
              <w:rPr>
                <w:rFonts w:ascii="宋体"/>
                <w:vanish/>
              </w:rPr>
            </w:pPr>
          </w:p>
        </w:tc>
        <w:tc>
          <w:tcPr>
            <w:tcW w:w="0" w:type="auto"/>
            <w:shd w:val="clear" w:color="auto" w:fill="auto"/>
          </w:tcPr>
          <w:p w14:paraId="20AE371B" w14:textId="77777777" w:rsidR="00B626E7" w:rsidRDefault="00B626E7">
            <w:pPr>
              <w:rPr>
                <w:rFonts w:ascii="宋体"/>
                <w:vanish/>
              </w:rPr>
            </w:pPr>
          </w:p>
        </w:tc>
        <w:tc>
          <w:tcPr>
            <w:tcW w:w="0" w:type="auto"/>
            <w:shd w:val="clear" w:color="auto" w:fill="auto"/>
          </w:tcPr>
          <w:p w14:paraId="20AE371C" w14:textId="77777777" w:rsidR="00B626E7" w:rsidRDefault="00B626E7">
            <w:pPr>
              <w:rPr>
                <w:rFonts w:ascii="宋体"/>
                <w:vanish/>
              </w:rPr>
            </w:pPr>
          </w:p>
        </w:tc>
        <w:tc>
          <w:tcPr>
            <w:tcW w:w="0" w:type="auto"/>
            <w:shd w:val="clear" w:color="auto" w:fill="auto"/>
          </w:tcPr>
          <w:p w14:paraId="20AE371D" w14:textId="77777777" w:rsidR="00B626E7" w:rsidRDefault="00B626E7">
            <w:pPr>
              <w:rPr>
                <w:rFonts w:ascii="宋体"/>
                <w:vanish/>
              </w:rPr>
            </w:pPr>
          </w:p>
        </w:tc>
        <w:tc>
          <w:tcPr>
            <w:tcW w:w="0" w:type="auto"/>
            <w:shd w:val="clear" w:color="auto" w:fill="auto"/>
          </w:tcPr>
          <w:p w14:paraId="20AE371E" w14:textId="77777777" w:rsidR="00B626E7" w:rsidRDefault="00B626E7">
            <w:pPr>
              <w:rPr>
                <w:rFonts w:ascii="宋体"/>
              </w:rPr>
            </w:pPr>
          </w:p>
        </w:tc>
        <w:tc>
          <w:tcPr>
            <w:tcW w:w="0" w:type="auto"/>
            <w:shd w:val="clear" w:color="auto" w:fill="auto"/>
          </w:tcPr>
          <w:p w14:paraId="20AE371F" w14:textId="77777777" w:rsidR="00B626E7" w:rsidRDefault="00B626E7">
            <w:pPr>
              <w:rPr>
                <w:rFonts w:ascii="宋体"/>
              </w:rPr>
            </w:pPr>
          </w:p>
        </w:tc>
        <w:tc>
          <w:tcPr>
            <w:tcW w:w="0" w:type="auto"/>
            <w:shd w:val="clear" w:color="auto" w:fill="auto"/>
          </w:tcPr>
          <w:p w14:paraId="20AE3720" w14:textId="77777777" w:rsidR="00B626E7" w:rsidRDefault="00B626E7">
            <w:pPr>
              <w:rPr>
                <w:rFonts w:ascii="宋体"/>
              </w:rPr>
            </w:pPr>
          </w:p>
        </w:tc>
        <w:tc>
          <w:tcPr>
            <w:tcW w:w="0" w:type="auto"/>
            <w:shd w:val="clear" w:color="auto" w:fill="auto"/>
          </w:tcPr>
          <w:p w14:paraId="20AE3721" w14:textId="77777777" w:rsidR="00B626E7" w:rsidRDefault="00B626E7">
            <w:pPr>
              <w:rPr>
                <w:rFonts w:ascii="宋体"/>
              </w:rPr>
            </w:pPr>
          </w:p>
        </w:tc>
        <w:tc>
          <w:tcPr>
            <w:tcW w:w="0" w:type="auto"/>
            <w:shd w:val="clear" w:color="auto" w:fill="auto"/>
          </w:tcPr>
          <w:p w14:paraId="20AE3722" w14:textId="77777777" w:rsidR="00B626E7" w:rsidRDefault="00B626E7">
            <w:pPr>
              <w:rPr>
                <w:rFonts w:ascii="宋体"/>
              </w:rPr>
            </w:pPr>
          </w:p>
        </w:tc>
        <w:tc>
          <w:tcPr>
            <w:tcW w:w="0" w:type="auto"/>
            <w:shd w:val="clear" w:color="auto" w:fill="auto"/>
          </w:tcPr>
          <w:p w14:paraId="20AE3723" w14:textId="77777777" w:rsidR="00B626E7" w:rsidRDefault="00B626E7">
            <w:pPr>
              <w:rPr>
                <w:rFonts w:ascii="宋体"/>
              </w:rPr>
            </w:pPr>
          </w:p>
        </w:tc>
      </w:tr>
      <w:tr w:rsidR="00B626E7" w14:paraId="20AE3734" w14:textId="77777777">
        <w:trPr>
          <w:hidden/>
        </w:trPr>
        <w:tc>
          <w:tcPr>
            <w:tcW w:w="0" w:type="auto"/>
            <w:gridSpan w:val="3"/>
            <w:shd w:val="clear" w:color="auto" w:fill="auto"/>
          </w:tcPr>
          <w:p w14:paraId="20AE3725" w14:textId="77777777" w:rsidR="00B626E7" w:rsidRDefault="00B626E7">
            <w:pPr>
              <w:rPr>
                <w:rFonts w:ascii="宋体"/>
                <w:vanish/>
              </w:rPr>
            </w:pPr>
          </w:p>
        </w:tc>
        <w:tc>
          <w:tcPr>
            <w:tcW w:w="0" w:type="auto"/>
            <w:gridSpan w:val="3"/>
            <w:shd w:val="clear" w:color="auto" w:fill="auto"/>
          </w:tcPr>
          <w:p w14:paraId="20AE3726" w14:textId="77777777" w:rsidR="00B626E7" w:rsidRDefault="00B626E7">
            <w:pPr>
              <w:rPr>
                <w:rFonts w:ascii="宋体"/>
                <w:vanish/>
              </w:rPr>
            </w:pPr>
          </w:p>
        </w:tc>
        <w:tc>
          <w:tcPr>
            <w:tcW w:w="0" w:type="auto"/>
            <w:gridSpan w:val="3"/>
            <w:shd w:val="clear" w:color="auto" w:fill="auto"/>
          </w:tcPr>
          <w:p w14:paraId="20AE3727" w14:textId="77777777" w:rsidR="00B626E7" w:rsidRDefault="00B626E7">
            <w:pPr>
              <w:rPr>
                <w:rFonts w:ascii="宋体"/>
                <w:vanish/>
              </w:rPr>
            </w:pPr>
          </w:p>
        </w:tc>
        <w:tc>
          <w:tcPr>
            <w:tcW w:w="0" w:type="auto"/>
            <w:gridSpan w:val="3"/>
            <w:shd w:val="clear" w:color="auto" w:fill="auto"/>
          </w:tcPr>
          <w:p w14:paraId="20AE3728" w14:textId="77777777" w:rsidR="00B626E7" w:rsidRDefault="00B626E7">
            <w:pPr>
              <w:rPr>
                <w:rFonts w:ascii="宋体"/>
                <w:vanish/>
              </w:rPr>
            </w:pPr>
          </w:p>
        </w:tc>
        <w:tc>
          <w:tcPr>
            <w:tcW w:w="0" w:type="auto"/>
            <w:gridSpan w:val="3"/>
            <w:shd w:val="clear" w:color="auto" w:fill="auto"/>
          </w:tcPr>
          <w:p w14:paraId="20AE3729" w14:textId="77777777" w:rsidR="00B626E7" w:rsidRDefault="00B626E7">
            <w:pPr>
              <w:rPr>
                <w:rFonts w:ascii="宋体"/>
                <w:vanish/>
              </w:rPr>
            </w:pPr>
          </w:p>
        </w:tc>
        <w:tc>
          <w:tcPr>
            <w:tcW w:w="0" w:type="auto"/>
            <w:shd w:val="clear" w:color="auto" w:fill="auto"/>
          </w:tcPr>
          <w:p w14:paraId="20AE372A" w14:textId="77777777" w:rsidR="00B626E7" w:rsidRDefault="00B626E7">
            <w:pPr>
              <w:rPr>
                <w:rFonts w:ascii="宋体"/>
                <w:vanish/>
              </w:rPr>
            </w:pPr>
          </w:p>
        </w:tc>
        <w:tc>
          <w:tcPr>
            <w:tcW w:w="0" w:type="auto"/>
            <w:shd w:val="clear" w:color="auto" w:fill="auto"/>
          </w:tcPr>
          <w:p w14:paraId="20AE372B" w14:textId="77777777" w:rsidR="00B626E7" w:rsidRDefault="00B626E7">
            <w:pPr>
              <w:rPr>
                <w:rFonts w:ascii="宋体"/>
                <w:vanish/>
              </w:rPr>
            </w:pPr>
          </w:p>
        </w:tc>
        <w:tc>
          <w:tcPr>
            <w:tcW w:w="0" w:type="auto"/>
            <w:shd w:val="clear" w:color="auto" w:fill="auto"/>
          </w:tcPr>
          <w:p w14:paraId="20AE372C" w14:textId="77777777" w:rsidR="00B626E7" w:rsidRDefault="00B626E7">
            <w:pPr>
              <w:rPr>
                <w:rFonts w:ascii="宋体"/>
                <w:vanish/>
              </w:rPr>
            </w:pPr>
          </w:p>
        </w:tc>
        <w:tc>
          <w:tcPr>
            <w:tcW w:w="0" w:type="auto"/>
            <w:shd w:val="clear" w:color="auto" w:fill="auto"/>
          </w:tcPr>
          <w:p w14:paraId="20AE372D" w14:textId="77777777" w:rsidR="00B626E7" w:rsidRDefault="00B626E7">
            <w:pPr>
              <w:rPr>
                <w:rFonts w:ascii="宋体"/>
                <w:vanish/>
              </w:rPr>
            </w:pPr>
          </w:p>
        </w:tc>
        <w:tc>
          <w:tcPr>
            <w:tcW w:w="0" w:type="auto"/>
            <w:shd w:val="clear" w:color="auto" w:fill="auto"/>
          </w:tcPr>
          <w:p w14:paraId="20AE372E" w14:textId="77777777" w:rsidR="00B626E7" w:rsidRDefault="00B626E7">
            <w:pPr>
              <w:rPr>
                <w:rFonts w:ascii="宋体"/>
              </w:rPr>
            </w:pPr>
          </w:p>
        </w:tc>
        <w:tc>
          <w:tcPr>
            <w:tcW w:w="0" w:type="auto"/>
            <w:shd w:val="clear" w:color="auto" w:fill="auto"/>
          </w:tcPr>
          <w:p w14:paraId="20AE372F" w14:textId="77777777" w:rsidR="00B626E7" w:rsidRDefault="00B626E7">
            <w:pPr>
              <w:rPr>
                <w:rFonts w:ascii="宋体"/>
              </w:rPr>
            </w:pPr>
          </w:p>
        </w:tc>
        <w:tc>
          <w:tcPr>
            <w:tcW w:w="0" w:type="auto"/>
            <w:shd w:val="clear" w:color="auto" w:fill="auto"/>
          </w:tcPr>
          <w:p w14:paraId="20AE3730" w14:textId="77777777" w:rsidR="00B626E7" w:rsidRDefault="00B626E7">
            <w:pPr>
              <w:rPr>
                <w:rFonts w:ascii="宋体"/>
              </w:rPr>
            </w:pPr>
          </w:p>
        </w:tc>
        <w:tc>
          <w:tcPr>
            <w:tcW w:w="0" w:type="auto"/>
            <w:shd w:val="clear" w:color="auto" w:fill="auto"/>
          </w:tcPr>
          <w:p w14:paraId="20AE3731" w14:textId="77777777" w:rsidR="00B626E7" w:rsidRDefault="00B626E7">
            <w:pPr>
              <w:rPr>
                <w:rFonts w:ascii="宋体"/>
              </w:rPr>
            </w:pPr>
          </w:p>
        </w:tc>
        <w:tc>
          <w:tcPr>
            <w:tcW w:w="0" w:type="auto"/>
            <w:shd w:val="clear" w:color="auto" w:fill="auto"/>
          </w:tcPr>
          <w:p w14:paraId="20AE3732" w14:textId="77777777" w:rsidR="00B626E7" w:rsidRDefault="00B626E7">
            <w:pPr>
              <w:rPr>
                <w:rFonts w:ascii="宋体"/>
              </w:rPr>
            </w:pPr>
          </w:p>
        </w:tc>
        <w:tc>
          <w:tcPr>
            <w:tcW w:w="0" w:type="auto"/>
            <w:shd w:val="clear" w:color="auto" w:fill="auto"/>
          </w:tcPr>
          <w:p w14:paraId="20AE3733" w14:textId="77777777" w:rsidR="00B626E7" w:rsidRDefault="00B626E7">
            <w:pPr>
              <w:rPr>
                <w:rFonts w:ascii="宋体"/>
              </w:rPr>
            </w:pPr>
          </w:p>
        </w:tc>
      </w:tr>
      <w:tr w:rsidR="00B626E7" w14:paraId="20AE3744" w14:textId="77777777">
        <w:trPr>
          <w:hidden/>
        </w:trPr>
        <w:tc>
          <w:tcPr>
            <w:tcW w:w="0" w:type="auto"/>
            <w:gridSpan w:val="3"/>
            <w:shd w:val="clear" w:color="auto" w:fill="auto"/>
          </w:tcPr>
          <w:p w14:paraId="20AE3735" w14:textId="77777777" w:rsidR="00B626E7" w:rsidRDefault="00B626E7">
            <w:pPr>
              <w:rPr>
                <w:rFonts w:ascii="宋体"/>
                <w:vanish/>
              </w:rPr>
            </w:pPr>
          </w:p>
        </w:tc>
        <w:tc>
          <w:tcPr>
            <w:tcW w:w="0" w:type="auto"/>
            <w:gridSpan w:val="3"/>
            <w:shd w:val="clear" w:color="auto" w:fill="auto"/>
          </w:tcPr>
          <w:p w14:paraId="20AE3736" w14:textId="77777777" w:rsidR="00B626E7" w:rsidRDefault="00B626E7">
            <w:pPr>
              <w:rPr>
                <w:rFonts w:ascii="宋体"/>
                <w:vanish/>
              </w:rPr>
            </w:pPr>
          </w:p>
        </w:tc>
        <w:tc>
          <w:tcPr>
            <w:tcW w:w="0" w:type="auto"/>
            <w:gridSpan w:val="3"/>
            <w:shd w:val="clear" w:color="auto" w:fill="auto"/>
          </w:tcPr>
          <w:p w14:paraId="20AE3737" w14:textId="77777777" w:rsidR="00B626E7" w:rsidRDefault="00B626E7">
            <w:pPr>
              <w:rPr>
                <w:rFonts w:ascii="宋体"/>
                <w:vanish/>
              </w:rPr>
            </w:pPr>
          </w:p>
        </w:tc>
        <w:tc>
          <w:tcPr>
            <w:tcW w:w="0" w:type="auto"/>
            <w:gridSpan w:val="3"/>
            <w:shd w:val="clear" w:color="auto" w:fill="auto"/>
          </w:tcPr>
          <w:p w14:paraId="20AE3738" w14:textId="77777777" w:rsidR="00B626E7" w:rsidRDefault="00B626E7">
            <w:pPr>
              <w:rPr>
                <w:rFonts w:ascii="宋体"/>
                <w:vanish/>
              </w:rPr>
            </w:pPr>
          </w:p>
        </w:tc>
        <w:tc>
          <w:tcPr>
            <w:tcW w:w="0" w:type="auto"/>
            <w:gridSpan w:val="3"/>
            <w:shd w:val="clear" w:color="auto" w:fill="auto"/>
          </w:tcPr>
          <w:p w14:paraId="20AE3739" w14:textId="77777777" w:rsidR="00B626E7" w:rsidRDefault="00B626E7">
            <w:pPr>
              <w:rPr>
                <w:rFonts w:ascii="宋体"/>
                <w:vanish/>
              </w:rPr>
            </w:pPr>
          </w:p>
        </w:tc>
        <w:tc>
          <w:tcPr>
            <w:tcW w:w="0" w:type="auto"/>
            <w:shd w:val="clear" w:color="auto" w:fill="auto"/>
          </w:tcPr>
          <w:p w14:paraId="20AE373A" w14:textId="77777777" w:rsidR="00B626E7" w:rsidRDefault="00B626E7">
            <w:pPr>
              <w:rPr>
                <w:rFonts w:ascii="宋体"/>
                <w:vanish/>
              </w:rPr>
            </w:pPr>
          </w:p>
        </w:tc>
        <w:tc>
          <w:tcPr>
            <w:tcW w:w="0" w:type="auto"/>
            <w:shd w:val="clear" w:color="auto" w:fill="auto"/>
          </w:tcPr>
          <w:p w14:paraId="20AE373B" w14:textId="77777777" w:rsidR="00B626E7" w:rsidRDefault="00B626E7">
            <w:pPr>
              <w:rPr>
                <w:rFonts w:ascii="宋体"/>
                <w:vanish/>
              </w:rPr>
            </w:pPr>
          </w:p>
        </w:tc>
        <w:tc>
          <w:tcPr>
            <w:tcW w:w="0" w:type="auto"/>
            <w:shd w:val="clear" w:color="auto" w:fill="auto"/>
          </w:tcPr>
          <w:p w14:paraId="20AE373C" w14:textId="77777777" w:rsidR="00B626E7" w:rsidRDefault="00B626E7">
            <w:pPr>
              <w:rPr>
                <w:rFonts w:ascii="宋体"/>
                <w:vanish/>
              </w:rPr>
            </w:pPr>
          </w:p>
        </w:tc>
        <w:tc>
          <w:tcPr>
            <w:tcW w:w="0" w:type="auto"/>
            <w:shd w:val="clear" w:color="auto" w:fill="auto"/>
          </w:tcPr>
          <w:p w14:paraId="20AE373D" w14:textId="77777777" w:rsidR="00B626E7" w:rsidRDefault="00B626E7">
            <w:pPr>
              <w:rPr>
                <w:rFonts w:ascii="宋体"/>
                <w:vanish/>
              </w:rPr>
            </w:pPr>
          </w:p>
        </w:tc>
        <w:tc>
          <w:tcPr>
            <w:tcW w:w="0" w:type="auto"/>
            <w:shd w:val="clear" w:color="auto" w:fill="auto"/>
          </w:tcPr>
          <w:p w14:paraId="20AE373E" w14:textId="77777777" w:rsidR="00B626E7" w:rsidRDefault="00B626E7">
            <w:pPr>
              <w:rPr>
                <w:rFonts w:ascii="宋体"/>
              </w:rPr>
            </w:pPr>
          </w:p>
        </w:tc>
        <w:tc>
          <w:tcPr>
            <w:tcW w:w="0" w:type="auto"/>
            <w:shd w:val="clear" w:color="auto" w:fill="auto"/>
          </w:tcPr>
          <w:p w14:paraId="20AE373F" w14:textId="77777777" w:rsidR="00B626E7" w:rsidRDefault="00B626E7">
            <w:pPr>
              <w:rPr>
                <w:rFonts w:ascii="宋体"/>
              </w:rPr>
            </w:pPr>
          </w:p>
        </w:tc>
        <w:tc>
          <w:tcPr>
            <w:tcW w:w="0" w:type="auto"/>
            <w:shd w:val="clear" w:color="auto" w:fill="auto"/>
          </w:tcPr>
          <w:p w14:paraId="20AE3740" w14:textId="77777777" w:rsidR="00B626E7" w:rsidRDefault="00B626E7">
            <w:pPr>
              <w:rPr>
                <w:rFonts w:ascii="宋体"/>
              </w:rPr>
            </w:pPr>
          </w:p>
        </w:tc>
        <w:tc>
          <w:tcPr>
            <w:tcW w:w="0" w:type="auto"/>
            <w:shd w:val="clear" w:color="auto" w:fill="auto"/>
          </w:tcPr>
          <w:p w14:paraId="20AE3741" w14:textId="77777777" w:rsidR="00B626E7" w:rsidRDefault="00B626E7">
            <w:pPr>
              <w:rPr>
                <w:rFonts w:ascii="宋体"/>
              </w:rPr>
            </w:pPr>
          </w:p>
        </w:tc>
        <w:tc>
          <w:tcPr>
            <w:tcW w:w="0" w:type="auto"/>
            <w:shd w:val="clear" w:color="auto" w:fill="auto"/>
          </w:tcPr>
          <w:p w14:paraId="20AE3742" w14:textId="77777777" w:rsidR="00B626E7" w:rsidRDefault="00B626E7">
            <w:pPr>
              <w:rPr>
                <w:rFonts w:ascii="宋体"/>
              </w:rPr>
            </w:pPr>
          </w:p>
        </w:tc>
        <w:tc>
          <w:tcPr>
            <w:tcW w:w="0" w:type="auto"/>
            <w:shd w:val="clear" w:color="auto" w:fill="auto"/>
          </w:tcPr>
          <w:p w14:paraId="20AE3743" w14:textId="77777777" w:rsidR="00B626E7" w:rsidRDefault="00B626E7">
            <w:pPr>
              <w:rPr>
                <w:rFonts w:ascii="宋体"/>
              </w:rPr>
            </w:pPr>
          </w:p>
        </w:tc>
      </w:tr>
      <w:tr w:rsidR="00B626E7" w14:paraId="20AE3756" w14:textId="77777777">
        <w:tc>
          <w:tcPr>
            <w:tcW w:w="0" w:type="auto"/>
            <w:gridSpan w:val="3"/>
            <w:shd w:val="clear" w:color="auto" w:fill="auto"/>
            <w:tcMar>
              <w:top w:w="40" w:type="dxa"/>
              <w:left w:w="225" w:type="dxa"/>
              <w:bottom w:w="40" w:type="dxa"/>
              <w:right w:w="20" w:type="dxa"/>
            </w:tcMar>
            <w:vAlign w:val="bottom"/>
          </w:tcPr>
          <w:p w14:paraId="20AE3745" w14:textId="77777777" w:rsidR="00B626E7" w:rsidRDefault="00175C1D">
            <w:pPr>
              <w:textAlignment w:val="bottom"/>
            </w:pPr>
            <w:r>
              <w:rPr>
                <w:rFonts w:ascii="Arial" w:eastAsia="宋体" w:hAnsi="Arial" w:cs="Arial"/>
                <w:color w:val="333333"/>
                <w:sz w:val="18"/>
                <w:szCs w:val="18"/>
              </w:rPr>
              <w:t xml:space="preserve">Ongoing mark-to-market on marketable equity securities </w:t>
            </w:r>
          </w:p>
        </w:tc>
        <w:tc>
          <w:tcPr>
            <w:tcW w:w="0" w:type="auto"/>
            <w:gridSpan w:val="3"/>
            <w:shd w:val="clear" w:color="auto" w:fill="auto"/>
            <w:tcMar>
              <w:left w:w="20" w:type="dxa"/>
              <w:right w:w="20" w:type="dxa"/>
            </w:tcMar>
            <w:vAlign w:val="bottom"/>
          </w:tcPr>
          <w:p w14:paraId="20AE3746"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3747" w14:textId="77777777" w:rsidR="00B626E7" w:rsidRDefault="00175C1D">
            <w:pPr>
              <w:jc w:val="right"/>
              <w:textAlignment w:val="bottom"/>
            </w:pPr>
            <w:r>
              <w:rPr>
                <w:rFonts w:ascii="Arial" w:eastAsia="宋体" w:hAnsi="Arial" w:cs="Arial"/>
                <w:color w:val="0071C5"/>
                <w:sz w:val="18"/>
                <w:szCs w:val="18"/>
              </w:rPr>
              <w:t>(0.04)</w:t>
            </w:r>
          </w:p>
        </w:tc>
        <w:tc>
          <w:tcPr>
            <w:tcW w:w="0" w:type="auto"/>
            <w:shd w:val="clear" w:color="auto" w:fill="auto"/>
            <w:tcMar>
              <w:top w:w="40" w:type="dxa"/>
              <w:bottom w:w="40" w:type="dxa"/>
              <w:right w:w="20" w:type="dxa"/>
            </w:tcMar>
            <w:vAlign w:val="bottom"/>
          </w:tcPr>
          <w:p w14:paraId="20AE3748"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3749"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374A" w14:textId="77777777" w:rsidR="00B626E7" w:rsidRDefault="00175C1D">
            <w:pPr>
              <w:jc w:val="right"/>
              <w:textAlignment w:val="bottom"/>
            </w:pPr>
            <w:r>
              <w:rPr>
                <w:rFonts w:ascii="Arial" w:eastAsia="宋体" w:hAnsi="Arial" w:cs="Arial"/>
                <w:color w:val="333333"/>
                <w:sz w:val="18"/>
                <w:szCs w:val="18"/>
              </w:rPr>
              <w:t>0.04 </w:t>
            </w:r>
          </w:p>
        </w:tc>
        <w:tc>
          <w:tcPr>
            <w:tcW w:w="0" w:type="auto"/>
            <w:shd w:val="clear" w:color="auto" w:fill="auto"/>
            <w:tcMar>
              <w:top w:w="40" w:type="dxa"/>
              <w:bottom w:w="40" w:type="dxa"/>
              <w:right w:w="20" w:type="dxa"/>
            </w:tcMar>
            <w:vAlign w:val="bottom"/>
          </w:tcPr>
          <w:p w14:paraId="20AE374B"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374C" w14:textId="77777777" w:rsidR="00B626E7" w:rsidRDefault="00B626E7">
            <w:pPr>
              <w:rPr>
                <w:rFonts w:ascii="宋体"/>
                <w:vanish/>
              </w:rPr>
            </w:pPr>
          </w:p>
        </w:tc>
        <w:tc>
          <w:tcPr>
            <w:tcW w:w="0" w:type="auto"/>
            <w:shd w:val="clear" w:color="auto" w:fill="auto"/>
          </w:tcPr>
          <w:p w14:paraId="20AE374D" w14:textId="77777777" w:rsidR="00B626E7" w:rsidRDefault="00B626E7">
            <w:pPr>
              <w:rPr>
                <w:rFonts w:ascii="宋体"/>
                <w:vanish/>
              </w:rPr>
            </w:pPr>
          </w:p>
        </w:tc>
        <w:tc>
          <w:tcPr>
            <w:tcW w:w="0" w:type="auto"/>
            <w:shd w:val="clear" w:color="auto" w:fill="auto"/>
          </w:tcPr>
          <w:p w14:paraId="20AE374E" w14:textId="77777777" w:rsidR="00B626E7" w:rsidRDefault="00B626E7">
            <w:pPr>
              <w:rPr>
                <w:rFonts w:ascii="宋体"/>
                <w:vanish/>
              </w:rPr>
            </w:pPr>
          </w:p>
        </w:tc>
        <w:tc>
          <w:tcPr>
            <w:tcW w:w="0" w:type="auto"/>
            <w:shd w:val="clear" w:color="auto" w:fill="auto"/>
          </w:tcPr>
          <w:p w14:paraId="20AE374F" w14:textId="77777777" w:rsidR="00B626E7" w:rsidRDefault="00B626E7">
            <w:pPr>
              <w:rPr>
                <w:rFonts w:ascii="宋体"/>
                <w:vanish/>
              </w:rPr>
            </w:pPr>
          </w:p>
        </w:tc>
        <w:tc>
          <w:tcPr>
            <w:tcW w:w="0" w:type="auto"/>
            <w:shd w:val="clear" w:color="auto" w:fill="auto"/>
          </w:tcPr>
          <w:p w14:paraId="20AE3750" w14:textId="77777777" w:rsidR="00B626E7" w:rsidRDefault="00B626E7">
            <w:pPr>
              <w:rPr>
                <w:rFonts w:ascii="宋体"/>
              </w:rPr>
            </w:pPr>
          </w:p>
        </w:tc>
        <w:tc>
          <w:tcPr>
            <w:tcW w:w="0" w:type="auto"/>
            <w:shd w:val="clear" w:color="auto" w:fill="auto"/>
          </w:tcPr>
          <w:p w14:paraId="20AE3751" w14:textId="77777777" w:rsidR="00B626E7" w:rsidRDefault="00B626E7">
            <w:pPr>
              <w:rPr>
                <w:rFonts w:ascii="宋体"/>
              </w:rPr>
            </w:pPr>
          </w:p>
        </w:tc>
        <w:tc>
          <w:tcPr>
            <w:tcW w:w="0" w:type="auto"/>
            <w:shd w:val="clear" w:color="auto" w:fill="auto"/>
          </w:tcPr>
          <w:p w14:paraId="20AE3752" w14:textId="77777777" w:rsidR="00B626E7" w:rsidRDefault="00B626E7">
            <w:pPr>
              <w:rPr>
                <w:rFonts w:ascii="宋体"/>
              </w:rPr>
            </w:pPr>
          </w:p>
        </w:tc>
        <w:tc>
          <w:tcPr>
            <w:tcW w:w="0" w:type="auto"/>
            <w:shd w:val="clear" w:color="auto" w:fill="auto"/>
          </w:tcPr>
          <w:p w14:paraId="20AE3753" w14:textId="77777777" w:rsidR="00B626E7" w:rsidRDefault="00B626E7">
            <w:pPr>
              <w:rPr>
                <w:rFonts w:ascii="宋体"/>
              </w:rPr>
            </w:pPr>
          </w:p>
        </w:tc>
        <w:tc>
          <w:tcPr>
            <w:tcW w:w="0" w:type="auto"/>
            <w:shd w:val="clear" w:color="auto" w:fill="auto"/>
          </w:tcPr>
          <w:p w14:paraId="20AE3754" w14:textId="77777777" w:rsidR="00B626E7" w:rsidRDefault="00B626E7">
            <w:pPr>
              <w:rPr>
                <w:rFonts w:ascii="宋体"/>
              </w:rPr>
            </w:pPr>
          </w:p>
        </w:tc>
        <w:tc>
          <w:tcPr>
            <w:tcW w:w="0" w:type="auto"/>
            <w:shd w:val="clear" w:color="auto" w:fill="auto"/>
          </w:tcPr>
          <w:p w14:paraId="20AE3755" w14:textId="77777777" w:rsidR="00B626E7" w:rsidRDefault="00B626E7">
            <w:pPr>
              <w:rPr>
                <w:rFonts w:ascii="宋体"/>
              </w:rPr>
            </w:pPr>
          </w:p>
        </w:tc>
      </w:tr>
      <w:tr w:rsidR="00B626E7" w14:paraId="20AE3766" w14:textId="77777777">
        <w:trPr>
          <w:hidden/>
        </w:trPr>
        <w:tc>
          <w:tcPr>
            <w:tcW w:w="0" w:type="auto"/>
            <w:gridSpan w:val="3"/>
            <w:shd w:val="clear" w:color="auto" w:fill="auto"/>
          </w:tcPr>
          <w:p w14:paraId="20AE3757" w14:textId="77777777" w:rsidR="00B626E7" w:rsidRDefault="00B626E7">
            <w:pPr>
              <w:rPr>
                <w:rFonts w:ascii="宋体"/>
                <w:vanish/>
              </w:rPr>
            </w:pPr>
          </w:p>
        </w:tc>
        <w:tc>
          <w:tcPr>
            <w:tcW w:w="0" w:type="auto"/>
            <w:gridSpan w:val="3"/>
            <w:shd w:val="clear" w:color="auto" w:fill="auto"/>
          </w:tcPr>
          <w:p w14:paraId="20AE3758" w14:textId="77777777" w:rsidR="00B626E7" w:rsidRDefault="00B626E7">
            <w:pPr>
              <w:rPr>
                <w:rFonts w:ascii="宋体"/>
                <w:vanish/>
              </w:rPr>
            </w:pPr>
          </w:p>
        </w:tc>
        <w:tc>
          <w:tcPr>
            <w:tcW w:w="0" w:type="auto"/>
            <w:gridSpan w:val="3"/>
            <w:shd w:val="clear" w:color="auto" w:fill="auto"/>
          </w:tcPr>
          <w:p w14:paraId="20AE3759" w14:textId="77777777" w:rsidR="00B626E7" w:rsidRDefault="00B626E7">
            <w:pPr>
              <w:rPr>
                <w:rFonts w:ascii="宋体"/>
                <w:vanish/>
              </w:rPr>
            </w:pPr>
          </w:p>
        </w:tc>
        <w:tc>
          <w:tcPr>
            <w:tcW w:w="0" w:type="auto"/>
            <w:gridSpan w:val="3"/>
            <w:shd w:val="clear" w:color="auto" w:fill="auto"/>
          </w:tcPr>
          <w:p w14:paraId="20AE375A" w14:textId="77777777" w:rsidR="00B626E7" w:rsidRDefault="00B626E7">
            <w:pPr>
              <w:rPr>
                <w:rFonts w:ascii="宋体"/>
                <w:vanish/>
              </w:rPr>
            </w:pPr>
          </w:p>
        </w:tc>
        <w:tc>
          <w:tcPr>
            <w:tcW w:w="0" w:type="auto"/>
            <w:gridSpan w:val="3"/>
            <w:shd w:val="clear" w:color="auto" w:fill="auto"/>
          </w:tcPr>
          <w:p w14:paraId="20AE375B" w14:textId="77777777" w:rsidR="00B626E7" w:rsidRDefault="00B626E7">
            <w:pPr>
              <w:rPr>
                <w:rFonts w:ascii="宋体"/>
                <w:vanish/>
              </w:rPr>
            </w:pPr>
          </w:p>
        </w:tc>
        <w:tc>
          <w:tcPr>
            <w:tcW w:w="0" w:type="auto"/>
            <w:shd w:val="clear" w:color="auto" w:fill="auto"/>
          </w:tcPr>
          <w:p w14:paraId="20AE375C" w14:textId="77777777" w:rsidR="00B626E7" w:rsidRDefault="00B626E7">
            <w:pPr>
              <w:rPr>
                <w:rFonts w:ascii="宋体"/>
                <w:vanish/>
              </w:rPr>
            </w:pPr>
          </w:p>
        </w:tc>
        <w:tc>
          <w:tcPr>
            <w:tcW w:w="0" w:type="auto"/>
            <w:shd w:val="clear" w:color="auto" w:fill="auto"/>
          </w:tcPr>
          <w:p w14:paraId="20AE375D" w14:textId="77777777" w:rsidR="00B626E7" w:rsidRDefault="00B626E7">
            <w:pPr>
              <w:rPr>
                <w:rFonts w:ascii="宋体"/>
                <w:vanish/>
              </w:rPr>
            </w:pPr>
          </w:p>
        </w:tc>
        <w:tc>
          <w:tcPr>
            <w:tcW w:w="0" w:type="auto"/>
            <w:shd w:val="clear" w:color="auto" w:fill="auto"/>
          </w:tcPr>
          <w:p w14:paraId="20AE375E" w14:textId="77777777" w:rsidR="00B626E7" w:rsidRDefault="00B626E7">
            <w:pPr>
              <w:rPr>
                <w:rFonts w:ascii="宋体"/>
                <w:vanish/>
              </w:rPr>
            </w:pPr>
          </w:p>
        </w:tc>
        <w:tc>
          <w:tcPr>
            <w:tcW w:w="0" w:type="auto"/>
            <w:shd w:val="clear" w:color="auto" w:fill="auto"/>
          </w:tcPr>
          <w:p w14:paraId="20AE375F" w14:textId="77777777" w:rsidR="00B626E7" w:rsidRDefault="00B626E7">
            <w:pPr>
              <w:rPr>
                <w:rFonts w:ascii="宋体"/>
                <w:vanish/>
              </w:rPr>
            </w:pPr>
          </w:p>
        </w:tc>
        <w:tc>
          <w:tcPr>
            <w:tcW w:w="0" w:type="auto"/>
            <w:shd w:val="clear" w:color="auto" w:fill="auto"/>
          </w:tcPr>
          <w:p w14:paraId="20AE3760" w14:textId="77777777" w:rsidR="00B626E7" w:rsidRDefault="00B626E7">
            <w:pPr>
              <w:rPr>
                <w:rFonts w:ascii="宋体"/>
              </w:rPr>
            </w:pPr>
          </w:p>
        </w:tc>
        <w:tc>
          <w:tcPr>
            <w:tcW w:w="0" w:type="auto"/>
            <w:shd w:val="clear" w:color="auto" w:fill="auto"/>
          </w:tcPr>
          <w:p w14:paraId="20AE3761" w14:textId="77777777" w:rsidR="00B626E7" w:rsidRDefault="00B626E7">
            <w:pPr>
              <w:rPr>
                <w:rFonts w:ascii="宋体"/>
              </w:rPr>
            </w:pPr>
          </w:p>
        </w:tc>
        <w:tc>
          <w:tcPr>
            <w:tcW w:w="0" w:type="auto"/>
            <w:shd w:val="clear" w:color="auto" w:fill="auto"/>
          </w:tcPr>
          <w:p w14:paraId="20AE3762" w14:textId="77777777" w:rsidR="00B626E7" w:rsidRDefault="00B626E7">
            <w:pPr>
              <w:rPr>
                <w:rFonts w:ascii="宋体"/>
              </w:rPr>
            </w:pPr>
          </w:p>
        </w:tc>
        <w:tc>
          <w:tcPr>
            <w:tcW w:w="0" w:type="auto"/>
            <w:shd w:val="clear" w:color="auto" w:fill="auto"/>
          </w:tcPr>
          <w:p w14:paraId="20AE3763" w14:textId="77777777" w:rsidR="00B626E7" w:rsidRDefault="00B626E7">
            <w:pPr>
              <w:rPr>
                <w:rFonts w:ascii="宋体"/>
              </w:rPr>
            </w:pPr>
          </w:p>
        </w:tc>
        <w:tc>
          <w:tcPr>
            <w:tcW w:w="0" w:type="auto"/>
            <w:shd w:val="clear" w:color="auto" w:fill="auto"/>
          </w:tcPr>
          <w:p w14:paraId="20AE3764" w14:textId="77777777" w:rsidR="00B626E7" w:rsidRDefault="00B626E7">
            <w:pPr>
              <w:rPr>
                <w:rFonts w:ascii="宋体"/>
              </w:rPr>
            </w:pPr>
          </w:p>
        </w:tc>
        <w:tc>
          <w:tcPr>
            <w:tcW w:w="0" w:type="auto"/>
            <w:shd w:val="clear" w:color="auto" w:fill="auto"/>
          </w:tcPr>
          <w:p w14:paraId="20AE3765" w14:textId="77777777" w:rsidR="00B626E7" w:rsidRDefault="00B626E7">
            <w:pPr>
              <w:rPr>
                <w:rFonts w:ascii="宋体"/>
              </w:rPr>
            </w:pPr>
          </w:p>
        </w:tc>
      </w:tr>
      <w:tr w:rsidR="00B626E7" w14:paraId="20AE3778" w14:textId="77777777">
        <w:tc>
          <w:tcPr>
            <w:tcW w:w="0" w:type="auto"/>
            <w:gridSpan w:val="3"/>
            <w:shd w:val="clear" w:color="auto" w:fill="auto"/>
            <w:tcMar>
              <w:top w:w="40" w:type="dxa"/>
              <w:left w:w="225" w:type="dxa"/>
              <w:bottom w:w="40" w:type="dxa"/>
              <w:right w:w="20" w:type="dxa"/>
            </w:tcMar>
            <w:vAlign w:val="bottom"/>
          </w:tcPr>
          <w:p w14:paraId="20AE3767" w14:textId="77777777" w:rsidR="00B626E7" w:rsidRDefault="00175C1D">
            <w:pPr>
              <w:textAlignment w:val="bottom"/>
            </w:pPr>
            <w:r>
              <w:rPr>
                <w:rFonts w:ascii="Arial" w:eastAsia="宋体" w:hAnsi="Arial" w:cs="Arial"/>
                <w:color w:val="333333"/>
                <w:sz w:val="18"/>
                <w:szCs w:val="18"/>
              </w:rPr>
              <w:t>Income tax effect</w:t>
            </w:r>
          </w:p>
        </w:tc>
        <w:tc>
          <w:tcPr>
            <w:tcW w:w="0" w:type="auto"/>
            <w:gridSpan w:val="3"/>
            <w:shd w:val="clear" w:color="auto" w:fill="auto"/>
            <w:tcMar>
              <w:left w:w="20" w:type="dxa"/>
              <w:right w:w="20" w:type="dxa"/>
            </w:tcMar>
            <w:vAlign w:val="bottom"/>
          </w:tcPr>
          <w:p w14:paraId="20AE3768"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3769" w14:textId="77777777" w:rsidR="00B626E7" w:rsidRDefault="00175C1D">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20AE376A"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376B"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376C" w14:textId="77777777" w:rsidR="00B626E7" w:rsidRDefault="00175C1D">
            <w:pPr>
              <w:jc w:val="right"/>
              <w:textAlignment w:val="bottom"/>
            </w:pPr>
            <w:r>
              <w:rPr>
                <w:rFonts w:ascii="Arial" w:eastAsia="宋体" w:hAnsi="Arial" w:cs="Arial"/>
                <w:color w:val="333333"/>
                <w:sz w:val="18"/>
                <w:szCs w:val="18"/>
              </w:rPr>
              <w:t>(0.02)</w:t>
            </w:r>
          </w:p>
        </w:tc>
        <w:tc>
          <w:tcPr>
            <w:tcW w:w="0" w:type="auto"/>
            <w:shd w:val="clear" w:color="auto" w:fill="auto"/>
            <w:tcMar>
              <w:top w:w="40" w:type="dxa"/>
              <w:bottom w:w="40" w:type="dxa"/>
              <w:right w:w="20" w:type="dxa"/>
            </w:tcMar>
            <w:vAlign w:val="bottom"/>
          </w:tcPr>
          <w:p w14:paraId="20AE376D"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376E" w14:textId="77777777" w:rsidR="00B626E7" w:rsidRDefault="00B626E7">
            <w:pPr>
              <w:rPr>
                <w:rFonts w:ascii="宋体"/>
                <w:vanish/>
              </w:rPr>
            </w:pPr>
          </w:p>
        </w:tc>
        <w:tc>
          <w:tcPr>
            <w:tcW w:w="0" w:type="auto"/>
            <w:shd w:val="clear" w:color="auto" w:fill="auto"/>
          </w:tcPr>
          <w:p w14:paraId="20AE376F" w14:textId="77777777" w:rsidR="00B626E7" w:rsidRDefault="00B626E7">
            <w:pPr>
              <w:rPr>
                <w:rFonts w:ascii="宋体"/>
                <w:vanish/>
              </w:rPr>
            </w:pPr>
          </w:p>
        </w:tc>
        <w:tc>
          <w:tcPr>
            <w:tcW w:w="0" w:type="auto"/>
            <w:shd w:val="clear" w:color="auto" w:fill="auto"/>
          </w:tcPr>
          <w:p w14:paraId="20AE3770" w14:textId="77777777" w:rsidR="00B626E7" w:rsidRDefault="00B626E7">
            <w:pPr>
              <w:rPr>
                <w:rFonts w:ascii="宋体"/>
                <w:vanish/>
              </w:rPr>
            </w:pPr>
          </w:p>
        </w:tc>
        <w:tc>
          <w:tcPr>
            <w:tcW w:w="0" w:type="auto"/>
            <w:shd w:val="clear" w:color="auto" w:fill="auto"/>
          </w:tcPr>
          <w:p w14:paraId="20AE3771" w14:textId="77777777" w:rsidR="00B626E7" w:rsidRDefault="00B626E7">
            <w:pPr>
              <w:rPr>
                <w:rFonts w:ascii="宋体"/>
                <w:vanish/>
              </w:rPr>
            </w:pPr>
          </w:p>
        </w:tc>
        <w:tc>
          <w:tcPr>
            <w:tcW w:w="0" w:type="auto"/>
            <w:shd w:val="clear" w:color="auto" w:fill="auto"/>
          </w:tcPr>
          <w:p w14:paraId="20AE3772" w14:textId="77777777" w:rsidR="00B626E7" w:rsidRDefault="00B626E7">
            <w:pPr>
              <w:rPr>
                <w:rFonts w:ascii="宋体"/>
              </w:rPr>
            </w:pPr>
          </w:p>
        </w:tc>
        <w:tc>
          <w:tcPr>
            <w:tcW w:w="0" w:type="auto"/>
            <w:shd w:val="clear" w:color="auto" w:fill="auto"/>
          </w:tcPr>
          <w:p w14:paraId="20AE3773" w14:textId="77777777" w:rsidR="00B626E7" w:rsidRDefault="00B626E7">
            <w:pPr>
              <w:rPr>
                <w:rFonts w:ascii="宋体"/>
              </w:rPr>
            </w:pPr>
          </w:p>
        </w:tc>
        <w:tc>
          <w:tcPr>
            <w:tcW w:w="0" w:type="auto"/>
            <w:shd w:val="clear" w:color="auto" w:fill="auto"/>
          </w:tcPr>
          <w:p w14:paraId="20AE3774" w14:textId="77777777" w:rsidR="00B626E7" w:rsidRDefault="00B626E7">
            <w:pPr>
              <w:rPr>
                <w:rFonts w:ascii="宋体"/>
              </w:rPr>
            </w:pPr>
          </w:p>
        </w:tc>
        <w:tc>
          <w:tcPr>
            <w:tcW w:w="0" w:type="auto"/>
            <w:shd w:val="clear" w:color="auto" w:fill="auto"/>
          </w:tcPr>
          <w:p w14:paraId="20AE3775" w14:textId="77777777" w:rsidR="00B626E7" w:rsidRDefault="00B626E7">
            <w:pPr>
              <w:rPr>
                <w:rFonts w:ascii="宋体"/>
              </w:rPr>
            </w:pPr>
          </w:p>
        </w:tc>
        <w:tc>
          <w:tcPr>
            <w:tcW w:w="0" w:type="auto"/>
            <w:shd w:val="clear" w:color="auto" w:fill="auto"/>
          </w:tcPr>
          <w:p w14:paraId="20AE3776" w14:textId="77777777" w:rsidR="00B626E7" w:rsidRDefault="00B626E7">
            <w:pPr>
              <w:rPr>
                <w:rFonts w:ascii="宋体"/>
              </w:rPr>
            </w:pPr>
          </w:p>
        </w:tc>
        <w:tc>
          <w:tcPr>
            <w:tcW w:w="0" w:type="auto"/>
            <w:shd w:val="clear" w:color="auto" w:fill="auto"/>
          </w:tcPr>
          <w:p w14:paraId="20AE3777" w14:textId="77777777" w:rsidR="00B626E7" w:rsidRDefault="00B626E7">
            <w:pPr>
              <w:rPr>
                <w:rFonts w:ascii="宋体"/>
              </w:rPr>
            </w:pPr>
          </w:p>
        </w:tc>
      </w:tr>
      <w:tr w:rsidR="00B626E7" w14:paraId="20AE378C" w14:textId="77777777">
        <w:tc>
          <w:tcPr>
            <w:tcW w:w="0" w:type="auto"/>
            <w:gridSpan w:val="3"/>
            <w:shd w:val="clear" w:color="auto" w:fill="auto"/>
            <w:tcMar>
              <w:top w:w="40" w:type="dxa"/>
              <w:left w:w="20" w:type="dxa"/>
              <w:bottom w:w="40" w:type="dxa"/>
              <w:right w:w="20" w:type="dxa"/>
            </w:tcMar>
            <w:vAlign w:val="bottom"/>
          </w:tcPr>
          <w:p w14:paraId="20AE3779" w14:textId="77777777" w:rsidR="00B626E7" w:rsidRDefault="00175C1D">
            <w:pPr>
              <w:textAlignment w:val="bottom"/>
            </w:pPr>
            <w:r>
              <w:rPr>
                <w:rFonts w:ascii="Arial" w:eastAsia="宋体" w:hAnsi="Arial" w:cs="Arial"/>
                <w:b/>
                <w:bCs/>
                <w:color w:val="333333"/>
                <w:sz w:val="18"/>
                <w:szCs w:val="18"/>
              </w:rPr>
              <w:t>Non-GAAP earnings per share—diluted</w:t>
            </w:r>
          </w:p>
        </w:tc>
        <w:tc>
          <w:tcPr>
            <w:tcW w:w="0" w:type="auto"/>
            <w:gridSpan w:val="3"/>
            <w:shd w:val="clear" w:color="auto" w:fill="auto"/>
            <w:tcMar>
              <w:left w:w="20" w:type="dxa"/>
              <w:right w:w="20" w:type="dxa"/>
            </w:tcMar>
            <w:vAlign w:val="bottom"/>
          </w:tcPr>
          <w:p w14:paraId="20AE377A" w14:textId="77777777" w:rsidR="00B626E7" w:rsidRDefault="00B626E7">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20AE377B" w14:textId="77777777" w:rsidR="00B626E7" w:rsidRDefault="00175C1D">
            <w:pPr>
              <w:textAlignment w:val="bottom"/>
            </w:pPr>
            <w:r>
              <w:rPr>
                <w:rFonts w:ascii="Arial" w:eastAsia="宋体" w:hAnsi="Arial" w:cs="Arial"/>
                <w:b/>
                <w:bCs/>
                <w:color w:val="0071C5"/>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20AE377C" w14:textId="77777777" w:rsidR="00B626E7" w:rsidRDefault="00175C1D">
            <w:pPr>
              <w:jc w:val="right"/>
              <w:textAlignment w:val="bottom"/>
            </w:pPr>
            <w:r>
              <w:rPr>
                <w:rFonts w:ascii="Arial" w:eastAsia="宋体" w:hAnsi="Arial" w:cs="Arial"/>
                <w:b/>
                <w:bCs/>
                <w:color w:val="0071C5"/>
                <w:sz w:val="18"/>
                <w:szCs w:val="18"/>
              </w:rPr>
              <w:t>1.23 </w:t>
            </w:r>
          </w:p>
        </w:tc>
        <w:tc>
          <w:tcPr>
            <w:tcW w:w="0" w:type="auto"/>
            <w:tcBorders>
              <w:top w:val="single" w:sz="8" w:space="0" w:color="333333"/>
            </w:tcBorders>
            <w:shd w:val="clear" w:color="auto" w:fill="auto"/>
            <w:tcMar>
              <w:top w:w="40" w:type="dxa"/>
              <w:bottom w:w="40" w:type="dxa"/>
              <w:right w:w="20" w:type="dxa"/>
            </w:tcMar>
            <w:vAlign w:val="bottom"/>
          </w:tcPr>
          <w:p w14:paraId="20AE377D"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377E" w14:textId="77777777" w:rsidR="00B626E7" w:rsidRDefault="00B626E7">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20AE377F"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20AE3780" w14:textId="77777777" w:rsidR="00B626E7" w:rsidRDefault="00175C1D">
            <w:pPr>
              <w:jc w:val="right"/>
              <w:textAlignment w:val="bottom"/>
            </w:pPr>
            <w:r>
              <w:rPr>
                <w:rFonts w:ascii="Arial" w:eastAsia="宋体" w:hAnsi="Arial" w:cs="Arial"/>
                <w:b/>
                <w:bCs/>
                <w:color w:val="333333"/>
                <w:sz w:val="18"/>
                <w:szCs w:val="18"/>
              </w:rPr>
              <w:t>1.06 </w:t>
            </w:r>
          </w:p>
        </w:tc>
        <w:tc>
          <w:tcPr>
            <w:tcW w:w="0" w:type="auto"/>
            <w:tcBorders>
              <w:top w:val="single" w:sz="8" w:space="0" w:color="333333"/>
            </w:tcBorders>
            <w:shd w:val="clear" w:color="auto" w:fill="auto"/>
            <w:tcMar>
              <w:top w:w="40" w:type="dxa"/>
              <w:bottom w:w="40" w:type="dxa"/>
              <w:right w:w="20" w:type="dxa"/>
            </w:tcMar>
            <w:vAlign w:val="bottom"/>
          </w:tcPr>
          <w:p w14:paraId="20AE3781"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E3782" w14:textId="77777777" w:rsidR="00B626E7" w:rsidRDefault="00B626E7">
            <w:pPr>
              <w:rPr>
                <w:rFonts w:ascii="宋体"/>
                <w:vanish/>
              </w:rPr>
            </w:pPr>
          </w:p>
        </w:tc>
        <w:tc>
          <w:tcPr>
            <w:tcW w:w="0" w:type="auto"/>
            <w:shd w:val="clear" w:color="auto" w:fill="auto"/>
          </w:tcPr>
          <w:p w14:paraId="20AE3783" w14:textId="77777777" w:rsidR="00B626E7" w:rsidRDefault="00B626E7">
            <w:pPr>
              <w:rPr>
                <w:rFonts w:ascii="宋体"/>
                <w:vanish/>
              </w:rPr>
            </w:pPr>
          </w:p>
        </w:tc>
        <w:tc>
          <w:tcPr>
            <w:tcW w:w="0" w:type="auto"/>
            <w:shd w:val="clear" w:color="auto" w:fill="auto"/>
          </w:tcPr>
          <w:p w14:paraId="20AE3784" w14:textId="77777777" w:rsidR="00B626E7" w:rsidRDefault="00B626E7">
            <w:pPr>
              <w:rPr>
                <w:rFonts w:ascii="宋体"/>
                <w:vanish/>
              </w:rPr>
            </w:pPr>
          </w:p>
        </w:tc>
        <w:tc>
          <w:tcPr>
            <w:tcW w:w="0" w:type="auto"/>
            <w:shd w:val="clear" w:color="auto" w:fill="auto"/>
          </w:tcPr>
          <w:p w14:paraId="20AE3785" w14:textId="77777777" w:rsidR="00B626E7" w:rsidRDefault="00B626E7">
            <w:pPr>
              <w:rPr>
                <w:rFonts w:ascii="宋体"/>
                <w:vanish/>
              </w:rPr>
            </w:pPr>
          </w:p>
        </w:tc>
        <w:tc>
          <w:tcPr>
            <w:tcW w:w="0" w:type="auto"/>
            <w:shd w:val="clear" w:color="auto" w:fill="auto"/>
          </w:tcPr>
          <w:p w14:paraId="20AE3786" w14:textId="77777777" w:rsidR="00B626E7" w:rsidRDefault="00B626E7">
            <w:pPr>
              <w:rPr>
                <w:rFonts w:ascii="宋体"/>
              </w:rPr>
            </w:pPr>
          </w:p>
        </w:tc>
        <w:tc>
          <w:tcPr>
            <w:tcW w:w="0" w:type="auto"/>
            <w:shd w:val="clear" w:color="auto" w:fill="auto"/>
          </w:tcPr>
          <w:p w14:paraId="20AE3787" w14:textId="77777777" w:rsidR="00B626E7" w:rsidRDefault="00B626E7">
            <w:pPr>
              <w:rPr>
                <w:rFonts w:ascii="宋体"/>
              </w:rPr>
            </w:pPr>
          </w:p>
        </w:tc>
        <w:tc>
          <w:tcPr>
            <w:tcW w:w="0" w:type="auto"/>
            <w:shd w:val="clear" w:color="auto" w:fill="auto"/>
          </w:tcPr>
          <w:p w14:paraId="20AE3788" w14:textId="77777777" w:rsidR="00B626E7" w:rsidRDefault="00B626E7">
            <w:pPr>
              <w:rPr>
                <w:rFonts w:ascii="宋体"/>
              </w:rPr>
            </w:pPr>
          </w:p>
        </w:tc>
        <w:tc>
          <w:tcPr>
            <w:tcW w:w="0" w:type="auto"/>
            <w:shd w:val="clear" w:color="auto" w:fill="auto"/>
          </w:tcPr>
          <w:p w14:paraId="20AE3789" w14:textId="77777777" w:rsidR="00B626E7" w:rsidRDefault="00B626E7">
            <w:pPr>
              <w:rPr>
                <w:rFonts w:ascii="宋体"/>
              </w:rPr>
            </w:pPr>
          </w:p>
        </w:tc>
        <w:tc>
          <w:tcPr>
            <w:tcW w:w="0" w:type="auto"/>
            <w:shd w:val="clear" w:color="auto" w:fill="auto"/>
          </w:tcPr>
          <w:p w14:paraId="20AE378A" w14:textId="77777777" w:rsidR="00B626E7" w:rsidRDefault="00B626E7">
            <w:pPr>
              <w:rPr>
                <w:rFonts w:ascii="宋体"/>
              </w:rPr>
            </w:pPr>
          </w:p>
        </w:tc>
        <w:tc>
          <w:tcPr>
            <w:tcW w:w="0" w:type="auto"/>
            <w:shd w:val="clear" w:color="auto" w:fill="auto"/>
          </w:tcPr>
          <w:p w14:paraId="20AE378B" w14:textId="77777777" w:rsidR="00B626E7" w:rsidRDefault="00B626E7">
            <w:pPr>
              <w:rPr>
                <w:rFonts w:ascii="宋体"/>
              </w:rPr>
            </w:pPr>
          </w:p>
        </w:tc>
      </w:tr>
      <w:tr w:rsidR="00B626E7" w14:paraId="20AE379C" w14:textId="77777777">
        <w:trPr>
          <w:trHeight w:val="240"/>
        </w:trPr>
        <w:tc>
          <w:tcPr>
            <w:tcW w:w="0" w:type="auto"/>
            <w:gridSpan w:val="3"/>
            <w:shd w:val="clear" w:color="auto" w:fill="auto"/>
            <w:tcMar>
              <w:left w:w="20" w:type="dxa"/>
              <w:right w:w="20" w:type="dxa"/>
            </w:tcMar>
            <w:vAlign w:val="bottom"/>
          </w:tcPr>
          <w:p w14:paraId="20AE378D"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78E" w14:textId="77777777" w:rsidR="00B626E7" w:rsidRDefault="00B626E7">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0AE378F"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790" w14:textId="77777777" w:rsidR="00B626E7" w:rsidRDefault="00B626E7">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0AE3791" w14:textId="77777777" w:rsidR="00B626E7" w:rsidRDefault="00B626E7">
            <w:pPr>
              <w:rPr>
                <w:rFonts w:ascii="宋体"/>
              </w:rPr>
            </w:pPr>
          </w:p>
        </w:tc>
        <w:tc>
          <w:tcPr>
            <w:tcW w:w="0" w:type="auto"/>
            <w:shd w:val="clear" w:color="auto" w:fill="auto"/>
          </w:tcPr>
          <w:p w14:paraId="20AE3792" w14:textId="77777777" w:rsidR="00B626E7" w:rsidRDefault="00B626E7">
            <w:pPr>
              <w:rPr>
                <w:rFonts w:ascii="宋体"/>
                <w:vanish/>
              </w:rPr>
            </w:pPr>
          </w:p>
        </w:tc>
        <w:tc>
          <w:tcPr>
            <w:tcW w:w="0" w:type="auto"/>
            <w:shd w:val="clear" w:color="auto" w:fill="auto"/>
          </w:tcPr>
          <w:p w14:paraId="20AE3793" w14:textId="77777777" w:rsidR="00B626E7" w:rsidRDefault="00B626E7">
            <w:pPr>
              <w:rPr>
                <w:rFonts w:ascii="宋体"/>
                <w:vanish/>
              </w:rPr>
            </w:pPr>
          </w:p>
        </w:tc>
        <w:tc>
          <w:tcPr>
            <w:tcW w:w="0" w:type="auto"/>
            <w:shd w:val="clear" w:color="auto" w:fill="auto"/>
          </w:tcPr>
          <w:p w14:paraId="20AE3794" w14:textId="77777777" w:rsidR="00B626E7" w:rsidRDefault="00B626E7">
            <w:pPr>
              <w:rPr>
                <w:rFonts w:ascii="宋体"/>
                <w:vanish/>
              </w:rPr>
            </w:pPr>
          </w:p>
        </w:tc>
        <w:tc>
          <w:tcPr>
            <w:tcW w:w="0" w:type="auto"/>
            <w:shd w:val="clear" w:color="auto" w:fill="auto"/>
          </w:tcPr>
          <w:p w14:paraId="20AE3795" w14:textId="77777777" w:rsidR="00B626E7" w:rsidRDefault="00B626E7">
            <w:pPr>
              <w:rPr>
                <w:rFonts w:ascii="宋体"/>
                <w:vanish/>
              </w:rPr>
            </w:pPr>
          </w:p>
        </w:tc>
        <w:tc>
          <w:tcPr>
            <w:tcW w:w="0" w:type="auto"/>
            <w:shd w:val="clear" w:color="auto" w:fill="auto"/>
          </w:tcPr>
          <w:p w14:paraId="20AE3796" w14:textId="77777777" w:rsidR="00B626E7" w:rsidRDefault="00B626E7">
            <w:pPr>
              <w:rPr>
                <w:rFonts w:ascii="宋体"/>
              </w:rPr>
            </w:pPr>
          </w:p>
        </w:tc>
        <w:tc>
          <w:tcPr>
            <w:tcW w:w="0" w:type="auto"/>
            <w:shd w:val="clear" w:color="auto" w:fill="auto"/>
          </w:tcPr>
          <w:p w14:paraId="20AE3797" w14:textId="77777777" w:rsidR="00B626E7" w:rsidRDefault="00B626E7">
            <w:pPr>
              <w:rPr>
                <w:rFonts w:ascii="宋体"/>
              </w:rPr>
            </w:pPr>
          </w:p>
        </w:tc>
        <w:tc>
          <w:tcPr>
            <w:tcW w:w="0" w:type="auto"/>
            <w:shd w:val="clear" w:color="auto" w:fill="auto"/>
          </w:tcPr>
          <w:p w14:paraId="20AE3798" w14:textId="77777777" w:rsidR="00B626E7" w:rsidRDefault="00B626E7">
            <w:pPr>
              <w:rPr>
                <w:rFonts w:ascii="宋体"/>
              </w:rPr>
            </w:pPr>
          </w:p>
        </w:tc>
        <w:tc>
          <w:tcPr>
            <w:tcW w:w="0" w:type="auto"/>
            <w:shd w:val="clear" w:color="auto" w:fill="auto"/>
          </w:tcPr>
          <w:p w14:paraId="20AE3799" w14:textId="77777777" w:rsidR="00B626E7" w:rsidRDefault="00B626E7">
            <w:pPr>
              <w:rPr>
                <w:rFonts w:ascii="宋体"/>
              </w:rPr>
            </w:pPr>
          </w:p>
        </w:tc>
        <w:tc>
          <w:tcPr>
            <w:tcW w:w="0" w:type="auto"/>
            <w:shd w:val="clear" w:color="auto" w:fill="auto"/>
          </w:tcPr>
          <w:p w14:paraId="20AE379A" w14:textId="77777777" w:rsidR="00B626E7" w:rsidRDefault="00B626E7">
            <w:pPr>
              <w:rPr>
                <w:rFonts w:ascii="宋体"/>
              </w:rPr>
            </w:pPr>
          </w:p>
        </w:tc>
        <w:tc>
          <w:tcPr>
            <w:tcW w:w="0" w:type="auto"/>
            <w:shd w:val="clear" w:color="auto" w:fill="auto"/>
          </w:tcPr>
          <w:p w14:paraId="20AE379B" w14:textId="77777777" w:rsidR="00B626E7" w:rsidRDefault="00B626E7">
            <w:pPr>
              <w:rPr>
                <w:rFonts w:ascii="宋体"/>
              </w:rPr>
            </w:pPr>
          </w:p>
        </w:tc>
      </w:tr>
      <w:tr w:rsidR="00B626E7" w14:paraId="20AE37A6" w14:textId="77777777">
        <w:tc>
          <w:tcPr>
            <w:tcW w:w="0" w:type="auto"/>
            <w:gridSpan w:val="3"/>
            <w:shd w:val="clear" w:color="auto" w:fill="auto"/>
            <w:tcMar>
              <w:left w:w="20" w:type="dxa"/>
              <w:right w:w="20" w:type="dxa"/>
            </w:tcMar>
            <w:vAlign w:val="bottom"/>
          </w:tcPr>
          <w:p w14:paraId="20AE379D"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79E" w14:textId="77777777" w:rsidR="00B626E7" w:rsidRDefault="00B626E7">
            <w:pPr>
              <w:rPr>
                <w:rFonts w:ascii="宋体"/>
              </w:rPr>
            </w:pPr>
          </w:p>
        </w:tc>
        <w:tc>
          <w:tcPr>
            <w:tcW w:w="0" w:type="auto"/>
            <w:gridSpan w:val="9"/>
            <w:shd w:val="clear" w:color="auto" w:fill="auto"/>
            <w:tcMar>
              <w:top w:w="40" w:type="dxa"/>
              <w:left w:w="20" w:type="dxa"/>
              <w:bottom w:w="40" w:type="dxa"/>
              <w:right w:w="20" w:type="dxa"/>
            </w:tcMar>
            <w:vAlign w:val="bottom"/>
          </w:tcPr>
          <w:p w14:paraId="20AE379F" w14:textId="77777777" w:rsidR="00B626E7" w:rsidRDefault="00175C1D">
            <w:pPr>
              <w:jc w:val="center"/>
              <w:textAlignment w:val="bottom"/>
            </w:pPr>
            <w:r>
              <w:rPr>
                <w:rFonts w:ascii="Arial" w:eastAsia="宋体" w:hAnsi="Arial" w:cs="Arial"/>
                <w:b/>
                <w:bCs/>
                <w:color w:val="333333"/>
                <w:sz w:val="18"/>
                <w:szCs w:val="18"/>
              </w:rPr>
              <w:t>Six Months Ended</w:t>
            </w:r>
          </w:p>
        </w:tc>
        <w:tc>
          <w:tcPr>
            <w:tcW w:w="0" w:type="auto"/>
            <w:shd w:val="clear" w:color="auto" w:fill="auto"/>
          </w:tcPr>
          <w:p w14:paraId="20AE37A0" w14:textId="77777777" w:rsidR="00B626E7" w:rsidRDefault="00B626E7">
            <w:pPr>
              <w:rPr>
                <w:rFonts w:ascii="宋体"/>
                <w:vanish/>
              </w:rPr>
            </w:pPr>
          </w:p>
        </w:tc>
        <w:tc>
          <w:tcPr>
            <w:tcW w:w="0" w:type="auto"/>
            <w:shd w:val="clear" w:color="auto" w:fill="auto"/>
          </w:tcPr>
          <w:p w14:paraId="20AE37A1" w14:textId="77777777" w:rsidR="00B626E7" w:rsidRDefault="00B626E7">
            <w:pPr>
              <w:rPr>
                <w:rFonts w:ascii="宋体"/>
                <w:vanish/>
              </w:rPr>
            </w:pPr>
          </w:p>
        </w:tc>
        <w:tc>
          <w:tcPr>
            <w:tcW w:w="0" w:type="auto"/>
            <w:shd w:val="clear" w:color="auto" w:fill="auto"/>
          </w:tcPr>
          <w:p w14:paraId="20AE37A2" w14:textId="77777777" w:rsidR="00B626E7" w:rsidRDefault="00B626E7">
            <w:pPr>
              <w:rPr>
                <w:rFonts w:ascii="宋体"/>
                <w:vanish/>
              </w:rPr>
            </w:pPr>
          </w:p>
        </w:tc>
        <w:tc>
          <w:tcPr>
            <w:tcW w:w="0" w:type="auto"/>
            <w:shd w:val="clear" w:color="auto" w:fill="auto"/>
          </w:tcPr>
          <w:p w14:paraId="20AE37A3" w14:textId="77777777" w:rsidR="00B626E7" w:rsidRDefault="00B626E7">
            <w:pPr>
              <w:rPr>
                <w:rFonts w:ascii="宋体"/>
                <w:vanish/>
              </w:rPr>
            </w:pPr>
          </w:p>
        </w:tc>
        <w:tc>
          <w:tcPr>
            <w:tcW w:w="0" w:type="auto"/>
            <w:gridSpan w:val="3"/>
            <w:shd w:val="clear" w:color="auto" w:fill="auto"/>
          </w:tcPr>
          <w:p w14:paraId="20AE37A4" w14:textId="77777777" w:rsidR="00B626E7" w:rsidRDefault="00B626E7">
            <w:pPr>
              <w:rPr>
                <w:rFonts w:ascii="宋体"/>
                <w:vanish/>
              </w:rPr>
            </w:pPr>
          </w:p>
        </w:tc>
        <w:tc>
          <w:tcPr>
            <w:tcW w:w="0" w:type="auto"/>
            <w:gridSpan w:val="3"/>
            <w:shd w:val="clear" w:color="auto" w:fill="auto"/>
          </w:tcPr>
          <w:p w14:paraId="20AE37A5" w14:textId="77777777" w:rsidR="00B626E7" w:rsidRDefault="00B626E7">
            <w:pPr>
              <w:rPr>
                <w:rFonts w:ascii="宋体"/>
                <w:vanish/>
              </w:rPr>
            </w:pPr>
          </w:p>
        </w:tc>
      </w:tr>
      <w:tr w:rsidR="00B626E7" w14:paraId="20AE37B6" w14:textId="77777777">
        <w:tc>
          <w:tcPr>
            <w:tcW w:w="0" w:type="auto"/>
            <w:gridSpan w:val="3"/>
            <w:shd w:val="clear" w:color="auto" w:fill="auto"/>
            <w:tcMar>
              <w:top w:w="40" w:type="dxa"/>
              <w:left w:w="20" w:type="dxa"/>
              <w:bottom w:w="40" w:type="dxa"/>
              <w:right w:w="20" w:type="dxa"/>
            </w:tcMar>
            <w:vAlign w:val="bottom"/>
          </w:tcPr>
          <w:p w14:paraId="20AE37A7" w14:textId="77777777" w:rsidR="00B626E7" w:rsidRDefault="00175C1D">
            <w:pPr>
              <w:textAlignment w:val="bottom"/>
            </w:pPr>
            <w:r>
              <w:rPr>
                <w:rFonts w:ascii="Arial" w:eastAsia="宋体" w:hAnsi="Arial" w:cs="Arial"/>
                <w:b/>
                <w:bCs/>
                <w:color w:val="333333"/>
                <w:sz w:val="18"/>
                <w:szCs w:val="18"/>
              </w:rPr>
              <w:t>(In Millions)</w:t>
            </w:r>
          </w:p>
        </w:tc>
        <w:tc>
          <w:tcPr>
            <w:tcW w:w="0" w:type="auto"/>
            <w:gridSpan w:val="3"/>
            <w:shd w:val="clear" w:color="auto" w:fill="auto"/>
            <w:tcMar>
              <w:left w:w="20" w:type="dxa"/>
              <w:right w:w="20" w:type="dxa"/>
            </w:tcMar>
            <w:vAlign w:val="bottom"/>
          </w:tcPr>
          <w:p w14:paraId="20AE37A8"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37A9" w14:textId="77777777" w:rsidR="00B626E7" w:rsidRDefault="00175C1D">
            <w:pPr>
              <w:jc w:val="center"/>
              <w:textAlignment w:val="bottom"/>
            </w:pPr>
            <w:r>
              <w:rPr>
                <w:rFonts w:ascii="Arial" w:eastAsia="宋体" w:hAnsi="Arial" w:cs="Arial"/>
                <w:b/>
                <w:bCs/>
                <w:color w:val="333333"/>
                <w:sz w:val="18"/>
                <w:szCs w:val="18"/>
              </w:rPr>
              <w:t>Jun 27, 2020</w:t>
            </w:r>
          </w:p>
        </w:tc>
        <w:tc>
          <w:tcPr>
            <w:tcW w:w="0" w:type="auto"/>
            <w:gridSpan w:val="3"/>
            <w:tcBorders>
              <w:top w:val="single" w:sz="8" w:space="0" w:color="0071C5"/>
            </w:tcBorders>
            <w:shd w:val="clear" w:color="auto" w:fill="auto"/>
            <w:tcMar>
              <w:left w:w="20" w:type="dxa"/>
              <w:right w:w="20" w:type="dxa"/>
            </w:tcMar>
            <w:vAlign w:val="bottom"/>
          </w:tcPr>
          <w:p w14:paraId="20AE37AA" w14:textId="77777777" w:rsidR="00B626E7" w:rsidRDefault="00B626E7">
            <w:pPr>
              <w:jc w:val="right"/>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37AB" w14:textId="77777777" w:rsidR="00B626E7" w:rsidRDefault="00175C1D">
            <w:pPr>
              <w:jc w:val="center"/>
              <w:textAlignment w:val="bottom"/>
            </w:pPr>
            <w:r>
              <w:rPr>
                <w:rFonts w:ascii="Arial" w:eastAsia="宋体" w:hAnsi="Arial" w:cs="Arial"/>
                <w:b/>
                <w:bCs/>
                <w:color w:val="333333"/>
                <w:sz w:val="18"/>
                <w:szCs w:val="18"/>
              </w:rPr>
              <w:t>Jun 29, 2019</w:t>
            </w:r>
          </w:p>
        </w:tc>
        <w:tc>
          <w:tcPr>
            <w:tcW w:w="0" w:type="auto"/>
            <w:shd w:val="clear" w:color="auto" w:fill="auto"/>
          </w:tcPr>
          <w:p w14:paraId="20AE37AC" w14:textId="77777777" w:rsidR="00B626E7" w:rsidRDefault="00B626E7">
            <w:pPr>
              <w:rPr>
                <w:rFonts w:ascii="宋体"/>
                <w:vanish/>
              </w:rPr>
            </w:pPr>
          </w:p>
        </w:tc>
        <w:tc>
          <w:tcPr>
            <w:tcW w:w="0" w:type="auto"/>
            <w:shd w:val="clear" w:color="auto" w:fill="auto"/>
          </w:tcPr>
          <w:p w14:paraId="20AE37AD" w14:textId="77777777" w:rsidR="00B626E7" w:rsidRDefault="00B626E7">
            <w:pPr>
              <w:rPr>
                <w:rFonts w:ascii="宋体"/>
                <w:vanish/>
              </w:rPr>
            </w:pPr>
          </w:p>
        </w:tc>
        <w:tc>
          <w:tcPr>
            <w:tcW w:w="0" w:type="auto"/>
            <w:shd w:val="clear" w:color="auto" w:fill="auto"/>
          </w:tcPr>
          <w:p w14:paraId="20AE37AE" w14:textId="77777777" w:rsidR="00B626E7" w:rsidRDefault="00B626E7">
            <w:pPr>
              <w:rPr>
                <w:rFonts w:ascii="宋体"/>
                <w:vanish/>
              </w:rPr>
            </w:pPr>
          </w:p>
        </w:tc>
        <w:tc>
          <w:tcPr>
            <w:tcW w:w="0" w:type="auto"/>
            <w:shd w:val="clear" w:color="auto" w:fill="auto"/>
          </w:tcPr>
          <w:p w14:paraId="20AE37AF" w14:textId="77777777" w:rsidR="00B626E7" w:rsidRDefault="00B626E7">
            <w:pPr>
              <w:rPr>
                <w:rFonts w:ascii="宋体"/>
                <w:vanish/>
              </w:rPr>
            </w:pPr>
          </w:p>
        </w:tc>
        <w:tc>
          <w:tcPr>
            <w:tcW w:w="0" w:type="auto"/>
            <w:shd w:val="clear" w:color="auto" w:fill="auto"/>
          </w:tcPr>
          <w:p w14:paraId="20AE37B0" w14:textId="77777777" w:rsidR="00B626E7" w:rsidRDefault="00B626E7">
            <w:pPr>
              <w:rPr>
                <w:rFonts w:ascii="宋体"/>
              </w:rPr>
            </w:pPr>
          </w:p>
        </w:tc>
        <w:tc>
          <w:tcPr>
            <w:tcW w:w="0" w:type="auto"/>
            <w:shd w:val="clear" w:color="auto" w:fill="auto"/>
          </w:tcPr>
          <w:p w14:paraId="20AE37B1" w14:textId="77777777" w:rsidR="00B626E7" w:rsidRDefault="00B626E7">
            <w:pPr>
              <w:rPr>
                <w:rFonts w:ascii="宋体"/>
              </w:rPr>
            </w:pPr>
          </w:p>
        </w:tc>
        <w:tc>
          <w:tcPr>
            <w:tcW w:w="0" w:type="auto"/>
            <w:shd w:val="clear" w:color="auto" w:fill="auto"/>
          </w:tcPr>
          <w:p w14:paraId="20AE37B2" w14:textId="77777777" w:rsidR="00B626E7" w:rsidRDefault="00B626E7">
            <w:pPr>
              <w:rPr>
                <w:rFonts w:ascii="宋体"/>
              </w:rPr>
            </w:pPr>
          </w:p>
        </w:tc>
        <w:tc>
          <w:tcPr>
            <w:tcW w:w="0" w:type="auto"/>
            <w:shd w:val="clear" w:color="auto" w:fill="auto"/>
          </w:tcPr>
          <w:p w14:paraId="20AE37B3" w14:textId="77777777" w:rsidR="00B626E7" w:rsidRDefault="00B626E7">
            <w:pPr>
              <w:rPr>
                <w:rFonts w:ascii="宋体"/>
              </w:rPr>
            </w:pPr>
          </w:p>
        </w:tc>
        <w:tc>
          <w:tcPr>
            <w:tcW w:w="0" w:type="auto"/>
            <w:shd w:val="clear" w:color="auto" w:fill="auto"/>
          </w:tcPr>
          <w:p w14:paraId="20AE37B4" w14:textId="77777777" w:rsidR="00B626E7" w:rsidRDefault="00B626E7">
            <w:pPr>
              <w:rPr>
                <w:rFonts w:ascii="宋体"/>
              </w:rPr>
            </w:pPr>
          </w:p>
        </w:tc>
        <w:tc>
          <w:tcPr>
            <w:tcW w:w="0" w:type="auto"/>
            <w:shd w:val="clear" w:color="auto" w:fill="auto"/>
          </w:tcPr>
          <w:p w14:paraId="20AE37B5" w14:textId="77777777" w:rsidR="00B626E7" w:rsidRDefault="00B626E7">
            <w:pPr>
              <w:rPr>
                <w:rFonts w:ascii="宋体"/>
              </w:rPr>
            </w:pPr>
          </w:p>
        </w:tc>
      </w:tr>
      <w:tr w:rsidR="00B626E7" w14:paraId="20AE37CA" w14:textId="77777777">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37B7" w14:textId="77777777" w:rsidR="00B626E7" w:rsidRDefault="00175C1D">
            <w:pPr>
              <w:textAlignment w:val="bottom"/>
            </w:pPr>
            <w:r>
              <w:rPr>
                <w:rFonts w:ascii="Arial" w:eastAsia="宋体" w:hAnsi="Arial" w:cs="Arial"/>
                <w:b/>
                <w:bCs/>
                <w:color w:val="333333"/>
                <w:sz w:val="18"/>
                <w:szCs w:val="18"/>
              </w:rPr>
              <w:t>Net cash provided by operating activities</w:t>
            </w:r>
          </w:p>
        </w:tc>
        <w:tc>
          <w:tcPr>
            <w:tcW w:w="0" w:type="auto"/>
            <w:gridSpan w:val="3"/>
            <w:shd w:val="clear" w:color="auto" w:fill="auto"/>
            <w:tcMar>
              <w:left w:w="20" w:type="dxa"/>
              <w:right w:w="20" w:type="dxa"/>
            </w:tcMar>
            <w:vAlign w:val="bottom"/>
          </w:tcPr>
          <w:p w14:paraId="20AE37B8"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37B9" w14:textId="77777777" w:rsidR="00B626E7" w:rsidRDefault="00175C1D">
            <w:pPr>
              <w:textAlignment w:val="bottom"/>
            </w:pPr>
            <w:r>
              <w:rPr>
                <w:rFonts w:ascii="Arial" w:eastAsia="宋体" w:hAnsi="Arial" w:cs="Arial"/>
                <w:b/>
                <w:bCs/>
                <w:color w:val="0071C5"/>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37BA" w14:textId="77777777" w:rsidR="00B626E7" w:rsidRDefault="00175C1D">
            <w:pPr>
              <w:jc w:val="right"/>
              <w:textAlignment w:val="bottom"/>
            </w:pPr>
            <w:r>
              <w:rPr>
                <w:rFonts w:ascii="Arial" w:eastAsia="宋体" w:hAnsi="Arial" w:cs="Arial"/>
                <w:b/>
                <w:bCs/>
                <w:color w:val="0071C5"/>
                <w:sz w:val="18"/>
                <w:szCs w:val="18"/>
              </w:rPr>
              <w:t>17,315 </w:t>
            </w:r>
          </w:p>
        </w:tc>
        <w:tc>
          <w:tcPr>
            <w:tcW w:w="0" w:type="auto"/>
            <w:tcBorders>
              <w:top w:val="single" w:sz="8" w:space="0" w:color="0071C5"/>
            </w:tcBorders>
            <w:shd w:val="clear" w:color="auto" w:fill="auto"/>
            <w:tcMar>
              <w:top w:w="40" w:type="dxa"/>
              <w:bottom w:w="40" w:type="dxa"/>
              <w:right w:w="20" w:type="dxa"/>
            </w:tcMar>
            <w:vAlign w:val="bottom"/>
          </w:tcPr>
          <w:p w14:paraId="20AE37BB"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37BC" w14:textId="77777777" w:rsidR="00B626E7" w:rsidRDefault="00B626E7">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20AE37BD"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20AE37BE" w14:textId="77777777" w:rsidR="00B626E7" w:rsidRDefault="00175C1D">
            <w:pPr>
              <w:jc w:val="right"/>
              <w:textAlignment w:val="bottom"/>
            </w:pPr>
            <w:r>
              <w:rPr>
                <w:rFonts w:ascii="Arial" w:eastAsia="宋体" w:hAnsi="Arial" w:cs="Arial"/>
                <w:b/>
                <w:bCs/>
                <w:color w:val="333333"/>
                <w:sz w:val="18"/>
                <w:szCs w:val="18"/>
              </w:rPr>
              <w:t>12,546 </w:t>
            </w:r>
          </w:p>
        </w:tc>
        <w:tc>
          <w:tcPr>
            <w:tcW w:w="0" w:type="auto"/>
            <w:tcBorders>
              <w:top w:val="single" w:sz="8" w:space="0" w:color="0071C5"/>
            </w:tcBorders>
            <w:shd w:val="clear" w:color="auto" w:fill="auto"/>
            <w:tcMar>
              <w:top w:w="40" w:type="dxa"/>
              <w:bottom w:w="40" w:type="dxa"/>
              <w:right w:w="20" w:type="dxa"/>
            </w:tcMar>
            <w:vAlign w:val="bottom"/>
          </w:tcPr>
          <w:p w14:paraId="20AE37BF"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E37C0" w14:textId="77777777" w:rsidR="00B626E7" w:rsidRDefault="00B626E7">
            <w:pPr>
              <w:rPr>
                <w:rFonts w:ascii="宋体"/>
                <w:vanish/>
              </w:rPr>
            </w:pPr>
          </w:p>
        </w:tc>
        <w:tc>
          <w:tcPr>
            <w:tcW w:w="0" w:type="auto"/>
            <w:shd w:val="clear" w:color="auto" w:fill="auto"/>
          </w:tcPr>
          <w:p w14:paraId="20AE37C1" w14:textId="77777777" w:rsidR="00B626E7" w:rsidRDefault="00B626E7">
            <w:pPr>
              <w:rPr>
                <w:rFonts w:ascii="宋体"/>
                <w:vanish/>
              </w:rPr>
            </w:pPr>
          </w:p>
        </w:tc>
        <w:tc>
          <w:tcPr>
            <w:tcW w:w="0" w:type="auto"/>
            <w:shd w:val="clear" w:color="auto" w:fill="auto"/>
          </w:tcPr>
          <w:p w14:paraId="20AE37C2" w14:textId="77777777" w:rsidR="00B626E7" w:rsidRDefault="00B626E7">
            <w:pPr>
              <w:rPr>
                <w:rFonts w:ascii="宋体"/>
                <w:vanish/>
              </w:rPr>
            </w:pPr>
          </w:p>
        </w:tc>
        <w:tc>
          <w:tcPr>
            <w:tcW w:w="0" w:type="auto"/>
            <w:shd w:val="clear" w:color="auto" w:fill="auto"/>
          </w:tcPr>
          <w:p w14:paraId="20AE37C3" w14:textId="77777777" w:rsidR="00B626E7" w:rsidRDefault="00B626E7">
            <w:pPr>
              <w:rPr>
                <w:rFonts w:ascii="宋体"/>
                <w:vanish/>
              </w:rPr>
            </w:pPr>
          </w:p>
        </w:tc>
        <w:tc>
          <w:tcPr>
            <w:tcW w:w="0" w:type="auto"/>
            <w:shd w:val="clear" w:color="auto" w:fill="auto"/>
          </w:tcPr>
          <w:p w14:paraId="20AE37C4" w14:textId="77777777" w:rsidR="00B626E7" w:rsidRDefault="00B626E7">
            <w:pPr>
              <w:rPr>
                <w:rFonts w:ascii="宋体"/>
              </w:rPr>
            </w:pPr>
          </w:p>
        </w:tc>
        <w:tc>
          <w:tcPr>
            <w:tcW w:w="0" w:type="auto"/>
            <w:shd w:val="clear" w:color="auto" w:fill="auto"/>
          </w:tcPr>
          <w:p w14:paraId="20AE37C5" w14:textId="77777777" w:rsidR="00B626E7" w:rsidRDefault="00B626E7">
            <w:pPr>
              <w:rPr>
                <w:rFonts w:ascii="宋体"/>
              </w:rPr>
            </w:pPr>
          </w:p>
        </w:tc>
        <w:tc>
          <w:tcPr>
            <w:tcW w:w="0" w:type="auto"/>
            <w:shd w:val="clear" w:color="auto" w:fill="auto"/>
          </w:tcPr>
          <w:p w14:paraId="20AE37C6" w14:textId="77777777" w:rsidR="00B626E7" w:rsidRDefault="00B626E7">
            <w:pPr>
              <w:rPr>
                <w:rFonts w:ascii="宋体"/>
              </w:rPr>
            </w:pPr>
          </w:p>
        </w:tc>
        <w:tc>
          <w:tcPr>
            <w:tcW w:w="0" w:type="auto"/>
            <w:shd w:val="clear" w:color="auto" w:fill="auto"/>
          </w:tcPr>
          <w:p w14:paraId="20AE37C7" w14:textId="77777777" w:rsidR="00B626E7" w:rsidRDefault="00B626E7">
            <w:pPr>
              <w:rPr>
                <w:rFonts w:ascii="宋体"/>
              </w:rPr>
            </w:pPr>
          </w:p>
        </w:tc>
        <w:tc>
          <w:tcPr>
            <w:tcW w:w="0" w:type="auto"/>
            <w:shd w:val="clear" w:color="auto" w:fill="auto"/>
          </w:tcPr>
          <w:p w14:paraId="20AE37C8" w14:textId="77777777" w:rsidR="00B626E7" w:rsidRDefault="00B626E7">
            <w:pPr>
              <w:rPr>
                <w:rFonts w:ascii="宋体"/>
              </w:rPr>
            </w:pPr>
          </w:p>
        </w:tc>
        <w:tc>
          <w:tcPr>
            <w:tcW w:w="0" w:type="auto"/>
            <w:shd w:val="clear" w:color="auto" w:fill="auto"/>
          </w:tcPr>
          <w:p w14:paraId="20AE37C9" w14:textId="77777777" w:rsidR="00B626E7" w:rsidRDefault="00B626E7">
            <w:pPr>
              <w:rPr>
                <w:rFonts w:ascii="宋体"/>
              </w:rPr>
            </w:pPr>
          </w:p>
        </w:tc>
      </w:tr>
      <w:tr w:rsidR="00B626E7" w14:paraId="20AE37DC" w14:textId="77777777">
        <w:tc>
          <w:tcPr>
            <w:tcW w:w="0" w:type="auto"/>
            <w:gridSpan w:val="3"/>
            <w:shd w:val="clear" w:color="auto" w:fill="auto"/>
            <w:tcMar>
              <w:top w:w="40" w:type="dxa"/>
              <w:left w:w="135" w:type="dxa"/>
              <w:bottom w:w="40" w:type="dxa"/>
              <w:right w:w="20" w:type="dxa"/>
            </w:tcMar>
            <w:vAlign w:val="bottom"/>
          </w:tcPr>
          <w:p w14:paraId="20AE37CB" w14:textId="77777777" w:rsidR="00B626E7" w:rsidRDefault="00175C1D">
            <w:pPr>
              <w:textAlignment w:val="bottom"/>
            </w:pPr>
            <w:r>
              <w:rPr>
                <w:rFonts w:ascii="Arial" w:eastAsia="宋体" w:hAnsi="Arial" w:cs="Arial"/>
                <w:color w:val="333333"/>
                <w:sz w:val="18"/>
                <w:szCs w:val="18"/>
              </w:rPr>
              <w:t>A</w:t>
            </w:r>
            <w:r>
              <w:rPr>
                <w:rFonts w:ascii="Arial" w:eastAsia="宋体" w:hAnsi="Arial" w:cs="Arial"/>
                <w:color w:val="333333"/>
                <w:sz w:val="18"/>
                <w:szCs w:val="18"/>
              </w:rPr>
              <w:t>dditions to property, plant and equipment</w:t>
            </w:r>
          </w:p>
        </w:tc>
        <w:tc>
          <w:tcPr>
            <w:tcW w:w="0" w:type="auto"/>
            <w:gridSpan w:val="3"/>
            <w:shd w:val="clear" w:color="auto" w:fill="auto"/>
            <w:tcMar>
              <w:left w:w="20" w:type="dxa"/>
              <w:right w:w="20" w:type="dxa"/>
            </w:tcMar>
            <w:vAlign w:val="bottom"/>
          </w:tcPr>
          <w:p w14:paraId="20AE37CC"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37CD" w14:textId="77777777" w:rsidR="00B626E7" w:rsidRDefault="00175C1D">
            <w:pPr>
              <w:jc w:val="right"/>
              <w:textAlignment w:val="bottom"/>
            </w:pPr>
            <w:r>
              <w:rPr>
                <w:rFonts w:ascii="Arial" w:eastAsia="宋体" w:hAnsi="Arial" w:cs="Arial"/>
                <w:color w:val="0071C5"/>
                <w:sz w:val="18"/>
                <w:szCs w:val="18"/>
              </w:rPr>
              <w:t>(6,676)</w:t>
            </w:r>
          </w:p>
        </w:tc>
        <w:tc>
          <w:tcPr>
            <w:tcW w:w="0" w:type="auto"/>
            <w:shd w:val="clear" w:color="auto" w:fill="auto"/>
            <w:tcMar>
              <w:top w:w="40" w:type="dxa"/>
              <w:bottom w:w="40" w:type="dxa"/>
              <w:right w:w="20" w:type="dxa"/>
            </w:tcMar>
            <w:vAlign w:val="bottom"/>
          </w:tcPr>
          <w:p w14:paraId="20AE37CE" w14:textId="77777777" w:rsidR="00B626E7" w:rsidRDefault="00175C1D">
            <w:pPr>
              <w:jc w:val="right"/>
              <w:textAlignment w:val="bottom"/>
            </w:pPr>
            <w:r>
              <w:rPr>
                <w:rFonts w:ascii="Arial" w:eastAsia="宋体" w:hAnsi="Arial" w:cs="Arial"/>
                <w:color w:val="0071C5"/>
                <w:sz w:val="18"/>
                <w:szCs w:val="18"/>
              </w:rPr>
              <w:t> </w:t>
            </w:r>
          </w:p>
        </w:tc>
        <w:tc>
          <w:tcPr>
            <w:tcW w:w="0" w:type="auto"/>
            <w:gridSpan w:val="3"/>
            <w:shd w:val="clear" w:color="auto" w:fill="auto"/>
            <w:tcMar>
              <w:left w:w="20" w:type="dxa"/>
              <w:right w:w="20" w:type="dxa"/>
            </w:tcMar>
            <w:vAlign w:val="bottom"/>
          </w:tcPr>
          <w:p w14:paraId="20AE37CF" w14:textId="77777777" w:rsidR="00B626E7" w:rsidRDefault="00B626E7">
            <w:pPr>
              <w:rPr>
                <w:rFonts w:ascii="宋体"/>
              </w:rPr>
            </w:pPr>
          </w:p>
        </w:tc>
        <w:tc>
          <w:tcPr>
            <w:tcW w:w="0" w:type="auto"/>
            <w:gridSpan w:val="2"/>
            <w:shd w:val="clear" w:color="auto" w:fill="auto"/>
            <w:tcMar>
              <w:top w:w="40" w:type="dxa"/>
              <w:left w:w="20" w:type="dxa"/>
              <w:bottom w:w="40" w:type="dxa"/>
              <w:right w:w="0" w:type="dxa"/>
            </w:tcMar>
            <w:vAlign w:val="bottom"/>
          </w:tcPr>
          <w:p w14:paraId="20AE37D0" w14:textId="77777777" w:rsidR="00B626E7" w:rsidRDefault="00175C1D">
            <w:pPr>
              <w:jc w:val="right"/>
              <w:textAlignment w:val="bottom"/>
            </w:pPr>
            <w:r>
              <w:rPr>
                <w:rFonts w:ascii="Arial" w:eastAsia="宋体" w:hAnsi="Arial" w:cs="Arial"/>
                <w:color w:val="333333"/>
                <w:sz w:val="18"/>
                <w:szCs w:val="18"/>
              </w:rPr>
              <w:t>(6,875)</w:t>
            </w:r>
          </w:p>
        </w:tc>
        <w:tc>
          <w:tcPr>
            <w:tcW w:w="0" w:type="auto"/>
            <w:shd w:val="clear" w:color="auto" w:fill="auto"/>
            <w:tcMar>
              <w:top w:w="40" w:type="dxa"/>
              <w:bottom w:w="40" w:type="dxa"/>
              <w:right w:w="20" w:type="dxa"/>
            </w:tcMar>
            <w:vAlign w:val="bottom"/>
          </w:tcPr>
          <w:p w14:paraId="20AE37D1" w14:textId="77777777" w:rsidR="00B626E7" w:rsidRDefault="00175C1D">
            <w:pPr>
              <w:jc w:val="right"/>
              <w:textAlignment w:val="bottom"/>
            </w:pPr>
            <w:r>
              <w:rPr>
                <w:rFonts w:ascii="Arial" w:eastAsia="宋体" w:hAnsi="Arial" w:cs="Arial"/>
                <w:color w:val="333333"/>
                <w:sz w:val="18"/>
                <w:szCs w:val="18"/>
              </w:rPr>
              <w:t> </w:t>
            </w:r>
          </w:p>
        </w:tc>
        <w:tc>
          <w:tcPr>
            <w:tcW w:w="0" w:type="auto"/>
            <w:shd w:val="clear" w:color="auto" w:fill="auto"/>
          </w:tcPr>
          <w:p w14:paraId="20AE37D2" w14:textId="77777777" w:rsidR="00B626E7" w:rsidRDefault="00B626E7">
            <w:pPr>
              <w:rPr>
                <w:rFonts w:ascii="宋体"/>
                <w:vanish/>
              </w:rPr>
            </w:pPr>
          </w:p>
        </w:tc>
        <w:tc>
          <w:tcPr>
            <w:tcW w:w="0" w:type="auto"/>
            <w:shd w:val="clear" w:color="auto" w:fill="auto"/>
          </w:tcPr>
          <w:p w14:paraId="20AE37D3" w14:textId="77777777" w:rsidR="00B626E7" w:rsidRDefault="00B626E7">
            <w:pPr>
              <w:rPr>
                <w:rFonts w:ascii="宋体"/>
                <w:vanish/>
              </w:rPr>
            </w:pPr>
          </w:p>
        </w:tc>
        <w:tc>
          <w:tcPr>
            <w:tcW w:w="0" w:type="auto"/>
            <w:shd w:val="clear" w:color="auto" w:fill="auto"/>
          </w:tcPr>
          <w:p w14:paraId="20AE37D4" w14:textId="77777777" w:rsidR="00B626E7" w:rsidRDefault="00B626E7">
            <w:pPr>
              <w:rPr>
                <w:rFonts w:ascii="宋体"/>
                <w:vanish/>
              </w:rPr>
            </w:pPr>
          </w:p>
        </w:tc>
        <w:tc>
          <w:tcPr>
            <w:tcW w:w="0" w:type="auto"/>
            <w:shd w:val="clear" w:color="auto" w:fill="auto"/>
          </w:tcPr>
          <w:p w14:paraId="20AE37D5" w14:textId="77777777" w:rsidR="00B626E7" w:rsidRDefault="00B626E7">
            <w:pPr>
              <w:rPr>
                <w:rFonts w:ascii="宋体"/>
                <w:vanish/>
              </w:rPr>
            </w:pPr>
          </w:p>
        </w:tc>
        <w:tc>
          <w:tcPr>
            <w:tcW w:w="0" w:type="auto"/>
            <w:shd w:val="clear" w:color="auto" w:fill="auto"/>
          </w:tcPr>
          <w:p w14:paraId="20AE37D6" w14:textId="77777777" w:rsidR="00B626E7" w:rsidRDefault="00B626E7">
            <w:pPr>
              <w:rPr>
                <w:rFonts w:ascii="宋体"/>
              </w:rPr>
            </w:pPr>
          </w:p>
        </w:tc>
        <w:tc>
          <w:tcPr>
            <w:tcW w:w="0" w:type="auto"/>
            <w:shd w:val="clear" w:color="auto" w:fill="auto"/>
          </w:tcPr>
          <w:p w14:paraId="20AE37D7" w14:textId="77777777" w:rsidR="00B626E7" w:rsidRDefault="00B626E7">
            <w:pPr>
              <w:rPr>
                <w:rFonts w:ascii="宋体"/>
              </w:rPr>
            </w:pPr>
          </w:p>
        </w:tc>
        <w:tc>
          <w:tcPr>
            <w:tcW w:w="0" w:type="auto"/>
            <w:shd w:val="clear" w:color="auto" w:fill="auto"/>
          </w:tcPr>
          <w:p w14:paraId="20AE37D8" w14:textId="77777777" w:rsidR="00B626E7" w:rsidRDefault="00B626E7">
            <w:pPr>
              <w:rPr>
                <w:rFonts w:ascii="宋体"/>
              </w:rPr>
            </w:pPr>
          </w:p>
        </w:tc>
        <w:tc>
          <w:tcPr>
            <w:tcW w:w="0" w:type="auto"/>
            <w:shd w:val="clear" w:color="auto" w:fill="auto"/>
          </w:tcPr>
          <w:p w14:paraId="20AE37D9" w14:textId="77777777" w:rsidR="00B626E7" w:rsidRDefault="00B626E7">
            <w:pPr>
              <w:rPr>
                <w:rFonts w:ascii="宋体"/>
              </w:rPr>
            </w:pPr>
          </w:p>
        </w:tc>
        <w:tc>
          <w:tcPr>
            <w:tcW w:w="0" w:type="auto"/>
            <w:shd w:val="clear" w:color="auto" w:fill="auto"/>
          </w:tcPr>
          <w:p w14:paraId="20AE37DA" w14:textId="77777777" w:rsidR="00B626E7" w:rsidRDefault="00B626E7">
            <w:pPr>
              <w:rPr>
                <w:rFonts w:ascii="宋体"/>
              </w:rPr>
            </w:pPr>
          </w:p>
        </w:tc>
        <w:tc>
          <w:tcPr>
            <w:tcW w:w="0" w:type="auto"/>
            <w:shd w:val="clear" w:color="auto" w:fill="auto"/>
          </w:tcPr>
          <w:p w14:paraId="20AE37DB" w14:textId="77777777" w:rsidR="00B626E7" w:rsidRDefault="00B626E7">
            <w:pPr>
              <w:rPr>
                <w:rFonts w:ascii="宋体"/>
              </w:rPr>
            </w:pPr>
          </w:p>
        </w:tc>
      </w:tr>
      <w:tr w:rsidR="00B626E7" w14:paraId="20AE37F0" w14:textId="77777777">
        <w:tc>
          <w:tcPr>
            <w:tcW w:w="0" w:type="auto"/>
            <w:gridSpan w:val="3"/>
            <w:shd w:val="clear" w:color="auto" w:fill="auto"/>
            <w:tcMar>
              <w:top w:w="40" w:type="dxa"/>
              <w:left w:w="20" w:type="dxa"/>
              <w:bottom w:w="40" w:type="dxa"/>
              <w:right w:w="20" w:type="dxa"/>
            </w:tcMar>
            <w:vAlign w:val="bottom"/>
          </w:tcPr>
          <w:p w14:paraId="20AE37DD" w14:textId="77777777" w:rsidR="00B626E7" w:rsidRDefault="00175C1D">
            <w:pPr>
              <w:textAlignment w:val="bottom"/>
            </w:pPr>
            <w:r>
              <w:rPr>
                <w:rFonts w:ascii="Arial" w:eastAsia="宋体" w:hAnsi="Arial" w:cs="Arial"/>
                <w:b/>
                <w:bCs/>
                <w:color w:val="333333"/>
                <w:sz w:val="18"/>
                <w:szCs w:val="18"/>
              </w:rPr>
              <w:t>Free cash flow</w:t>
            </w:r>
          </w:p>
        </w:tc>
        <w:tc>
          <w:tcPr>
            <w:tcW w:w="0" w:type="auto"/>
            <w:gridSpan w:val="3"/>
            <w:shd w:val="clear" w:color="auto" w:fill="auto"/>
            <w:tcMar>
              <w:left w:w="20" w:type="dxa"/>
              <w:right w:w="20" w:type="dxa"/>
            </w:tcMar>
            <w:vAlign w:val="bottom"/>
          </w:tcPr>
          <w:p w14:paraId="20AE37DE" w14:textId="77777777" w:rsidR="00B626E7" w:rsidRDefault="00B626E7">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20AE37DF" w14:textId="77777777" w:rsidR="00B626E7" w:rsidRDefault="00175C1D">
            <w:pPr>
              <w:textAlignment w:val="bottom"/>
            </w:pPr>
            <w:r>
              <w:rPr>
                <w:rFonts w:ascii="Arial" w:eastAsia="宋体" w:hAnsi="Arial" w:cs="Arial"/>
                <w:b/>
                <w:bCs/>
                <w:color w:val="0071C5"/>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20AE37E0" w14:textId="77777777" w:rsidR="00B626E7" w:rsidRDefault="00175C1D">
            <w:pPr>
              <w:jc w:val="right"/>
              <w:textAlignment w:val="bottom"/>
            </w:pPr>
            <w:r>
              <w:rPr>
                <w:rFonts w:ascii="Arial" w:eastAsia="宋体" w:hAnsi="Arial" w:cs="Arial"/>
                <w:b/>
                <w:bCs/>
                <w:color w:val="0071C5"/>
                <w:sz w:val="18"/>
                <w:szCs w:val="18"/>
              </w:rPr>
              <w:t>10,639 </w:t>
            </w:r>
          </w:p>
        </w:tc>
        <w:tc>
          <w:tcPr>
            <w:tcW w:w="0" w:type="auto"/>
            <w:tcBorders>
              <w:top w:val="single" w:sz="8" w:space="0" w:color="333333"/>
            </w:tcBorders>
            <w:shd w:val="clear" w:color="auto" w:fill="auto"/>
            <w:tcMar>
              <w:top w:w="40" w:type="dxa"/>
              <w:bottom w:w="40" w:type="dxa"/>
              <w:right w:w="20" w:type="dxa"/>
            </w:tcMar>
            <w:vAlign w:val="bottom"/>
          </w:tcPr>
          <w:p w14:paraId="20AE37E1"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37E2" w14:textId="77777777" w:rsidR="00B626E7" w:rsidRDefault="00B626E7">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20AE37E3" w14:textId="77777777" w:rsidR="00B626E7" w:rsidRDefault="00175C1D">
            <w:pPr>
              <w:textAlignment w:val="bottom"/>
            </w:pPr>
            <w:r>
              <w:rPr>
                <w:rFonts w:ascii="Arial" w:eastAsia="宋体" w:hAnsi="Arial" w:cs="Arial"/>
                <w:b/>
                <w:bCs/>
                <w:color w:val="333333"/>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20AE37E4" w14:textId="77777777" w:rsidR="00B626E7" w:rsidRDefault="00175C1D">
            <w:pPr>
              <w:jc w:val="right"/>
              <w:textAlignment w:val="bottom"/>
            </w:pPr>
            <w:r>
              <w:rPr>
                <w:rFonts w:ascii="Arial" w:eastAsia="宋体" w:hAnsi="Arial" w:cs="Arial"/>
                <w:b/>
                <w:bCs/>
                <w:color w:val="333333"/>
                <w:sz w:val="18"/>
                <w:szCs w:val="18"/>
              </w:rPr>
              <w:t>5,671 </w:t>
            </w:r>
          </w:p>
        </w:tc>
        <w:tc>
          <w:tcPr>
            <w:tcW w:w="0" w:type="auto"/>
            <w:tcBorders>
              <w:top w:val="single" w:sz="8" w:space="0" w:color="333333"/>
            </w:tcBorders>
            <w:shd w:val="clear" w:color="auto" w:fill="auto"/>
            <w:tcMar>
              <w:top w:w="40" w:type="dxa"/>
              <w:bottom w:w="40" w:type="dxa"/>
              <w:right w:w="20" w:type="dxa"/>
            </w:tcMar>
            <w:vAlign w:val="bottom"/>
          </w:tcPr>
          <w:p w14:paraId="20AE37E5"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E37E6" w14:textId="77777777" w:rsidR="00B626E7" w:rsidRDefault="00B626E7">
            <w:pPr>
              <w:rPr>
                <w:rFonts w:ascii="宋体"/>
                <w:vanish/>
              </w:rPr>
            </w:pPr>
          </w:p>
        </w:tc>
        <w:tc>
          <w:tcPr>
            <w:tcW w:w="0" w:type="auto"/>
            <w:shd w:val="clear" w:color="auto" w:fill="auto"/>
          </w:tcPr>
          <w:p w14:paraId="20AE37E7" w14:textId="77777777" w:rsidR="00B626E7" w:rsidRDefault="00B626E7">
            <w:pPr>
              <w:rPr>
                <w:rFonts w:ascii="宋体"/>
                <w:vanish/>
              </w:rPr>
            </w:pPr>
          </w:p>
        </w:tc>
        <w:tc>
          <w:tcPr>
            <w:tcW w:w="0" w:type="auto"/>
            <w:shd w:val="clear" w:color="auto" w:fill="auto"/>
          </w:tcPr>
          <w:p w14:paraId="20AE37E8" w14:textId="77777777" w:rsidR="00B626E7" w:rsidRDefault="00B626E7">
            <w:pPr>
              <w:rPr>
                <w:rFonts w:ascii="宋体"/>
                <w:vanish/>
              </w:rPr>
            </w:pPr>
          </w:p>
        </w:tc>
        <w:tc>
          <w:tcPr>
            <w:tcW w:w="0" w:type="auto"/>
            <w:shd w:val="clear" w:color="auto" w:fill="auto"/>
          </w:tcPr>
          <w:p w14:paraId="20AE37E9" w14:textId="77777777" w:rsidR="00B626E7" w:rsidRDefault="00B626E7">
            <w:pPr>
              <w:rPr>
                <w:rFonts w:ascii="宋体"/>
                <w:vanish/>
              </w:rPr>
            </w:pPr>
          </w:p>
        </w:tc>
        <w:tc>
          <w:tcPr>
            <w:tcW w:w="0" w:type="auto"/>
            <w:shd w:val="clear" w:color="auto" w:fill="auto"/>
          </w:tcPr>
          <w:p w14:paraId="20AE37EA" w14:textId="77777777" w:rsidR="00B626E7" w:rsidRDefault="00B626E7">
            <w:pPr>
              <w:rPr>
                <w:rFonts w:ascii="宋体"/>
              </w:rPr>
            </w:pPr>
          </w:p>
        </w:tc>
        <w:tc>
          <w:tcPr>
            <w:tcW w:w="0" w:type="auto"/>
            <w:shd w:val="clear" w:color="auto" w:fill="auto"/>
          </w:tcPr>
          <w:p w14:paraId="20AE37EB" w14:textId="77777777" w:rsidR="00B626E7" w:rsidRDefault="00B626E7">
            <w:pPr>
              <w:rPr>
                <w:rFonts w:ascii="宋体"/>
              </w:rPr>
            </w:pPr>
          </w:p>
        </w:tc>
        <w:tc>
          <w:tcPr>
            <w:tcW w:w="0" w:type="auto"/>
            <w:shd w:val="clear" w:color="auto" w:fill="auto"/>
          </w:tcPr>
          <w:p w14:paraId="20AE37EC" w14:textId="77777777" w:rsidR="00B626E7" w:rsidRDefault="00B626E7">
            <w:pPr>
              <w:rPr>
                <w:rFonts w:ascii="宋体"/>
              </w:rPr>
            </w:pPr>
          </w:p>
        </w:tc>
        <w:tc>
          <w:tcPr>
            <w:tcW w:w="0" w:type="auto"/>
            <w:shd w:val="clear" w:color="auto" w:fill="auto"/>
          </w:tcPr>
          <w:p w14:paraId="20AE37ED" w14:textId="77777777" w:rsidR="00B626E7" w:rsidRDefault="00B626E7">
            <w:pPr>
              <w:rPr>
                <w:rFonts w:ascii="宋体"/>
              </w:rPr>
            </w:pPr>
          </w:p>
        </w:tc>
        <w:tc>
          <w:tcPr>
            <w:tcW w:w="0" w:type="auto"/>
            <w:shd w:val="clear" w:color="auto" w:fill="auto"/>
          </w:tcPr>
          <w:p w14:paraId="20AE37EE" w14:textId="77777777" w:rsidR="00B626E7" w:rsidRDefault="00B626E7">
            <w:pPr>
              <w:rPr>
                <w:rFonts w:ascii="宋体"/>
              </w:rPr>
            </w:pPr>
          </w:p>
        </w:tc>
        <w:tc>
          <w:tcPr>
            <w:tcW w:w="0" w:type="auto"/>
            <w:shd w:val="clear" w:color="auto" w:fill="auto"/>
          </w:tcPr>
          <w:p w14:paraId="20AE37EF" w14:textId="77777777" w:rsidR="00B626E7" w:rsidRDefault="00B626E7">
            <w:pPr>
              <w:rPr>
                <w:rFonts w:ascii="宋体"/>
              </w:rPr>
            </w:pPr>
          </w:p>
        </w:tc>
      </w:tr>
      <w:tr w:rsidR="00B626E7" w14:paraId="20AE3800" w14:textId="77777777">
        <w:trPr>
          <w:trHeight w:val="60"/>
        </w:trPr>
        <w:tc>
          <w:tcPr>
            <w:tcW w:w="0" w:type="auto"/>
            <w:gridSpan w:val="3"/>
            <w:shd w:val="clear" w:color="auto" w:fill="auto"/>
            <w:tcMar>
              <w:left w:w="20" w:type="dxa"/>
              <w:right w:w="20" w:type="dxa"/>
            </w:tcMar>
            <w:vAlign w:val="bottom"/>
          </w:tcPr>
          <w:p w14:paraId="20AE37F1"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7F2" w14:textId="77777777" w:rsidR="00B626E7" w:rsidRDefault="00B626E7">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0AE37F3"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7F4" w14:textId="77777777" w:rsidR="00B626E7" w:rsidRDefault="00B626E7">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0AE37F5" w14:textId="77777777" w:rsidR="00B626E7" w:rsidRDefault="00B626E7">
            <w:pPr>
              <w:rPr>
                <w:rFonts w:ascii="宋体"/>
              </w:rPr>
            </w:pPr>
          </w:p>
        </w:tc>
        <w:tc>
          <w:tcPr>
            <w:tcW w:w="0" w:type="auto"/>
            <w:shd w:val="clear" w:color="auto" w:fill="auto"/>
          </w:tcPr>
          <w:p w14:paraId="20AE37F6" w14:textId="77777777" w:rsidR="00B626E7" w:rsidRDefault="00B626E7">
            <w:pPr>
              <w:rPr>
                <w:rFonts w:ascii="宋体"/>
                <w:vanish/>
              </w:rPr>
            </w:pPr>
          </w:p>
        </w:tc>
        <w:tc>
          <w:tcPr>
            <w:tcW w:w="0" w:type="auto"/>
            <w:shd w:val="clear" w:color="auto" w:fill="auto"/>
          </w:tcPr>
          <w:p w14:paraId="20AE37F7" w14:textId="77777777" w:rsidR="00B626E7" w:rsidRDefault="00B626E7">
            <w:pPr>
              <w:rPr>
                <w:rFonts w:ascii="宋体"/>
                <w:vanish/>
              </w:rPr>
            </w:pPr>
          </w:p>
        </w:tc>
        <w:tc>
          <w:tcPr>
            <w:tcW w:w="0" w:type="auto"/>
            <w:shd w:val="clear" w:color="auto" w:fill="auto"/>
          </w:tcPr>
          <w:p w14:paraId="20AE37F8" w14:textId="77777777" w:rsidR="00B626E7" w:rsidRDefault="00B626E7">
            <w:pPr>
              <w:rPr>
                <w:rFonts w:ascii="宋体"/>
                <w:vanish/>
              </w:rPr>
            </w:pPr>
          </w:p>
        </w:tc>
        <w:tc>
          <w:tcPr>
            <w:tcW w:w="0" w:type="auto"/>
            <w:shd w:val="clear" w:color="auto" w:fill="auto"/>
          </w:tcPr>
          <w:p w14:paraId="20AE37F9" w14:textId="77777777" w:rsidR="00B626E7" w:rsidRDefault="00B626E7">
            <w:pPr>
              <w:rPr>
                <w:rFonts w:ascii="宋体"/>
                <w:vanish/>
              </w:rPr>
            </w:pPr>
          </w:p>
        </w:tc>
        <w:tc>
          <w:tcPr>
            <w:tcW w:w="0" w:type="auto"/>
            <w:shd w:val="clear" w:color="auto" w:fill="auto"/>
          </w:tcPr>
          <w:p w14:paraId="20AE37FA" w14:textId="77777777" w:rsidR="00B626E7" w:rsidRDefault="00B626E7">
            <w:pPr>
              <w:rPr>
                <w:rFonts w:ascii="宋体"/>
              </w:rPr>
            </w:pPr>
          </w:p>
        </w:tc>
        <w:tc>
          <w:tcPr>
            <w:tcW w:w="0" w:type="auto"/>
            <w:shd w:val="clear" w:color="auto" w:fill="auto"/>
          </w:tcPr>
          <w:p w14:paraId="20AE37FB" w14:textId="77777777" w:rsidR="00B626E7" w:rsidRDefault="00B626E7">
            <w:pPr>
              <w:rPr>
                <w:rFonts w:ascii="宋体"/>
              </w:rPr>
            </w:pPr>
          </w:p>
        </w:tc>
        <w:tc>
          <w:tcPr>
            <w:tcW w:w="0" w:type="auto"/>
            <w:shd w:val="clear" w:color="auto" w:fill="auto"/>
          </w:tcPr>
          <w:p w14:paraId="20AE37FC" w14:textId="77777777" w:rsidR="00B626E7" w:rsidRDefault="00B626E7">
            <w:pPr>
              <w:rPr>
                <w:rFonts w:ascii="宋体"/>
              </w:rPr>
            </w:pPr>
          </w:p>
        </w:tc>
        <w:tc>
          <w:tcPr>
            <w:tcW w:w="0" w:type="auto"/>
            <w:shd w:val="clear" w:color="auto" w:fill="auto"/>
          </w:tcPr>
          <w:p w14:paraId="20AE37FD" w14:textId="77777777" w:rsidR="00B626E7" w:rsidRDefault="00B626E7">
            <w:pPr>
              <w:rPr>
                <w:rFonts w:ascii="宋体"/>
              </w:rPr>
            </w:pPr>
          </w:p>
        </w:tc>
        <w:tc>
          <w:tcPr>
            <w:tcW w:w="0" w:type="auto"/>
            <w:shd w:val="clear" w:color="auto" w:fill="auto"/>
          </w:tcPr>
          <w:p w14:paraId="20AE37FE" w14:textId="77777777" w:rsidR="00B626E7" w:rsidRDefault="00B626E7">
            <w:pPr>
              <w:rPr>
                <w:rFonts w:ascii="宋体"/>
              </w:rPr>
            </w:pPr>
          </w:p>
        </w:tc>
        <w:tc>
          <w:tcPr>
            <w:tcW w:w="0" w:type="auto"/>
            <w:shd w:val="clear" w:color="auto" w:fill="auto"/>
          </w:tcPr>
          <w:p w14:paraId="20AE37FF" w14:textId="77777777" w:rsidR="00B626E7" w:rsidRDefault="00B626E7">
            <w:pPr>
              <w:rPr>
                <w:rFonts w:ascii="宋体"/>
              </w:rPr>
            </w:pPr>
          </w:p>
        </w:tc>
      </w:tr>
      <w:tr w:rsidR="00B626E7" w14:paraId="20AE3814" w14:textId="77777777">
        <w:tc>
          <w:tcPr>
            <w:tcW w:w="0" w:type="auto"/>
            <w:gridSpan w:val="3"/>
            <w:shd w:val="clear" w:color="auto" w:fill="auto"/>
            <w:tcMar>
              <w:top w:w="40" w:type="dxa"/>
              <w:left w:w="20" w:type="dxa"/>
              <w:bottom w:w="40" w:type="dxa"/>
              <w:right w:w="20" w:type="dxa"/>
            </w:tcMar>
            <w:vAlign w:val="bottom"/>
          </w:tcPr>
          <w:p w14:paraId="20AE3801" w14:textId="77777777" w:rsidR="00B626E7" w:rsidRDefault="00175C1D">
            <w:pPr>
              <w:textAlignment w:val="bottom"/>
            </w:pPr>
            <w:r>
              <w:rPr>
                <w:rFonts w:ascii="Arial" w:eastAsia="宋体" w:hAnsi="Arial" w:cs="Arial"/>
                <w:b/>
                <w:bCs/>
                <w:color w:val="333333"/>
                <w:sz w:val="18"/>
                <w:szCs w:val="18"/>
              </w:rPr>
              <w:t>Net cash used for investing activities</w:t>
            </w:r>
          </w:p>
        </w:tc>
        <w:tc>
          <w:tcPr>
            <w:tcW w:w="0" w:type="auto"/>
            <w:gridSpan w:val="3"/>
            <w:shd w:val="clear" w:color="auto" w:fill="auto"/>
            <w:tcMar>
              <w:left w:w="20" w:type="dxa"/>
              <w:right w:w="20" w:type="dxa"/>
            </w:tcMar>
            <w:vAlign w:val="bottom"/>
          </w:tcPr>
          <w:p w14:paraId="20AE3802"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3803" w14:textId="77777777" w:rsidR="00B626E7" w:rsidRDefault="00175C1D">
            <w:pPr>
              <w:textAlignment w:val="bottom"/>
            </w:pPr>
            <w:r>
              <w:rPr>
                <w:rFonts w:ascii="Arial" w:eastAsia="宋体" w:hAnsi="Arial" w:cs="Arial"/>
                <w:b/>
                <w:bCs/>
                <w:color w:val="0071C5"/>
                <w:sz w:val="18"/>
                <w:szCs w:val="18"/>
              </w:rPr>
              <w:t>$</w:t>
            </w:r>
          </w:p>
        </w:tc>
        <w:tc>
          <w:tcPr>
            <w:tcW w:w="0" w:type="auto"/>
            <w:shd w:val="clear" w:color="auto" w:fill="auto"/>
            <w:tcMar>
              <w:top w:w="40" w:type="dxa"/>
              <w:bottom w:w="40" w:type="dxa"/>
              <w:right w:w="0" w:type="dxa"/>
            </w:tcMar>
            <w:vAlign w:val="bottom"/>
          </w:tcPr>
          <w:p w14:paraId="20AE3804" w14:textId="77777777" w:rsidR="00B626E7" w:rsidRDefault="00175C1D">
            <w:pPr>
              <w:jc w:val="right"/>
              <w:textAlignment w:val="bottom"/>
            </w:pPr>
            <w:r>
              <w:rPr>
                <w:rFonts w:ascii="Arial" w:eastAsia="宋体" w:hAnsi="Arial" w:cs="Arial"/>
                <w:b/>
                <w:bCs/>
                <w:color w:val="0071C5"/>
                <w:sz w:val="18"/>
                <w:szCs w:val="18"/>
              </w:rPr>
              <w:t>(14,346)</w:t>
            </w:r>
          </w:p>
        </w:tc>
        <w:tc>
          <w:tcPr>
            <w:tcW w:w="0" w:type="auto"/>
            <w:shd w:val="clear" w:color="auto" w:fill="auto"/>
            <w:tcMar>
              <w:top w:w="40" w:type="dxa"/>
              <w:bottom w:w="40" w:type="dxa"/>
              <w:right w:w="20" w:type="dxa"/>
            </w:tcMar>
            <w:vAlign w:val="bottom"/>
          </w:tcPr>
          <w:p w14:paraId="20AE3805"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3806"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3807" w14:textId="77777777" w:rsidR="00B626E7" w:rsidRDefault="00175C1D">
            <w:pPr>
              <w:textAlignment w:val="bottom"/>
            </w:pPr>
            <w:r>
              <w:rPr>
                <w:rFonts w:ascii="Arial" w:eastAsia="宋体" w:hAnsi="Arial" w:cs="Arial"/>
                <w:b/>
                <w:bCs/>
                <w:color w:val="333333"/>
                <w:sz w:val="18"/>
                <w:szCs w:val="18"/>
              </w:rPr>
              <w:t>$</w:t>
            </w:r>
          </w:p>
        </w:tc>
        <w:tc>
          <w:tcPr>
            <w:tcW w:w="0" w:type="auto"/>
            <w:shd w:val="clear" w:color="auto" w:fill="auto"/>
            <w:tcMar>
              <w:top w:w="40" w:type="dxa"/>
              <w:bottom w:w="40" w:type="dxa"/>
              <w:right w:w="0" w:type="dxa"/>
            </w:tcMar>
            <w:vAlign w:val="bottom"/>
          </w:tcPr>
          <w:p w14:paraId="20AE3808" w14:textId="77777777" w:rsidR="00B626E7" w:rsidRDefault="00175C1D">
            <w:pPr>
              <w:jc w:val="right"/>
              <w:textAlignment w:val="bottom"/>
            </w:pPr>
            <w:r>
              <w:rPr>
                <w:rFonts w:ascii="Arial" w:eastAsia="宋体" w:hAnsi="Arial" w:cs="Arial"/>
                <w:b/>
                <w:bCs/>
                <w:color w:val="333333"/>
                <w:sz w:val="18"/>
                <w:szCs w:val="18"/>
              </w:rPr>
              <w:t>(6,010)</w:t>
            </w:r>
          </w:p>
        </w:tc>
        <w:tc>
          <w:tcPr>
            <w:tcW w:w="0" w:type="auto"/>
            <w:shd w:val="clear" w:color="auto" w:fill="auto"/>
            <w:tcMar>
              <w:top w:w="40" w:type="dxa"/>
              <w:bottom w:w="40" w:type="dxa"/>
              <w:right w:w="20" w:type="dxa"/>
            </w:tcMar>
            <w:vAlign w:val="bottom"/>
          </w:tcPr>
          <w:p w14:paraId="20AE3809"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E380A" w14:textId="77777777" w:rsidR="00B626E7" w:rsidRDefault="00B626E7">
            <w:pPr>
              <w:rPr>
                <w:rFonts w:ascii="宋体"/>
                <w:vanish/>
              </w:rPr>
            </w:pPr>
          </w:p>
        </w:tc>
        <w:tc>
          <w:tcPr>
            <w:tcW w:w="0" w:type="auto"/>
            <w:shd w:val="clear" w:color="auto" w:fill="auto"/>
          </w:tcPr>
          <w:p w14:paraId="20AE380B" w14:textId="77777777" w:rsidR="00B626E7" w:rsidRDefault="00B626E7">
            <w:pPr>
              <w:rPr>
                <w:rFonts w:ascii="宋体"/>
                <w:vanish/>
              </w:rPr>
            </w:pPr>
          </w:p>
        </w:tc>
        <w:tc>
          <w:tcPr>
            <w:tcW w:w="0" w:type="auto"/>
            <w:shd w:val="clear" w:color="auto" w:fill="auto"/>
          </w:tcPr>
          <w:p w14:paraId="20AE380C" w14:textId="77777777" w:rsidR="00B626E7" w:rsidRDefault="00B626E7">
            <w:pPr>
              <w:rPr>
                <w:rFonts w:ascii="宋体"/>
                <w:vanish/>
              </w:rPr>
            </w:pPr>
          </w:p>
        </w:tc>
        <w:tc>
          <w:tcPr>
            <w:tcW w:w="0" w:type="auto"/>
            <w:shd w:val="clear" w:color="auto" w:fill="auto"/>
          </w:tcPr>
          <w:p w14:paraId="20AE380D" w14:textId="77777777" w:rsidR="00B626E7" w:rsidRDefault="00B626E7">
            <w:pPr>
              <w:rPr>
                <w:rFonts w:ascii="宋体"/>
                <w:vanish/>
              </w:rPr>
            </w:pPr>
          </w:p>
        </w:tc>
        <w:tc>
          <w:tcPr>
            <w:tcW w:w="0" w:type="auto"/>
            <w:shd w:val="clear" w:color="auto" w:fill="auto"/>
          </w:tcPr>
          <w:p w14:paraId="20AE380E" w14:textId="77777777" w:rsidR="00B626E7" w:rsidRDefault="00B626E7">
            <w:pPr>
              <w:rPr>
                <w:rFonts w:ascii="宋体"/>
              </w:rPr>
            </w:pPr>
          </w:p>
        </w:tc>
        <w:tc>
          <w:tcPr>
            <w:tcW w:w="0" w:type="auto"/>
            <w:shd w:val="clear" w:color="auto" w:fill="auto"/>
          </w:tcPr>
          <w:p w14:paraId="20AE380F" w14:textId="77777777" w:rsidR="00B626E7" w:rsidRDefault="00B626E7">
            <w:pPr>
              <w:rPr>
                <w:rFonts w:ascii="宋体"/>
              </w:rPr>
            </w:pPr>
          </w:p>
        </w:tc>
        <w:tc>
          <w:tcPr>
            <w:tcW w:w="0" w:type="auto"/>
            <w:shd w:val="clear" w:color="auto" w:fill="auto"/>
          </w:tcPr>
          <w:p w14:paraId="20AE3810" w14:textId="77777777" w:rsidR="00B626E7" w:rsidRDefault="00B626E7">
            <w:pPr>
              <w:rPr>
                <w:rFonts w:ascii="宋体"/>
              </w:rPr>
            </w:pPr>
          </w:p>
        </w:tc>
        <w:tc>
          <w:tcPr>
            <w:tcW w:w="0" w:type="auto"/>
            <w:shd w:val="clear" w:color="auto" w:fill="auto"/>
          </w:tcPr>
          <w:p w14:paraId="20AE3811" w14:textId="77777777" w:rsidR="00B626E7" w:rsidRDefault="00B626E7">
            <w:pPr>
              <w:rPr>
                <w:rFonts w:ascii="宋体"/>
              </w:rPr>
            </w:pPr>
          </w:p>
        </w:tc>
        <w:tc>
          <w:tcPr>
            <w:tcW w:w="0" w:type="auto"/>
            <w:shd w:val="clear" w:color="auto" w:fill="auto"/>
          </w:tcPr>
          <w:p w14:paraId="20AE3812" w14:textId="77777777" w:rsidR="00B626E7" w:rsidRDefault="00B626E7">
            <w:pPr>
              <w:rPr>
                <w:rFonts w:ascii="宋体"/>
              </w:rPr>
            </w:pPr>
          </w:p>
        </w:tc>
        <w:tc>
          <w:tcPr>
            <w:tcW w:w="0" w:type="auto"/>
            <w:shd w:val="clear" w:color="auto" w:fill="auto"/>
          </w:tcPr>
          <w:p w14:paraId="20AE3813" w14:textId="77777777" w:rsidR="00B626E7" w:rsidRDefault="00B626E7">
            <w:pPr>
              <w:rPr>
                <w:rFonts w:ascii="宋体"/>
              </w:rPr>
            </w:pPr>
          </w:p>
        </w:tc>
      </w:tr>
      <w:tr w:rsidR="00B626E7" w14:paraId="20AE3828" w14:textId="77777777">
        <w:tc>
          <w:tcPr>
            <w:tcW w:w="0" w:type="auto"/>
            <w:gridSpan w:val="3"/>
            <w:shd w:val="clear" w:color="auto" w:fill="auto"/>
            <w:tcMar>
              <w:top w:w="40" w:type="dxa"/>
              <w:left w:w="20" w:type="dxa"/>
              <w:bottom w:w="40" w:type="dxa"/>
              <w:right w:w="20" w:type="dxa"/>
            </w:tcMar>
            <w:vAlign w:val="bottom"/>
          </w:tcPr>
          <w:p w14:paraId="20AE3815" w14:textId="77777777" w:rsidR="00B626E7" w:rsidRDefault="00175C1D">
            <w:pPr>
              <w:textAlignment w:val="bottom"/>
            </w:pPr>
            <w:r>
              <w:rPr>
                <w:rFonts w:ascii="Arial" w:eastAsia="宋体" w:hAnsi="Arial" w:cs="Arial"/>
                <w:b/>
                <w:bCs/>
                <w:color w:val="333333"/>
                <w:sz w:val="18"/>
                <w:szCs w:val="18"/>
              </w:rPr>
              <w:t>Net cash provided by (used for) financing activities</w:t>
            </w:r>
          </w:p>
        </w:tc>
        <w:tc>
          <w:tcPr>
            <w:tcW w:w="0" w:type="auto"/>
            <w:gridSpan w:val="3"/>
            <w:shd w:val="clear" w:color="auto" w:fill="auto"/>
            <w:tcMar>
              <w:left w:w="20" w:type="dxa"/>
              <w:right w:w="20" w:type="dxa"/>
            </w:tcMar>
            <w:vAlign w:val="bottom"/>
          </w:tcPr>
          <w:p w14:paraId="20AE3816"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3817" w14:textId="77777777" w:rsidR="00B626E7" w:rsidRDefault="00175C1D">
            <w:pPr>
              <w:textAlignment w:val="bottom"/>
            </w:pPr>
            <w:r>
              <w:rPr>
                <w:rFonts w:ascii="Arial" w:eastAsia="宋体" w:hAnsi="Arial" w:cs="Arial"/>
                <w:b/>
                <w:bCs/>
                <w:color w:val="0071C5"/>
                <w:sz w:val="18"/>
                <w:szCs w:val="18"/>
              </w:rPr>
              <w:t>$</w:t>
            </w:r>
          </w:p>
        </w:tc>
        <w:tc>
          <w:tcPr>
            <w:tcW w:w="0" w:type="auto"/>
            <w:shd w:val="clear" w:color="auto" w:fill="auto"/>
            <w:tcMar>
              <w:top w:w="40" w:type="dxa"/>
              <w:bottom w:w="40" w:type="dxa"/>
              <w:right w:w="0" w:type="dxa"/>
            </w:tcMar>
            <w:vAlign w:val="bottom"/>
          </w:tcPr>
          <w:p w14:paraId="20AE3818" w14:textId="77777777" w:rsidR="00B626E7" w:rsidRDefault="00175C1D">
            <w:pPr>
              <w:jc w:val="right"/>
              <w:textAlignment w:val="bottom"/>
            </w:pPr>
            <w:r>
              <w:rPr>
                <w:rFonts w:ascii="Arial" w:eastAsia="宋体" w:hAnsi="Arial" w:cs="Arial"/>
                <w:b/>
                <w:bCs/>
                <w:color w:val="0071C5"/>
                <w:sz w:val="18"/>
                <w:szCs w:val="18"/>
              </w:rPr>
              <w:t>1,573 </w:t>
            </w:r>
          </w:p>
        </w:tc>
        <w:tc>
          <w:tcPr>
            <w:tcW w:w="0" w:type="auto"/>
            <w:shd w:val="clear" w:color="auto" w:fill="auto"/>
            <w:tcMar>
              <w:top w:w="40" w:type="dxa"/>
              <w:bottom w:w="40" w:type="dxa"/>
              <w:right w:w="20" w:type="dxa"/>
            </w:tcMar>
            <w:vAlign w:val="bottom"/>
          </w:tcPr>
          <w:p w14:paraId="20AE3819" w14:textId="77777777" w:rsidR="00B626E7" w:rsidRDefault="00175C1D">
            <w:pPr>
              <w:jc w:val="right"/>
              <w:textAlignment w:val="bottom"/>
            </w:pPr>
            <w:r>
              <w:rPr>
                <w:rFonts w:ascii="Arial" w:eastAsia="宋体" w:hAnsi="Arial" w:cs="Arial"/>
                <w:b/>
                <w:bCs/>
                <w:color w:val="0071C5"/>
                <w:sz w:val="18"/>
                <w:szCs w:val="18"/>
              </w:rPr>
              <w:t> </w:t>
            </w:r>
          </w:p>
        </w:tc>
        <w:tc>
          <w:tcPr>
            <w:tcW w:w="0" w:type="auto"/>
            <w:gridSpan w:val="3"/>
            <w:shd w:val="clear" w:color="auto" w:fill="auto"/>
            <w:tcMar>
              <w:left w:w="20" w:type="dxa"/>
              <w:right w:w="20" w:type="dxa"/>
            </w:tcMar>
            <w:vAlign w:val="bottom"/>
          </w:tcPr>
          <w:p w14:paraId="20AE381A" w14:textId="77777777" w:rsidR="00B626E7" w:rsidRDefault="00B626E7">
            <w:pPr>
              <w:rPr>
                <w:rFonts w:ascii="宋体"/>
              </w:rPr>
            </w:pPr>
          </w:p>
        </w:tc>
        <w:tc>
          <w:tcPr>
            <w:tcW w:w="0" w:type="auto"/>
            <w:shd w:val="clear" w:color="auto" w:fill="auto"/>
            <w:tcMar>
              <w:top w:w="40" w:type="dxa"/>
              <w:left w:w="20" w:type="dxa"/>
              <w:bottom w:w="40" w:type="dxa"/>
            </w:tcMar>
            <w:vAlign w:val="bottom"/>
          </w:tcPr>
          <w:p w14:paraId="20AE381B" w14:textId="77777777" w:rsidR="00B626E7" w:rsidRDefault="00175C1D">
            <w:pPr>
              <w:textAlignment w:val="bottom"/>
            </w:pPr>
            <w:r>
              <w:rPr>
                <w:rFonts w:ascii="Arial" w:eastAsia="宋体" w:hAnsi="Arial" w:cs="Arial"/>
                <w:b/>
                <w:bCs/>
                <w:color w:val="333333"/>
                <w:sz w:val="18"/>
                <w:szCs w:val="18"/>
              </w:rPr>
              <w:t>$</w:t>
            </w:r>
          </w:p>
        </w:tc>
        <w:tc>
          <w:tcPr>
            <w:tcW w:w="0" w:type="auto"/>
            <w:shd w:val="clear" w:color="auto" w:fill="auto"/>
            <w:tcMar>
              <w:top w:w="40" w:type="dxa"/>
              <w:bottom w:w="40" w:type="dxa"/>
              <w:right w:w="0" w:type="dxa"/>
            </w:tcMar>
            <w:vAlign w:val="bottom"/>
          </w:tcPr>
          <w:p w14:paraId="20AE381C" w14:textId="77777777" w:rsidR="00B626E7" w:rsidRDefault="00175C1D">
            <w:pPr>
              <w:jc w:val="right"/>
              <w:textAlignment w:val="bottom"/>
            </w:pPr>
            <w:r>
              <w:rPr>
                <w:rFonts w:ascii="Arial" w:eastAsia="宋体" w:hAnsi="Arial" w:cs="Arial"/>
                <w:b/>
                <w:bCs/>
                <w:color w:val="333333"/>
                <w:sz w:val="18"/>
                <w:szCs w:val="18"/>
              </w:rPr>
              <w:t>(6,688)</w:t>
            </w:r>
          </w:p>
        </w:tc>
        <w:tc>
          <w:tcPr>
            <w:tcW w:w="0" w:type="auto"/>
            <w:shd w:val="clear" w:color="auto" w:fill="auto"/>
            <w:tcMar>
              <w:top w:w="40" w:type="dxa"/>
              <w:bottom w:w="40" w:type="dxa"/>
              <w:right w:w="20" w:type="dxa"/>
            </w:tcMar>
            <w:vAlign w:val="bottom"/>
          </w:tcPr>
          <w:p w14:paraId="20AE381D" w14:textId="77777777" w:rsidR="00B626E7" w:rsidRDefault="00175C1D">
            <w:pPr>
              <w:jc w:val="right"/>
              <w:textAlignment w:val="bottom"/>
            </w:pPr>
            <w:r>
              <w:rPr>
                <w:rFonts w:ascii="Arial" w:eastAsia="宋体" w:hAnsi="Arial" w:cs="Arial"/>
                <w:b/>
                <w:bCs/>
                <w:color w:val="333333"/>
                <w:sz w:val="18"/>
                <w:szCs w:val="18"/>
              </w:rPr>
              <w:t> </w:t>
            </w:r>
          </w:p>
        </w:tc>
        <w:tc>
          <w:tcPr>
            <w:tcW w:w="0" w:type="auto"/>
            <w:shd w:val="clear" w:color="auto" w:fill="auto"/>
          </w:tcPr>
          <w:p w14:paraId="20AE381E" w14:textId="77777777" w:rsidR="00B626E7" w:rsidRDefault="00B626E7">
            <w:pPr>
              <w:rPr>
                <w:rFonts w:ascii="宋体"/>
                <w:vanish/>
              </w:rPr>
            </w:pPr>
          </w:p>
        </w:tc>
        <w:tc>
          <w:tcPr>
            <w:tcW w:w="0" w:type="auto"/>
            <w:shd w:val="clear" w:color="auto" w:fill="auto"/>
          </w:tcPr>
          <w:p w14:paraId="20AE381F" w14:textId="77777777" w:rsidR="00B626E7" w:rsidRDefault="00B626E7">
            <w:pPr>
              <w:rPr>
                <w:rFonts w:ascii="宋体"/>
                <w:vanish/>
              </w:rPr>
            </w:pPr>
          </w:p>
        </w:tc>
        <w:tc>
          <w:tcPr>
            <w:tcW w:w="0" w:type="auto"/>
            <w:shd w:val="clear" w:color="auto" w:fill="auto"/>
          </w:tcPr>
          <w:p w14:paraId="20AE3820" w14:textId="77777777" w:rsidR="00B626E7" w:rsidRDefault="00B626E7">
            <w:pPr>
              <w:rPr>
                <w:rFonts w:ascii="宋体"/>
                <w:vanish/>
              </w:rPr>
            </w:pPr>
          </w:p>
        </w:tc>
        <w:tc>
          <w:tcPr>
            <w:tcW w:w="0" w:type="auto"/>
            <w:shd w:val="clear" w:color="auto" w:fill="auto"/>
          </w:tcPr>
          <w:p w14:paraId="20AE3821" w14:textId="77777777" w:rsidR="00B626E7" w:rsidRDefault="00B626E7">
            <w:pPr>
              <w:rPr>
                <w:rFonts w:ascii="宋体"/>
                <w:vanish/>
              </w:rPr>
            </w:pPr>
          </w:p>
        </w:tc>
        <w:tc>
          <w:tcPr>
            <w:tcW w:w="0" w:type="auto"/>
            <w:shd w:val="clear" w:color="auto" w:fill="auto"/>
          </w:tcPr>
          <w:p w14:paraId="20AE3822" w14:textId="77777777" w:rsidR="00B626E7" w:rsidRDefault="00B626E7">
            <w:pPr>
              <w:rPr>
                <w:rFonts w:ascii="宋体"/>
              </w:rPr>
            </w:pPr>
          </w:p>
        </w:tc>
        <w:tc>
          <w:tcPr>
            <w:tcW w:w="0" w:type="auto"/>
            <w:shd w:val="clear" w:color="auto" w:fill="auto"/>
          </w:tcPr>
          <w:p w14:paraId="20AE3823" w14:textId="77777777" w:rsidR="00B626E7" w:rsidRDefault="00B626E7">
            <w:pPr>
              <w:rPr>
                <w:rFonts w:ascii="宋体"/>
              </w:rPr>
            </w:pPr>
          </w:p>
        </w:tc>
        <w:tc>
          <w:tcPr>
            <w:tcW w:w="0" w:type="auto"/>
            <w:shd w:val="clear" w:color="auto" w:fill="auto"/>
          </w:tcPr>
          <w:p w14:paraId="20AE3824" w14:textId="77777777" w:rsidR="00B626E7" w:rsidRDefault="00B626E7">
            <w:pPr>
              <w:rPr>
                <w:rFonts w:ascii="宋体"/>
              </w:rPr>
            </w:pPr>
          </w:p>
        </w:tc>
        <w:tc>
          <w:tcPr>
            <w:tcW w:w="0" w:type="auto"/>
            <w:shd w:val="clear" w:color="auto" w:fill="auto"/>
          </w:tcPr>
          <w:p w14:paraId="20AE3825" w14:textId="77777777" w:rsidR="00B626E7" w:rsidRDefault="00B626E7">
            <w:pPr>
              <w:rPr>
                <w:rFonts w:ascii="宋体"/>
              </w:rPr>
            </w:pPr>
          </w:p>
        </w:tc>
        <w:tc>
          <w:tcPr>
            <w:tcW w:w="0" w:type="auto"/>
            <w:shd w:val="clear" w:color="auto" w:fill="auto"/>
          </w:tcPr>
          <w:p w14:paraId="20AE3826" w14:textId="77777777" w:rsidR="00B626E7" w:rsidRDefault="00B626E7">
            <w:pPr>
              <w:rPr>
                <w:rFonts w:ascii="宋体"/>
              </w:rPr>
            </w:pPr>
          </w:p>
        </w:tc>
        <w:tc>
          <w:tcPr>
            <w:tcW w:w="0" w:type="auto"/>
            <w:shd w:val="clear" w:color="auto" w:fill="auto"/>
          </w:tcPr>
          <w:p w14:paraId="20AE3827" w14:textId="77777777" w:rsidR="00B626E7" w:rsidRDefault="00B626E7">
            <w:pPr>
              <w:rPr>
                <w:rFonts w:ascii="宋体"/>
              </w:rPr>
            </w:pPr>
          </w:p>
        </w:tc>
      </w:tr>
    </w:tbl>
    <w:p w14:paraId="20AE3829" w14:textId="77777777" w:rsidR="00B626E7" w:rsidRDefault="00B626E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84"/>
        <w:gridCol w:w="2423"/>
        <w:gridCol w:w="84"/>
        <w:gridCol w:w="83"/>
        <w:gridCol w:w="3471"/>
        <w:gridCol w:w="83"/>
        <w:gridCol w:w="83"/>
        <w:gridCol w:w="1942"/>
        <w:gridCol w:w="83"/>
      </w:tblGrid>
      <w:tr w:rsidR="00B626E7" w14:paraId="20AE3833" w14:textId="77777777">
        <w:tc>
          <w:tcPr>
            <w:tcW w:w="50" w:type="pct"/>
            <w:shd w:val="clear" w:color="auto" w:fill="auto"/>
            <w:vAlign w:val="bottom"/>
          </w:tcPr>
          <w:p w14:paraId="20AE382A" w14:textId="77777777" w:rsidR="00B626E7" w:rsidRDefault="00B626E7">
            <w:pPr>
              <w:rPr>
                <w:rFonts w:ascii="宋体"/>
              </w:rPr>
            </w:pPr>
          </w:p>
        </w:tc>
        <w:tc>
          <w:tcPr>
            <w:tcW w:w="1452" w:type="pct"/>
            <w:shd w:val="clear" w:color="auto" w:fill="auto"/>
            <w:vAlign w:val="bottom"/>
          </w:tcPr>
          <w:p w14:paraId="20AE382B" w14:textId="77777777" w:rsidR="00B626E7" w:rsidRDefault="00B626E7">
            <w:pPr>
              <w:rPr>
                <w:rFonts w:ascii="宋体"/>
              </w:rPr>
            </w:pPr>
          </w:p>
        </w:tc>
        <w:tc>
          <w:tcPr>
            <w:tcW w:w="50" w:type="pct"/>
            <w:shd w:val="clear" w:color="auto" w:fill="auto"/>
            <w:vAlign w:val="bottom"/>
          </w:tcPr>
          <w:p w14:paraId="20AE382C" w14:textId="77777777" w:rsidR="00B626E7" w:rsidRDefault="00B626E7">
            <w:pPr>
              <w:rPr>
                <w:rFonts w:ascii="宋体"/>
              </w:rPr>
            </w:pPr>
          </w:p>
        </w:tc>
        <w:tc>
          <w:tcPr>
            <w:tcW w:w="50" w:type="pct"/>
            <w:shd w:val="clear" w:color="auto" w:fill="auto"/>
            <w:vAlign w:val="bottom"/>
          </w:tcPr>
          <w:p w14:paraId="20AE382D" w14:textId="77777777" w:rsidR="00B626E7" w:rsidRDefault="00B626E7">
            <w:pPr>
              <w:rPr>
                <w:rFonts w:ascii="宋体"/>
              </w:rPr>
            </w:pPr>
          </w:p>
        </w:tc>
        <w:tc>
          <w:tcPr>
            <w:tcW w:w="2081" w:type="pct"/>
            <w:shd w:val="clear" w:color="auto" w:fill="auto"/>
            <w:vAlign w:val="bottom"/>
          </w:tcPr>
          <w:p w14:paraId="20AE382E" w14:textId="77777777" w:rsidR="00B626E7" w:rsidRDefault="00B626E7">
            <w:pPr>
              <w:rPr>
                <w:rFonts w:ascii="宋体"/>
              </w:rPr>
            </w:pPr>
          </w:p>
        </w:tc>
        <w:tc>
          <w:tcPr>
            <w:tcW w:w="50" w:type="pct"/>
            <w:shd w:val="clear" w:color="auto" w:fill="auto"/>
            <w:vAlign w:val="bottom"/>
          </w:tcPr>
          <w:p w14:paraId="20AE382F" w14:textId="77777777" w:rsidR="00B626E7" w:rsidRDefault="00B626E7">
            <w:pPr>
              <w:rPr>
                <w:rFonts w:ascii="宋体"/>
              </w:rPr>
            </w:pPr>
          </w:p>
        </w:tc>
        <w:tc>
          <w:tcPr>
            <w:tcW w:w="50" w:type="pct"/>
            <w:shd w:val="clear" w:color="auto" w:fill="auto"/>
            <w:vAlign w:val="bottom"/>
          </w:tcPr>
          <w:p w14:paraId="20AE3830" w14:textId="77777777" w:rsidR="00B626E7" w:rsidRDefault="00B626E7">
            <w:pPr>
              <w:rPr>
                <w:rFonts w:ascii="宋体"/>
              </w:rPr>
            </w:pPr>
          </w:p>
        </w:tc>
        <w:tc>
          <w:tcPr>
            <w:tcW w:w="1165" w:type="pct"/>
            <w:shd w:val="clear" w:color="auto" w:fill="auto"/>
            <w:vAlign w:val="bottom"/>
          </w:tcPr>
          <w:p w14:paraId="20AE3831" w14:textId="77777777" w:rsidR="00B626E7" w:rsidRDefault="00B626E7">
            <w:pPr>
              <w:rPr>
                <w:rFonts w:ascii="宋体"/>
              </w:rPr>
            </w:pPr>
          </w:p>
        </w:tc>
        <w:tc>
          <w:tcPr>
            <w:tcW w:w="50" w:type="pct"/>
            <w:shd w:val="clear" w:color="auto" w:fill="auto"/>
            <w:vAlign w:val="bottom"/>
          </w:tcPr>
          <w:p w14:paraId="20AE3832" w14:textId="77777777" w:rsidR="00B626E7" w:rsidRDefault="00B626E7">
            <w:pPr>
              <w:rPr>
                <w:rFonts w:ascii="宋体"/>
              </w:rPr>
            </w:pPr>
          </w:p>
        </w:tc>
      </w:tr>
      <w:tr w:rsidR="00B626E7" w14:paraId="20AE3837" w14:textId="77777777">
        <w:tc>
          <w:tcPr>
            <w:tcW w:w="0" w:type="auto"/>
            <w:gridSpan w:val="3"/>
            <w:tcBorders>
              <w:top w:val="single" w:sz="8" w:space="0" w:color="0071C5"/>
            </w:tcBorders>
            <w:shd w:val="clear" w:color="auto" w:fill="auto"/>
            <w:tcMar>
              <w:top w:w="40" w:type="dxa"/>
              <w:left w:w="20" w:type="dxa"/>
              <w:bottom w:w="40" w:type="dxa"/>
              <w:right w:w="20" w:type="dxa"/>
            </w:tcMar>
            <w:vAlign w:val="center"/>
          </w:tcPr>
          <w:p w14:paraId="20AE3834" w14:textId="77777777" w:rsidR="00B626E7" w:rsidRDefault="00175C1D">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Viewer10_files/intc-20200627_g36.jpg"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C2" wp14:editId="20AE3CC3">
                  <wp:extent cx="304800" cy="304800"/>
                  <wp:effectExtent l="0" t="0" r="0" b="0"/>
                  <wp:docPr id="59" name="图片 146"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46" descr="IMG_32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Arial" w:eastAsia="宋体" w:hAnsi="Arial" w:cs="Arial"/>
                <w:color w:val="333333"/>
                <w:sz w:val="16"/>
                <w:szCs w:val="16"/>
              </w:rPr>
              <w:t>MD&amp;A</w:t>
            </w:r>
          </w:p>
        </w:tc>
        <w:tc>
          <w:tcPr>
            <w:tcW w:w="0" w:type="auto"/>
            <w:gridSpan w:val="3"/>
            <w:tcBorders>
              <w:top w:val="single" w:sz="8" w:space="0" w:color="0071C5"/>
            </w:tcBorders>
            <w:shd w:val="clear" w:color="auto" w:fill="auto"/>
            <w:tcMar>
              <w:left w:w="20" w:type="dxa"/>
              <w:right w:w="20" w:type="dxa"/>
            </w:tcMar>
            <w:vAlign w:val="bottom"/>
          </w:tcPr>
          <w:p w14:paraId="20AE3835"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3836" w14:textId="77777777" w:rsidR="00B626E7" w:rsidRDefault="00175C1D">
            <w:pPr>
              <w:jc w:val="right"/>
              <w:textAlignment w:val="bottom"/>
            </w:pPr>
            <w:r>
              <w:rPr>
                <w:rFonts w:ascii="Arial" w:eastAsia="宋体" w:hAnsi="Arial" w:cs="Arial"/>
                <w:color w:val="333333"/>
                <w:sz w:val="16"/>
                <w:szCs w:val="16"/>
              </w:rPr>
              <w:t>43</w:t>
            </w:r>
          </w:p>
        </w:tc>
      </w:tr>
    </w:tbl>
    <w:p w14:paraId="20AE3838" w14:textId="77777777" w:rsidR="00B626E7" w:rsidRDefault="00175C1D">
      <w:r>
        <w:pict w14:anchorId="20AE3CC4">
          <v:rect id="_x0000_i1069" style="width:415.3pt;height:1.5pt" o:hralign="center" o:hrstd="t" o:hr="t" fillcolor="#a0a0a0" stroked="f"/>
        </w:pict>
      </w:r>
    </w:p>
    <w:p w14:paraId="20AE3839" w14:textId="77777777" w:rsidR="00B626E7" w:rsidRDefault="00175C1D">
      <w:pPr>
        <w:spacing w:after="180"/>
        <w:jc w:val="right"/>
      </w:pPr>
      <w:hyperlink r:id="rId70" w:anchor="ib035cc8759904e51927d703ec8414366_7" w:history="1">
        <w:r>
          <w:rPr>
            <w:rStyle w:val="a5"/>
            <w:rFonts w:ascii="Arial" w:eastAsia="宋体" w:hAnsi="Arial" w:cs="Arial"/>
            <w:b/>
            <w:bCs/>
            <w:sz w:val="16"/>
            <w:szCs w:val="16"/>
          </w:rPr>
          <w:t>Table of Contents</w:t>
        </w:r>
      </w:hyperlink>
    </w:p>
    <w:p w14:paraId="20AE383A" w14:textId="77777777" w:rsidR="00B626E7" w:rsidRDefault="00B626E7">
      <w:pPr>
        <w:spacing w:after="180"/>
        <w:jc w:val="right"/>
      </w:pPr>
    </w:p>
    <w:tbl>
      <w:tblPr>
        <w:tblW w:w="5000" w:type="pct"/>
        <w:jc w:val="center"/>
        <w:tblCellMar>
          <w:top w:w="15" w:type="dxa"/>
          <w:left w:w="15" w:type="dxa"/>
          <w:bottom w:w="15" w:type="dxa"/>
          <w:right w:w="15" w:type="dxa"/>
        </w:tblCellMar>
        <w:tblLook w:val="04A0" w:firstRow="1" w:lastRow="0" w:firstColumn="1" w:lastColumn="0" w:noHBand="0" w:noVBand="1"/>
      </w:tblPr>
      <w:tblGrid>
        <w:gridCol w:w="84"/>
        <w:gridCol w:w="8169"/>
        <w:gridCol w:w="83"/>
      </w:tblGrid>
      <w:tr w:rsidR="00B626E7" w14:paraId="20AE383E" w14:textId="77777777">
        <w:trPr>
          <w:jc w:val="center"/>
        </w:trPr>
        <w:tc>
          <w:tcPr>
            <w:tcW w:w="50" w:type="pct"/>
            <w:shd w:val="clear" w:color="auto" w:fill="auto"/>
          </w:tcPr>
          <w:p w14:paraId="20AE383B" w14:textId="77777777" w:rsidR="00B626E7" w:rsidRDefault="00B626E7">
            <w:pPr>
              <w:rPr>
                <w:rFonts w:ascii="宋体"/>
              </w:rPr>
            </w:pPr>
          </w:p>
        </w:tc>
        <w:tc>
          <w:tcPr>
            <w:tcW w:w="4900" w:type="pct"/>
            <w:shd w:val="clear" w:color="auto" w:fill="auto"/>
          </w:tcPr>
          <w:p w14:paraId="20AE383C" w14:textId="77777777" w:rsidR="00B626E7" w:rsidRDefault="00B626E7">
            <w:pPr>
              <w:rPr>
                <w:rFonts w:ascii="宋体"/>
              </w:rPr>
            </w:pPr>
          </w:p>
        </w:tc>
        <w:tc>
          <w:tcPr>
            <w:tcW w:w="50" w:type="pct"/>
            <w:shd w:val="clear" w:color="auto" w:fill="auto"/>
          </w:tcPr>
          <w:p w14:paraId="20AE383D" w14:textId="77777777" w:rsidR="00B626E7" w:rsidRDefault="00B626E7">
            <w:pPr>
              <w:rPr>
                <w:rFonts w:ascii="宋体"/>
              </w:rPr>
            </w:pPr>
          </w:p>
        </w:tc>
      </w:tr>
      <w:tr w:rsidR="00B626E7" w14:paraId="20AE3840" w14:textId="77777777">
        <w:trPr>
          <w:jc w:val="center"/>
        </w:trPr>
        <w:tc>
          <w:tcPr>
            <w:tcW w:w="0" w:type="auto"/>
            <w:gridSpan w:val="3"/>
            <w:shd w:val="clear" w:color="auto" w:fill="0071C5"/>
            <w:tcMar>
              <w:top w:w="40" w:type="dxa"/>
              <w:left w:w="20" w:type="dxa"/>
              <w:bottom w:w="40" w:type="dxa"/>
              <w:right w:w="20" w:type="dxa"/>
            </w:tcMar>
            <w:vAlign w:val="bottom"/>
          </w:tcPr>
          <w:p w14:paraId="20AE383F" w14:textId="77777777" w:rsidR="00B626E7" w:rsidRDefault="00175C1D">
            <w:pPr>
              <w:textAlignment w:val="bottom"/>
            </w:pPr>
            <w:r>
              <w:rPr>
                <w:rFonts w:ascii="Arial" w:eastAsia="宋体" w:hAnsi="Arial" w:cs="Arial"/>
                <w:b/>
                <w:bCs/>
                <w:color w:val="FFFFFF"/>
                <w:sz w:val="28"/>
                <w:szCs w:val="28"/>
              </w:rPr>
              <w:t>OTHER KEY INFORMATION</w:t>
            </w:r>
          </w:p>
        </w:tc>
      </w:tr>
    </w:tbl>
    <w:p w14:paraId="20AE3841" w14:textId="77777777" w:rsidR="00B626E7" w:rsidRDefault="00175C1D">
      <w:pPr>
        <w:spacing w:before="300" w:after="180"/>
      </w:pPr>
      <w:r>
        <w:rPr>
          <w:rFonts w:ascii="Arial" w:eastAsia="宋体" w:hAnsi="Arial" w:cs="Arial"/>
          <w:b/>
          <w:bCs/>
          <w:color w:val="0071C5"/>
          <w:sz w:val="28"/>
          <w:szCs w:val="28"/>
        </w:rPr>
        <w:t>RISK FACTORS</w:t>
      </w:r>
    </w:p>
    <w:p w14:paraId="20AE3842" w14:textId="77777777" w:rsidR="00B626E7" w:rsidRDefault="00175C1D">
      <w:pPr>
        <w:spacing w:after="180"/>
      </w:pPr>
      <w:r>
        <w:rPr>
          <w:rFonts w:ascii="Arial" w:eastAsia="宋体" w:hAnsi="Arial" w:cs="Arial"/>
          <w:color w:val="333333"/>
          <w:sz w:val="18"/>
          <w:szCs w:val="18"/>
        </w:rPr>
        <w:t>The risks described in "Risk Factors" within Other Key Information in our 2019 Form 10-K and our Form 10-Q for the quarter ended March 28, 2020 (Q1 2020 Form 10-Q) could materially and adversely affect our business, financial condition, and results of oper</w:t>
      </w:r>
      <w:r>
        <w:rPr>
          <w:rFonts w:ascii="Arial" w:eastAsia="宋体" w:hAnsi="Arial" w:cs="Arial"/>
          <w:color w:val="333333"/>
          <w:sz w:val="18"/>
          <w:szCs w:val="18"/>
        </w:rPr>
        <w:t>ations, and the trading price of our common stock could decline. The Risk Factors section in our 2019 Form 10-K, as updated by our Q1 2020 Form 10-Q and the discussions of the COVID-19 pandemic in this report, remains current in all material respects. Thes</w:t>
      </w:r>
      <w:r>
        <w:rPr>
          <w:rFonts w:ascii="Arial" w:eastAsia="宋体" w:hAnsi="Arial" w:cs="Arial"/>
          <w:color w:val="333333"/>
          <w:sz w:val="18"/>
          <w:szCs w:val="18"/>
        </w:rPr>
        <w:t>e risk factors do not identify all risks that we face—our operations could also be affected by factors that are not presently known to us or that we currently consider to be immaterial to our operations. Due to risks and uncertainties, known and unknown, o</w:t>
      </w:r>
      <w:r>
        <w:rPr>
          <w:rFonts w:ascii="Arial" w:eastAsia="宋体" w:hAnsi="Arial" w:cs="Arial"/>
          <w:color w:val="333333"/>
          <w:sz w:val="18"/>
          <w:szCs w:val="18"/>
        </w:rPr>
        <w:t xml:space="preserve">ur past financial results may not be a reliable indicator of future performance and historical trends should not be used to anticipate results or trends in future periods. </w:t>
      </w:r>
    </w:p>
    <w:p w14:paraId="20AE3843" w14:textId="77777777" w:rsidR="00B626E7" w:rsidRDefault="00175C1D">
      <w:pPr>
        <w:spacing w:before="300" w:after="180"/>
      </w:pPr>
      <w:r>
        <w:rPr>
          <w:rFonts w:ascii="Arial" w:eastAsia="宋体" w:hAnsi="Arial" w:cs="Arial"/>
          <w:b/>
          <w:bCs/>
          <w:color w:val="0071C5"/>
          <w:sz w:val="28"/>
          <w:szCs w:val="28"/>
        </w:rPr>
        <w:t>CONTROLS AND PROCEDURES</w:t>
      </w:r>
    </w:p>
    <w:p w14:paraId="20AE3844" w14:textId="77777777" w:rsidR="00B626E7" w:rsidRDefault="00175C1D">
      <w:pPr>
        <w:spacing w:after="120"/>
      </w:pPr>
      <w:r>
        <w:rPr>
          <w:rFonts w:ascii="Arial" w:eastAsia="宋体" w:hAnsi="Arial" w:cs="Arial"/>
          <w:b/>
          <w:bCs/>
          <w:color w:val="333333"/>
          <w:sz w:val="20"/>
          <w:szCs w:val="20"/>
        </w:rPr>
        <w:t>Inherent Limitations on Effectiveness of Controls</w:t>
      </w:r>
    </w:p>
    <w:p w14:paraId="20AE3845" w14:textId="77777777" w:rsidR="00B626E7" w:rsidRDefault="00175C1D">
      <w:pPr>
        <w:spacing w:after="180"/>
      </w:pPr>
      <w:r>
        <w:rPr>
          <w:rFonts w:ascii="Arial" w:eastAsia="宋体" w:hAnsi="Arial" w:cs="Arial"/>
          <w:color w:val="333333"/>
          <w:sz w:val="18"/>
          <w:szCs w:val="18"/>
        </w:rPr>
        <w:t>Our manag</w:t>
      </w:r>
      <w:r>
        <w:rPr>
          <w:rFonts w:ascii="Arial" w:eastAsia="宋体" w:hAnsi="Arial" w:cs="Arial"/>
          <w:color w:val="333333"/>
          <w:sz w:val="18"/>
          <w:szCs w:val="18"/>
        </w:rPr>
        <w:t>ement, including the principal executive officer and principal financial officer, does not expect that our disclosure controls and procedures or our internal control over financial reporting will prevent or detect all errors and all fraud. A control system</w:t>
      </w:r>
      <w:r>
        <w:rPr>
          <w:rFonts w:ascii="Arial" w:eastAsia="宋体" w:hAnsi="Arial" w:cs="Arial"/>
          <w:color w:val="333333"/>
          <w:sz w:val="18"/>
          <w:szCs w:val="18"/>
        </w:rPr>
        <w:t>, no matter how well-designed and operated, can provide only reasonable, not absolute, assurance that the control system’s objectives will be met. The design of a control system must reflect the fact that there are resource constraints, and the benefits of</w:t>
      </w:r>
      <w:r>
        <w:rPr>
          <w:rFonts w:ascii="Arial" w:eastAsia="宋体" w:hAnsi="Arial" w:cs="Arial"/>
          <w:color w:val="333333"/>
          <w:sz w:val="18"/>
          <w:szCs w:val="18"/>
        </w:rPr>
        <w:t xml:space="preserve"> controls must be considered relative to their costs. Further, because of the inherent limitations in all control systems, no evaluation of controls can provide absolute assurance that misstatements due to error or fraud will not occur or that all control </w:t>
      </w:r>
      <w:r>
        <w:rPr>
          <w:rFonts w:ascii="Arial" w:eastAsia="宋体" w:hAnsi="Arial" w:cs="Arial"/>
          <w:color w:val="333333"/>
          <w:sz w:val="18"/>
          <w:szCs w:val="18"/>
        </w:rPr>
        <w:t>issues and instances of fraud, if any, have been detected.</w:t>
      </w:r>
    </w:p>
    <w:p w14:paraId="20AE3846" w14:textId="77777777" w:rsidR="00B626E7" w:rsidRDefault="00175C1D">
      <w:pPr>
        <w:spacing w:after="120"/>
      </w:pPr>
      <w:r>
        <w:rPr>
          <w:rFonts w:ascii="Arial" w:eastAsia="宋体" w:hAnsi="Arial" w:cs="Arial"/>
          <w:b/>
          <w:bCs/>
          <w:color w:val="333333"/>
          <w:sz w:val="20"/>
          <w:szCs w:val="20"/>
        </w:rPr>
        <w:t>Evaluation of Disclosure Controls and Procedures</w:t>
      </w:r>
    </w:p>
    <w:p w14:paraId="20AE3847" w14:textId="77777777" w:rsidR="00B626E7" w:rsidRDefault="00175C1D">
      <w:pPr>
        <w:spacing w:after="180"/>
      </w:pPr>
      <w:r>
        <w:rPr>
          <w:rFonts w:ascii="Arial" w:eastAsia="宋体" w:hAnsi="Arial" w:cs="Arial"/>
          <w:color w:val="333333"/>
          <w:sz w:val="18"/>
          <w:szCs w:val="18"/>
        </w:rPr>
        <w:t>Due to the COVID-19 pandemic, a significant portion of our employees are working from home. Established business continuity plans remain activated i</w:t>
      </w:r>
      <w:r>
        <w:rPr>
          <w:rFonts w:ascii="Arial" w:eastAsia="宋体" w:hAnsi="Arial" w:cs="Arial"/>
          <w:color w:val="333333"/>
          <w:sz w:val="18"/>
          <w:szCs w:val="18"/>
        </w:rPr>
        <w:t>n order to mitigate the impact to our control environment, operating procedures, data and internal controls. The design of our processes and controls allow for remote execution with accessibility to secure data.</w:t>
      </w:r>
    </w:p>
    <w:p w14:paraId="20AE3848" w14:textId="77777777" w:rsidR="00B626E7" w:rsidRDefault="00175C1D">
      <w:pPr>
        <w:spacing w:after="180"/>
      </w:pPr>
      <w:r>
        <w:rPr>
          <w:rFonts w:ascii="Arial" w:eastAsia="宋体" w:hAnsi="Arial" w:cs="Arial"/>
          <w:color w:val="333333"/>
          <w:sz w:val="18"/>
          <w:szCs w:val="18"/>
        </w:rPr>
        <w:t>Based on management’s evaluation (with the p</w:t>
      </w:r>
      <w:r>
        <w:rPr>
          <w:rFonts w:ascii="Arial" w:eastAsia="宋体" w:hAnsi="Arial" w:cs="Arial"/>
          <w:color w:val="333333"/>
          <w:sz w:val="18"/>
          <w:szCs w:val="18"/>
        </w:rPr>
        <w:t>articipation of our principal executive officer and principal financial officer), as of the end of the period covered by this report, our principal executive officer and principal financial officer have concluded that our disclosure controls and procedures</w:t>
      </w:r>
      <w:r>
        <w:rPr>
          <w:rFonts w:ascii="Arial" w:eastAsia="宋体" w:hAnsi="Arial" w:cs="Arial"/>
          <w:color w:val="333333"/>
          <w:sz w:val="18"/>
          <w:szCs w:val="18"/>
        </w:rPr>
        <w:t xml:space="preserve"> (as defined in Rules 13a-15(e) and 15d-15(e) under the Securities Exchange Act of 1934, as amended (the Exchange Act)), are effective to provide reasonable assurance that information required to be disclosed by us in reports that we file or submit under t</w:t>
      </w:r>
      <w:r>
        <w:rPr>
          <w:rFonts w:ascii="Arial" w:eastAsia="宋体" w:hAnsi="Arial" w:cs="Arial"/>
          <w:color w:val="333333"/>
          <w:sz w:val="18"/>
          <w:szCs w:val="18"/>
        </w:rPr>
        <w:t>he Exchange Act is recorded, processed, summarized, and reported within the time periods specified in SEC rules and forms, and is accumulated and communicated to management, including our principal executive officer and principal financial officer, as appr</w:t>
      </w:r>
      <w:r>
        <w:rPr>
          <w:rFonts w:ascii="Arial" w:eastAsia="宋体" w:hAnsi="Arial" w:cs="Arial"/>
          <w:color w:val="333333"/>
          <w:sz w:val="18"/>
          <w:szCs w:val="18"/>
        </w:rPr>
        <w:t>opriate, to allow timely decisions regarding required disclosure.</w:t>
      </w:r>
    </w:p>
    <w:p w14:paraId="20AE3849" w14:textId="77777777" w:rsidR="00B626E7" w:rsidRDefault="00175C1D">
      <w:pPr>
        <w:spacing w:after="120"/>
      </w:pPr>
      <w:r>
        <w:rPr>
          <w:rFonts w:ascii="Arial" w:eastAsia="宋体" w:hAnsi="Arial" w:cs="Arial"/>
          <w:b/>
          <w:bCs/>
          <w:color w:val="333333"/>
          <w:sz w:val="20"/>
          <w:szCs w:val="20"/>
        </w:rPr>
        <w:t>Changes in Internal Control Over Financial Reporting</w:t>
      </w:r>
    </w:p>
    <w:p w14:paraId="20AE384A" w14:textId="77777777" w:rsidR="00B626E7" w:rsidRDefault="00175C1D">
      <w:pPr>
        <w:spacing w:after="180"/>
      </w:pPr>
      <w:r>
        <w:rPr>
          <w:rFonts w:ascii="Arial" w:eastAsia="宋体" w:hAnsi="Arial" w:cs="Arial"/>
          <w:color w:val="333333"/>
          <w:sz w:val="18"/>
          <w:szCs w:val="18"/>
        </w:rPr>
        <w:t xml:space="preserve">There were no changes to our internal control over financial reporting (as defined in Rules 13a-15(f) and 15d-15(f) under the </w:t>
      </w:r>
      <w:r>
        <w:rPr>
          <w:rFonts w:ascii="Arial" w:eastAsia="宋体" w:hAnsi="Arial" w:cs="Arial"/>
          <w:color w:val="333333"/>
          <w:sz w:val="18"/>
          <w:szCs w:val="18"/>
        </w:rPr>
        <w:t>Exchange Act) that occurred during the quarter ended June 27, 2020 that have materially affected, or are reasonably likely to materially affect, our internal control over financial reporting.</w:t>
      </w:r>
    </w:p>
    <w:p w14:paraId="20AE384B" w14:textId="77777777" w:rsidR="00B626E7" w:rsidRDefault="00175C1D">
      <w:pPr>
        <w:spacing w:before="300" w:after="180"/>
      </w:pPr>
      <w:r>
        <w:rPr>
          <w:rFonts w:ascii="Arial" w:eastAsia="宋体" w:hAnsi="Arial" w:cs="Arial"/>
          <w:b/>
          <w:bCs/>
          <w:color w:val="0071C5"/>
          <w:sz w:val="28"/>
          <w:szCs w:val="28"/>
        </w:rPr>
        <w:t>ISSUER PURCHASES OF EQUITY SECURITIES</w:t>
      </w:r>
    </w:p>
    <w:p w14:paraId="20AE384C" w14:textId="77777777" w:rsidR="00B626E7" w:rsidRDefault="00175C1D">
      <w:pPr>
        <w:spacing w:after="180"/>
      </w:pPr>
      <w:r>
        <w:rPr>
          <w:rFonts w:ascii="Arial" w:eastAsia="宋体" w:hAnsi="Arial" w:cs="Arial"/>
          <w:color w:val="333333"/>
          <w:sz w:val="18"/>
          <w:szCs w:val="18"/>
        </w:rPr>
        <w:t>We have an ongoing authori</w:t>
      </w:r>
      <w:r>
        <w:rPr>
          <w:rFonts w:ascii="Arial" w:eastAsia="宋体" w:hAnsi="Arial" w:cs="Arial"/>
          <w:color w:val="333333"/>
          <w:sz w:val="18"/>
          <w:szCs w:val="18"/>
        </w:rPr>
        <w:t xml:space="preserve">zation, originally approved by our Board of Directors in 2005 and subsequently amended, to repurchase shares of our common stock in open market or negotiated transactions. On March 24, 2020, we suspended stock repurchases in light of the COVID-19 pandemic </w:t>
      </w:r>
      <w:r>
        <w:rPr>
          <w:rFonts w:ascii="Arial" w:eastAsia="宋体" w:hAnsi="Arial" w:cs="Arial"/>
          <w:color w:val="333333"/>
          <w:sz w:val="18"/>
          <w:szCs w:val="18"/>
        </w:rPr>
        <w:t>and no shares were repurchased during the quarter ended June 27, 2020. We intend to reinstate repurchases when market dynamics stabilize. As of June 27, 2020, we were authorized to repurchase up to $110.0 billion, of which $19.7 billion remained available.</w:t>
      </w:r>
      <w:r>
        <w:rPr>
          <w:rFonts w:ascii="Arial" w:eastAsia="宋体" w:hAnsi="Arial" w:cs="Arial"/>
          <w:color w:val="333333"/>
          <w:sz w:val="18"/>
          <w:szCs w:val="18"/>
        </w:rPr>
        <w:t xml:space="preserve"> </w:t>
      </w:r>
    </w:p>
    <w:p w14:paraId="20AE384D" w14:textId="77777777" w:rsidR="00B626E7" w:rsidRDefault="00175C1D">
      <w:pPr>
        <w:spacing w:after="180"/>
      </w:pPr>
      <w:r>
        <w:rPr>
          <w:rFonts w:ascii="Arial" w:eastAsia="宋体" w:hAnsi="Arial" w:cs="Arial"/>
          <w:color w:val="333333"/>
          <w:sz w:val="18"/>
          <w:szCs w:val="18"/>
        </w:rPr>
        <w:t>We issue RSUs as part of our equity incentive plans. In our Consolidated Condensed Financial Statements, we treat shares of common stock withheld for tax purposes on behalf of our employees in connection with the vesting of RSUs as common stock repurchas</w:t>
      </w:r>
      <w:r>
        <w:rPr>
          <w:rFonts w:ascii="Arial" w:eastAsia="宋体" w:hAnsi="Arial" w:cs="Arial"/>
          <w:color w:val="333333"/>
          <w:sz w:val="18"/>
          <w:szCs w:val="18"/>
        </w:rPr>
        <w:t>es because they reduce the number of shares that would have been issued upon vesting. These withheld shares of common stock are not considered common stock repurchases under our authorized common stock repurchase program.</w:t>
      </w:r>
    </w:p>
    <w:tbl>
      <w:tblPr>
        <w:tblW w:w="5000" w:type="pct"/>
        <w:tblCellMar>
          <w:top w:w="15" w:type="dxa"/>
          <w:left w:w="15" w:type="dxa"/>
          <w:bottom w:w="15" w:type="dxa"/>
          <w:right w:w="15" w:type="dxa"/>
        </w:tblCellMar>
        <w:tblLook w:val="04A0" w:firstRow="1" w:lastRow="0" w:firstColumn="1" w:lastColumn="0" w:noHBand="0" w:noVBand="1"/>
      </w:tblPr>
      <w:tblGrid>
        <w:gridCol w:w="84"/>
        <w:gridCol w:w="2423"/>
        <w:gridCol w:w="84"/>
        <w:gridCol w:w="83"/>
        <w:gridCol w:w="3471"/>
        <w:gridCol w:w="83"/>
        <w:gridCol w:w="83"/>
        <w:gridCol w:w="1942"/>
        <w:gridCol w:w="83"/>
      </w:tblGrid>
      <w:tr w:rsidR="00B626E7" w14:paraId="20AE3857" w14:textId="77777777">
        <w:tc>
          <w:tcPr>
            <w:tcW w:w="50" w:type="pct"/>
            <w:shd w:val="clear" w:color="auto" w:fill="auto"/>
            <w:vAlign w:val="bottom"/>
          </w:tcPr>
          <w:p w14:paraId="20AE384E" w14:textId="77777777" w:rsidR="00B626E7" w:rsidRDefault="00B626E7">
            <w:pPr>
              <w:rPr>
                <w:rFonts w:ascii="宋体"/>
              </w:rPr>
            </w:pPr>
          </w:p>
        </w:tc>
        <w:tc>
          <w:tcPr>
            <w:tcW w:w="1452" w:type="pct"/>
            <w:shd w:val="clear" w:color="auto" w:fill="auto"/>
            <w:vAlign w:val="bottom"/>
          </w:tcPr>
          <w:p w14:paraId="20AE384F" w14:textId="77777777" w:rsidR="00B626E7" w:rsidRDefault="00B626E7">
            <w:pPr>
              <w:rPr>
                <w:rFonts w:ascii="宋体"/>
              </w:rPr>
            </w:pPr>
          </w:p>
        </w:tc>
        <w:tc>
          <w:tcPr>
            <w:tcW w:w="50" w:type="pct"/>
            <w:shd w:val="clear" w:color="auto" w:fill="auto"/>
            <w:vAlign w:val="bottom"/>
          </w:tcPr>
          <w:p w14:paraId="20AE3850" w14:textId="77777777" w:rsidR="00B626E7" w:rsidRDefault="00B626E7">
            <w:pPr>
              <w:rPr>
                <w:rFonts w:ascii="宋体"/>
              </w:rPr>
            </w:pPr>
          </w:p>
        </w:tc>
        <w:tc>
          <w:tcPr>
            <w:tcW w:w="50" w:type="pct"/>
            <w:shd w:val="clear" w:color="auto" w:fill="auto"/>
            <w:vAlign w:val="bottom"/>
          </w:tcPr>
          <w:p w14:paraId="20AE3851" w14:textId="77777777" w:rsidR="00B626E7" w:rsidRDefault="00B626E7">
            <w:pPr>
              <w:rPr>
                <w:rFonts w:ascii="宋体"/>
              </w:rPr>
            </w:pPr>
          </w:p>
        </w:tc>
        <w:tc>
          <w:tcPr>
            <w:tcW w:w="2081" w:type="pct"/>
            <w:shd w:val="clear" w:color="auto" w:fill="auto"/>
            <w:vAlign w:val="bottom"/>
          </w:tcPr>
          <w:p w14:paraId="20AE3852" w14:textId="77777777" w:rsidR="00B626E7" w:rsidRDefault="00B626E7">
            <w:pPr>
              <w:rPr>
                <w:rFonts w:ascii="宋体"/>
              </w:rPr>
            </w:pPr>
          </w:p>
        </w:tc>
        <w:tc>
          <w:tcPr>
            <w:tcW w:w="50" w:type="pct"/>
            <w:shd w:val="clear" w:color="auto" w:fill="auto"/>
            <w:vAlign w:val="bottom"/>
          </w:tcPr>
          <w:p w14:paraId="20AE3853" w14:textId="77777777" w:rsidR="00B626E7" w:rsidRDefault="00B626E7">
            <w:pPr>
              <w:rPr>
                <w:rFonts w:ascii="宋体"/>
              </w:rPr>
            </w:pPr>
          </w:p>
        </w:tc>
        <w:tc>
          <w:tcPr>
            <w:tcW w:w="50" w:type="pct"/>
            <w:shd w:val="clear" w:color="auto" w:fill="auto"/>
            <w:vAlign w:val="bottom"/>
          </w:tcPr>
          <w:p w14:paraId="20AE3854" w14:textId="77777777" w:rsidR="00B626E7" w:rsidRDefault="00B626E7">
            <w:pPr>
              <w:rPr>
                <w:rFonts w:ascii="宋体"/>
              </w:rPr>
            </w:pPr>
          </w:p>
        </w:tc>
        <w:tc>
          <w:tcPr>
            <w:tcW w:w="1165" w:type="pct"/>
            <w:shd w:val="clear" w:color="auto" w:fill="auto"/>
            <w:vAlign w:val="bottom"/>
          </w:tcPr>
          <w:p w14:paraId="20AE3855" w14:textId="77777777" w:rsidR="00B626E7" w:rsidRDefault="00B626E7">
            <w:pPr>
              <w:rPr>
                <w:rFonts w:ascii="宋体"/>
              </w:rPr>
            </w:pPr>
          </w:p>
        </w:tc>
        <w:tc>
          <w:tcPr>
            <w:tcW w:w="50" w:type="pct"/>
            <w:shd w:val="clear" w:color="auto" w:fill="auto"/>
            <w:vAlign w:val="bottom"/>
          </w:tcPr>
          <w:p w14:paraId="20AE3856" w14:textId="77777777" w:rsidR="00B626E7" w:rsidRDefault="00B626E7">
            <w:pPr>
              <w:rPr>
                <w:rFonts w:ascii="宋体"/>
              </w:rPr>
            </w:pPr>
          </w:p>
        </w:tc>
      </w:tr>
      <w:tr w:rsidR="00B626E7" w14:paraId="20AE385B" w14:textId="77777777">
        <w:tc>
          <w:tcPr>
            <w:tcW w:w="0" w:type="auto"/>
            <w:gridSpan w:val="3"/>
            <w:tcBorders>
              <w:top w:val="single" w:sz="8" w:space="0" w:color="0071C5"/>
            </w:tcBorders>
            <w:shd w:val="clear" w:color="auto" w:fill="auto"/>
            <w:tcMar>
              <w:top w:w="40" w:type="dxa"/>
              <w:left w:w="20" w:type="dxa"/>
              <w:bottom w:w="40" w:type="dxa"/>
              <w:right w:w="20" w:type="dxa"/>
            </w:tcMar>
            <w:vAlign w:val="center"/>
          </w:tcPr>
          <w:p w14:paraId="20AE3858" w14:textId="77777777" w:rsidR="00B626E7" w:rsidRDefault="00175C1D">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Viewer10_files/intc-20200627_g70.jpg"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C5" wp14:editId="20AE3CC6">
                  <wp:extent cx="304800" cy="304800"/>
                  <wp:effectExtent l="0" t="0" r="0" b="0"/>
                  <wp:docPr id="77" name="图片 148"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48" descr="IMG_32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Arial" w:eastAsia="宋体" w:hAnsi="Arial" w:cs="Arial"/>
                <w:color w:val="333333"/>
                <w:sz w:val="16"/>
                <w:szCs w:val="16"/>
              </w:rPr>
              <w:t>OTHER KEY INFORMATION</w:t>
            </w:r>
          </w:p>
        </w:tc>
        <w:tc>
          <w:tcPr>
            <w:tcW w:w="0" w:type="auto"/>
            <w:gridSpan w:val="3"/>
            <w:tcBorders>
              <w:top w:val="single" w:sz="8" w:space="0" w:color="0071C5"/>
            </w:tcBorders>
            <w:shd w:val="clear" w:color="auto" w:fill="auto"/>
            <w:tcMar>
              <w:left w:w="20" w:type="dxa"/>
              <w:right w:w="20" w:type="dxa"/>
            </w:tcMar>
            <w:vAlign w:val="bottom"/>
          </w:tcPr>
          <w:p w14:paraId="20AE3859"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385A" w14:textId="77777777" w:rsidR="00B626E7" w:rsidRDefault="00175C1D">
            <w:pPr>
              <w:jc w:val="right"/>
              <w:textAlignment w:val="bottom"/>
            </w:pPr>
            <w:r>
              <w:rPr>
                <w:rFonts w:ascii="Arial" w:eastAsia="宋体" w:hAnsi="Arial" w:cs="Arial"/>
                <w:color w:val="333333"/>
                <w:sz w:val="16"/>
                <w:szCs w:val="16"/>
              </w:rPr>
              <w:t>44</w:t>
            </w:r>
          </w:p>
        </w:tc>
      </w:tr>
    </w:tbl>
    <w:p w14:paraId="20AE385C" w14:textId="77777777" w:rsidR="00B626E7" w:rsidRDefault="00175C1D">
      <w:r>
        <w:pict w14:anchorId="20AE3CC7">
          <v:rect id="_x0000_i1070" style="width:415.3pt;height:1.5pt" o:hralign="center" o:hrstd="t" o:hr="t" fillcolor="#a0a0a0" stroked="f"/>
        </w:pict>
      </w:r>
    </w:p>
    <w:p w14:paraId="20AE385D" w14:textId="77777777" w:rsidR="00B626E7" w:rsidRDefault="00175C1D">
      <w:pPr>
        <w:spacing w:after="180"/>
        <w:jc w:val="right"/>
      </w:pPr>
      <w:hyperlink r:id="rId71" w:anchor="ib035cc8759904e51927d703ec8414366_7" w:history="1">
        <w:r>
          <w:rPr>
            <w:rStyle w:val="a5"/>
            <w:rFonts w:ascii="Arial" w:eastAsia="宋体" w:hAnsi="Arial" w:cs="Arial"/>
            <w:b/>
            <w:bCs/>
            <w:sz w:val="16"/>
            <w:szCs w:val="16"/>
          </w:rPr>
          <w:t>Table of Contents</w:t>
        </w:r>
      </w:hyperlink>
    </w:p>
    <w:p w14:paraId="20AE385E" w14:textId="77777777" w:rsidR="00B626E7" w:rsidRDefault="00B626E7">
      <w:pPr>
        <w:spacing w:after="180"/>
        <w:jc w:val="right"/>
      </w:pPr>
    </w:p>
    <w:p w14:paraId="20AE385F" w14:textId="77777777" w:rsidR="00B626E7" w:rsidRDefault="00175C1D">
      <w:pPr>
        <w:spacing w:after="180"/>
      </w:pPr>
      <w:r>
        <w:rPr>
          <w:rFonts w:ascii="Arial" w:eastAsia="宋体" w:hAnsi="Arial" w:cs="Arial"/>
          <w:b/>
          <w:bCs/>
          <w:color w:val="0071C5"/>
          <w:sz w:val="28"/>
          <w:szCs w:val="28"/>
        </w:rPr>
        <w:t>EXHIBITS</w:t>
      </w:r>
    </w:p>
    <w:tbl>
      <w:tblPr>
        <w:tblW w:w="4986" w:type="pct"/>
        <w:tblCellMar>
          <w:top w:w="15" w:type="dxa"/>
          <w:left w:w="15" w:type="dxa"/>
          <w:bottom w:w="15" w:type="dxa"/>
          <w:right w:w="15" w:type="dxa"/>
        </w:tblCellMar>
        <w:tblLook w:val="04A0" w:firstRow="1" w:lastRow="0" w:firstColumn="1" w:lastColumn="0" w:noHBand="0" w:noVBand="1"/>
      </w:tblPr>
      <w:tblGrid>
        <w:gridCol w:w="78"/>
        <w:gridCol w:w="616"/>
        <w:gridCol w:w="77"/>
        <w:gridCol w:w="36"/>
        <w:gridCol w:w="36"/>
        <w:gridCol w:w="36"/>
        <w:gridCol w:w="38"/>
        <w:gridCol w:w="2380"/>
        <w:gridCol w:w="37"/>
        <w:gridCol w:w="36"/>
        <w:gridCol w:w="36"/>
        <w:gridCol w:w="36"/>
        <w:gridCol w:w="92"/>
        <w:gridCol w:w="307"/>
        <w:gridCol w:w="91"/>
        <w:gridCol w:w="37"/>
        <w:gridCol w:w="37"/>
        <w:gridCol w:w="37"/>
        <w:gridCol w:w="88"/>
        <w:gridCol w:w="726"/>
        <w:gridCol w:w="88"/>
        <w:gridCol w:w="37"/>
        <w:gridCol w:w="37"/>
        <w:gridCol w:w="37"/>
        <w:gridCol w:w="96"/>
        <w:gridCol w:w="450"/>
        <w:gridCol w:w="95"/>
        <w:gridCol w:w="36"/>
        <w:gridCol w:w="36"/>
        <w:gridCol w:w="36"/>
        <w:gridCol w:w="81"/>
        <w:gridCol w:w="680"/>
        <w:gridCol w:w="80"/>
        <w:gridCol w:w="36"/>
        <w:gridCol w:w="36"/>
        <w:gridCol w:w="36"/>
        <w:gridCol w:w="100"/>
        <w:gridCol w:w="712"/>
        <w:gridCol w:w="99"/>
        <w:gridCol w:w="36"/>
        <w:gridCol w:w="36"/>
        <w:gridCol w:w="36"/>
        <w:gridCol w:w="36"/>
        <w:gridCol w:w="36"/>
        <w:gridCol w:w="36"/>
        <w:gridCol w:w="36"/>
        <w:gridCol w:w="36"/>
        <w:gridCol w:w="36"/>
        <w:gridCol w:w="36"/>
        <w:gridCol w:w="36"/>
        <w:gridCol w:w="36"/>
        <w:gridCol w:w="36"/>
        <w:gridCol w:w="36"/>
        <w:gridCol w:w="36"/>
        <w:gridCol w:w="36"/>
        <w:gridCol w:w="36"/>
        <w:gridCol w:w="36"/>
      </w:tblGrid>
      <w:tr w:rsidR="00B626E7" w14:paraId="20AE3887" w14:textId="77777777">
        <w:trPr>
          <w:gridAfter w:val="18"/>
        </w:trPr>
        <w:tc>
          <w:tcPr>
            <w:tcW w:w="50" w:type="pct"/>
            <w:shd w:val="clear" w:color="auto" w:fill="auto"/>
          </w:tcPr>
          <w:p w14:paraId="20AE3860" w14:textId="77777777" w:rsidR="00B626E7" w:rsidRDefault="00B626E7">
            <w:pPr>
              <w:rPr>
                <w:rFonts w:ascii="宋体"/>
              </w:rPr>
            </w:pPr>
          </w:p>
        </w:tc>
        <w:tc>
          <w:tcPr>
            <w:tcW w:w="400" w:type="pct"/>
            <w:shd w:val="clear" w:color="auto" w:fill="auto"/>
          </w:tcPr>
          <w:p w14:paraId="20AE3861" w14:textId="77777777" w:rsidR="00B626E7" w:rsidRDefault="00B626E7">
            <w:pPr>
              <w:rPr>
                <w:rFonts w:ascii="宋体"/>
              </w:rPr>
            </w:pPr>
          </w:p>
        </w:tc>
        <w:tc>
          <w:tcPr>
            <w:tcW w:w="50" w:type="pct"/>
            <w:shd w:val="clear" w:color="auto" w:fill="auto"/>
          </w:tcPr>
          <w:p w14:paraId="20AE3862" w14:textId="77777777" w:rsidR="00B626E7" w:rsidRDefault="00B626E7">
            <w:pPr>
              <w:rPr>
                <w:rFonts w:ascii="宋体"/>
              </w:rPr>
            </w:pPr>
          </w:p>
        </w:tc>
        <w:tc>
          <w:tcPr>
            <w:tcW w:w="5" w:type="pct"/>
            <w:shd w:val="clear" w:color="auto" w:fill="auto"/>
          </w:tcPr>
          <w:p w14:paraId="20AE3863" w14:textId="77777777" w:rsidR="00B626E7" w:rsidRDefault="00B626E7">
            <w:pPr>
              <w:rPr>
                <w:rFonts w:ascii="宋体"/>
              </w:rPr>
            </w:pPr>
          </w:p>
        </w:tc>
        <w:tc>
          <w:tcPr>
            <w:tcW w:w="24" w:type="pct"/>
            <w:shd w:val="clear" w:color="auto" w:fill="auto"/>
          </w:tcPr>
          <w:p w14:paraId="20AE3864" w14:textId="77777777" w:rsidR="00B626E7" w:rsidRDefault="00B626E7">
            <w:pPr>
              <w:rPr>
                <w:rFonts w:ascii="宋体"/>
              </w:rPr>
            </w:pPr>
          </w:p>
        </w:tc>
        <w:tc>
          <w:tcPr>
            <w:tcW w:w="5" w:type="pct"/>
            <w:shd w:val="clear" w:color="auto" w:fill="auto"/>
          </w:tcPr>
          <w:p w14:paraId="20AE3865" w14:textId="77777777" w:rsidR="00B626E7" w:rsidRDefault="00B626E7">
            <w:pPr>
              <w:rPr>
                <w:rFonts w:ascii="宋体"/>
              </w:rPr>
            </w:pPr>
          </w:p>
        </w:tc>
        <w:tc>
          <w:tcPr>
            <w:tcW w:w="50" w:type="pct"/>
            <w:shd w:val="clear" w:color="auto" w:fill="auto"/>
          </w:tcPr>
          <w:p w14:paraId="20AE3866" w14:textId="77777777" w:rsidR="00B626E7" w:rsidRDefault="00B626E7">
            <w:pPr>
              <w:rPr>
                <w:rFonts w:ascii="宋体"/>
              </w:rPr>
            </w:pPr>
          </w:p>
        </w:tc>
        <w:tc>
          <w:tcPr>
            <w:tcW w:w="2098" w:type="pct"/>
            <w:shd w:val="clear" w:color="auto" w:fill="auto"/>
          </w:tcPr>
          <w:p w14:paraId="20AE3867" w14:textId="77777777" w:rsidR="00B626E7" w:rsidRDefault="00B626E7">
            <w:pPr>
              <w:rPr>
                <w:rFonts w:ascii="宋体"/>
              </w:rPr>
            </w:pPr>
          </w:p>
        </w:tc>
        <w:tc>
          <w:tcPr>
            <w:tcW w:w="50" w:type="pct"/>
            <w:shd w:val="clear" w:color="auto" w:fill="auto"/>
          </w:tcPr>
          <w:p w14:paraId="20AE3868" w14:textId="77777777" w:rsidR="00B626E7" w:rsidRDefault="00B626E7">
            <w:pPr>
              <w:rPr>
                <w:rFonts w:ascii="宋体"/>
              </w:rPr>
            </w:pPr>
          </w:p>
        </w:tc>
        <w:tc>
          <w:tcPr>
            <w:tcW w:w="5" w:type="pct"/>
            <w:shd w:val="clear" w:color="auto" w:fill="auto"/>
          </w:tcPr>
          <w:p w14:paraId="20AE3869" w14:textId="77777777" w:rsidR="00B626E7" w:rsidRDefault="00B626E7">
            <w:pPr>
              <w:rPr>
                <w:rFonts w:ascii="宋体"/>
              </w:rPr>
            </w:pPr>
          </w:p>
        </w:tc>
        <w:tc>
          <w:tcPr>
            <w:tcW w:w="24" w:type="pct"/>
            <w:shd w:val="clear" w:color="auto" w:fill="auto"/>
          </w:tcPr>
          <w:p w14:paraId="20AE386A" w14:textId="77777777" w:rsidR="00B626E7" w:rsidRDefault="00B626E7">
            <w:pPr>
              <w:rPr>
                <w:rFonts w:ascii="宋体"/>
              </w:rPr>
            </w:pPr>
          </w:p>
        </w:tc>
        <w:tc>
          <w:tcPr>
            <w:tcW w:w="5" w:type="pct"/>
            <w:shd w:val="clear" w:color="auto" w:fill="auto"/>
          </w:tcPr>
          <w:p w14:paraId="20AE386B" w14:textId="77777777" w:rsidR="00B626E7" w:rsidRDefault="00B626E7">
            <w:pPr>
              <w:rPr>
                <w:rFonts w:ascii="宋体"/>
              </w:rPr>
            </w:pPr>
          </w:p>
        </w:tc>
        <w:tc>
          <w:tcPr>
            <w:tcW w:w="50" w:type="pct"/>
            <w:shd w:val="clear" w:color="auto" w:fill="auto"/>
          </w:tcPr>
          <w:p w14:paraId="20AE386C" w14:textId="77777777" w:rsidR="00B626E7" w:rsidRDefault="00B626E7">
            <w:pPr>
              <w:rPr>
                <w:rFonts w:ascii="宋体"/>
              </w:rPr>
            </w:pPr>
          </w:p>
        </w:tc>
        <w:tc>
          <w:tcPr>
            <w:tcW w:w="167" w:type="pct"/>
            <w:shd w:val="clear" w:color="auto" w:fill="auto"/>
          </w:tcPr>
          <w:p w14:paraId="20AE386D" w14:textId="77777777" w:rsidR="00B626E7" w:rsidRDefault="00B626E7">
            <w:pPr>
              <w:rPr>
                <w:rFonts w:ascii="宋体"/>
              </w:rPr>
            </w:pPr>
          </w:p>
        </w:tc>
        <w:tc>
          <w:tcPr>
            <w:tcW w:w="50" w:type="pct"/>
            <w:shd w:val="clear" w:color="auto" w:fill="auto"/>
          </w:tcPr>
          <w:p w14:paraId="20AE386E" w14:textId="77777777" w:rsidR="00B626E7" w:rsidRDefault="00B626E7">
            <w:pPr>
              <w:rPr>
                <w:rFonts w:ascii="宋体"/>
              </w:rPr>
            </w:pPr>
          </w:p>
        </w:tc>
        <w:tc>
          <w:tcPr>
            <w:tcW w:w="5" w:type="pct"/>
            <w:shd w:val="clear" w:color="auto" w:fill="auto"/>
          </w:tcPr>
          <w:p w14:paraId="20AE386F" w14:textId="77777777" w:rsidR="00B626E7" w:rsidRDefault="00B626E7">
            <w:pPr>
              <w:rPr>
                <w:rFonts w:ascii="宋体"/>
              </w:rPr>
            </w:pPr>
          </w:p>
        </w:tc>
        <w:tc>
          <w:tcPr>
            <w:tcW w:w="24" w:type="pct"/>
            <w:shd w:val="clear" w:color="auto" w:fill="auto"/>
          </w:tcPr>
          <w:p w14:paraId="20AE3870" w14:textId="77777777" w:rsidR="00B626E7" w:rsidRDefault="00B626E7">
            <w:pPr>
              <w:rPr>
                <w:rFonts w:ascii="宋体"/>
              </w:rPr>
            </w:pPr>
          </w:p>
        </w:tc>
        <w:tc>
          <w:tcPr>
            <w:tcW w:w="5" w:type="pct"/>
            <w:shd w:val="clear" w:color="auto" w:fill="auto"/>
          </w:tcPr>
          <w:p w14:paraId="20AE3871" w14:textId="77777777" w:rsidR="00B626E7" w:rsidRDefault="00B626E7">
            <w:pPr>
              <w:rPr>
                <w:rFonts w:ascii="宋体"/>
              </w:rPr>
            </w:pPr>
          </w:p>
        </w:tc>
        <w:tc>
          <w:tcPr>
            <w:tcW w:w="50" w:type="pct"/>
            <w:shd w:val="clear" w:color="auto" w:fill="auto"/>
          </w:tcPr>
          <w:p w14:paraId="20AE3872" w14:textId="77777777" w:rsidR="00B626E7" w:rsidRDefault="00B626E7">
            <w:pPr>
              <w:rPr>
                <w:rFonts w:ascii="宋体"/>
              </w:rPr>
            </w:pPr>
          </w:p>
        </w:tc>
        <w:tc>
          <w:tcPr>
            <w:tcW w:w="413" w:type="pct"/>
            <w:shd w:val="clear" w:color="auto" w:fill="auto"/>
          </w:tcPr>
          <w:p w14:paraId="20AE3873" w14:textId="77777777" w:rsidR="00B626E7" w:rsidRDefault="00B626E7">
            <w:pPr>
              <w:rPr>
                <w:rFonts w:ascii="宋体"/>
              </w:rPr>
            </w:pPr>
          </w:p>
        </w:tc>
        <w:tc>
          <w:tcPr>
            <w:tcW w:w="50" w:type="pct"/>
            <w:shd w:val="clear" w:color="auto" w:fill="auto"/>
          </w:tcPr>
          <w:p w14:paraId="20AE3874" w14:textId="77777777" w:rsidR="00B626E7" w:rsidRDefault="00B626E7">
            <w:pPr>
              <w:rPr>
                <w:rFonts w:ascii="宋体"/>
              </w:rPr>
            </w:pPr>
          </w:p>
        </w:tc>
        <w:tc>
          <w:tcPr>
            <w:tcW w:w="5" w:type="pct"/>
            <w:shd w:val="clear" w:color="auto" w:fill="auto"/>
          </w:tcPr>
          <w:p w14:paraId="20AE3875" w14:textId="77777777" w:rsidR="00B626E7" w:rsidRDefault="00B626E7">
            <w:pPr>
              <w:rPr>
                <w:rFonts w:ascii="宋体"/>
              </w:rPr>
            </w:pPr>
          </w:p>
        </w:tc>
        <w:tc>
          <w:tcPr>
            <w:tcW w:w="24" w:type="pct"/>
            <w:shd w:val="clear" w:color="auto" w:fill="auto"/>
          </w:tcPr>
          <w:p w14:paraId="20AE3876" w14:textId="77777777" w:rsidR="00B626E7" w:rsidRDefault="00B626E7">
            <w:pPr>
              <w:rPr>
                <w:rFonts w:ascii="宋体"/>
              </w:rPr>
            </w:pPr>
          </w:p>
        </w:tc>
        <w:tc>
          <w:tcPr>
            <w:tcW w:w="5" w:type="pct"/>
            <w:shd w:val="clear" w:color="auto" w:fill="auto"/>
          </w:tcPr>
          <w:p w14:paraId="20AE3877" w14:textId="77777777" w:rsidR="00B626E7" w:rsidRDefault="00B626E7">
            <w:pPr>
              <w:rPr>
                <w:rFonts w:ascii="宋体"/>
              </w:rPr>
            </w:pPr>
          </w:p>
        </w:tc>
        <w:tc>
          <w:tcPr>
            <w:tcW w:w="50" w:type="pct"/>
            <w:shd w:val="clear" w:color="auto" w:fill="auto"/>
          </w:tcPr>
          <w:p w14:paraId="20AE3878" w14:textId="77777777" w:rsidR="00B626E7" w:rsidRDefault="00B626E7">
            <w:pPr>
              <w:rPr>
                <w:rFonts w:ascii="宋体"/>
              </w:rPr>
            </w:pPr>
          </w:p>
        </w:tc>
        <w:tc>
          <w:tcPr>
            <w:tcW w:w="235" w:type="pct"/>
            <w:shd w:val="clear" w:color="auto" w:fill="auto"/>
          </w:tcPr>
          <w:p w14:paraId="20AE3879" w14:textId="77777777" w:rsidR="00B626E7" w:rsidRDefault="00B626E7">
            <w:pPr>
              <w:rPr>
                <w:rFonts w:ascii="宋体"/>
              </w:rPr>
            </w:pPr>
          </w:p>
        </w:tc>
        <w:tc>
          <w:tcPr>
            <w:tcW w:w="50" w:type="pct"/>
            <w:shd w:val="clear" w:color="auto" w:fill="auto"/>
          </w:tcPr>
          <w:p w14:paraId="20AE387A" w14:textId="77777777" w:rsidR="00B626E7" w:rsidRDefault="00B626E7">
            <w:pPr>
              <w:rPr>
                <w:rFonts w:ascii="宋体"/>
              </w:rPr>
            </w:pPr>
          </w:p>
        </w:tc>
        <w:tc>
          <w:tcPr>
            <w:tcW w:w="5" w:type="pct"/>
            <w:shd w:val="clear" w:color="auto" w:fill="auto"/>
          </w:tcPr>
          <w:p w14:paraId="20AE387B" w14:textId="77777777" w:rsidR="00B626E7" w:rsidRDefault="00B626E7">
            <w:pPr>
              <w:rPr>
                <w:rFonts w:ascii="宋体"/>
              </w:rPr>
            </w:pPr>
          </w:p>
        </w:tc>
        <w:tc>
          <w:tcPr>
            <w:tcW w:w="24" w:type="pct"/>
            <w:shd w:val="clear" w:color="auto" w:fill="auto"/>
          </w:tcPr>
          <w:p w14:paraId="20AE387C" w14:textId="77777777" w:rsidR="00B626E7" w:rsidRDefault="00B626E7">
            <w:pPr>
              <w:rPr>
                <w:rFonts w:ascii="宋体"/>
              </w:rPr>
            </w:pPr>
          </w:p>
        </w:tc>
        <w:tc>
          <w:tcPr>
            <w:tcW w:w="5" w:type="pct"/>
            <w:shd w:val="clear" w:color="auto" w:fill="auto"/>
          </w:tcPr>
          <w:p w14:paraId="20AE387D" w14:textId="77777777" w:rsidR="00B626E7" w:rsidRDefault="00B626E7">
            <w:pPr>
              <w:rPr>
                <w:rFonts w:ascii="宋体"/>
              </w:rPr>
            </w:pPr>
          </w:p>
        </w:tc>
        <w:tc>
          <w:tcPr>
            <w:tcW w:w="50" w:type="pct"/>
            <w:shd w:val="clear" w:color="auto" w:fill="auto"/>
          </w:tcPr>
          <w:p w14:paraId="20AE387E" w14:textId="77777777" w:rsidR="00B626E7" w:rsidRDefault="00B626E7">
            <w:pPr>
              <w:rPr>
                <w:rFonts w:ascii="宋体"/>
              </w:rPr>
            </w:pPr>
          </w:p>
        </w:tc>
        <w:tc>
          <w:tcPr>
            <w:tcW w:w="420" w:type="pct"/>
            <w:shd w:val="clear" w:color="auto" w:fill="auto"/>
          </w:tcPr>
          <w:p w14:paraId="20AE387F" w14:textId="77777777" w:rsidR="00B626E7" w:rsidRDefault="00B626E7">
            <w:pPr>
              <w:rPr>
                <w:rFonts w:ascii="宋体"/>
              </w:rPr>
            </w:pPr>
          </w:p>
        </w:tc>
        <w:tc>
          <w:tcPr>
            <w:tcW w:w="50" w:type="pct"/>
            <w:shd w:val="clear" w:color="auto" w:fill="auto"/>
          </w:tcPr>
          <w:p w14:paraId="20AE3880" w14:textId="77777777" w:rsidR="00B626E7" w:rsidRDefault="00B626E7">
            <w:pPr>
              <w:rPr>
                <w:rFonts w:ascii="宋体"/>
              </w:rPr>
            </w:pPr>
          </w:p>
        </w:tc>
        <w:tc>
          <w:tcPr>
            <w:tcW w:w="5" w:type="pct"/>
            <w:shd w:val="clear" w:color="auto" w:fill="auto"/>
          </w:tcPr>
          <w:p w14:paraId="20AE3881" w14:textId="77777777" w:rsidR="00B626E7" w:rsidRDefault="00B626E7">
            <w:pPr>
              <w:rPr>
                <w:rFonts w:ascii="宋体"/>
              </w:rPr>
            </w:pPr>
          </w:p>
        </w:tc>
        <w:tc>
          <w:tcPr>
            <w:tcW w:w="24" w:type="pct"/>
            <w:shd w:val="clear" w:color="auto" w:fill="auto"/>
          </w:tcPr>
          <w:p w14:paraId="20AE3882" w14:textId="77777777" w:rsidR="00B626E7" w:rsidRDefault="00B626E7">
            <w:pPr>
              <w:rPr>
                <w:rFonts w:ascii="宋体"/>
              </w:rPr>
            </w:pPr>
          </w:p>
        </w:tc>
        <w:tc>
          <w:tcPr>
            <w:tcW w:w="5" w:type="pct"/>
            <w:shd w:val="clear" w:color="auto" w:fill="auto"/>
          </w:tcPr>
          <w:p w14:paraId="20AE3883" w14:textId="77777777" w:rsidR="00B626E7" w:rsidRDefault="00B626E7">
            <w:pPr>
              <w:rPr>
                <w:rFonts w:ascii="宋体"/>
              </w:rPr>
            </w:pPr>
          </w:p>
        </w:tc>
        <w:tc>
          <w:tcPr>
            <w:tcW w:w="50" w:type="pct"/>
            <w:shd w:val="clear" w:color="auto" w:fill="auto"/>
          </w:tcPr>
          <w:p w14:paraId="20AE3884" w14:textId="77777777" w:rsidR="00B626E7" w:rsidRDefault="00B626E7">
            <w:pPr>
              <w:rPr>
                <w:rFonts w:ascii="宋体"/>
              </w:rPr>
            </w:pPr>
          </w:p>
        </w:tc>
        <w:tc>
          <w:tcPr>
            <w:tcW w:w="359" w:type="pct"/>
            <w:shd w:val="clear" w:color="auto" w:fill="auto"/>
          </w:tcPr>
          <w:p w14:paraId="20AE3885" w14:textId="77777777" w:rsidR="00B626E7" w:rsidRDefault="00B626E7">
            <w:pPr>
              <w:rPr>
                <w:rFonts w:ascii="宋体"/>
              </w:rPr>
            </w:pPr>
          </w:p>
        </w:tc>
        <w:tc>
          <w:tcPr>
            <w:tcW w:w="50" w:type="pct"/>
            <w:shd w:val="clear" w:color="auto" w:fill="auto"/>
          </w:tcPr>
          <w:p w14:paraId="20AE3886" w14:textId="77777777" w:rsidR="00B626E7" w:rsidRDefault="00B626E7">
            <w:pPr>
              <w:rPr>
                <w:rFonts w:ascii="宋体"/>
              </w:rPr>
            </w:pPr>
          </w:p>
        </w:tc>
      </w:tr>
      <w:tr w:rsidR="00B626E7" w14:paraId="20AE3895" w14:textId="77777777">
        <w:tc>
          <w:tcPr>
            <w:tcW w:w="0" w:type="auto"/>
            <w:gridSpan w:val="3"/>
            <w:shd w:val="clear" w:color="auto" w:fill="auto"/>
            <w:tcMar>
              <w:top w:w="40" w:type="dxa"/>
              <w:left w:w="20" w:type="dxa"/>
              <w:bottom w:w="40" w:type="dxa"/>
              <w:right w:w="20" w:type="dxa"/>
            </w:tcMar>
            <w:vAlign w:val="bottom"/>
          </w:tcPr>
          <w:p w14:paraId="20AE3888" w14:textId="77777777" w:rsidR="00B626E7" w:rsidRDefault="00175C1D">
            <w:pPr>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3889"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bottom"/>
          </w:tcPr>
          <w:p w14:paraId="20AE388A" w14:textId="77777777" w:rsidR="00B626E7" w:rsidRDefault="00175C1D">
            <w:pPr>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388B" w14:textId="77777777" w:rsidR="00B626E7" w:rsidRDefault="00B626E7">
            <w:pPr>
              <w:rPr>
                <w:rFonts w:ascii="宋体"/>
              </w:rPr>
            </w:pPr>
          </w:p>
        </w:tc>
        <w:tc>
          <w:tcPr>
            <w:tcW w:w="0" w:type="auto"/>
            <w:gridSpan w:val="21"/>
            <w:shd w:val="clear" w:color="auto" w:fill="auto"/>
            <w:tcMar>
              <w:top w:w="40" w:type="dxa"/>
              <w:left w:w="20" w:type="dxa"/>
              <w:bottom w:w="40" w:type="dxa"/>
              <w:right w:w="20" w:type="dxa"/>
            </w:tcMar>
            <w:vAlign w:val="bottom"/>
          </w:tcPr>
          <w:p w14:paraId="20AE388C" w14:textId="77777777" w:rsidR="00B626E7" w:rsidRDefault="00175C1D">
            <w:pPr>
              <w:jc w:val="center"/>
              <w:textAlignment w:val="bottom"/>
            </w:pPr>
            <w:r>
              <w:rPr>
                <w:rFonts w:ascii="Arial" w:eastAsia="宋体" w:hAnsi="Arial" w:cs="Arial"/>
                <w:b/>
                <w:bCs/>
                <w:color w:val="333333"/>
                <w:sz w:val="18"/>
                <w:szCs w:val="18"/>
              </w:rPr>
              <w:t>Incorporated by Reference</w:t>
            </w:r>
          </w:p>
        </w:tc>
        <w:tc>
          <w:tcPr>
            <w:tcW w:w="0" w:type="auto"/>
            <w:gridSpan w:val="3"/>
            <w:shd w:val="clear" w:color="auto" w:fill="auto"/>
          </w:tcPr>
          <w:p w14:paraId="20AE388D" w14:textId="77777777" w:rsidR="00B626E7" w:rsidRDefault="00B626E7">
            <w:pPr>
              <w:rPr>
                <w:rFonts w:ascii="宋体"/>
                <w:vanish/>
              </w:rPr>
            </w:pPr>
          </w:p>
        </w:tc>
        <w:tc>
          <w:tcPr>
            <w:tcW w:w="0" w:type="auto"/>
            <w:gridSpan w:val="3"/>
            <w:shd w:val="clear" w:color="auto" w:fill="auto"/>
          </w:tcPr>
          <w:p w14:paraId="20AE388E" w14:textId="77777777" w:rsidR="00B626E7" w:rsidRDefault="00B626E7">
            <w:pPr>
              <w:rPr>
                <w:rFonts w:ascii="宋体"/>
                <w:vanish/>
              </w:rPr>
            </w:pPr>
          </w:p>
        </w:tc>
        <w:tc>
          <w:tcPr>
            <w:tcW w:w="0" w:type="auto"/>
            <w:gridSpan w:val="3"/>
            <w:shd w:val="clear" w:color="auto" w:fill="auto"/>
          </w:tcPr>
          <w:p w14:paraId="20AE388F" w14:textId="77777777" w:rsidR="00B626E7" w:rsidRDefault="00B626E7">
            <w:pPr>
              <w:rPr>
                <w:rFonts w:ascii="宋体"/>
                <w:vanish/>
              </w:rPr>
            </w:pPr>
          </w:p>
        </w:tc>
        <w:tc>
          <w:tcPr>
            <w:tcW w:w="0" w:type="auto"/>
            <w:gridSpan w:val="3"/>
            <w:shd w:val="clear" w:color="auto" w:fill="auto"/>
          </w:tcPr>
          <w:p w14:paraId="20AE3890" w14:textId="77777777" w:rsidR="00B626E7" w:rsidRDefault="00B626E7">
            <w:pPr>
              <w:rPr>
                <w:rFonts w:ascii="宋体"/>
                <w:vanish/>
              </w:rPr>
            </w:pPr>
          </w:p>
        </w:tc>
        <w:tc>
          <w:tcPr>
            <w:tcW w:w="0" w:type="auto"/>
            <w:gridSpan w:val="3"/>
            <w:shd w:val="clear" w:color="auto" w:fill="auto"/>
          </w:tcPr>
          <w:p w14:paraId="20AE3891" w14:textId="77777777" w:rsidR="00B626E7" w:rsidRDefault="00B626E7">
            <w:pPr>
              <w:rPr>
                <w:rFonts w:ascii="宋体"/>
                <w:vanish/>
              </w:rPr>
            </w:pPr>
          </w:p>
        </w:tc>
        <w:tc>
          <w:tcPr>
            <w:tcW w:w="0" w:type="auto"/>
            <w:gridSpan w:val="3"/>
            <w:shd w:val="clear" w:color="auto" w:fill="auto"/>
          </w:tcPr>
          <w:p w14:paraId="20AE3892" w14:textId="77777777" w:rsidR="00B626E7" w:rsidRDefault="00B626E7">
            <w:pPr>
              <w:rPr>
                <w:rFonts w:ascii="宋体"/>
                <w:vanish/>
              </w:rPr>
            </w:pPr>
          </w:p>
        </w:tc>
        <w:tc>
          <w:tcPr>
            <w:tcW w:w="0" w:type="auto"/>
            <w:gridSpan w:val="3"/>
            <w:shd w:val="clear" w:color="auto" w:fill="auto"/>
            <w:tcMar>
              <w:left w:w="20" w:type="dxa"/>
              <w:right w:w="20" w:type="dxa"/>
            </w:tcMar>
            <w:vAlign w:val="bottom"/>
          </w:tcPr>
          <w:p w14:paraId="20AE3893"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bottom"/>
          </w:tcPr>
          <w:p w14:paraId="20AE3894" w14:textId="77777777" w:rsidR="00B626E7" w:rsidRDefault="00175C1D">
            <w:pPr>
              <w:textAlignment w:val="bottom"/>
            </w:pPr>
            <w:r>
              <w:rPr>
                <w:rFonts w:ascii="Arial" w:eastAsia="宋体" w:hAnsi="Arial" w:cs="Arial"/>
                <w:color w:val="333333"/>
                <w:sz w:val="18"/>
                <w:szCs w:val="18"/>
              </w:rPr>
              <w:t> </w:t>
            </w:r>
          </w:p>
        </w:tc>
      </w:tr>
      <w:tr w:rsidR="00B626E7" w14:paraId="20AE38B5" w14:textId="77777777">
        <w:tc>
          <w:tcPr>
            <w:tcW w:w="0" w:type="auto"/>
            <w:gridSpan w:val="3"/>
            <w:shd w:val="clear" w:color="auto" w:fill="auto"/>
            <w:tcMar>
              <w:top w:w="40" w:type="dxa"/>
              <w:left w:w="20" w:type="dxa"/>
              <w:bottom w:w="40" w:type="dxa"/>
              <w:right w:w="20" w:type="dxa"/>
            </w:tcMar>
            <w:vAlign w:val="bottom"/>
          </w:tcPr>
          <w:p w14:paraId="20AE3896" w14:textId="77777777" w:rsidR="00B626E7" w:rsidRDefault="00175C1D">
            <w:pPr>
              <w:jc w:val="center"/>
              <w:textAlignment w:val="bottom"/>
            </w:pPr>
            <w:r>
              <w:rPr>
                <w:rFonts w:ascii="Arial" w:eastAsia="宋体" w:hAnsi="Arial" w:cs="Arial"/>
                <w:b/>
                <w:bCs/>
                <w:color w:val="333333"/>
                <w:sz w:val="18"/>
                <w:szCs w:val="18"/>
              </w:rPr>
              <w:t>Exhibit</w:t>
            </w:r>
            <w:r>
              <w:rPr>
                <w:rFonts w:ascii="Arial" w:eastAsia="宋体" w:hAnsi="Arial" w:cs="Arial"/>
                <w:b/>
                <w:bCs/>
                <w:color w:val="333333"/>
                <w:sz w:val="18"/>
                <w:szCs w:val="18"/>
              </w:rPr>
              <w:br/>
              <w:t>Number</w:t>
            </w:r>
          </w:p>
        </w:tc>
        <w:tc>
          <w:tcPr>
            <w:tcW w:w="0" w:type="auto"/>
            <w:gridSpan w:val="3"/>
            <w:shd w:val="clear" w:color="auto" w:fill="auto"/>
            <w:tcMar>
              <w:left w:w="20" w:type="dxa"/>
              <w:right w:w="20" w:type="dxa"/>
            </w:tcMar>
            <w:vAlign w:val="bottom"/>
          </w:tcPr>
          <w:p w14:paraId="20AE3897"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bottom"/>
          </w:tcPr>
          <w:p w14:paraId="20AE3898" w14:textId="77777777" w:rsidR="00B626E7" w:rsidRDefault="00175C1D">
            <w:pPr>
              <w:jc w:val="center"/>
              <w:textAlignment w:val="bottom"/>
            </w:pPr>
            <w:r>
              <w:rPr>
                <w:rFonts w:ascii="Arial" w:eastAsia="宋体" w:hAnsi="Arial" w:cs="Arial"/>
                <w:b/>
                <w:bCs/>
                <w:color w:val="333333"/>
                <w:sz w:val="18"/>
                <w:szCs w:val="18"/>
              </w:rPr>
              <w:t>Exhibit Description</w:t>
            </w:r>
          </w:p>
        </w:tc>
        <w:tc>
          <w:tcPr>
            <w:tcW w:w="0" w:type="auto"/>
            <w:gridSpan w:val="3"/>
            <w:shd w:val="clear" w:color="auto" w:fill="auto"/>
            <w:tcMar>
              <w:left w:w="20" w:type="dxa"/>
              <w:right w:w="20" w:type="dxa"/>
            </w:tcMar>
            <w:vAlign w:val="bottom"/>
          </w:tcPr>
          <w:p w14:paraId="20AE3899"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389A" w14:textId="77777777" w:rsidR="00B626E7" w:rsidRDefault="00175C1D">
            <w:pPr>
              <w:jc w:val="center"/>
              <w:textAlignment w:val="bottom"/>
            </w:pPr>
            <w:r>
              <w:rPr>
                <w:rFonts w:ascii="Arial" w:eastAsia="宋体" w:hAnsi="Arial" w:cs="Arial"/>
                <w:b/>
                <w:bCs/>
                <w:color w:val="333333"/>
                <w:sz w:val="18"/>
                <w:szCs w:val="18"/>
              </w:rPr>
              <w:t>Form</w:t>
            </w:r>
          </w:p>
        </w:tc>
        <w:tc>
          <w:tcPr>
            <w:tcW w:w="0" w:type="auto"/>
            <w:gridSpan w:val="3"/>
            <w:tcBorders>
              <w:top w:val="single" w:sz="8" w:space="0" w:color="0071C5"/>
            </w:tcBorders>
            <w:shd w:val="clear" w:color="auto" w:fill="auto"/>
            <w:tcMar>
              <w:left w:w="20" w:type="dxa"/>
              <w:right w:w="20" w:type="dxa"/>
            </w:tcMar>
            <w:vAlign w:val="bottom"/>
          </w:tcPr>
          <w:p w14:paraId="20AE389B"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389C" w14:textId="77777777" w:rsidR="00B626E7" w:rsidRDefault="00175C1D">
            <w:pPr>
              <w:jc w:val="center"/>
              <w:textAlignment w:val="bottom"/>
            </w:pPr>
            <w:r>
              <w:rPr>
                <w:rFonts w:ascii="Arial" w:eastAsia="宋体" w:hAnsi="Arial" w:cs="Arial"/>
                <w:b/>
                <w:bCs/>
                <w:color w:val="333333"/>
                <w:sz w:val="18"/>
                <w:szCs w:val="18"/>
              </w:rPr>
              <w:t>File Number</w:t>
            </w:r>
          </w:p>
        </w:tc>
        <w:tc>
          <w:tcPr>
            <w:tcW w:w="0" w:type="auto"/>
            <w:gridSpan w:val="3"/>
            <w:tcBorders>
              <w:top w:val="single" w:sz="8" w:space="0" w:color="0071C5"/>
            </w:tcBorders>
            <w:shd w:val="clear" w:color="auto" w:fill="auto"/>
            <w:tcMar>
              <w:left w:w="20" w:type="dxa"/>
              <w:right w:w="20" w:type="dxa"/>
            </w:tcMar>
            <w:vAlign w:val="bottom"/>
          </w:tcPr>
          <w:p w14:paraId="20AE389D"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389E" w14:textId="77777777" w:rsidR="00B626E7" w:rsidRDefault="00175C1D">
            <w:pPr>
              <w:jc w:val="center"/>
              <w:textAlignment w:val="bottom"/>
            </w:pPr>
            <w:r>
              <w:rPr>
                <w:rFonts w:ascii="Arial" w:eastAsia="宋体" w:hAnsi="Arial" w:cs="Arial"/>
                <w:b/>
                <w:bCs/>
                <w:color w:val="333333"/>
                <w:sz w:val="18"/>
                <w:szCs w:val="18"/>
              </w:rPr>
              <w:t>Exhibit</w:t>
            </w:r>
          </w:p>
        </w:tc>
        <w:tc>
          <w:tcPr>
            <w:tcW w:w="0" w:type="auto"/>
            <w:gridSpan w:val="3"/>
            <w:tcBorders>
              <w:top w:val="single" w:sz="8" w:space="0" w:color="0071C5"/>
            </w:tcBorders>
            <w:shd w:val="clear" w:color="auto" w:fill="auto"/>
            <w:tcMar>
              <w:left w:w="20" w:type="dxa"/>
              <w:right w:w="20" w:type="dxa"/>
            </w:tcMar>
            <w:vAlign w:val="bottom"/>
          </w:tcPr>
          <w:p w14:paraId="20AE389F"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38A0" w14:textId="77777777" w:rsidR="00B626E7" w:rsidRDefault="00175C1D">
            <w:pPr>
              <w:jc w:val="center"/>
              <w:textAlignment w:val="bottom"/>
            </w:pPr>
            <w:r>
              <w:rPr>
                <w:rFonts w:ascii="Arial" w:eastAsia="宋体" w:hAnsi="Arial" w:cs="Arial"/>
                <w:b/>
                <w:bCs/>
                <w:color w:val="333333"/>
                <w:sz w:val="18"/>
                <w:szCs w:val="18"/>
              </w:rPr>
              <w:t>Filing</w:t>
            </w:r>
            <w:r>
              <w:rPr>
                <w:rFonts w:ascii="Arial" w:eastAsia="宋体" w:hAnsi="Arial" w:cs="Arial"/>
                <w:b/>
                <w:bCs/>
                <w:color w:val="333333"/>
                <w:sz w:val="18"/>
                <w:szCs w:val="18"/>
              </w:rPr>
              <w:br/>
              <w:t>Date</w:t>
            </w:r>
          </w:p>
        </w:tc>
        <w:tc>
          <w:tcPr>
            <w:tcW w:w="0" w:type="auto"/>
            <w:gridSpan w:val="3"/>
            <w:shd w:val="clear" w:color="auto" w:fill="auto"/>
            <w:tcMar>
              <w:left w:w="20" w:type="dxa"/>
              <w:right w:w="20" w:type="dxa"/>
            </w:tcMar>
            <w:vAlign w:val="bottom"/>
          </w:tcPr>
          <w:p w14:paraId="20AE38A1"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bottom"/>
          </w:tcPr>
          <w:p w14:paraId="20AE38A2" w14:textId="77777777" w:rsidR="00B626E7" w:rsidRDefault="00175C1D">
            <w:pPr>
              <w:jc w:val="center"/>
              <w:textAlignment w:val="bottom"/>
            </w:pPr>
            <w:r>
              <w:rPr>
                <w:rFonts w:ascii="Arial" w:eastAsia="宋体" w:hAnsi="Arial" w:cs="Arial"/>
                <w:b/>
                <w:bCs/>
                <w:color w:val="333333"/>
                <w:sz w:val="18"/>
                <w:szCs w:val="18"/>
              </w:rPr>
              <w:t>Filed or</w:t>
            </w:r>
            <w:r>
              <w:rPr>
                <w:rFonts w:ascii="Arial" w:eastAsia="宋体" w:hAnsi="Arial" w:cs="Arial"/>
                <w:b/>
                <w:bCs/>
                <w:color w:val="333333"/>
                <w:sz w:val="18"/>
                <w:szCs w:val="18"/>
              </w:rPr>
              <w:br/>
              <w:t>Furnished</w:t>
            </w:r>
            <w:r>
              <w:rPr>
                <w:rFonts w:ascii="Arial" w:eastAsia="宋体" w:hAnsi="Arial" w:cs="Arial"/>
                <w:b/>
                <w:bCs/>
                <w:color w:val="333333"/>
                <w:sz w:val="18"/>
                <w:szCs w:val="18"/>
              </w:rPr>
              <w:br/>
              <w:t>Herewith</w:t>
            </w:r>
          </w:p>
        </w:tc>
        <w:tc>
          <w:tcPr>
            <w:tcW w:w="0" w:type="auto"/>
            <w:shd w:val="clear" w:color="auto" w:fill="auto"/>
          </w:tcPr>
          <w:p w14:paraId="20AE38A3" w14:textId="77777777" w:rsidR="00B626E7" w:rsidRDefault="00B626E7">
            <w:pPr>
              <w:rPr>
                <w:rFonts w:ascii="宋体"/>
              </w:rPr>
            </w:pPr>
          </w:p>
        </w:tc>
        <w:tc>
          <w:tcPr>
            <w:tcW w:w="0" w:type="auto"/>
            <w:shd w:val="clear" w:color="auto" w:fill="auto"/>
          </w:tcPr>
          <w:p w14:paraId="20AE38A4" w14:textId="77777777" w:rsidR="00B626E7" w:rsidRDefault="00B626E7">
            <w:pPr>
              <w:rPr>
                <w:rFonts w:ascii="宋体"/>
              </w:rPr>
            </w:pPr>
          </w:p>
        </w:tc>
        <w:tc>
          <w:tcPr>
            <w:tcW w:w="0" w:type="auto"/>
            <w:shd w:val="clear" w:color="auto" w:fill="auto"/>
          </w:tcPr>
          <w:p w14:paraId="20AE38A5" w14:textId="77777777" w:rsidR="00B626E7" w:rsidRDefault="00B626E7">
            <w:pPr>
              <w:rPr>
                <w:rFonts w:ascii="宋体"/>
              </w:rPr>
            </w:pPr>
          </w:p>
        </w:tc>
        <w:tc>
          <w:tcPr>
            <w:tcW w:w="0" w:type="auto"/>
            <w:shd w:val="clear" w:color="auto" w:fill="auto"/>
          </w:tcPr>
          <w:p w14:paraId="20AE38A6" w14:textId="77777777" w:rsidR="00B626E7" w:rsidRDefault="00B626E7">
            <w:pPr>
              <w:rPr>
                <w:rFonts w:ascii="宋体"/>
              </w:rPr>
            </w:pPr>
          </w:p>
        </w:tc>
        <w:tc>
          <w:tcPr>
            <w:tcW w:w="0" w:type="auto"/>
            <w:shd w:val="clear" w:color="auto" w:fill="auto"/>
          </w:tcPr>
          <w:p w14:paraId="20AE38A7" w14:textId="77777777" w:rsidR="00B626E7" w:rsidRDefault="00B626E7">
            <w:pPr>
              <w:rPr>
                <w:rFonts w:ascii="宋体"/>
              </w:rPr>
            </w:pPr>
          </w:p>
        </w:tc>
        <w:tc>
          <w:tcPr>
            <w:tcW w:w="0" w:type="auto"/>
            <w:shd w:val="clear" w:color="auto" w:fill="auto"/>
          </w:tcPr>
          <w:p w14:paraId="20AE38A8" w14:textId="77777777" w:rsidR="00B626E7" w:rsidRDefault="00B626E7">
            <w:pPr>
              <w:rPr>
                <w:rFonts w:ascii="宋体"/>
              </w:rPr>
            </w:pPr>
          </w:p>
        </w:tc>
        <w:tc>
          <w:tcPr>
            <w:tcW w:w="0" w:type="auto"/>
            <w:shd w:val="clear" w:color="auto" w:fill="auto"/>
          </w:tcPr>
          <w:p w14:paraId="20AE38A9" w14:textId="77777777" w:rsidR="00B626E7" w:rsidRDefault="00B626E7">
            <w:pPr>
              <w:rPr>
                <w:rFonts w:ascii="宋体"/>
              </w:rPr>
            </w:pPr>
          </w:p>
        </w:tc>
        <w:tc>
          <w:tcPr>
            <w:tcW w:w="0" w:type="auto"/>
            <w:shd w:val="clear" w:color="auto" w:fill="auto"/>
          </w:tcPr>
          <w:p w14:paraId="20AE38AA" w14:textId="77777777" w:rsidR="00B626E7" w:rsidRDefault="00B626E7">
            <w:pPr>
              <w:rPr>
                <w:rFonts w:ascii="宋体"/>
              </w:rPr>
            </w:pPr>
          </w:p>
        </w:tc>
        <w:tc>
          <w:tcPr>
            <w:tcW w:w="0" w:type="auto"/>
            <w:shd w:val="clear" w:color="auto" w:fill="auto"/>
          </w:tcPr>
          <w:p w14:paraId="20AE38AB" w14:textId="77777777" w:rsidR="00B626E7" w:rsidRDefault="00B626E7">
            <w:pPr>
              <w:rPr>
                <w:rFonts w:ascii="宋体"/>
              </w:rPr>
            </w:pPr>
          </w:p>
        </w:tc>
        <w:tc>
          <w:tcPr>
            <w:tcW w:w="0" w:type="auto"/>
            <w:shd w:val="clear" w:color="auto" w:fill="auto"/>
          </w:tcPr>
          <w:p w14:paraId="20AE38AC" w14:textId="77777777" w:rsidR="00B626E7" w:rsidRDefault="00B626E7">
            <w:pPr>
              <w:rPr>
                <w:rFonts w:ascii="宋体"/>
              </w:rPr>
            </w:pPr>
          </w:p>
        </w:tc>
        <w:tc>
          <w:tcPr>
            <w:tcW w:w="0" w:type="auto"/>
            <w:shd w:val="clear" w:color="auto" w:fill="auto"/>
          </w:tcPr>
          <w:p w14:paraId="20AE38AD" w14:textId="77777777" w:rsidR="00B626E7" w:rsidRDefault="00B626E7">
            <w:pPr>
              <w:rPr>
                <w:rFonts w:ascii="宋体"/>
              </w:rPr>
            </w:pPr>
          </w:p>
        </w:tc>
        <w:tc>
          <w:tcPr>
            <w:tcW w:w="0" w:type="auto"/>
            <w:shd w:val="clear" w:color="auto" w:fill="auto"/>
          </w:tcPr>
          <w:p w14:paraId="20AE38AE" w14:textId="77777777" w:rsidR="00B626E7" w:rsidRDefault="00B626E7">
            <w:pPr>
              <w:rPr>
                <w:rFonts w:ascii="宋体"/>
              </w:rPr>
            </w:pPr>
          </w:p>
        </w:tc>
        <w:tc>
          <w:tcPr>
            <w:tcW w:w="0" w:type="auto"/>
            <w:shd w:val="clear" w:color="auto" w:fill="auto"/>
          </w:tcPr>
          <w:p w14:paraId="20AE38AF" w14:textId="77777777" w:rsidR="00B626E7" w:rsidRDefault="00B626E7">
            <w:pPr>
              <w:rPr>
                <w:rFonts w:ascii="宋体"/>
              </w:rPr>
            </w:pPr>
          </w:p>
        </w:tc>
        <w:tc>
          <w:tcPr>
            <w:tcW w:w="0" w:type="auto"/>
            <w:shd w:val="clear" w:color="auto" w:fill="auto"/>
          </w:tcPr>
          <w:p w14:paraId="20AE38B0" w14:textId="77777777" w:rsidR="00B626E7" w:rsidRDefault="00B626E7">
            <w:pPr>
              <w:rPr>
                <w:rFonts w:ascii="宋体"/>
              </w:rPr>
            </w:pPr>
          </w:p>
        </w:tc>
        <w:tc>
          <w:tcPr>
            <w:tcW w:w="0" w:type="auto"/>
            <w:shd w:val="clear" w:color="auto" w:fill="auto"/>
          </w:tcPr>
          <w:p w14:paraId="20AE38B1" w14:textId="77777777" w:rsidR="00B626E7" w:rsidRDefault="00B626E7">
            <w:pPr>
              <w:rPr>
                <w:rFonts w:ascii="宋体"/>
              </w:rPr>
            </w:pPr>
          </w:p>
        </w:tc>
        <w:tc>
          <w:tcPr>
            <w:tcW w:w="0" w:type="auto"/>
            <w:shd w:val="clear" w:color="auto" w:fill="auto"/>
          </w:tcPr>
          <w:p w14:paraId="20AE38B2" w14:textId="77777777" w:rsidR="00B626E7" w:rsidRDefault="00B626E7">
            <w:pPr>
              <w:rPr>
                <w:rFonts w:ascii="宋体"/>
              </w:rPr>
            </w:pPr>
          </w:p>
        </w:tc>
        <w:tc>
          <w:tcPr>
            <w:tcW w:w="0" w:type="auto"/>
            <w:shd w:val="clear" w:color="auto" w:fill="auto"/>
          </w:tcPr>
          <w:p w14:paraId="20AE38B3" w14:textId="77777777" w:rsidR="00B626E7" w:rsidRDefault="00B626E7">
            <w:pPr>
              <w:rPr>
                <w:rFonts w:ascii="宋体"/>
              </w:rPr>
            </w:pPr>
          </w:p>
        </w:tc>
        <w:tc>
          <w:tcPr>
            <w:tcW w:w="0" w:type="auto"/>
            <w:shd w:val="clear" w:color="auto" w:fill="auto"/>
          </w:tcPr>
          <w:p w14:paraId="20AE38B4" w14:textId="77777777" w:rsidR="00B626E7" w:rsidRDefault="00B626E7">
            <w:pPr>
              <w:rPr>
                <w:rFonts w:ascii="宋体"/>
              </w:rPr>
            </w:pPr>
          </w:p>
        </w:tc>
      </w:tr>
      <w:tr w:rsidR="00B626E7" w14:paraId="20AE38D5" w14:textId="77777777">
        <w:tc>
          <w:tcPr>
            <w:tcW w:w="0" w:type="auto"/>
            <w:gridSpan w:val="3"/>
            <w:tcBorders>
              <w:top w:val="single" w:sz="8" w:space="0" w:color="0071C5"/>
            </w:tcBorders>
            <w:shd w:val="clear" w:color="auto" w:fill="auto"/>
            <w:tcMar>
              <w:top w:w="40" w:type="dxa"/>
              <w:left w:w="20" w:type="dxa"/>
              <w:bottom w:w="40" w:type="dxa"/>
              <w:right w:w="20" w:type="dxa"/>
            </w:tcMar>
          </w:tcPr>
          <w:p w14:paraId="20AE38B6" w14:textId="77777777" w:rsidR="00B626E7" w:rsidRDefault="00175C1D">
            <w:pPr>
              <w:jc w:val="center"/>
              <w:textAlignment w:val="top"/>
            </w:pPr>
            <w:r>
              <w:rPr>
                <w:rFonts w:ascii="Arial" w:eastAsia="宋体" w:hAnsi="Arial" w:cs="Arial"/>
                <w:color w:val="333333"/>
                <w:sz w:val="18"/>
                <w:szCs w:val="18"/>
              </w:rPr>
              <w:t>3.1</w:t>
            </w:r>
          </w:p>
        </w:tc>
        <w:tc>
          <w:tcPr>
            <w:tcW w:w="0" w:type="auto"/>
            <w:gridSpan w:val="3"/>
            <w:shd w:val="clear" w:color="auto" w:fill="auto"/>
            <w:tcMar>
              <w:left w:w="20" w:type="dxa"/>
              <w:right w:w="20" w:type="dxa"/>
            </w:tcMar>
            <w:vAlign w:val="bottom"/>
          </w:tcPr>
          <w:p w14:paraId="20AE38B7"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tcPr>
          <w:p w14:paraId="20AE38B8" w14:textId="77777777" w:rsidR="00B626E7" w:rsidRDefault="00175C1D">
            <w:pPr>
              <w:textAlignment w:val="top"/>
            </w:pPr>
            <w:hyperlink r:id="rId72" w:history="1">
              <w:r>
                <w:rPr>
                  <w:rStyle w:val="a5"/>
                  <w:rFonts w:ascii="Arial" w:eastAsia="宋体" w:hAnsi="Arial" w:cs="Arial"/>
                  <w:sz w:val="18"/>
                  <w:szCs w:val="18"/>
                </w:rPr>
                <w:t>Third Restated Certificate of Incorporation of Intel Corporation, dated May 17, 2006</w:t>
              </w:r>
            </w:hyperlink>
          </w:p>
        </w:tc>
        <w:tc>
          <w:tcPr>
            <w:tcW w:w="0" w:type="auto"/>
            <w:gridSpan w:val="3"/>
            <w:shd w:val="clear" w:color="auto" w:fill="auto"/>
            <w:tcMar>
              <w:left w:w="20" w:type="dxa"/>
              <w:right w:w="20" w:type="dxa"/>
            </w:tcMar>
            <w:vAlign w:val="bottom"/>
          </w:tcPr>
          <w:p w14:paraId="20AE38B9"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tcPr>
          <w:p w14:paraId="20AE38BA" w14:textId="77777777" w:rsidR="00B626E7" w:rsidRDefault="00175C1D">
            <w:pPr>
              <w:jc w:val="center"/>
              <w:textAlignment w:val="top"/>
            </w:pPr>
            <w:r>
              <w:rPr>
                <w:rFonts w:ascii="Arial" w:eastAsia="宋体" w:hAnsi="Arial" w:cs="Arial"/>
                <w:color w:val="333333"/>
                <w:sz w:val="18"/>
                <w:szCs w:val="18"/>
              </w:rPr>
              <w:t>8-K</w:t>
            </w:r>
          </w:p>
        </w:tc>
        <w:tc>
          <w:tcPr>
            <w:tcW w:w="0" w:type="auto"/>
            <w:gridSpan w:val="3"/>
            <w:shd w:val="clear" w:color="auto" w:fill="auto"/>
            <w:tcMar>
              <w:left w:w="20" w:type="dxa"/>
              <w:right w:w="20" w:type="dxa"/>
            </w:tcMar>
            <w:vAlign w:val="bottom"/>
          </w:tcPr>
          <w:p w14:paraId="20AE38BB"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tcPr>
          <w:p w14:paraId="20AE38BC" w14:textId="77777777" w:rsidR="00B626E7" w:rsidRDefault="00175C1D">
            <w:pPr>
              <w:jc w:val="center"/>
              <w:textAlignment w:val="top"/>
            </w:pPr>
            <w:r>
              <w:rPr>
                <w:rFonts w:ascii="Arial" w:eastAsia="宋体" w:hAnsi="Arial" w:cs="Arial"/>
                <w:color w:val="333333"/>
                <w:sz w:val="18"/>
                <w:szCs w:val="18"/>
              </w:rPr>
              <w:t>000-06217</w:t>
            </w:r>
          </w:p>
        </w:tc>
        <w:tc>
          <w:tcPr>
            <w:tcW w:w="0" w:type="auto"/>
            <w:gridSpan w:val="3"/>
            <w:shd w:val="clear" w:color="auto" w:fill="auto"/>
            <w:tcMar>
              <w:left w:w="20" w:type="dxa"/>
              <w:right w:w="20" w:type="dxa"/>
            </w:tcMar>
            <w:vAlign w:val="bottom"/>
          </w:tcPr>
          <w:p w14:paraId="20AE38BD"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tcPr>
          <w:p w14:paraId="20AE38BE" w14:textId="77777777" w:rsidR="00B626E7" w:rsidRDefault="00175C1D">
            <w:pPr>
              <w:jc w:val="center"/>
              <w:textAlignment w:val="top"/>
            </w:pPr>
            <w:r>
              <w:rPr>
                <w:rFonts w:ascii="Arial" w:eastAsia="宋体" w:hAnsi="Arial" w:cs="Arial"/>
                <w:color w:val="333333"/>
                <w:sz w:val="18"/>
                <w:szCs w:val="18"/>
              </w:rPr>
              <w:t>3.1</w:t>
            </w:r>
          </w:p>
        </w:tc>
        <w:tc>
          <w:tcPr>
            <w:tcW w:w="0" w:type="auto"/>
            <w:gridSpan w:val="3"/>
            <w:shd w:val="clear" w:color="auto" w:fill="auto"/>
            <w:tcMar>
              <w:left w:w="20" w:type="dxa"/>
              <w:right w:w="20" w:type="dxa"/>
            </w:tcMar>
            <w:vAlign w:val="bottom"/>
          </w:tcPr>
          <w:p w14:paraId="20AE38BF"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tcPr>
          <w:p w14:paraId="20AE38C0" w14:textId="77777777" w:rsidR="00B626E7" w:rsidRDefault="00175C1D">
            <w:pPr>
              <w:jc w:val="center"/>
              <w:textAlignment w:val="top"/>
            </w:pPr>
            <w:r>
              <w:rPr>
                <w:rFonts w:ascii="Arial" w:eastAsia="宋体" w:hAnsi="Arial" w:cs="Arial"/>
                <w:color w:val="333333"/>
                <w:sz w:val="18"/>
                <w:szCs w:val="18"/>
              </w:rPr>
              <w:t>5/22/2006</w:t>
            </w:r>
          </w:p>
        </w:tc>
        <w:tc>
          <w:tcPr>
            <w:tcW w:w="0" w:type="auto"/>
            <w:gridSpan w:val="3"/>
            <w:shd w:val="clear" w:color="auto" w:fill="auto"/>
            <w:tcMar>
              <w:left w:w="20" w:type="dxa"/>
              <w:right w:w="20" w:type="dxa"/>
            </w:tcMar>
            <w:vAlign w:val="bottom"/>
          </w:tcPr>
          <w:p w14:paraId="20AE38C1" w14:textId="77777777" w:rsidR="00B626E7" w:rsidRDefault="00B626E7">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20AE38C2" w14:textId="77777777" w:rsidR="00B626E7" w:rsidRDefault="00B626E7">
            <w:pPr>
              <w:rPr>
                <w:rFonts w:ascii="宋体"/>
              </w:rPr>
            </w:pPr>
          </w:p>
        </w:tc>
        <w:tc>
          <w:tcPr>
            <w:tcW w:w="0" w:type="auto"/>
            <w:shd w:val="clear" w:color="auto" w:fill="auto"/>
          </w:tcPr>
          <w:p w14:paraId="20AE38C3" w14:textId="77777777" w:rsidR="00B626E7" w:rsidRDefault="00B626E7">
            <w:pPr>
              <w:rPr>
                <w:rFonts w:ascii="宋体"/>
              </w:rPr>
            </w:pPr>
          </w:p>
        </w:tc>
        <w:tc>
          <w:tcPr>
            <w:tcW w:w="0" w:type="auto"/>
            <w:shd w:val="clear" w:color="auto" w:fill="auto"/>
          </w:tcPr>
          <w:p w14:paraId="20AE38C4" w14:textId="77777777" w:rsidR="00B626E7" w:rsidRDefault="00B626E7">
            <w:pPr>
              <w:rPr>
                <w:rFonts w:ascii="宋体"/>
              </w:rPr>
            </w:pPr>
          </w:p>
        </w:tc>
        <w:tc>
          <w:tcPr>
            <w:tcW w:w="0" w:type="auto"/>
            <w:shd w:val="clear" w:color="auto" w:fill="auto"/>
          </w:tcPr>
          <w:p w14:paraId="20AE38C5" w14:textId="77777777" w:rsidR="00B626E7" w:rsidRDefault="00B626E7">
            <w:pPr>
              <w:rPr>
                <w:rFonts w:ascii="宋体"/>
              </w:rPr>
            </w:pPr>
          </w:p>
        </w:tc>
        <w:tc>
          <w:tcPr>
            <w:tcW w:w="0" w:type="auto"/>
            <w:shd w:val="clear" w:color="auto" w:fill="auto"/>
          </w:tcPr>
          <w:p w14:paraId="20AE38C6" w14:textId="77777777" w:rsidR="00B626E7" w:rsidRDefault="00B626E7">
            <w:pPr>
              <w:rPr>
                <w:rFonts w:ascii="宋体"/>
              </w:rPr>
            </w:pPr>
          </w:p>
        </w:tc>
        <w:tc>
          <w:tcPr>
            <w:tcW w:w="0" w:type="auto"/>
            <w:shd w:val="clear" w:color="auto" w:fill="auto"/>
          </w:tcPr>
          <w:p w14:paraId="20AE38C7" w14:textId="77777777" w:rsidR="00B626E7" w:rsidRDefault="00B626E7">
            <w:pPr>
              <w:rPr>
                <w:rFonts w:ascii="宋体"/>
              </w:rPr>
            </w:pPr>
          </w:p>
        </w:tc>
        <w:tc>
          <w:tcPr>
            <w:tcW w:w="0" w:type="auto"/>
            <w:shd w:val="clear" w:color="auto" w:fill="auto"/>
          </w:tcPr>
          <w:p w14:paraId="20AE38C8" w14:textId="77777777" w:rsidR="00B626E7" w:rsidRDefault="00B626E7">
            <w:pPr>
              <w:rPr>
                <w:rFonts w:ascii="宋体"/>
              </w:rPr>
            </w:pPr>
          </w:p>
        </w:tc>
        <w:tc>
          <w:tcPr>
            <w:tcW w:w="0" w:type="auto"/>
            <w:shd w:val="clear" w:color="auto" w:fill="auto"/>
          </w:tcPr>
          <w:p w14:paraId="20AE38C9" w14:textId="77777777" w:rsidR="00B626E7" w:rsidRDefault="00B626E7">
            <w:pPr>
              <w:rPr>
                <w:rFonts w:ascii="宋体"/>
              </w:rPr>
            </w:pPr>
          </w:p>
        </w:tc>
        <w:tc>
          <w:tcPr>
            <w:tcW w:w="0" w:type="auto"/>
            <w:shd w:val="clear" w:color="auto" w:fill="auto"/>
          </w:tcPr>
          <w:p w14:paraId="20AE38CA" w14:textId="77777777" w:rsidR="00B626E7" w:rsidRDefault="00B626E7">
            <w:pPr>
              <w:rPr>
                <w:rFonts w:ascii="宋体"/>
              </w:rPr>
            </w:pPr>
          </w:p>
        </w:tc>
        <w:tc>
          <w:tcPr>
            <w:tcW w:w="0" w:type="auto"/>
            <w:shd w:val="clear" w:color="auto" w:fill="auto"/>
          </w:tcPr>
          <w:p w14:paraId="20AE38CB" w14:textId="77777777" w:rsidR="00B626E7" w:rsidRDefault="00B626E7">
            <w:pPr>
              <w:rPr>
                <w:rFonts w:ascii="宋体"/>
              </w:rPr>
            </w:pPr>
          </w:p>
        </w:tc>
        <w:tc>
          <w:tcPr>
            <w:tcW w:w="0" w:type="auto"/>
            <w:shd w:val="clear" w:color="auto" w:fill="auto"/>
          </w:tcPr>
          <w:p w14:paraId="20AE38CC" w14:textId="77777777" w:rsidR="00B626E7" w:rsidRDefault="00B626E7">
            <w:pPr>
              <w:rPr>
                <w:rFonts w:ascii="宋体"/>
              </w:rPr>
            </w:pPr>
          </w:p>
        </w:tc>
        <w:tc>
          <w:tcPr>
            <w:tcW w:w="0" w:type="auto"/>
            <w:shd w:val="clear" w:color="auto" w:fill="auto"/>
          </w:tcPr>
          <w:p w14:paraId="20AE38CD" w14:textId="77777777" w:rsidR="00B626E7" w:rsidRDefault="00B626E7">
            <w:pPr>
              <w:rPr>
                <w:rFonts w:ascii="宋体"/>
              </w:rPr>
            </w:pPr>
          </w:p>
        </w:tc>
        <w:tc>
          <w:tcPr>
            <w:tcW w:w="0" w:type="auto"/>
            <w:shd w:val="clear" w:color="auto" w:fill="auto"/>
          </w:tcPr>
          <w:p w14:paraId="20AE38CE" w14:textId="77777777" w:rsidR="00B626E7" w:rsidRDefault="00B626E7">
            <w:pPr>
              <w:rPr>
                <w:rFonts w:ascii="宋体"/>
              </w:rPr>
            </w:pPr>
          </w:p>
        </w:tc>
        <w:tc>
          <w:tcPr>
            <w:tcW w:w="0" w:type="auto"/>
            <w:shd w:val="clear" w:color="auto" w:fill="auto"/>
          </w:tcPr>
          <w:p w14:paraId="20AE38CF" w14:textId="77777777" w:rsidR="00B626E7" w:rsidRDefault="00B626E7">
            <w:pPr>
              <w:rPr>
                <w:rFonts w:ascii="宋体"/>
              </w:rPr>
            </w:pPr>
          </w:p>
        </w:tc>
        <w:tc>
          <w:tcPr>
            <w:tcW w:w="0" w:type="auto"/>
            <w:shd w:val="clear" w:color="auto" w:fill="auto"/>
          </w:tcPr>
          <w:p w14:paraId="20AE38D0" w14:textId="77777777" w:rsidR="00B626E7" w:rsidRDefault="00B626E7">
            <w:pPr>
              <w:rPr>
                <w:rFonts w:ascii="宋体"/>
              </w:rPr>
            </w:pPr>
          </w:p>
        </w:tc>
        <w:tc>
          <w:tcPr>
            <w:tcW w:w="0" w:type="auto"/>
            <w:shd w:val="clear" w:color="auto" w:fill="auto"/>
          </w:tcPr>
          <w:p w14:paraId="20AE38D1" w14:textId="77777777" w:rsidR="00B626E7" w:rsidRDefault="00B626E7">
            <w:pPr>
              <w:rPr>
                <w:rFonts w:ascii="宋体"/>
              </w:rPr>
            </w:pPr>
          </w:p>
        </w:tc>
        <w:tc>
          <w:tcPr>
            <w:tcW w:w="0" w:type="auto"/>
            <w:shd w:val="clear" w:color="auto" w:fill="auto"/>
          </w:tcPr>
          <w:p w14:paraId="20AE38D2" w14:textId="77777777" w:rsidR="00B626E7" w:rsidRDefault="00B626E7">
            <w:pPr>
              <w:rPr>
                <w:rFonts w:ascii="宋体"/>
              </w:rPr>
            </w:pPr>
          </w:p>
        </w:tc>
        <w:tc>
          <w:tcPr>
            <w:tcW w:w="0" w:type="auto"/>
            <w:shd w:val="clear" w:color="auto" w:fill="auto"/>
          </w:tcPr>
          <w:p w14:paraId="20AE38D3" w14:textId="77777777" w:rsidR="00B626E7" w:rsidRDefault="00B626E7">
            <w:pPr>
              <w:rPr>
                <w:rFonts w:ascii="宋体"/>
              </w:rPr>
            </w:pPr>
          </w:p>
        </w:tc>
        <w:tc>
          <w:tcPr>
            <w:tcW w:w="0" w:type="auto"/>
            <w:shd w:val="clear" w:color="auto" w:fill="auto"/>
          </w:tcPr>
          <w:p w14:paraId="20AE38D4" w14:textId="77777777" w:rsidR="00B626E7" w:rsidRDefault="00B626E7">
            <w:pPr>
              <w:rPr>
                <w:rFonts w:ascii="宋体"/>
              </w:rPr>
            </w:pPr>
          </w:p>
        </w:tc>
      </w:tr>
      <w:tr w:rsidR="00B626E7" w14:paraId="20AE38F5" w14:textId="77777777">
        <w:tc>
          <w:tcPr>
            <w:tcW w:w="0" w:type="auto"/>
            <w:gridSpan w:val="3"/>
            <w:shd w:val="clear" w:color="auto" w:fill="auto"/>
            <w:tcMar>
              <w:top w:w="40" w:type="dxa"/>
              <w:left w:w="20" w:type="dxa"/>
              <w:bottom w:w="40" w:type="dxa"/>
              <w:right w:w="20" w:type="dxa"/>
            </w:tcMar>
          </w:tcPr>
          <w:p w14:paraId="20AE38D6" w14:textId="77777777" w:rsidR="00B626E7" w:rsidRDefault="00175C1D">
            <w:pPr>
              <w:jc w:val="center"/>
              <w:textAlignment w:val="top"/>
            </w:pPr>
            <w:r>
              <w:rPr>
                <w:rFonts w:ascii="Arial" w:eastAsia="宋体" w:hAnsi="Arial" w:cs="Arial"/>
                <w:color w:val="333333"/>
                <w:sz w:val="18"/>
                <w:szCs w:val="18"/>
              </w:rPr>
              <w:t>3.2</w:t>
            </w:r>
          </w:p>
        </w:tc>
        <w:tc>
          <w:tcPr>
            <w:tcW w:w="0" w:type="auto"/>
            <w:gridSpan w:val="3"/>
            <w:shd w:val="clear" w:color="auto" w:fill="auto"/>
            <w:tcMar>
              <w:left w:w="20" w:type="dxa"/>
              <w:right w:w="20" w:type="dxa"/>
            </w:tcMar>
            <w:vAlign w:val="bottom"/>
          </w:tcPr>
          <w:p w14:paraId="20AE38D7"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38D8" w14:textId="77777777" w:rsidR="00B626E7" w:rsidRDefault="00175C1D">
            <w:pPr>
              <w:textAlignment w:val="top"/>
            </w:pPr>
            <w:hyperlink r:id="rId73" w:history="1">
              <w:r>
                <w:rPr>
                  <w:rStyle w:val="a5"/>
                  <w:rFonts w:ascii="Arial" w:eastAsia="宋体" w:hAnsi="Arial" w:cs="Arial"/>
                  <w:sz w:val="18"/>
                  <w:szCs w:val="18"/>
                </w:rPr>
                <w:t>Intel Corporation Bylaws, as ame</w:t>
              </w:r>
              <w:r>
                <w:rPr>
                  <w:rStyle w:val="a5"/>
                  <w:rFonts w:ascii="Arial" w:eastAsia="宋体" w:hAnsi="Arial" w:cs="Arial"/>
                  <w:sz w:val="18"/>
                  <w:szCs w:val="18"/>
                </w:rPr>
                <w:t>nded and restated on January 16, 2019</w:t>
              </w:r>
            </w:hyperlink>
          </w:p>
        </w:tc>
        <w:tc>
          <w:tcPr>
            <w:tcW w:w="0" w:type="auto"/>
            <w:gridSpan w:val="3"/>
            <w:shd w:val="clear" w:color="auto" w:fill="auto"/>
            <w:tcMar>
              <w:left w:w="20" w:type="dxa"/>
              <w:right w:w="20" w:type="dxa"/>
            </w:tcMar>
            <w:vAlign w:val="bottom"/>
          </w:tcPr>
          <w:p w14:paraId="20AE38D9"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38DA" w14:textId="77777777" w:rsidR="00B626E7" w:rsidRDefault="00175C1D">
            <w:pPr>
              <w:jc w:val="center"/>
              <w:textAlignment w:val="top"/>
            </w:pPr>
            <w:r>
              <w:rPr>
                <w:rFonts w:ascii="Arial" w:eastAsia="宋体" w:hAnsi="Arial" w:cs="Arial"/>
                <w:color w:val="333333"/>
                <w:sz w:val="18"/>
                <w:szCs w:val="18"/>
              </w:rPr>
              <w:t>8-K</w:t>
            </w:r>
          </w:p>
        </w:tc>
        <w:tc>
          <w:tcPr>
            <w:tcW w:w="0" w:type="auto"/>
            <w:gridSpan w:val="3"/>
            <w:shd w:val="clear" w:color="auto" w:fill="auto"/>
            <w:tcMar>
              <w:left w:w="20" w:type="dxa"/>
              <w:right w:w="20" w:type="dxa"/>
            </w:tcMar>
            <w:vAlign w:val="bottom"/>
          </w:tcPr>
          <w:p w14:paraId="20AE38DB"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38DC" w14:textId="77777777" w:rsidR="00B626E7" w:rsidRDefault="00175C1D">
            <w:pPr>
              <w:jc w:val="center"/>
              <w:textAlignment w:val="top"/>
            </w:pPr>
            <w:r>
              <w:rPr>
                <w:rFonts w:ascii="Arial" w:eastAsia="宋体" w:hAnsi="Arial" w:cs="Arial"/>
                <w:color w:val="333333"/>
                <w:sz w:val="18"/>
                <w:szCs w:val="18"/>
              </w:rPr>
              <w:t>000-06217</w:t>
            </w:r>
          </w:p>
        </w:tc>
        <w:tc>
          <w:tcPr>
            <w:tcW w:w="0" w:type="auto"/>
            <w:gridSpan w:val="3"/>
            <w:shd w:val="clear" w:color="auto" w:fill="auto"/>
            <w:tcMar>
              <w:left w:w="20" w:type="dxa"/>
              <w:right w:w="20" w:type="dxa"/>
            </w:tcMar>
            <w:vAlign w:val="bottom"/>
          </w:tcPr>
          <w:p w14:paraId="20AE38DD"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38DE" w14:textId="77777777" w:rsidR="00B626E7" w:rsidRDefault="00175C1D">
            <w:pPr>
              <w:jc w:val="center"/>
              <w:textAlignment w:val="top"/>
            </w:pPr>
            <w:r>
              <w:rPr>
                <w:rFonts w:ascii="Arial" w:eastAsia="宋体" w:hAnsi="Arial" w:cs="Arial"/>
                <w:color w:val="333333"/>
                <w:sz w:val="18"/>
                <w:szCs w:val="18"/>
              </w:rPr>
              <w:t>3.2</w:t>
            </w:r>
          </w:p>
        </w:tc>
        <w:tc>
          <w:tcPr>
            <w:tcW w:w="0" w:type="auto"/>
            <w:gridSpan w:val="3"/>
            <w:shd w:val="clear" w:color="auto" w:fill="auto"/>
            <w:tcMar>
              <w:left w:w="20" w:type="dxa"/>
              <w:right w:w="20" w:type="dxa"/>
            </w:tcMar>
            <w:vAlign w:val="bottom"/>
          </w:tcPr>
          <w:p w14:paraId="20AE38DF"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38E0" w14:textId="77777777" w:rsidR="00B626E7" w:rsidRDefault="00175C1D">
            <w:pPr>
              <w:jc w:val="center"/>
              <w:textAlignment w:val="top"/>
            </w:pPr>
            <w:r>
              <w:rPr>
                <w:rFonts w:ascii="Arial" w:eastAsia="宋体" w:hAnsi="Arial" w:cs="Arial"/>
                <w:color w:val="333333"/>
                <w:sz w:val="18"/>
                <w:szCs w:val="18"/>
              </w:rPr>
              <w:t>1/17/2019</w:t>
            </w:r>
          </w:p>
        </w:tc>
        <w:tc>
          <w:tcPr>
            <w:tcW w:w="0" w:type="auto"/>
            <w:gridSpan w:val="3"/>
            <w:shd w:val="clear" w:color="auto" w:fill="auto"/>
            <w:tcMar>
              <w:left w:w="20" w:type="dxa"/>
              <w:right w:w="20" w:type="dxa"/>
            </w:tcMar>
            <w:vAlign w:val="bottom"/>
          </w:tcPr>
          <w:p w14:paraId="20AE38E1"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8E2" w14:textId="77777777" w:rsidR="00B626E7" w:rsidRDefault="00B626E7">
            <w:pPr>
              <w:rPr>
                <w:rFonts w:ascii="宋体"/>
              </w:rPr>
            </w:pPr>
          </w:p>
        </w:tc>
        <w:tc>
          <w:tcPr>
            <w:tcW w:w="0" w:type="auto"/>
            <w:shd w:val="clear" w:color="auto" w:fill="auto"/>
          </w:tcPr>
          <w:p w14:paraId="20AE38E3" w14:textId="77777777" w:rsidR="00B626E7" w:rsidRDefault="00B626E7">
            <w:pPr>
              <w:rPr>
                <w:rFonts w:ascii="宋体"/>
              </w:rPr>
            </w:pPr>
          </w:p>
        </w:tc>
        <w:tc>
          <w:tcPr>
            <w:tcW w:w="0" w:type="auto"/>
            <w:shd w:val="clear" w:color="auto" w:fill="auto"/>
          </w:tcPr>
          <w:p w14:paraId="20AE38E4" w14:textId="77777777" w:rsidR="00B626E7" w:rsidRDefault="00B626E7">
            <w:pPr>
              <w:rPr>
                <w:rFonts w:ascii="宋体"/>
              </w:rPr>
            </w:pPr>
          </w:p>
        </w:tc>
        <w:tc>
          <w:tcPr>
            <w:tcW w:w="0" w:type="auto"/>
            <w:shd w:val="clear" w:color="auto" w:fill="auto"/>
          </w:tcPr>
          <w:p w14:paraId="20AE38E5" w14:textId="77777777" w:rsidR="00B626E7" w:rsidRDefault="00B626E7">
            <w:pPr>
              <w:rPr>
                <w:rFonts w:ascii="宋体"/>
              </w:rPr>
            </w:pPr>
          </w:p>
        </w:tc>
        <w:tc>
          <w:tcPr>
            <w:tcW w:w="0" w:type="auto"/>
            <w:shd w:val="clear" w:color="auto" w:fill="auto"/>
          </w:tcPr>
          <w:p w14:paraId="20AE38E6" w14:textId="77777777" w:rsidR="00B626E7" w:rsidRDefault="00B626E7">
            <w:pPr>
              <w:rPr>
                <w:rFonts w:ascii="宋体"/>
              </w:rPr>
            </w:pPr>
          </w:p>
        </w:tc>
        <w:tc>
          <w:tcPr>
            <w:tcW w:w="0" w:type="auto"/>
            <w:shd w:val="clear" w:color="auto" w:fill="auto"/>
          </w:tcPr>
          <w:p w14:paraId="20AE38E7" w14:textId="77777777" w:rsidR="00B626E7" w:rsidRDefault="00B626E7">
            <w:pPr>
              <w:rPr>
                <w:rFonts w:ascii="宋体"/>
              </w:rPr>
            </w:pPr>
          </w:p>
        </w:tc>
        <w:tc>
          <w:tcPr>
            <w:tcW w:w="0" w:type="auto"/>
            <w:shd w:val="clear" w:color="auto" w:fill="auto"/>
          </w:tcPr>
          <w:p w14:paraId="20AE38E8" w14:textId="77777777" w:rsidR="00B626E7" w:rsidRDefault="00B626E7">
            <w:pPr>
              <w:rPr>
                <w:rFonts w:ascii="宋体"/>
              </w:rPr>
            </w:pPr>
          </w:p>
        </w:tc>
        <w:tc>
          <w:tcPr>
            <w:tcW w:w="0" w:type="auto"/>
            <w:shd w:val="clear" w:color="auto" w:fill="auto"/>
          </w:tcPr>
          <w:p w14:paraId="20AE38E9" w14:textId="77777777" w:rsidR="00B626E7" w:rsidRDefault="00B626E7">
            <w:pPr>
              <w:rPr>
                <w:rFonts w:ascii="宋体"/>
              </w:rPr>
            </w:pPr>
          </w:p>
        </w:tc>
        <w:tc>
          <w:tcPr>
            <w:tcW w:w="0" w:type="auto"/>
            <w:shd w:val="clear" w:color="auto" w:fill="auto"/>
          </w:tcPr>
          <w:p w14:paraId="20AE38EA" w14:textId="77777777" w:rsidR="00B626E7" w:rsidRDefault="00B626E7">
            <w:pPr>
              <w:rPr>
                <w:rFonts w:ascii="宋体"/>
              </w:rPr>
            </w:pPr>
          </w:p>
        </w:tc>
        <w:tc>
          <w:tcPr>
            <w:tcW w:w="0" w:type="auto"/>
            <w:shd w:val="clear" w:color="auto" w:fill="auto"/>
          </w:tcPr>
          <w:p w14:paraId="20AE38EB" w14:textId="77777777" w:rsidR="00B626E7" w:rsidRDefault="00B626E7">
            <w:pPr>
              <w:rPr>
                <w:rFonts w:ascii="宋体"/>
              </w:rPr>
            </w:pPr>
          </w:p>
        </w:tc>
        <w:tc>
          <w:tcPr>
            <w:tcW w:w="0" w:type="auto"/>
            <w:shd w:val="clear" w:color="auto" w:fill="auto"/>
          </w:tcPr>
          <w:p w14:paraId="20AE38EC" w14:textId="77777777" w:rsidR="00B626E7" w:rsidRDefault="00B626E7">
            <w:pPr>
              <w:rPr>
                <w:rFonts w:ascii="宋体"/>
              </w:rPr>
            </w:pPr>
          </w:p>
        </w:tc>
        <w:tc>
          <w:tcPr>
            <w:tcW w:w="0" w:type="auto"/>
            <w:shd w:val="clear" w:color="auto" w:fill="auto"/>
          </w:tcPr>
          <w:p w14:paraId="20AE38ED" w14:textId="77777777" w:rsidR="00B626E7" w:rsidRDefault="00B626E7">
            <w:pPr>
              <w:rPr>
                <w:rFonts w:ascii="宋体"/>
              </w:rPr>
            </w:pPr>
          </w:p>
        </w:tc>
        <w:tc>
          <w:tcPr>
            <w:tcW w:w="0" w:type="auto"/>
            <w:shd w:val="clear" w:color="auto" w:fill="auto"/>
          </w:tcPr>
          <w:p w14:paraId="20AE38EE" w14:textId="77777777" w:rsidR="00B626E7" w:rsidRDefault="00B626E7">
            <w:pPr>
              <w:rPr>
                <w:rFonts w:ascii="宋体"/>
              </w:rPr>
            </w:pPr>
          </w:p>
        </w:tc>
        <w:tc>
          <w:tcPr>
            <w:tcW w:w="0" w:type="auto"/>
            <w:shd w:val="clear" w:color="auto" w:fill="auto"/>
          </w:tcPr>
          <w:p w14:paraId="20AE38EF" w14:textId="77777777" w:rsidR="00B626E7" w:rsidRDefault="00B626E7">
            <w:pPr>
              <w:rPr>
                <w:rFonts w:ascii="宋体"/>
              </w:rPr>
            </w:pPr>
          </w:p>
        </w:tc>
        <w:tc>
          <w:tcPr>
            <w:tcW w:w="0" w:type="auto"/>
            <w:shd w:val="clear" w:color="auto" w:fill="auto"/>
          </w:tcPr>
          <w:p w14:paraId="20AE38F0" w14:textId="77777777" w:rsidR="00B626E7" w:rsidRDefault="00B626E7">
            <w:pPr>
              <w:rPr>
                <w:rFonts w:ascii="宋体"/>
              </w:rPr>
            </w:pPr>
          </w:p>
        </w:tc>
        <w:tc>
          <w:tcPr>
            <w:tcW w:w="0" w:type="auto"/>
            <w:shd w:val="clear" w:color="auto" w:fill="auto"/>
          </w:tcPr>
          <w:p w14:paraId="20AE38F1" w14:textId="77777777" w:rsidR="00B626E7" w:rsidRDefault="00B626E7">
            <w:pPr>
              <w:rPr>
                <w:rFonts w:ascii="宋体"/>
              </w:rPr>
            </w:pPr>
          </w:p>
        </w:tc>
        <w:tc>
          <w:tcPr>
            <w:tcW w:w="0" w:type="auto"/>
            <w:shd w:val="clear" w:color="auto" w:fill="auto"/>
          </w:tcPr>
          <w:p w14:paraId="20AE38F2" w14:textId="77777777" w:rsidR="00B626E7" w:rsidRDefault="00B626E7">
            <w:pPr>
              <w:rPr>
                <w:rFonts w:ascii="宋体"/>
              </w:rPr>
            </w:pPr>
          </w:p>
        </w:tc>
        <w:tc>
          <w:tcPr>
            <w:tcW w:w="0" w:type="auto"/>
            <w:shd w:val="clear" w:color="auto" w:fill="auto"/>
          </w:tcPr>
          <w:p w14:paraId="20AE38F3" w14:textId="77777777" w:rsidR="00B626E7" w:rsidRDefault="00B626E7">
            <w:pPr>
              <w:rPr>
                <w:rFonts w:ascii="宋体"/>
              </w:rPr>
            </w:pPr>
          </w:p>
        </w:tc>
        <w:tc>
          <w:tcPr>
            <w:tcW w:w="0" w:type="auto"/>
            <w:shd w:val="clear" w:color="auto" w:fill="auto"/>
          </w:tcPr>
          <w:p w14:paraId="20AE38F4" w14:textId="77777777" w:rsidR="00B626E7" w:rsidRDefault="00B626E7">
            <w:pPr>
              <w:rPr>
                <w:rFonts w:ascii="宋体"/>
              </w:rPr>
            </w:pPr>
          </w:p>
        </w:tc>
      </w:tr>
      <w:tr w:rsidR="00B626E7" w14:paraId="20AE3915" w14:textId="77777777">
        <w:tc>
          <w:tcPr>
            <w:tcW w:w="0" w:type="auto"/>
            <w:gridSpan w:val="3"/>
            <w:shd w:val="clear" w:color="auto" w:fill="auto"/>
            <w:tcMar>
              <w:top w:w="40" w:type="dxa"/>
              <w:left w:w="20" w:type="dxa"/>
              <w:bottom w:w="40" w:type="dxa"/>
              <w:right w:w="20" w:type="dxa"/>
            </w:tcMar>
          </w:tcPr>
          <w:p w14:paraId="20AE38F6" w14:textId="77777777" w:rsidR="00B626E7" w:rsidRDefault="00175C1D">
            <w:pPr>
              <w:jc w:val="center"/>
              <w:textAlignment w:val="top"/>
            </w:pPr>
            <w:r>
              <w:rPr>
                <w:rFonts w:ascii="Arial" w:eastAsia="宋体" w:hAnsi="Arial" w:cs="Arial"/>
                <w:color w:val="333333"/>
                <w:sz w:val="18"/>
                <w:szCs w:val="18"/>
              </w:rPr>
              <w:t>10.1</w:t>
            </w:r>
            <w:r>
              <w:rPr>
                <w:rFonts w:ascii="Arial" w:eastAsia="宋体" w:hAnsi="Arial" w:cs="Arial"/>
                <w:color w:val="333333"/>
                <w:sz w:val="11"/>
                <w:szCs w:val="11"/>
              </w:rPr>
              <w:t>†</w:t>
            </w:r>
          </w:p>
        </w:tc>
        <w:tc>
          <w:tcPr>
            <w:tcW w:w="0" w:type="auto"/>
            <w:gridSpan w:val="3"/>
            <w:shd w:val="clear" w:color="auto" w:fill="auto"/>
            <w:tcMar>
              <w:left w:w="20" w:type="dxa"/>
              <w:right w:w="20" w:type="dxa"/>
            </w:tcMar>
            <w:vAlign w:val="bottom"/>
          </w:tcPr>
          <w:p w14:paraId="20AE38F7"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38F8" w14:textId="77777777" w:rsidR="00B626E7" w:rsidRDefault="00175C1D">
            <w:pPr>
              <w:textAlignment w:val="top"/>
            </w:pPr>
            <w:hyperlink r:id="rId74" w:history="1">
              <w:r>
                <w:rPr>
                  <w:rStyle w:val="a5"/>
                  <w:rFonts w:ascii="Arial" w:eastAsia="宋体" w:hAnsi="Arial" w:cs="Arial"/>
                  <w:sz w:val="18"/>
                  <w:szCs w:val="18"/>
                </w:rPr>
                <w:t xml:space="preserve">Intel Corporation </w:t>
              </w:r>
            </w:hyperlink>
            <w:hyperlink r:id="rId75" w:history="1">
              <w:r>
                <w:rPr>
                  <w:rStyle w:val="a5"/>
                  <w:rFonts w:ascii="Arial" w:eastAsia="宋体" w:hAnsi="Arial" w:cs="Arial"/>
                  <w:sz w:val="18"/>
                  <w:szCs w:val="18"/>
                </w:rPr>
                <w:t xml:space="preserve">2006 </w:t>
              </w:r>
            </w:hyperlink>
            <w:hyperlink r:id="rId76" w:history="1">
              <w:r>
                <w:rPr>
                  <w:rStyle w:val="a5"/>
                  <w:rFonts w:ascii="Arial" w:eastAsia="宋体" w:hAnsi="Arial" w:cs="Arial"/>
                  <w:sz w:val="18"/>
                  <w:szCs w:val="18"/>
                </w:rPr>
                <w:t>Employee</w:t>
              </w:r>
            </w:hyperlink>
            <w:hyperlink r:id="rId77" w:history="1">
              <w:r>
                <w:rPr>
                  <w:rStyle w:val="a5"/>
                  <w:rFonts w:ascii="Arial" w:eastAsia="宋体" w:hAnsi="Arial" w:cs="Arial"/>
                  <w:sz w:val="18"/>
                  <w:szCs w:val="18"/>
                </w:rPr>
                <w:t xml:space="preserve"> </w:t>
              </w:r>
            </w:hyperlink>
            <w:hyperlink r:id="rId78" w:history="1">
              <w:r>
                <w:rPr>
                  <w:rStyle w:val="a5"/>
                  <w:rFonts w:ascii="Arial" w:eastAsia="宋体" w:hAnsi="Arial" w:cs="Arial"/>
                  <w:sz w:val="18"/>
                  <w:szCs w:val="18"/>
                </w:rPr>
                <w:t>Stock</w:t>
              </w:r>
            </w:hyperlink>
            <w:hyperlink r:id="rId79" w:history="1">
              <w:r>
                <w:rPr>
                  <w:rStyle w:val="a5"/>
                  <w:rFonts w:ascii="Arial" w:eastAsia="宋体" w:hAnsi="Arial" w:cs="Arial"/>
                  <w:sz w:val="18"/>
                  <w:szCs w:val="18"/>
                </w:rPr>
                <w:t xml:space="preserve"> </w:t>
              </w:r>
            </w:hyperlink>
            <w:hyperlink r:id="rId80" w:history="1">
              <w:r>
                <w:rPr>
                  <w:rStyle w:val="a5"/>
                  <w:rFonts w:ascii="Arial" w:eastAsia="宋体" w:hAnsi="Arial" w:cs="Arial"/>
                  <w:sz w:val="18"/>
                  <w:szCs w:val="18"/>
                </w:rPr>
                <w:t>Purchase</w:t>
              </w:r>
            </w:hyperlink>
            <w:hyperlink r:id="rId81" w:history="1">
              <w:r>
                <w:rPr>
                  <w:rStyle w:val="a5"/>
                  <w:rFonts w:ascii="Arial" w:eastAsia="宋体" w:hAnsi="Arial" w:cs="Arial"/>
                  <w:sz w:val="18"/>
                  <w:szCs w:val="18"/>
                </w:rPr>
                <w:t xml:space="preserve"> </w:t>
              </w:r>
            </w:hyperlink>
            <w:hyperlink r:id="rId82" w:history="1">
              <w:r>
                <w:rPr>
                  <w:rStyle w:val="a5"/>
                  <w:rFonts w:ascii="Arial" w:eastAsia="宋体" w:hAnsi="Arial" w:cs="Arial"/>
                  <w:sz w:val="18"/>
                  <w:szCs w:val="18"/>
                </w:rPr>
                <w:t>Plan,</w:t>
              </w:r>
            </w:hyperlink>
            <w:hyperlink r:id="rId83" w:history="1">
              <w:r>
                <w:rPr>
                  <w:rStyle w:val="a5"/>
                  <w:rFonts w:ascii="Arial" w:eastAsia="宋体" w:hAnsi="Arial" w:cs="Arial"/>
                  <w:sz w:val="18"/>
                  <w:szCs w:val="18"/>
                </w:rPr>
                <w:t xml:space="preserve"> </w:t>
              </w:r>
            </w:hyperlink>
            <w:hyperlink r:id="rId84" w:history="1">
              <w:r>
                <w:rPr>
                  <w:rStyle w:val="a5"/>
                  <w:rFonts w:ascii="Arial" w:eastAsia="宋体" w:hAnsi="Arial" w:cs="Arial"/>
                  <w:sz w:val="18"/>
                  <w:szCs w:val="18"/>
                </w:rPr>
                <w:t>as</w:t>
              </w:r>
            </w:hyperlink>
            <w:hyperlink r:id="rId85" w:history="1">
              <w:r>
                <w:rPr>
                  <w:rStyle w:val="a5"/>
                  <w:rFonts w:ascii="Arial" w:eastAsia="宋体" w:hAnsi="Arial" w:cs="Arial"/>
                  <w:sz w:val="18"/>
                  <w:szCs w:val="18"/>
                </w:rPr>
                <w:t xml:space="preserve"> </w:t>
              </w:r>
            </w:hyperlink>
            <w:hyperlink r:id="rId86" w:history="1">
              <w:r>
                <w:rPr>
                  <w:rStyle w:val="a5"/>
                  <w:rFonts w:ascii="Arial" w:eastAsia="宋体" w:hAnsi="Arial" w:cs="Arial"/>
                  <w:sz w:val="18"/>
                  <w:szCs w:val="18"/>
                </w:rPr>
                <w:t>amended</w:t>
              </w:r>
            </w:hyperlink>
            <w:hyperlink r:id="rId87" w:history="1">
              <w:r>
                <w:rPr>
                  <w:rStyle w:val="a5"/>
                  <w:rFonts w:ascii="Arial" w:eastAsia="宋体" w:hAnsi="Arial" w:cs="Arial"/>
                  <w:sz w:val="18"/>
                  <w:szCs w:val="18"/>
                </w:rPr>
                <w:t xml:space="preserve"> </w:t>
              </w:r>
            </w:hyperlink>
            <w:hyperlink r:id="rId88" w:history="1">
              <w:r>
                <w:rPr>
                  <w:rStyle w:val="a5"/>
                  <w:rFonts w:ascii="Arial" w:eastAsia="宋体" w:hAnsi="Arial" w:cs="Arial"/>
                  <w:sz w:val="18"/>
                  <w:szCs w:val="18"/>
                </w:rPr>
                <w:t>and</w:t>
              </w:r>
            </w:hyperlink>
            <w:hyperlink r:id="rId89" w:history="1">
              <w:r>
                <w:rPr>
                  <w:rStyle w:val="a5"/>
                  <w:rFonts w:ascii="Arial" w:eastAsia="宋体" w:hAnsi="Arial" w:cs="Arial"/>
                  <w:sz w:val="18"/>
                  <w:szCs w:val="18"/>
                </w:rPr>
                <w:t xml:space="preserve"> </w:t>
              </w:r>
            </w:hyperlink>
            <w:hyperlink r:id="rId90" w:history="1">
              <w:r>
                <w:rPr>
                  <w:rStyle w:val="a5"/>
                  <w:rFonts w:ascii="Arial" w:eastAsia="宋体" w:hAnsi="Arial" w:cs="Arial"/>
                  <w:sz w:val="18"/>
                  <w:szCs w:val="18"/>
                </w:rPr>
                <w:t>restated,</w:t>
              </w:r>
            </w:hyperlink>
            <w:hyperlink r:id="rId91" w:history="1">
              <w:r>
                <w:rPr>
                  <w:rStyle w:val="a5"/>
                  <w:rFonts w:ascii="Arial" w:eastAsia="宋体" w:hAnsi="Arial" w:cs="Arial"/>
                  <w:sz w:val="18"/>
                  <w:szCs w:val="18"/>
                </w:rPr>
                <w:t xml:space="preserve"> </w:t>
              </w:r>
            </w:hyperlink>
            <w:hyperlink r:id="rId92" w:history="1">
              <w:r>
                <w:rPr>
                  <w:rStyle w:val="a5"/>
                  <w:rFonts w:ascii="Arial" w:eastAsia="宋体" w:hAnsi="Arial" w:cs="Arial"/>
                  <w:sz w:val="18"/>
                  <w:szCs w:val="18"/>
                </w:rPr>
                <w:t>effective</w:t>
              </w:r>
            </w:hyperlink>
            <w:hyperlink r:id="rId93" w:history="1">
              <w:r>
                <w:rPr>
                  <w:rStyle w:val="a5"/>
                  <w:rFonts w:ascii="Arial" w:eastAsia="宋体" w:hAnsi="Arial" w:cs="Arial"/>
                  <w:sz w:val="18"/>
                  <w:szCs w:val="18"/>
                </w:rPr>
                <w:t xml:space="preserve"> </w:t>
              </w:r>
            </w:hyperlink>
            <w:hyperlink r:id="rId94" w:history="1">
              <w:r>
                <w:rPr>
                  <w:rStyle w:val="a5"/>
                  <w:rFonts w:ascii="Arial" w:eastAsia="宋体" w:hAnsi="Arial" w:cs="Arial"/>
                  <w:sz w:val="18"/>
                  <w:szCs w:val="18"/>
                </w:rPr>
                <w:t>May</w:t>
              </w:r>
            </w:hyperlink>
            <w:hyperlink r:id="rId95" w:history="1">
              <w:r>
                <w:rPr>
                  <w:rStyle w:val="a5"/>
                  <w:rFonts w:ascii="Arial" w:eastAsia="宋体" w:hAnsi="Arial" w:cs="Arial"/>
                  <w:sz w:val="18"/>
                  <w:szCs w:val="18"/>
                </w:rPr>
                <w:t xml:space="preserve"> </w:t>
              </w:r>
            </w:hyperlink>
            <w:hyperlink r:id="rId96" w:history="1">
              <w:r>
                <w:rPr>
                  <w:rStyle w:val="a5"/>
                  <w:rFonts w:ascii="Arial" w:eastAsia="宋体" w:hAnsi="Arial" w:cs="Arial"/>
                  <w:sz w:val="18"/>
                  <w:szCs w:val="18"/>
                </w:rPr>
                <w:t>14,</w:t>
              </w:r>
            </w:hyperlink>
            <w:hyperlink r:id="rId97" w:history="1">
              <w:r>
                <w:rPr>
                  <w:rStyle w:val="a5"/>
                  <w:rFonts w:ascii="Arial" w:eastAsia="宋体" w:hAnsi="Arial" w:cs="Arial"/>
                  <w:sz w:val="18"/>
                  <w:szCs w:val="18"/>
                </w:rPr>
                <w:t xml:space="preserve"> </w:t>
              </w:r>
            </w:hyperlink>
            <w:hyperlink r:id="rId98" w:history="1">
              <w:r>
                <w:rPr>
                  <w:rStyle w:val="a5"/>
                  <w:rFonts w:ascii="Arial" w:eastAsia="宋体" w:hAnsi="Arial" w:cs="Arial"/>
                  <w:sz w:val="18"/>
                  <w:szCs w:val="18"/>
                </w:rPr>
                <w:t>2020</w:t>
              </w:r>
            </w:hyperlink>
          </w:p>
        </w:tc>
        <w:tc>
          <w:tcPr>
            <w:tcW w:w="0" w:type="auto"/>
            <w:gridSpan w:val="3"/>
            <w:shd w:val="clear" w:color="auto" w:fill="auto"/>
            <w:tcMar>
              <w:left w:w="20" w:type="dxa"/>
              <w:right w:w="20" w:type="dxa"/>
            </w:tcMar>
            <w:vAlign w:val="bottom"/>
          </w:tcPr>
          <w:p w14:paraId="20AE38F9"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8FA"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8FB"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8FC"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8FD"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8FE"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8FF"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900"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901"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3902" w14:textId="77777777" w:rsidR="00B626E7" w:rsidRDefault="00175C1D">
            <w:pPr>
              <w:jc w:val="center"/>
              <w:textAlignment w:val="top"/>
            </w:pPr>
            <w:r>
              <w:rPr>
                <w:rFonts w:ascii="Arial" w:eastAsia="宋体" w:hAnsi="Arial" w:cs="Arial"/>
                <w:color w:val="333333"/>
                <w:sz w:val="18"/>
                <w:szCs w:val="18"/>
              </w:rPr>
              <w:t>X</w:t>
            </w:r>
          </w:p>
        </w:tc>
        <w:tc>
          <w:tcPr>
            <w:tcW w:w="0" w:type="auto"/>
            <w:shd w:val="clear" w:color="auto" w:fill="auto"/>
          </w:tcPr>
          <w:p w14:paraId="20AE3903" w14:textId="77777777" w:rsidR="00B626E7" w:rsidRDefault="00B626E7">
            <w:pPr>
              <w:rPr>
                <w:rFonts w:ascii="宋体"/>
              </w:rPr>
            </w:pPr>
          </w:p>
        </w:tc>
        <w:tc>
          <w:tcPr>
            <w:tcW w:w="0" w:type="auto"/>
            <w:shd w:val="clear" w:color="auto" w:fill="auto"/>
          </w:tcPr>
          <w:p w14:paraId="20AE3904" w14:textId="77777777" w:rsidR="00B626E7" w:rsidRDefault="00B626E7">
            <w:pPr>
              <w:rPr>
                <w:rFonts w:ascii="宋体"/>
              </w:rPr>
            </w:pPr>
          </w:p>
        </w:tc>
        <w:tc>
          <w:tcPr>
            <w:tcW w:w="0" w:type="auto"/>
            <w:shd w:val="clear" w:color="auto" w:fill="auto"/>
          </w:tcPr>
          <w:p w14:paraId="20AE3905" w14:textId="77777777" w:rsidR="00B626E7" w:rsidRDefault="00B626E7">
            <w:pPr>
              <w:rPr>
                <w:rFonts w:ascii="宋体"/>
              </w:rPr>
            </w:pPr>
          </w:p>
        </w:tc>
        <w:tc>
          <w:tcPr>
            <w:tcW w:w="0" w:type="auto"/>
            <w:shd w:val="clear" w:color="auto" w:fill="auto"/>
          </w:tcPr>
          <w:p w14:paraId="20AE3906" w14:textId="77777777" w:rsidR="00B626E7" w:rsidRDefault="00B626E7">
            <w:pPr>
              <w:rPr>
                <w:rFonts w:ascii="宋体"/>
              </w:rPr>
            </w:pPr>
          </w:p>
        </w:tc>
        <w:tc>
          <w:tcPr>
            <w:tcW w:w="0" w:type="auto"/>
            <w:shd w:val="clear" w:color="auto" w:fill="auto"/>
          </w:tcPr>
          <w:p w14:paraId="20AE3907" w14:textId="77777777" w:rsidR="00B626E7" w:rsidRDefault="00B626E7">
            <w:pPr>
              <w:rPr>
                <w:rFonts w:ascii="宋体"/>
              </w:rPr>
            </w:pPr>
          </w:p>
        </w:tc>
        <w:tc>
          <w:tcPr>
            <w:tcW w:w="0" w:type="auto"/>
            <w:shd w:val="clear" w:color="auto" w:fill="auto"/>
          </w:tcPr>
          <w:p w14:paraId="20AE3908" w14:textId="77777777" w:rsidR="00B626E7" w:rsidRDefault="00B626E7">
            <w:pPr>
              <w:rPr>
                <w:rFonts w:ascii="宋体"/>
              </w:rPr>
            </w:pPr>
          </w:p>
        </w:tc>
        <w:tc>
          <w:tcPr>
            <w:tcW w:w="0" w:type="auto"/>
            <w:shd w:val="clear" w:color="auto" w:fill="auto"/>
          </w:tcPr>
          <w:p w14:paraId="20AE3909" w14:textId="77777777" w:rsidR="00B626E7" w:rsidRDefault="00B626E7">
            <w:pPr>
              <w:rPr>
                <w:rFonts w:ascii="宋体"/>
              </w:rPr>
            </w:pPr>
          </w:p>
        </w:tc>
        <w:tc>
          <w:tcPr>
            <w:tcW w:w="0" w:type="auto"/>
            <w:shd w:val="clear" w:color="auto" w:fill="auto"/>
          </w:tcPr>
          <w:p w14:paraId="20AE390A" w14:textId="77777777" w:rsidR="00B626E7" w:rsidRDefault="00B626E7">
            <w:pPr>
              <w:rPr>
                <w:rFonts w:ascii="宋体"/>
              </w:rPr>
            </w:pPr>
          </w:p>
        </w:tc>
        <w:tc>
          <w:tcPr>
            <w:tcW w:w="0" w:type="auto"/>
            <w:shd w:val="clear" w:color="auto" w:fill="auto"/>
          </w:tcPr>
          <w:p w14:paraId="20AE390B" w14:textId="77777777" w:rsidR="00B626E7" w:rsidRDefault="00B626E7">
            <w:pPr>
              <w:rPr>
                <w:rFonts w:ascii="宋体"/>
              </w:rPr>
            </w:pPr>
          </w:p>
        </w:tc>
        <w:tc>
          <w:tcPr>
            <w:tcW w:w="0" w:type="auto"/>
            <w:shd w:val="clear" w:color="auto" w:fill="auto"/>
          </w:tcPr>
          <w:p w14:paraId="20AE390C" w14:textId="77777777" w:rsidR="00B626E7" w:rsidRDefault="00B626E7">
            <w:pPr>
              <w:rPr>
                <w:rFonts w:ascii="宋体"/>
              </w:rPr>
            </w:pPr>
          </w:p>
        </w:tc>
        <w:tc>
          <w:tcPr>
            <w:tcW w:w="0" w:type="auto"/>
            <w:shd w:val="clear" w:color="auto" w:fill="auto"/>
          </w:tcPr>
          <w:p w14:paraId="20AE390D" w14:textId="77777777" w:rsidR="00B626E7" w:rsidRDefault="00B626E7">
            <w:pPr>
              <w:rPr>
                <w:rFonts w:ascii="宋体"/>
              </w:rPr>
            </w:pPr>
          </w:p>
        </w:tc>
        <w:tc>
          <w:tcPr>
            <w:tcW w:w="0" w:type="auto"/>
            <w:shd w:val="clear" w:color="auto" w:fill="auto"/>
          </w:tcPr>
          <w:p w14:paraId="20AE390E" w14:textId="77777777" w:rsidR="00B626E7" w:rsidRDefault="00B626E7">
            <w:pPr>
              <w:rPr>
                <w:rFonts w:ascii="宋体"/>
              </w:rPr>
            </w:pPr>
          </w:p>
        </w:tc>
        <w:tc>
          <w:tcPr>
            <w:tcW w:w="0" w:type="auto"/>
            <w:shd w:val="clear" w:color="auto" w:fill="auto"/>
          </w:tcPr>
          <w:p w14:paraId="20AE390F" w14:textId="77777777" w:rsidR="00B626E7" w:rsidRDefault="00B626E7">
            <w:pPr>
              <w:rPr>
                <w:rFonts w:ascii="宋体"/>
              </w:rPr>
            </w:pPr>
          </w:p>
        </w:tc>
        <w:tc>
          <w:tcPr>
            <w:tcW w:w="0" w:type="auto"/>
            <w:shd w:val="clear" w:color="auto" w:fill="auto"/>
          </w:tcPr>
          <w:p w14:paraId="20AE3910" w14:textId="77777777" w:rsidR="00B626E7" w:rsidRDefault="00B626E7">
            <w:pPr>
              <w:rPr>
                <w:rFonts w:ascii="宋体"/>
              </w:rPr>
            </w:pPr>
          </w:p>
        </w:tc>
        <w:tc>
          <w:tcPr>
            <w:tcW w:w="0" w:type="auto"/>
            <w:shd w:val="clear" w:color="auto" w:fill="auto"/>
          </w:tcPr>
          <w:p w14:paraId="20AE3911" w14:textId="77777777" w:rsidR="00B626E7" w:rsidRDefault="00B626E7">
            <w:pPr>
              <w:rPr>
                <w:rFonts w:ascii="宋体"/>
              </w:rPr>
            </w:pPr>
          </w:p>
        </w:tc>
        <w:tc>
          <w:tcPr>
            <w:tcW w:w="0" w:type="auto"/>
            <w:shd w:val="clear" w:color="auto" w:fill="auto"/>
          </w:tcPr>
          <w:p w14:paraId="20AE3912" w14:textId="77777777" w:rsidR="00B626E7" w:rsidRDefault="00B626E7">
            <w:pPr>
              <w:rPr>
                <w:rFonts w:ascii="宋体"/>
              </w:rPr>
            </w:pPr>
          </w:p>
        </w:tc>
        <w:tc>
          <w:tcPr>
            <w:tcW w:w="0" w:type="auto"/>
            <w:shd w:val="clear" w:color="auto" w:fill="auto"/>
          </w:tcPr>
          <w:p w14:paraId="20AE3913" w14:textId="77777777" w:rsidR="00B626E7" w:rsidRDefault="00B626E7">
            <w:pPr>
              <w:rPr>
                <w:rFonts w:ascii="宋体"/>
              </w:rPr>
            </w:pPr>
          </w:p>
        </w:tc>
        <w:tc>
          <w:tcPr>
            <w:tcW w:w="0" w:type="auto"/>
            <w:shd w:val="clear" w:color="auto" w:fill="auto"/>
          </w:tcPr>
          <w:p w14:paraId="20AE3914" w14:textId="77777777" w:rsidR="00B626E7" w:rsidRDefault="00B626E7">
            <w:pPr>
              <w:rPr>
                <w:rFonts w:ascii="宋体"/>
              </w:rPr>
            </w:pPr>
          </w:p>
        </w:tc>
      </w:tr>
      <w:tr w:rsidR="00B626E7" w14:paraId="20AE3935" w14:textId="77777777">
        <w:tc>
          <w:tcPr>
            <w:tcW w:w="0" w:type="auto"/>
            <w:gridSpan w:val="3"/>
            <w:shd w:val="clear" w:color="auto" w:fill="auto"/>
            <w:tcMar>
              <w:top w:w="40" w:type="dxa"/>
              <w:left w:w="20" w:type="dxa"/>
              <w:bottom w:w="40" w:type="dxa"/>
              <w:right w:w="20" w:type="dxa"/>
            </w:tcMar>
          </w:tcPr>
          <w:p w14:paraId="20AE3916" w14:textId="77777777" w:rsidR="00B626E7" w:rsidRDefault="00175C1D">
            <w:pPr>
              <w:jc w:val="center"/>
              <w:textAlignment w:val="top"/>
            </w:pPr>
            <w:r>
              <w:rPr>
                <w:rFonts w:ascii="Arial" w:eastAsia="宋体" w:hAnsi="Arial" w:cs="Arial"/>
                <w:color w:val="333333"/>
                <w:sz w:val="18"/>
                <w:szCs w:val="18"/>
              </w:rPr>
              <w:t>31.1</w:t>
            </w:r>
          </w:p>
        </w:tc>
        <w:tc>
          <w:tcPr>
            <w:tcW w:w="0" w:type="auto"/>
            <w:gridSpan w:val="3"/>
            <w:shd w:val="clear" w:color="auto" w:fill="auto"/>
            <w:tcMar>
              <w:left w:w="20" w:type="dxa"/>
              <w:right w:w="20" w:type="dxa"/>
            </w:tcMar>
            <w:vAlign w:val="bottom"/>
          </w:tcPr>
          <w:p w14:paraId="20AE3917"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3918" w14:textId="77777777" w:rsidR="00B626E7" w:rsidRDefault="00175C1D">
            <w:pPr>
              <w:textAlignment w:val="top"/>
            </w:pPr>
            <w:hyperlink r:id="rId99" w:history="1">
              <w:r>
                <w:rPr>
                  <w:rStyle w:val="a5"/>
                  <w:rFonts w:ascii="Arial" w:eastAsia="宋体" w:hAnsi="Arial" w:cs="Arial"/>
                  <w:sz w:val="18"/>
                  <w:szCs w:val="18"/>
                </w:rPr>
                <w:t>Certification of the Chief Executive Officer pursuant to Rule 13a-14(a) of the Exchange Act</w:t>
              </w:r>
            </w:hyperlink>
          </w:p>
        </w:tc>
        <w:tc>
          <w:tcPr>
            <w:tcW w:w="0" w:type="auto"/>
            <w:gridSpan w:val="3"/>
            <w:shd w:val="clear" w:color="auto" w:fill="auto"/>
            <w:tcMar>
              <w:left w:w="20" w:type="dxa"/>
              <w:right w:w="20" w:type="dxa"/>
            </w:tcMar>
            <w:vAlign w:val="bottom"/>
          </w:tcPr>
          <w:p w14:paraId="20AE3919"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91A"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91B"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91C"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91D"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91E"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91F"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920"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921"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3922" w14:textId="77777777" w:rsidR="00B626E7" w:rsidRDefault="00175C1D">
            <w:pPr>
              <w:jc w:val="center"/>
              <w:textAlignment w:val="top"/>
            </w:pPr>
            <w:r>
              <w:rPr>
                <w:rFonts w:ascii="Arial" w:eastAsia="宋体" w:hAnsi="Arial" w:cs="Arial"/>
                <w:color w:val="333333"/>
                <w:sz w:val="18"/>
                <w:szCs w:val="18"/>
              </w:rPr>
              <w:t>X</w:t>
            </w:r>
          </w:p>
        </w:tc>
        <w:tc>
          <w:tcPr>
            <w:tcW w:w="0" w:type="auto"/>
            <w:shd w:val="clear" w:color="auto" w:fill="auto"/>
          </w:tcPr>
          <w:p w14:paraId="20AE3923" w14:textId="77777777" w:rsidR="00B626E7" w:rsidRDefault="00B626E7">
            <w:pPr>
              <w:rPr>
                <w:rFonts w:ascii="宋体"/>
              </w:rPr>
            </w:pPr>
          </w:p>
        </w:tc>
        <w:tc>
          <w:tcPr>
            <w:tcW w:w="0" w:type="auto"/>
            <w:shd w:val="clear" w:color="auto" w:fill="auto"/>
          </w:tcPr>
          <w:p w14:paraId="20AE3924" w14:textId="77777777" w:rsidR="00B626E7" w:rsidRDefault="00B626E7">
            <w:pPr>
              <w:rPr>
                <w:rFonts w:ascii="宋体"/>
              </w:rPr>
            </w:pPr>
          </w:p>
        </w:tc>
        <w:tc>
          <w:tcPr>
            <w:tcW w:w="0" w:type="auto"/>
            <w:shd w:val="clear" w:color="auto" w:fill="auto"/>
          </w:tcPr>
          <w:p w14:paraId="20AE3925" w14:textId="77777777" w:rsidR="00B626E7" w:rsidRDefault="00B626E7">
            <w:pPr>
              <w:rPr>
                <w:rFonts w:ascii="宋体"/>
              </w:rPr>
            </w:pPr>
          </w:p>
        </w:tc>
        <w:tc>
          <w:tcPr>
            <w:tcW w:w="0" w:type="auto"/>
            <w:shd w:val="clear" w:color="auto" w:fill="auto"/>
          </w:tcPr>
          <w:p w14:paraId="20AE3926" w14:textId="77777777" w:rsidR="00B626E7" w:rsidRDefault="00B626E7">
            <w:pPr>
              <w:rPr>
                <w:rFonts w:ascii="宋体"/>
              </w:rPr>
            </w:pPr>
          </w:p>
        </w:tc>
        <w:tc>
          <w:tcPr>
            <w:tcW w:w="0" w:type="auto"/>
            <w:shd w:val="clear" w:color="auto" w:fill="auto"/>
          </w:tcPr>
          <w:p w14:paraId="20AE3927" w14:textId="77777777" w:rsidR="00B626E7" w:rsidRDefault="00B626E7">
            <w:pPr>
              <w:rPr>
                <w:rFonts w:ascii="宋体"/>
              </w:rPr>
            </w:pPr>
          </w:p>
        </w:tc>
        <w:tc>
          <w:tcPr>
            <w:tcW w:w="0" w:type="auto"/>
            <w:shd w:val="clear" w:color="auto" w:fill="auto"/>
          </w:tcPr>
          <w:p w14:paraId="20AE3928" w14:textId="77777777" w:rsidR="00B626E7" w:rsidRDefault="00B626E7">
            <w:pPr>
              <w:rPr>
                <w:rFonts w:ascii="宋体"/>
              </w:rPr>
            </w:pPr>
          </w:p>
        </w:tc>
        <w:tc>
          <w:tcPr>
            <w:tcW w:w="0" w:type="auto"/>
            <w:shd w:val="clear" w:color="auto" w:fill="auto"/>
          </w:tcPr>
          <w:p w14:paraId="20AE3929" w14:textId="77777777" w:rsidR="00B626E7" w:rsidRDefault="00B626E7">
            <w:pPr>
              <w:rPr>
                <w:rFonts w:ascii="宋体"/>
              </w:rPr>
            </w:pPr>
          </w:p>
        </w:tc>
        <w:tc>
          <w:tcPr>
            <w:tcW w:w="0" w:type="auto"/>
            <w:shd w:val="clear" w:color="auto" w:fill="auto"/>
          </w:tcPr>
          <w:p w14:paraId="20AE392A" w14:textId="77777777" w:rsidR="00B626E7" w:rsidRDefault="00B626E7">
            <w:pPr>
              <w:rPr>
                <w:rFonts w:ascii="宋体"/>
              </w:rPr>
            </w:pPr>
          </w:p>
        </w:tc>
        <w:tc>
          <w:tcPr>
            <w:tcW w:w="0" w:type="auto"/>
            <w:shd w:val="clear" w:color="auto" w:fill="auto"/>
          </w:tcPr>
          <w:p w14:paraId="20AE392B" w14:textId="77777777" w:rsidR="00B626E7" w:rsidRDefault="00B626E7">
            <w:pPr>
              <w:rPr>
                <w:rFonts w:ascii="宋体"/>
              </w:rPr>
            </w:pPr>
          </w:p>
        </w:tc>
        <w:tc>
          <w:tcPr>
            <w:tcW w:w="0" w:type="auto"/>
            <w:shd w:val="clear" w:color="auto" w:fill="auto"/>
          </w:tcPr>
          <w:p w14:paraId="20AE392C" w14:textId="77777777" w:rsidR="00B626E7" w:rsidRDefault="00B626E7">
            <w:pPr>
              <w:rPr>
                <w:rFonts w:ascii="宋体"/>
              </w:rPr>
            </w:pPr>
          </w:p>
        </w:tc>
        <w:tc>
          <w:tcPr>
            <w:tcW w:w="0" w:type="auto"/>
            <w:shd w:val="clear" w:color="auto" w:fill="auto"/>
          </w:tcPr>
          <w:p w14:paraId="20AE392D" w14:textId="77777777" w:rsidR="00B626E7" w:rsidRDefault="00B626E7">
            <w:pPr>
              <w:rPr>
                <w:rFonts w:ascii="宋体"/>
              </w:rPr>
            </w:pPr>
          </w:p>
        </w:tc>
        <w:tc>
          <w:tcPr>
            <w:tcW w:w="0" w:type="auto"/>
            <w:shd w:val="clear" w:color="auto" w:fill="auto"/>
          </w:tcPr>
          <w:p w14:paraId="20AE392E" w14:textId="77777777" w:rsidR="00B626E7" w:rsidRDefault="00B626E7">
            <w:pPr>
              <w:rPr>
                <w:rFonts w:ascii="宋体"/>
              </w:rPr>
            </w:pPr>
          </w:p>
        </w:tc>
        <w:tc>
          <w:tcPr>
            <w:tcW w:w="0" w:type="auto"/>
            <w:shd w:val="clear" w:color="auto" w:fill="auto"/>
          </w:tcPr>
          <w:p w14:paraId="20AE392F" w14:textId="77777777" w:rsidR="00B626E7" w:rsidRDefault="00B626E7">
            <w:pPr>
              <w:rPr>
                <w:rFonts w:ascii="宋体"/>
              </w:rPr>
            </w:pPr>
          </w:p>
        </w:tc>
        <w:tc>
          <w:tcPr>
            <w:tcW w:w="0" w:type="auto"/>
            <w:shd w:val="clear" w:color="auto" w:fill="auto"/>
          </w:tcPr>
          <w:p w14:paraId="20AE3930" w14:textId="77777777" w:rsidR="00B626E7" w:rsidRDefault="00B626E7">
            <w:pPr>
              <w:rPr>
                <w:rFonts w:ascii="宋体"/>
              </w:rPr>
            </w:pPr>
          </w:p>
        </w:tc>
        <w:tc>
          <w:tcPr>
            <w:tcW w:w="0" w:type="auto"/>
            <w:shd w:val="clear" w:color="auto" w:fill="auto"/>
          </w:tcPr>
          <w:p w14:paraId="20AE3931" w14:textId="77777777" w:rsidR="00B626E7" w:rsidRDefault="00B626E7">
            <w:pPr>
              <w:rPr>
                <w:rFonts w:ascii="宋体"/>
              </w:rPr>
            </w:pPr>
          </w:p>
        </w:tc>
        <w:tc>
          <w:tcPr>
            <w:tcW w:w="0" w:type="auto"/>
            <w:shd w:val="clear" w:color="auto" w:fill="auto"/>
          </w:tcPr>
          <w:p w14:paraId="20AE3932" w14:textId="77777777" w:rsidR="00B626E7" w:rsidRDefault="00B626E7">
            <w:pPr>
              <w:rPr>
                <w:rFonts w:ascii="宋体"/>
              </w:rPr>
            </w:pPr>
          </w:p>
        </w:tc>
        <w:tc>
          <w:tcPr>
            <w:tcW w:w="0" w:type="auto"/>
            <w:shd w:val="clear" w:color="auto" w:fill="auto"/>
          </w:tcPr>
          <w:p w14:paraId="20AE3933" w14:textId="77777777" w:rsidR="00B626E7" w:rsidRDefault="00B626E7">
            <w:pPr>
              <w:rPr>
                <w:rFonts w:ascii="宋体"/>
              </w:rPr>
            </w:pPr>
          </w:p>
        </w:tc>
        <w:tc>
          <w:tcPr>
            <w:tcW w:w="0" w:type="auto"/>
            <w:shd w:val="clear" w:color="auto" w:fill="auto"/>
          </w:tcPr>
          <w:p w14:paraId="20AE3934" w14:textId="77777777" w:rsidR="00B626E7" w:rsidRDefault="00B626E7">
            <w:pPr>
              <w:rPr>
                <w:rFonts w:ascii="宋体"/>
              </w:rPr>
            </w:pPr>
          </w:p>
        </w:tc>
      </w:tr>
      <w:tr w:rsidR="00B626E7" w14:paraId="20AE3955" w14:textId="77777777">
        <w:tc>
          <w:tcPr>
            <w:tcW w:w="0" w:type="auto"/>
            <w:gridSpan w:val="3"/>
            <w:shd w:val="clear" w:color="auto" w:fill="auto"/>
            <w:tcMar>
              <w:top w:w="40" w:type="dxa"/>
              <w:left w:w="20" w:type="dxa"/>
              <w:bottom w:w="40" w:type="dxa"/>
              <w:right w:w="20" w:type="dxa"/>
            </w:tcMar>
          </w:tcPr>
          <w:p w14:paraId="20AE3936" w14:textId="77777777" w:rsidR="00B626E7" w:rsidRDefault="00175C1D">
            <w:pPr>
              <w:jc w:val="center"/>
              <w:textAlignment w:val="top"/>
            </w:pPr>
            <w:r>
              <w:rPr>
                <w:rFonts w:ascii="Arial" w:eastAsia="宋体" w:hAnsi="Arial" w:cs="Arial"/>
                <w:color w:val="333333"/>
                <w:sz w:val="18"/>
                <w:szCs w:val="18"/>
              </w:rPr>
              <w:t>31.2</w:t>
            </w:r>
          </w:p>
        </w:tc>
        <w:tc>
          <w:tcPr>
            <w:tcW w:w="0" w:type="auto"/>
            <w:gridSpan w:val="3"/>
            <w:shd w:val="clear" w:color="auto" w:fill="auto"/>
            <w:tcMar>
              <w:left w:w="20" w:type="dxa"/>
              <w:right w:w="20" w:type="dxa"/>
            </w:tcMar>
            <w:vAlign w:val="bottom"/>
          </w:tcPr>
          <w:p w14:paraId="20AE3937"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3938" w14:textId="77777777" w:rsidR="00B626E7" w:rsidRDefault="00175C1D">
            <w:pPr>
              <w:textAlignment w:val="top"/>
            </w:pPr>
            <w:hyperlink r:id="rId100" w:history="1">
              <w:r>
                <w:rPr>
                  <w:rStyle w:val="a5"/>
                  <w:rFonts w:ascii="Arial" w:eastAsia="宋体" w:hAnsi="Arial" w:cs="Arial"/>
                  <w:sz w:val="18"/>
                  <w:szCs w:val="18"/>
                </w:rPr>
                <w:t>Certification of the Chief Financial Officer pursuant to Rule 13a-14(a) of the Exchange Act</w:t>
              </w:r>
            </w:hyperlink>
          </w:p>
        </w:tc>
        <w:tc>
          <w:tcPr>
            <w:tcW w:w="0" w:type="auto"/>
            <w:gridSpan w:val="3"/>
            <w:shd w:val="clear" w:color="auto" w:fill="auto"/>
            <w:tcMar>
              <w:left w:w="20" w:type="dxa"/>
              <w:right w:w="20" w:type="dxa"/>
            </w:tcMar>
            <w:vAlign w:val="bottom"/>
          </w:tcPr>
          <w:p w14:paraId="20AE3939"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93A"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93B"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93C"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93D"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93E"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93F"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940"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941"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3942" w14:textId="77777777" w:rsidR="00B626E7" w:rsidRDefault="00175C1D">
            <w:pPr>
              <w:jc w:val="center"/>
              <w:textAlignment w:val="top"/>
            </w:pPr>
            <w:r>
              <w:rPr>
                <w:rFonts w:ascii="Arial" w:eastAsia="宋体" w:hAnsi="Arial" w:cs="Arial"/>
                <w:color w:val="333333"/>
                <w:sz w:val="18"/>
                <w:szCs w:val="18"/>
              </w:rPr>
              <w:t>X</w:t>
            </w:r>
          </w:p>
        </w:tc>
        <w:tc>
          <w:tcPr>
            <w:tcW w:w="0" w:type="auto"/>
            <w:shd w:val="clear" w:color="auto" w:fill="auto"/>
          </w:tcPr>
          <w:p w14:paraId="20AE3943" w14:textId="77777777" w:rsidR="00B626E7" w:rsidRDefault="00B626E7">
            <w:pPr>
              <w:rPr>
                <w:rFonts w:ascii="宋体"/>
              </w:rPr>
            </w:pPr>
          </w:p>
        </w:tc>
        <w:tc>
          <w:tcPr>
            <w:tcW w:w="0" w:type="auto"/>
            <w:shd w:val="clear" w:color="auto" w:fill="auto"/>
          </w:tcPr>
          <w:p w14:paraId="20AE3944" w14:textId="77777777" w:rsidR="00B626E7" w:rsidRDefault="00B626E7">
            <w:pPr>
              <w:rPr>
                <w:rFonts w:ascii="宋体"/>
              </w:rPr>
            </w:pPr>
          </w:p>
        </w:tc>
        <w:tc>
          <w:tcPr>
            <w:tcW w:w="0" w:type="auto"/>
            <w:shd w:val="clear" w:color="auto" w:fill="auto"/>
          </w:tcPr>
          <w:p w14:paraId="20AE3945" w14:textId="77777777" w:rsidR="00B626E7" w:rsidRDefault="00B626E7">
            <w:pPr>
              <w:rPr>
                <w:rFonts w:ascii="宋体"/>
              </w:rPr>
            </w:pPr>
          </w:p>
        </w:tc>
        <w:tc>
          <w:tcPr>
            <w:tcW w:w="0" w:type="auto"/>
            <w:shd w:val="clear" w:color="auto" w:fill="auto"/>
          </w:tcPr>
          <w:p w14:paraId="20AE3946" w14:textId="77777777" w:rsidR="00B626E7" w:rsidRDefault="00B626E7">
            <w:pPr>
              <w:rPr>
                <w:rFonts w:ascii="宋体"/>
              </w:rPr>
            </w:pPr>
          </w:p>
        </w:tc>
        <w:tc>
          <w:tcPr>
            <w:tcW w:w="0" w:type="auto"/>
            <w:shd w:val="clear" w:color="auto" w:fill="auto"/>
          </w:tcPr>
          <w:p w14:paraId="20AE3947" w14:textId="77777777" w:rsidR="00B626E7" w:rsidRDefault="00B626E7">
            <w:pPr>
              <w:rPr>
                <w:rFonts w:ascii="宋体"/>
              </w:rPr>
            </w:pPr>
          </w:p>
        </w:tc>
        <w:tc>
          <w:tcPr>
            <w:tcW w:w="0" w:type="auto"/>
            <w:shd w:val="clear" w:color="auto" w:fill="auto"/>
          </w:tcPr>
          <w:p w14:paraId="20AE3948" w14:textId="77777777" w:rsidR="00B626E7" w:rsidRDefault="00B626E7">
            <w:pPr>
              <w:rPr>
                <w:rFonts w:ascii="宋体"/>
              </w:rPr>
            </w:pPr>
          </w:p>
        </w:tc>
        <w:tc>
          <w:tcPr>
            <w:tcW w:w="0" w:type="auto"/>
            <w:shd w:val="clear" w:color="auto" w:fill="auto"/>
          </w:tcPr>
          <w:p w14:paraId="20AE3949" w14:textId="77777777" w:rsidR="00B626E7" w:rsidRDefault="00B626E7">
            <w:pPr>
              <w:rPr>
                <w:rFonts w:ascii="宋体"/>
              </w:rPr>
            </w:pPr>
          </w:p>
        </w:tc>
        <w:tc>
          <w:tcPr>
            <w:tcW w:w="0" w:type="auto"/>
            <w:shd w:val="clear" w:color="auto" w:fill="auto"/>
          </w:tcPr>
          <w:p w14:paraId="20AE394A" w14:textId="77777777" w:rsidR="00B626E7" w:rsidRDefault="00B626E7">
            <w:pPr>
              <w:rPr>
                <w:rFonts w:ascii="宋体"/>
              </w:rPr>
            </w:pPr>
          </w:p>
        </w:tc>
        <w:tc>
          <w:tcPr>
            <w:tcW w:w="0" w:type="auto"/>
            <w:shd w:val="clear" w:color="auto" w:fill="auto"/>
          </w:tcPr>
          <w:p w14:paraId="20AE394B" w14:textId="77777777" w:rsidR="00B626E7" w:rsidRDefault="00B626E7">
            <w:pPr>
              <w:rPr>
                <w:rFonts w:ascii="宋体"/>
              </w:rPr>
            </w:pPr>
          </w:p>
        </w:tc>
        <w:tc>
          <w:tcPr>
            <w:tcW w:w="0" w:type="auto"/>
            <w:shd w:val="clear" w:color="auto" w:fill="auto"/>
          </w:tcPr>
          <w:p w14:paraId="20AE394C" w14:textId="77777777" w:rsidR="00B626E7" w:rsidRDefault="00B626E7">
            <w:pPr>
              <w:rPr>
                <w:rFonts w:ascii="宋体"/>
              </w:rPr>
            </w:pPr>
          </w:p>
        </w:tc>
        <w:tc>
          <w:tcPr>
            <w:tcW w:w="0" w:type="auto"/>
            <w:shd w:val="clear" w:color="auto" w:fill="auto"/>
          </w:tcPr>
          <w:p w14:paraId="20AE394D" w14:textId="77777777" w:rsidR="00B626E7" w:rsidRDefault="00B626E7">
            <w:pPr>
              <w:rPr>
                <w:rFonts w:ascii="宋体"/>
              </w:rPr>
            </w:pPr>
          </w:p>
        </w:tc>
        <w:tc>
          <w:tcPr>
            <w:tcW w:w="0" w:type="auto"/>
            <w:shd w:val="clear" w:color="auto" w:fill="auto"/>
          </w:tcPr>
          <w:p w14:paraId="20AE394E" w14:textId="77777777" w:rsidR="00B626E7" w:rsidRDefault="00B626E7">
            <w:pPr>
              <w:rPr>
                <w:rFonts w:ascii="宋体"/>
              </w:rPr>
            </w:pPr>
          </w:p>
        </w:tc>
        <w:tc>
          <w:tcPr>
            <w:tcW w:w="0" w:type="auto"/>
            <w:shd w:val="clear" w:color="auto" w:fill="auto"/>
          </w:tcPr>
          <w:p w14:paraId="20AE394F" w14:textId="77777777" w:rsidR="00B626E7" w:rsidRDefault="00B626E7">
            <w:pPr>
              <w:rPr>
                <w:rFonts w:ascii="宋体"/>
              </w:rPr>
            </w:pPr>
          </w:p>
        </w:tc>
        <w:tc>
          <w:tcPr>
            <w:tcW w:w="0" w:type="auto"/>
            <w:shd w:val="clear" w:color="auto" w:fill="auto"/>
          </w:tcPr>
          <w:p w14:paraId="20AE3950" w14:textId="77777777" w:rsidR="00B626E7" w:rsidRDefault="00B626E7">
            <w:pPr>
              <w:rPr>
                <w:rFonts w:ascii="宋体"/>
              </w:rPr>
            </w:pPr>
          </w:p>
        </w:tc>
        <w:tc>
          <w:tcPr>
            <w:tcW w:w="0" w:type="auto"/>
            <w:shd w:val="clear" w:color="auto" w:fill="auto"/>
          </w:tcPr>
          <w:p w14:paraId="20AE3951" w14:textId="77777777" w:rsidR="00B626E7" w:rsidRDefault="00B626E7">
            <w:pPr>
              <w:rPr>
                <w:rFonts w:ascii="宋体"/>
              </w:rPr>
            </w:pPr>
          </w:p>
        </w:tc>
        <w:tc>
          <w:tcPr>
            <w:tcW w:w="0" w:type="auto"/>
            <w:shd w:val="clear" w:color="auto" w:fill="auto"/>
          </w:tcPr>
          <w:p w14:paraId="20AE3952" w14:textId="77777777" w:rsidR="00B626E7" w:rsidRDefault="00B626E7">
            <w:pPr>
              <w:rPr>
                <w:rFonts w:ascii="宋体"/>
              </w:rPr>
            </w:pPr>
          </w:p>
        </w:tc>
        <w:tc>
          <w:tcPr>
            <w:tcW w:w="0" w:type="auto"/>
            <w:shd w:val="clear" w:color="auto" w:fill="auto"/>
          </w:tcPr>
          <w:p w14:paraId="20AE3953" w14:textId="77777777" w:rsidR="00B626E7" w:rsidRDefault="00B626E7">
            <w:pPr>
              <w:rPr>
                <w:rFonts w:ascii="宋体"/>
              </w:rPr>
            </w:pPr>
          </w:p>
        </w:tc>
        <w:tc>
          <w:tcPr>
            <w:tcW w:w="0" w:type="auto"/>
            <w:shd w:val="clear" w:color="auto" w:fill="auto"/>
          </w:tcPr>
          <w:p w14:paraId="20AE3954" w14:textId="77777777" w:rsidR="00B626E7" w:rsidRDefault="00B626E7">
            <w:pPr>
              <w:rPr>
                <w:rFonts w:ascii="宋体"/>
              </w:rPr>
            </w:pPr>
          </w:p>
        </w:tc>
      </w:tr>
      <w:tr w:rsidR="00B626E7" w14:paraId="20AE3975" w14:textId="77777777">
        <w:trPr>
          <w:hidden/>
        </w:trPr>
        <w:tc>
          <w:tcPr>
            <w:tcW w:w="0" w:type="auto"/>
            <w:gridSpan w:val="3"/>
            <w:shd w:val="clear" w:color="auto" w:fill="auto"/>
          </w:tcPr>
          <w:p w14:paraId="20AE3956" w14:textId="77777777" w:rsidR="00B626E7" w:rsidRDefault="00B626E7">
            <w:pPr>
              <w:rPr>
                <w:rFonts w:ascii="宋体"/>
                <w:vanish/>
              </w:rPr>
            </w:pPr>
          </w:p>
        </w:tc>
        <w:tc>
          <w:tcPr>
            <w:tcW w:w="0" w:type="auto"/>
            <w:gridSpan w:val="3"/>
            <w:shd w:val="clear" w:color="auto" w:fill="auto"/>
          </w:tcPr>
          <w:p w14:paraId="20AE3957" w14:textId="77777777" w:rsidR="00B626E7" w:rsidRDefault="00B626E7">
            <w:pPr>
              <w:rPr>
                <w:rFonts w:ascii="宋体"/>
                <w:vanish/>
              </w:rPr>
            </w:pPr>
          </w:p>
        </w:tc>
        <w:tc>
          <w:tcPr>
            <w:tcW w:w="0" w:type="auto"/>
            <w:gridSpan w:val="3"/>
            <w:shd w:val="clear" w:color="auto" w:fill="auto"/>
          </w:tcPr>
          <w:p w14:paraId="20AE3958" w14:textId="77777777" w:rsidR="00B626E7" w:rsidRDefault="00B626E7">
            <w:pPr>
              <w:rPr>
                <w:rFonts w:ascii="宋体"/>
                <w:vanish/>
              </w:rPr>
            </w:pPr>
          </w:p>
        </w:tc>
        <w:tc>
          <w:tcPr>
            <w:tcW w:w="0" w:type="auto"/>
            <w:gridSpan w:val="3"/>
            <w:shd w:val="clear" w:color="auto" w:fill="auto"/>
          </w:tcPr>
          <w:p w14:paraId="20AE3959" w14:textId="77777777" w:rsidR="00B626E7" w:rsidRDefault="00B626E7">
            <w:pPr>
              <w:rPr>
                <w:rFonts w:ascii="宋体"/>
                <w:vanish/>
              </w:rPr>
            </w:pPr>
          </w:p>
        </w:tc>
        <w:tc>
          <w:tcPr>
            <w:tcW w:w="0" w:type="auto"/>
            <w:gridSpan w:val="3"/>
            <w:shd w:val="clear" w:color="auto" w:fill="auto"/>
          </w:tcPr>
          <w:p w14:paraId="20AE395A" w14:textId="77777777" w:rsidR="00B626E7" w:rsidRDefault="00B626E7">
            <w:pPr>
              <w:rPr>
                <w:rFonts w:ascii="宋体"/>
                <w:vanish/>
              </w:rPr>
            </w:pPr>
          </w:p>
        </w:tc>
        <w:tc>
          <w:tcPr>
            <w:tcW w:w="0" w:type="auto"/>
            <w:gridSpan w:val="3"/>
            <w:shd w:val="clear" w:color="auto" w:fill="auto"/>
          </w:tcPr>
          <w:p w14:paraId="20AE395B" w14:textId="77777777" w:rsidR="00B626E7" w:rsidRDefault="00B626E7">
            <w:pPr>
              <w:rPr>
                <w:rFonts w:ascii="宋体"/>
                <w:vanish/>
              </w:rPr>
            </w:pPr>
          </w:p>
        </w:tc>
        <w:tc>
          <w:tcPr>
            <w:tcW w:w="0" w:type="auto"/>
            <w:gridSpan w:val="3"/>
            <w:shd w:val="clear" w:color="auto" w:fill="auto"/>
          </w:tcPr>
          <w:p w14:paraId="20AE395C" w14:textId="77777777" w:rsidR="00B626E7" w:rsidRDefault="00B626E7">
            <w:pPr>
              <w:rPr>
                <w:rFonts w:ascii="宋体"/>
                <w:vanish/>
              </w:rPr>
            </w:pPr>
          </w:p>
        </w:tc>
        <w:tc>
          <w:tcPr>
            <w:tcW w:w="0" w:type="auto"/>
            <w:gridSpan w:val="3"/>
            <w:shd w:val="clear" w:color="auto" w:fill="auto"/>
          </w:tcPr>
          <w:p w14:paraId="20AE395D" w14:textId="77777777" w:rsidR="00B626E7" w:rsidRDefault="00B626E7">
            <w:pPr>
              <w:rPr>
                <w:rFonts w:ascii="宋体"/>
                <w:vanish/>
              </w:rPr>
            </w:pPr>
          </w:p>
        </w:tc>
        <w:tc>
          <w:tcPr>
            <w:tcW w:w="0" w:type="auto"/>
            <w:gridSpan w:val="3"/>
            <w:shd w:val="clear" w:color="auto" w:fill="auto"/>
          </w:tcPr>
          <w:p w14:paraId="20AE395E" w14:textId="77777777" w:rsidR="00B626E7" w:rsidRDefault="00B626E7">
            <w:pPr>
              <w:rPr>
                <w:rFonts w:ascii="宋体"/>
                <w:vanish/>
              </w:rPr>
            </w:pPr>
          </w:p>
        </w:tc>
        <w:tc>
          <w:tcPr>
            <w:tcW w:w="0" w:type="auto"/>
            <w:gridSpan w:val="3"/>
            <w:shd w:val="clear" w:color="auto" w:fill="auto"/>
          </w:tcPr>
          <w:p w14:paraId="20AE395F" w14:textId="77777777" w:rsidR="00B626E7" w:rsidRDefault="00B626E7">
            <w:pPr>
              <w:rPr>
                <w:rFonts w:ascii="宋体"/>
                <w:vanish/>
              </w:rPr>
            </w:pPr>
          </w:p>
        </w:tc>
        <w:tc>
          <w:tcPr>
            <w:tcW w:w="0" w:type="auto"/>
            <w:gridSpan w:val="3"/>
            <w:shd w:val="clear" w:color="auto" w:fill="auto"/>
          </w:tcPr>
          <w:p w14:paraId="20AE3960" w14:textId="77777777" w:rsidR="00B626E7" w:rsidRDefault="00B626E7">
            <w:pPr>
              <w:rPr>
                <w:rFonts w:ascii="宋体"/>
                <w:vanish/>
              </w:rPr>
            </w:pPr>
          </w:p>
        </w:tc>
        <w:tc>
          <w:tcPr>
            <w:tcW w:w="0" w:type="auto"/>
            <w:gridSpan w:val="3"/>
            <w:shd w:val="clear" w:color="auto" w:fill="auto"/>
          </w:tcPr>
          <w:p w14:paraId="20AE3961" w14:textId="77777777" w:rsidR="00B626E7" w:rsidRDefault="00B626E7">
            <w:pPr>
              <w:rPr>
                <w:rFonts w:ascii="宋体"/>
                <w:vanish/>
              </w:rPr>
            </w:pPr>
          </w:p>
        </w:tc>
        <w:tc>
          <w:tcPr>
            <w:tcW w:w="0" w:type="auto"/>
            <w:gridSpan w:val="3"/>
            <w:shd w:val="clear" w:color="auto" w:fill="auto"/>
          </w:tcPr>
          <w:p w14:paraId="20AE3962" w14:textId="77777777" w:rsidR="00B626E7" w:rsidRDefault="00B626E7">
            <w:pPr>
              <w:rPr>
                <w:rFonts w:ascii="宋体"/>
                <w:vanish/>
              </w:rPr>
            </w:pPr>
          </w:p>
        </w:tc>
        <w:tc>
          <w:tcPr>
            <w:tcW w:w="0" w:type="auto"/>
            <w:shd w:val="clear" w:color="auto" w:fill="auto"/>
          </w:tcPr>
          <w:p w14:paraId="20AE3963" w14:textId="77777777" w:rsidR="00B626E7" w:rsidRDefault="00B626E7">
            <w:pPr>
              <w:rPr>
                <w:rFonts w:ascii="宋体"/>
              </w:rPr>
            </w:pPr>
          </w:p>
        </w:tc>
        <w:tc>
          <w:tcPr>
            <w:tcW w:w="0" w:type="auto"/>
            <w:shd w:val="clear" w:color="auto" w:fill="auto"/>
          </w:tcPr>
          <w:p w14:paraId="20AE3964" w14:textId="77777777" w:rsidR="00B626E7" w:rsidRDefault="00B626E7">
            <w:pPr>
              <w:rPr>
                <w:rFonts w:ascii="宋体"/>
              </w:rPr>
            </w:pPr>
          </w:p>
        </w:tc>
        <w:tc>
          <w:tcPr>
            <w:tcW w:w="0" w:type="auto"/>
            <w:shd w:val="clear" w:color="auto" w:fill="auto"/>
          </w:tcPr>
          <w:p w14:paraId="20AE3965" w14:textId="77777777" w:rsidR="00B626E7" w:rsidRDefault="00B626E7">
            <w:pPr>
              <w:rPr>
                <w:rFonts w:ascii="宋体"/>
              </w:rPr>
            </w:pPr>
          </w:p>
        </w:tc>
        <w:tc>
          <w:tcPr>
            <w:tcW w:w="0" w:type="auto"/>
            <w:shd w:val="clear" w:color="auto" w:fill="auto"/>
          </w:tcPr>
          <w:p w14:paraId="20AE3966" w14:textId="77777777" w:rsidR="00B626E7" w:rsidRDefault="00B626E7">
            <w:pPr>
              <w:rPr>
                <w:rFonts w:ascii="宋体"/>
              </w:rPr>
            </w:pPr>
          </w:p>
        </w:tc>
        <w:tc>
          <w:tcPr>
            <w:tcW w:w="0" w:type="auto"/>
            <w:shd w:val="clear" w:color="auto" w:fill="auto"/>
          </w:tcPr>
          <w:p w14:paraId="20AE3967" w14:textId="77777777" w:rsidR="00B626E7" w:rsidRDefault="00B626E7">
            <w:pPr>
              <w:rPr>
                <w:rFonts w:ascii="宋体"/>
              </w:rPr>
            </w:pPr>
          </w:p>
        </w:tc>
        <w:tc>
          <w:tcPr>
            <w:tcW w:w="0" w:type="auto"/>
            <w:shd w:val="clear" w:color="auto" w:fill="auto"/>
          </w:tcPr>
          <w:p w14:paraId="20AE3968" w14:textId="77777777" w:rsidR="00B626E7" w:rsidRDefault="00B626E7">
            <w:pPr>
              <w:rPr>
                <w:rFonts w:ascii="宋体"/>
              </w:rPr>
            </w:pPr>
          </w:p>
        </w:tc>
        <w:tc>
          <w:tcPr>
            <w:tcW w:w="0" w:type="auto"/>
            <w:shd w:val="clear" w:color="auto" w:fill="auto"/>
          </w:tcPr>
          <w:p w14:paraId="20AE3969" w14:textId="77777777" w:rsidR="00B626E7" w:rsidRDefault="00B626E7">
            <w:pPr>
              <w:rPr>
                <w:rFonts w:ascii="宋体"/>
              </w:rPr>
            </w:pPr>
          </w:p>
        </w:tc>
        <w:tc>
          <w:tcPr>
            <w:tcW w:w="0" w:type="auto"/>
            <w:shd w:val="clear" w:color="auto" w:fill="auto"/>
          </w:tcPr>
          <w:p w14:paraId="20AE396A" w14:textId="77777777" w:rsidR="00B626E7" w:rsidRDefault="00B626E7">
            <w:pPr>
              <w:rPr>
                <w:rFonts w:ascii="宋体"/>
              </w:rPr>
            </w:pPr>
          </w:p>
        </w:tc>
        <w:tc>
          <w:tcPr>
            <w:tcW w:w="0" w:type="auto"/>
            <w:shd w:val="clear" w:color="auto" w:fill="auto"/>
          </w:tcPr>
          <w:p w14:paraId="20AE396B" w14:textId="77777777" w:rsidR="00B626E7" w:rsidRDefault="00B626E7">
            <w:pPr>
              <w:rPr>
                <w:rFonts w:ascii="宋体"/>
              </w:rPr>
            </w:pPr>
          </w:p>
        </w:tc>
        <w:tc>
          <w:tcPr>
            <w:tcW w:w="0" w:type="auto"/>
            <w:shd w:val="clear" w:color="auto" w:fill="auto"/>
          </w:tcPr>
          <w:p w14:paraId="20AE396C" w14:textId="77777777" w:rsidR="00B626E7" w:rsidRDefault="00B626E7">
            <w:pPr>
              <w:rPr>
                <w:rFonts w:ascii="宋体"/>
              </w:rPr>
            </w:pPr>
          </w:p>
        </w:tc>
        <w:tc>
          <w:tcPr>
            <w:tcW w:w="0" w:type="auto"/>
            <w:shd w:val="clear" w:color="auto" w:fill="auto"/>
          </w:tcPr>
          <w:p w14:paraId="20AE396D" w14:textId="77777777" w:rsidR="00B626E7" w:rsidRDefault="00B626E7">
            <w:pPr>
              <w:rPr>
                <w:rFonts w:ascii="宋体"/>
              </w:rPr>
            </w:pPr>
          </w:p>
        </w:tc>
        <w:tc>
          <w:tcPr>
            <w:tcW w:w="0" w:type="auto"/>
            <w:shd w:val="clear" w:color="auto" w:fill="auto"/>
          </w:tcPr>
          <w:p w14:paraId="20AE396E" w14:textId="77777777" w:rsidR="00B626E7" w:rsidRDefault="00B626E7">
            <w:pPr>
              <w:rPr>
                <w:rFonts w:ascii="宋体"/>
              </w:rPr>
            </w:pPr>
          </w:p>
        </w:tc>
        <w:tc>
          <w:tcPr>
            <w:tcW w:w="0" w:type="auto"/>
            <w:shd w:val="clear" w:color="auto" w:fill="auto"/>
          </w:tcPr>
          <w:p w14:paraId="20AE396F" w14:textId="77777777" w:rsidR="00B626E7" w:rsidRDefault="00B626E7">
            <w:pPr>
              <w:rPr>
                <w:rFonts w:ascii="宋体"/>
              </w:rPr>
            </w:pPr>
          </w:p>
        </w:tc>
        <w:tc>
          <w:tcPr>
            <w:tcW w:w="0" w:type="auto"/>
            <w:shd w:val="clear" w:color="auto" w:fill="auto"/>
          </w:tcPr>
          <w:p w14:paraId="20AE3970" w14:textId="77777777" w:rsidR="00B626E7" w:rsidRDefault="00B626E7">
            <w:pPr>
              <w:rPr>
                <w:rFonts w:ascii="宋体"/>
              </w:rPr>
            </w:pPr>
          </w:p>
        </w:tc>
        <w:tc>
          <w:tcPr>
            <w:tcW w:w="0" w:type="auto"/>
            <w:shd w:val="clear" w:color="auto" w:fill="auto"/>
          </w:tcPr>
          <w:p w14:paraId="20AE3971" w14:textId="77777777" w:rsidR="00B626E7" w:rsidRDefault="00B626E7">
            <w:pPr>
              <w:rPr>
                <w:rFonts w:ascii="宋体"/>
              </w:rPr>
            </w:pPr>
          </w:p>
        </w:tc>
        <w:tc>
          <w:tcPr>
            <w:tcW w:w="0" w:type="auto"/>
            <w:shd w:val="clear" w:color="auto" w:fill="auto"/>
          </w:tcPr>
          <w:p w14:paraId="20AE3972" w14:textId="77777777" w:rsidR="00B626E7" w:rsidRDefault="00B626E7">
            <w:pPr>
              <w:rPr>
                <w:rFonts w:ascii="宋体"/>
              </w:rPr>
            </w:pPr>
          </w:p>
        </w:tc>
        <w:tc>
          <w:tcPr>
            <w:tcW w:w="0" w:type="auto"/>
            <w:shd w:val="clear" w:color="auto" w:fill="auto"/>
          </w:tcPr>
          <w:p w14:paraId="20AE3973" w14:textId="77777777" w:rsidR="00B626E7" w:rsidRDefault="00B626E7">
            <w:pPr>
              <w:rPr>
                <w:rFonts w:ascii="宋体"/>
              </w:rPr>
            </w:pPr>
          </w:p>
        </w:tc>
        <w:tc>
          <w:tcPr>
            <w:tcW w:w="0" w:type="auto"/>
            <w:shd w:val="clear" w:color="auto" w:fill="auto"/>
          </w:tcPr>
          <w:p w14:paraId="20AE3974" w14:textId="77777777" w:rsidR="00B626E7" w:rsidRDefault="00B626E7">
            <w:pPr>
              <w:rPr>
                <w:rFonts w:ascii="宋体"/>
              </w:rPr>
            </w:pPr>
          </w:p>
        </w:tc>
      </w:tr>
      <w:tr w:rsidR="00B626E7" w14:paraId="20AE3995" w14:textId="77777777">
        <w:tc>
          <w:tcPr>
            <w:tcW w:w="0" w:type="auto"/>
            <w:gridSpan w:val="3"/>
            <w:shd w:val="clear" w:color="auto" w:fill="auto"/>
            <w:tcMar>
              <w:top w:w="40" w:type="dxa"/>
              <w:left w:w="20" w:type="dxa"/>
              <w:bottom w:w="40" w:type="dxa"/>
              <w:right w:w="20" w:type="dxa"/>
            </w:tcMar>
          </w:tcPr>
          <w:p w14:paraId="20AE3976" w14:textId="77777777" w:rsidR="00B626E7" w:rsidRDefault="00175C1D">
            <w:pPr>
              <w:jc w:val="center"/>
              <w:textAlignment w:val="top"/>
            </w:pPr>
            <w:r>
              <w:rPr>
                <w:rFonts w:ascii="Arial" w:eastAsia="宋体" w:hAnsi="Arial" w:cs="Arial"/>
                <w:color w:val="333333"/>
                <w:sz w:val="18"/>
                <w:szCs w:val="18"/>
              </w:rPr>
              <w:t>32.1</w:t>
            </w:r>
          </w:p>
        </w:tc>
        <w:tc>
          <w:tcPr>
            <w:tcW w:w="0" w:type="auto"/>
            <w:gridSpan w:val="3"/>
            <w:shd w:val="clear" w:color="auto" w:fill="auto"/>
            <w:tcMar>
              <w:left w:w="20" w:type="dxa"/>
              <w:right w:w="20" w:type="dxa"/>
            </w:tcMar>
            <w:vAlign w:val="bottom"/>
          </w:tcPr>
          <w:p w14:paraId="20AE3977"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3978" w14:textId="77777777" w:rsidR="00B626E7" w:rsidRDefault="00175C1D">
            <w:pPr>
              <w:textAlignment w:val="top"/>
            </w:pPr>
            <w:hyperlink r:id="rId101" w:history="1">
              <w:r>
                <w:rPr>
                  <w:rStyle w:val="a5"/>
                  <w:rFonts w:ascii="Arial" w:eastAsia="宋体" w:hAnsi="Arial" w:cs="Arial"/>
                  <w:sz w:val="18"/>
                  <w:szCs w:val="18"/>
                </w:rPr>
                <w:t>Certification of the Chief Executive Officer and the Chief Financial Officer pursuant to Rule 13a-14(b) of the Exchange Act and 18 U.S.C. Section 1350</w:t>
              </w:r>
            </w:hyperlink>
          </w:p>
        </w:tc>
        <w:tc>
          <w:tcPr>
            <w:tcW w:w="0" w:type="auto"/>
            <w:gridSpan w:val="3"/>
            <w:shd w:val="clear" w:color="auto" w:fill="auto"/>
            <w:tcMar>
              <w:left w:w="20" w:type="dxa"/>
              <w:right w:w="20" w:type="dxa"/>
            </w:tcMar>
            <w:vAlign w:val="bottom"/>
          </w:tcPr>
          <w:p w14:paraId="20AE3979"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97A"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97B"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97C"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97D"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97E"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97F"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980"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981"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3982" w14:textId="77777777" w:rsidR="00B626E7" w:rsidRDefault="00175C1D">
            <w:pPr>
              <w:jc w:val="center"/>
              <w:textAlignment w:val="top"/>
            </w:pPr>
            <w:r>
              <w:rPr>
                <w:rFonts w:ascii="Arial" w:eastAsia="宋体" w:hAnsi="Arial" w:cs="Arial"/>
                <w:color w:val="333333"/>
                <w:sz w:val="18"/>
                <w:szCs w:val="18"/>
              </w:rPr>
              <w:t>X</w:t>
            </w:r>
          </w:p>
        </w:tc>
        <w:tc>
          <w:tcPr>
            <w:tcW w:w="0" w:type="auto"/>
            <w:shd w:val="clear" w:color="auto" w:fill="auto"/>
          </w:tcPr>
          <w:p w14:paraId="20AE3983" w14:textId="77777777" w:rsidR="00B626E7" w:rsidRDefault="00B626E7">
            <w:pPr>
              <w:rPr>
                <w:rFonts w:ascii="宋体"/>
              </w:rPr>
            </w:pPr>
          </w:p>
        </w:tc>
        <w:tc>
          <w:tcPr>
            <w:tcW w:w="0" w:type="auto"/>
            <w:shd w:val="clear" w:color="auto" w:fill="auto"/>
          </w:tcPr>
          <w:p w14:paraId="20AE3984" w14:textId="77777777" w:rsidR="00B626E7" w:rsidRDefault="00B626E7">
            <w:pPr>
              <w:rPr>
                <w:rFonts w:ascii="宋体"/>
              </w:rPr>
            </w:pPr>
          </w:p>
        </w:tc>
        <w:tc>
          <w:tcPr>
            <w:tcW w:w="0" w:type="auto"/>
            <w:shd w:val="clear" w:color="auto" w:fill="auto"/>
          </w:tcPr>
          <w:p w14:paraId="20AE3985" w14:textId="77777777" w:rsidR="00B626E7" w:rsidRDefault="00B626E7">
            <w:pPr>
              <w:rPr>
                <w:rFonts w:ascii="宋体"/>
              </w:rPr>
            </w:pPr>
          </w:p>
        </w:tc>
        <w:tc>
          <w:tcPr>
            <w:tcW w:w="0" w:type="auto"/>
            <w:shd w:val="clear" w:color="auto" w:fill="auto"/>
          </w:tcPr>
          <w:p w14:paraId="20AE3986" w14:textId="77777777" w:rsidR="00B626E7" w:rsidRDefault="00B626E7">
            <w:pPr>
              <w:rPr>
                <w:rFonts w:ascii="宋体"/>
              </w:rPr>
            </w:pPr>
          </w:p>
        </w:tc>
        <w:tc>
          <w:tcPr>
            <w:tcW w:w="0" w:type="auto"/>
            <w:shd w:val="clear" w:color="auto" w:fill="auto"/>
          </w:tcPr>
          <w:p w14:paraId="20AE3987" w14:textId="77777777" w:rsidR="00B626E7" w:rsidRDefault="00B626E7">
            <w:pPr>
              <w:rPr>
                <w:rFonts w:ascii="宋体"/>
              </w:rPr>
            </w:pPr>
          </w:p>
        </w:tc>
        <w:tc>
          <w:tcPr>
            <w:tcW w:w="0" w:type="auto"/>
            <w:shd w:val="clear" w:color="auto" w:fill="auto"/>
          </w:tcPr>
          <w:p w14:paraId="20AE3988" w14:textId="77777777" w:rsidR="00B626E7" w:rsidRDefault="00B626E7">
            <w:pPr>
              <w:rPr>
                <w:rFonts w:ascii="宋体"/>
              </w:rPr>
            </w:pPr>
          </w:p>
        </w:tc>
        <w:tc>
          <w:tcPr>
            <w:tcW w:w="0" w:type="auto"/>
            <w:shd w:val="clear" w:color="auto" w:fill="auto"/>
          </w:tcPr>
          <w:p w14:paraId="20AE3989" w14:textId="77777777" w:rsidR="00B626E7" w:rsidRDefault="00B626E7">
            <w:pPr>
              <w:rPr>
                <w:rFonts w:ascii="宋体"/>
              </w:rPr>
            </w:pPr>
          </w:p>
        </w:tc>
        <w:tc>
          <w:tcPr>
            <w:tcW w:w="0" w:type="auto"/>
            <w:shd w:val="clear" w:color="auto" w:fill="auto"/>
          </w:tcPr>
          <w:p w14:paraId="20AE398A" w14:textId="77777777" w:rsidR="00B626E7" w:rsidRDefault="00B626E7">
            <w:pPr>
              <w:rPr>
                <w:rFonts w:ascii="宋体"/>
              </w:rPr>
            </w:pPr>
          </w:p>
        </w:tc>
        <w:tc>
          <w:tcPr>
            <w:tcW w:w="0" w:type="auto"/>
            <w:shd w:val="clear" w:color="auto" w:fill="auto"/>
          </w:tcPr>
          <w:p w14:paraId="20AE398B" w14:textId="77777777" w:rsidR="00B626E7" w:rsidRDefault="00B626E7">
            <w:pPr>
              <w:rPr>
                <w:rFonts w:ascii="宋体"/>
              </w:rPr>
            </w:pPr>
          </w:p>
        </w:tc>
        <w:tc>
          <w:tcPr>
            <w:tcW w:w="0" w:type="auto"/>
            <w:shd w:val="clear" w:color="auto" w:fill="auto"/>
          </w:tcPr>
          <w:p w14:paraId="20AE398C" w14:textId="77777777" w:rsidR="00B626E7" w:rsidRDefault="00B626E7">
            <w:pPr>
              <w:rPr>
                <w:rFonts w:ascii="宋体"/>
              </w:rPr>
            </w:pPr>
          </w:p>
        </w:tc>
        <w:tc>
          <w:tcPr>
            <w:tcW w:w="0" w:type="auto"/>
            <w:shd w:val="clear" w:color="auto" w:fill="auto"/>
          </w:tcPr>
          <w:p w14:paraId="20AE398D" w14:textId="77777777" w:rsidR="00B626E7" w:rsidRDefault="00B626E7">
            <w:pPr>
              <w:rPr>
                <w:rFonts w:ascii="宋体"/>
              </w:rPr>
            </w:pPr>
          </w:p>
        </w:tc>
        <w:tc>
          <w:tcPr>
            <w:tcW w:w="0" w:type="auto"/>
            <w:shd w:val="clear" w:color="auto" w:fill="auto"/>
          </w:tcPr>
          <w:p w14:paraId="20AE398E" w14:textId="77777777" w:rsidR="00B626E7" w:rsidRDefault="00B626E7">
            <w:pPr>
              <w:rPr>
                <w:rFonts w:ascii="宋体"/>
              </w:rPr>
            </w:pPr>
          </w:p>
        </w:tc>
        <w:tc>
          <w:tcPr>
            <w:tcW w:w="0" w:type="auto"/>
            <w:shd w:val="clear" w:color="auto" w:fill="auto"/>
          </w:tcPr>
          <w:p w14:paraId="20AE398F" w14:textId="77777777" w:rsidR="00B626E7" w:rsidRDefault="00B626E7">
            <w:pPr>
              <w:rPr>
                <w:rFonts w:ascii="宋体"/>
              </w:rPr>
            </w:pPr>
          </w:p>
        </w:tc>
        <w:tc>
          <w:tcPr>
            <w:tcW w:w="0" w:type="auto"/>
            <w:shd w:val="clear" w:color="auto" w:fill="auto"/>
          </w:tcPr>
          <w:p w14:paraId="20AE3990" w14:textId="77777777" w:rsidR="00B626E7" w:rsidRDefault="00B626E7">
            <w:pPr>
              <w:rPr>
                <w:rFonts w:ascii="宋体"/>
              </w:rPr>
            </w:pPr>
          </w:p>
        </w:tc>
        <w:tc>
          <w:tcPr>
            <w:tcW w:w="0" w:type="auto"/>
            <w:shd w:val="clear" w:color="auto" w:fill="auto"/>
          </w:tcPr>
          <w:p w14:paraId="20AE3991" w14:textId="77777777" w:rsidR="00B626E7" w:rsidRDefault="00B626E7">
            <w:pPr>
              <w:rPr>
                <w:rFonts w:ascii="宋体"/>
              </w:rPr>
            </w:pPr>
          </w:p>
        </w:tc>
        <w:tc>
          <w:tcPr>
            <w:tcW w:w="0" w:type="auto"/>
            <w:shd w:val="clear" w:color="auto" w:fill="auto"/>
          </w:tcPr>
          <w:p w14:paraId="20AE3992" w14:textId="77777777" w:rsidR="00B626E7" w:rsidRDefault="00B626E7">
            <w:pPr>
              <w:rPr>
                <w:rFonts w:ascii="宋体"/>
              </w:rPr>
            </w:pPr>
          </w:p>
        </w:tc>
        <w:tc>
          <w:tcPr>
            <w:tcW w:w="0" w:type="auto"/>
            <w:shd w:val="clear" w:color="auto" w:fill="auto"/>
          </w:tcPr>
          <w:p w14:paraId="20AE3993" w14:textId="77777777" w:rsidR="00B626E7" w:rsidRDefault="00B626E7">
            <w:pPr>
              <w:rPr>
                <w:rFonts w:ascii="宋体"/>
              </w:rPr>
            </w:pPr>
          </w:p>
        </w:tc>
        <w:tc>
          <w:tcPr>
            <w:tcW w:w="0" w:type="auto"/>
            <w:shd w:val="clear" w:color="auto" w:fill="auto"/>
          </w:tcPr>
          <w:p w14:paraId="20AE3994" w14:textId="77777777" w:rsidR="00B626E7" w:rsidRDefault="00B626E7">
            <w:pPr>
              <w:rPr>
                <w:rFonts w:ascii="宋体"/>
              </w:rPr>
            </w:pPr>
          </w:p>
        </w:tc>
      </w:tr>
      <w:tr w:rsidR="00B626E7" w14:paraId="20AE39B5" w14:textId="77777777">
        <w:tc>
          <w:tcPr>
            <w:tcW w:w="0" w:type="auto"/>
            <w:gridSpan w:val="3"/>
            <w:shd w:val="clear" w:color="auto" w:fill="auto"/>
            <w:tcMar>
              <w:top w:w="40" w:type="dxa"/>
              <w:left w:w="20" w:type="dxa"/>
              <w:bottom w:w="40" w:type="dxa"/>
              <w:right w:w="20" w:type="dxa"/>
            </w:tcMar>
          </w:tcPr>
          <w:p w14:paraId="20AE3996" w14:textId="77777777" w:rsidR="00B626E7" w:rsidRDefault="00175C1D">
            <w:pPr>
              <w:jc w:val="center"/>
              <w:textAlignment w:val="top"/>
            </w:pPr>
            <w:r>
              <w:rPr>
                <w:rFonts w:ascii="Arial" w:eastAsia="宋体" w:hAnsi="Arial" w:cs="Arial"/>
                <w:color w:val="333333"/>
                <w:sz w:val="18"/>
                <w:szCs w:val="18"/>
              </w:rPr>
              <w:t>101.INS</w:t>
            </w:r>
          </w:p>
        </w:tc>
        <w:tc>
          <w:tcPr>
            <w:tcW w:w="0" w:type="auto"/>
            <w:gridSpan w:val="3"/>
            <w:shd w:val="clear" w:color="auto" w:fill="auto"/>
            <w:tcMar>
              <w:left w:w="20" w:type="dxa"/>
              <w:right w:w="20" w:type="dxa"/>
            </w:tcMar>
            <w:vAlign w:val="bottom"/>
          </w:tcPr>
          <w:p w14:paraId="20AE3997"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3998" w14:textId="77777777" w:rsidR="00B626E7" w:rsidRDefault="00175C1D">
            <w:pPr>
              <w:textAlignment w:val="top"/>
            </w:pPr>
            <w:r>
              <w:rPr>
                <w:rFonts w:ascii="Arial" w:eastAsia="宋体" w:hAnsi="Arial" w:cs="Arial"/>
                <w:color w:val="333333"/>
                <w:sz w:val="18"/>
                <w:szCs w:val="18"/>
              </w:rPr>
              <w:t>XBRL Instance Document - the instance document does not appear in the Interactive Data File because its XBRL tags are embedded within the Inline XBRL document</w:t>
            </w:r>
          </w:p>
        </w:tc>
        <w:tc>
          <w:tcPr>
            <w:tcW w:w="0" w:type="auto"/>
            <w:gridSpan w:val="3"/>
            <w:shd w:val="clear" w:color="auto" w:fill="auto"/>
            <w:tcMar>
              <w:left w:w="20" w:type="dxa"/>
              <w:right w:w="20" w:type="dxa"/>
            </w:tcMar>
            <w:vAlign w:val="bottom"/>
          </w:tcPr>
          <w:p w14:paraId="20AE3999"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99A"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99B"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99C"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99D"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99E"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99F"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9A0"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9A1"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39A2" w14:textId="77777777" w:rsidR="00B626E7" w:rsidRDefault="00175C1D">
            <w:pPr>
              <w:jc w:val="center"/>
              <w:textAlignment w:val="top"/>
            </w:pPr>
            <w:r>
              <w:rPr>
                <w:rFonts w:ascii="Arial" w:eastAsia="宋体" w:hAnsi="Arial" w:cs="Arial"/>
                <w:color w:val="333333"/>
                <w:sz w:val="18"/>
                <w:szCs w:val="18"/>
              </w:rPr>
              <w:t>X</w:t>
            </w:r>
          </w:p>
        </w:tc>
        <w:tc>
          <w:tcPr>
            <w:tcW w:w="0" w:type="auto"/>
            <w:shd w:val="clear" w:color="auto" w:fill="auto"/>
          </w:tcPr>
          <w:p w14:paraId="20AE39A3" w14:textId="77777777" w:rsidR="00B626E7" w:rsidRDefault="00B626E7">
            <w:pPr>
              <w:rPr>
                <w:rFonts w:ascii="宋体"/>
              </w:rPr>
            </w:pPr>
          </w:p>
        </w:tc>
        <w:tc>
          <w:tcPr>
            <w:tcW w:w="0" w:type="auto"/>
            <w:shd w:val="clear" w:color="auto" w:fill="auto"/>
          </w:tcPr>
          <w:p w14:paraId="20AE39A4" w14:textId="77777777" w:rsidR="00B626E7" w:rsidRDefault="00B626E7">
            <w:pPr>
              <w:rPr>
                <w:rFonts w:ascii="宋体"/>
              </w:rPr>
            </w:pPr>
          </w:p>
        </w:tc>
        <w:tc>
          <w:tcPr>
            <w:tcW w:w="0" w:type="auto"/>
            <w:shd w:val="clear" w:color="auto" w:fill="auto"/>
          </w:tcPr>
          <w:p w14:paraId="20AE39A5" w14:textId="77777777" w:rsidR="00B626E7" w:rsidRDefault="00B626E7">
            <w:pPr>
              <w:rPr>
                <w:rFonts w:ascii="宋体"/>
              </w:rPr>
            </w:pPr>
          </w:p>
        </w:tc>
        <w:tc>
          <w:tcPr>
            <w:tcW w:w="0" w:type="auto"/>
            <w:shd w:val="clear" w:color="auto" w:fill="auto"/>
          </w:tcPr>
          <w:p w14:paraId="20AE39A6" w14:textId="77777777" w:rsidR="00B626E7" w:rsidRDefault="00B626E7">
            <w:pPr>
              <w:rPr>
                <w:rFonts w:ascii="宋体"/>
              </w:rPr>
            </w:pPr>
          </w:p>
        </w:tc>
        <w:tc>
          <w:tcPr>
            <w:tcW w:w="0" w:type="auto"/>
            <w:shd w:val="clear" w:color="auto" w:fill="auto"/>
          </w:tcPr>
          <w:p w14:paraId="20AE39A7" w14:textId="77777777" w:rsidR="00B626E7" w:rsidRDefault="00B626E7">
            <w:pPr>
              <w:rPr>
                <w:rFonts w:ascii="宋体"/>
              </w:rPr>
            </w:pPr>
          </w:p>
        </w:tc>
        <w:tc>
          <w:tcPr>
            <w:tcW w:w="0" w:type="auto"/>
            <w:shd w:val="clear" w:color="auto" w:fill="auto"/>
          </w:tcPr>
          <w:p w14:paraId="20AE39A8" w14:textId="77777777" w:rsidR="00B626E7" w:rsidRDefault="00B626E7">
            <w:pPr>
              <w:rPr>
                <w:rFonts w:ascii="宋体"/>
              </w:rPr>
            </w:pPr>
          </w:p>
        </w:tc>
        <w:tc>
          <w:tcPr>
            <w:tcW w:w="0" w:type="auto"/>
            <w:shd w:val="clear" w:color="auto" w:fill="auto"/>
          </w:tcPr>
          <w:p w14:paraId="20AE39A9" w14:textId="77777777" w:rsidR="00B626E7" w:rsidRDefault="00B626E7">
            <w:pPr>
              <w:rPr>
                <w:rFonts w:ascii="宋体"/>
              </w:rPr>
            </w:pPr>
          </w:p>
        </w:tc>
        <w:tc>
          <w:tcPr>
            <w:tcW w:w="0" w:type="auto"/>
            <w:shd w:val="clear" w:color="auto" w:fill="auto"/>
          </w:tcPr>
          <w:p w14:paraId="20AE39AA" w14:textId="77777777" w:rsidR="00B626E7" w:rsidRDefault="00B626E7">
            <w:pPr>
              <w:rPr>
                <w:rFonts w:ascii="宋体"/>
              </w:rPr>
            </w:pPr>
          </w:p>
        </w:tc>
        <w:tc>
          <w:tcPr>
            <w:tcW w:w="0" w:type="auto"/>
            <w:shd w:val="clear" w:color="auto" w:fill="auto"/>
          </w:tcPr>
          <w:p w14:paraId="20AE39AB" w14:textId="77777777" w:rsidR="00B626E7" w:rsidRDefault="00B626E7">
            <w:pPr>
              <w:rPr>
                <w:rFonts w:ascii="宋体"/>
              </w:rPr>
            </w:pPr>
          </w:p>
        </w:tc>
        <w:tc>
          <w:tcPr>
            <w:tcW w:w="0" w:type="auto"/>
            <w:shd w:val="clear" w:color="auto" w:fill="auto"/>
          </w:tcPr>
          <w:p w14:paraId="20AE39AC" w14:textId="77777777" w:rsidR="00B626E7" w:rsidRDefault="00B626E7">
            <w:pPr>
              <w:rPr>
                <w:rFonts w:ascii="宋体"/>
              </w:rPr>
            </w:pPr>
          </w:p>
        </w:tc>
        <w:tc>
          <w:tcPr>
            <w:tcW w:w="0" w:type="auto"/>
            <w:shd w:val="clear" w:color="auto" w:fill="auto"/>
          </w:tcPr>
          <w:p w14:paraId="20AE39AD" w14:textId="77777777" w:rsidR="00B626E7" w:rsidRDefault="00B626E7">
            <w:pPr>
              <w:rPr>
                <w:rFonts w:ascii="宋体"/>
              </w:rPr>
            </w:pPr>
          </w:p>
        </w:tc>
        <w:tc>
          <w:tcPr>
            <w:tcW w:w="0" w:type="auto"/>
            <w:shd w:val="clear" w:color="auto" w:fill="auto"/>
          </w:tcPr>
          <w:p w14:paraId="20AE39AE" w14:textId="77777777" w:rsidR="00B626E7" w:rsidRDefault="00B626E7">
            <w:pPr>
              <w:rPr>
                <w:rFonts w:ascii="宋体"/>
              </w:rPr>
            </w:pPr>
          </w:p>
        </w:tc>
        <w:tc>
          <w:tcPr>
            <w:tcW w:w="0" w:type="auto"/>
            <w:shd w:val="clear" w:color="auto" w:fill="auto"/>
          </w:tcPr>
          <w:p w14:paraId="20AE39AF" w14:textId="77777777" w:rsidR="00B626E7" w:rsidRDefault="00B626E7">
            <w:pPr>
              <w:rPr>
                <w:rFonts w:ascii="宋体"/>
              </w:rPr>
            </w:pPr>
          </w:p>
        </w:tc>
        <w:tc>
          <w:tcPr>
            <w:tcW w:w="0" w:type="auto"/>
            <w:shd w:val="clear" w:color="auto" w:fill="auto"/>
          </w:tcPr>
          <w:p w14:paraId="20AE39B0" w14:textId="77777777" w:rsidR="00B626E7" w:rsidRDefault="00B626E7">
            <w:pPr>
              <w:rPr>
                <w:rFonts w:ascii="宋体"/>
              </w:rPr>
            </w:pPr>
          </w:p>
        </w:tc>
        <w:tc>
          <w:tcPr>
            <w:tcW w:w="0" w:type="auto"/>
            <w:shd w:val="clear" w:color="auto" w:fill="auto"/>
          </w:tcPr>
          <w:p w14:paraId="20AE39B1" w14:textId="77777777" w:rsidR="00B626E7" w:rsidRDefault="00B626E7">
            <w:pPr>
              <w:rPr>
                <w:rFonts w:ascii="宋体"/>
              </w:rPr>
            </w:pPr>
          </w:p>
        </w:tc>
        <w:tc>
          <w:tcPr>
            <w:tcW w:w="0" w:type="auto"/>
            <w:shd w:val="clear" w:color="auto" w:fill="auto"/>
          </w:tcPr>
          <w:p w14:paraId="20AE39B2" w14:textId="77777777" w:rsidR="00B626E7" w:rsidRDefault="00B626E7">
            <w:pPr>
              <w:rPr>
                <w:rFonts w:ascii="宋体"/>
              </w:rPr>
            </w:pPr>
          </w:p>
        </w:tc>
        <w:tc>
          <w:tcPr>
            <w:tcW w:w="0" w:type="auto"/>
            <w:shd w:val="clear" w:color="auto" w:fill="auto"/>
          </w:tcPr>
          <w:p w14:paraId="20AE39B3" w14:textId="77777777" w:rsidR="00B626E7" w:rsidRDefault="00B626E7">
            <w:pPr>
              <w:rPr>
                <w:rFonts w:ascii="宋体"/>
              </w:rPr>
            </w:pPr>
          </w:p>
        </w:tc>
        <w:tc>
          <w:tcPr>
            <w:tcW w:w="0" w:type="auto"/>
            <w:shd w:val="clear" w:color="auto" w:fill="auto"/>
          </w:tcPr>
          <w:p w14:paraId="20AE39B4" w14:textId="77777777" w:rsidR="00B626E7" w:rsidRDefault="00B626E7">
            <w:pPr>
              <w:rPr>
                <w:rFonts w:ascii="宋体"/>
              </w:rPr>
            </w:pPr>
          </w:p>
        </w:tc>
      </w:tr>
      <w:tr w:rsidR="00B626E7" w14:paraId="20AE39D5" w14:textId="77777777">
        <w:tc>
          <w:tcPr>
            <w:tcW w:w="0" w:type="auto"/>
            <w:gridSpan w:val="3"/>
            <w:shd w:val="clear" w:color="auto" w:fill="auto"/>
            <w:tcMar>
              <w:top w:w="40" w:type="dxa"/>
              <w:left w:w="20" w:type="dxa"/>
              <w:bottom w:w="40" w:type="dxa"/>
              <w:right w:w="20" w:type="dxa"/>
            </w:tcMar>
          </w:tcPr>
          <w:p w14:paraId="20AE39B6" w14:textId="77777777" w:rsidR="00B626E7" w:rsidRDefault="00175C1D">
            <w:pPr>
              <w:jc w:val="center"/>
              <w:textAlignment w:val="top"/>
            </w:pPr>
            <w:r>
              <w:rPr>
                <w:rFonts w:ascii="Arial" w:eastAsia="宋体" w:hAnsi="Arial" w:cs="Arial"/>
                <w:color w:val="333333"/>
                <w:sz w:val="18"/>
                <w:szCs w:val="18"/>
              </w:rPr>
              <w:t>101.SCH</w:t>
            </w:r>
          </w:p>
        </w:tc>
        <w:tc>
          <w:tcPr>
            <w:tcW w:w="0" w:type="auto"/>
            <w:gridSpan w:val="3"/>
            <w:shd w:val="clear" w:color="auto" w:fill="auto"/>
            <w:tcMar>
              <w:left w:w="20" w:type="dxa"/>
              <w:right w:w="20" w:type="dxa"/>
            </w:tcMar>
            <w:vAlign w:val="bottom"/>
          </w:tcPr>
          <w:p w14:paraId="20AE39B7"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39B8" w14:textId="77777777" w:rsidR="00B626E7" w:rsidRDefault="00175C1D">
            <w:pPr>
              <w:textAlignment w:val="top"/>
            </w:pPr>
            <w:r>
              <w:rPr>
                <w:rFonts w:ascii="Arial" w:eastAsia="宋体" w:hAnsi="Arial" w:cs="Arial"/>
                <w:color w:val="333333"/>
                <w:sz w:val="18"/>
                <w:szCs w:val="18"/>
              </w:rPr>
              <w:t>XBRL Taxonomy Extension Schema Document</w:t>
            </w:r>
          </w:p>
        </w:tc>
        <w:tc>
          <w:tcPr>
            <w:tcW w:w="0" w:type="auto"/>
            <w:gridSpan w:val="3"/>
            <w:shd w:val="clear" w:color="auto" w:fill="auto"/>
            <w:tcMar>
              <w:left w:w="20" w:type="dxa"/>
              <w:right w:w="20" w:type="dxa"/>
            </w:tcMar>
            <w:vAlign w:val="bottom"/>
          </w:tcPr>
          <w:p w14:paraId="20AE39B9"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9BA"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9BB"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9BC"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9BD"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9BE"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9BF"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9C0"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9C1"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39C2" w14:textId="77777777" w:rsidR="00B626E7" w:rsidRDefault="00175C1D">
            <w:pPr>
              <w:jc w:val="center"/>
              <w:textAlignment w:val="top"/>
            </w:pPr>
            <w:r>
              <w:rPr>
                <w:rFonts w:ascii="Arial" w:eastAsia="宋体" w:hAnsi="Arial" w:cs="Arial"/>
                <w:color w:val="333333"/>
                <w:sz w:val="18"/>
                <w:szCs w:val="18"/>
              </w:rPr>
              <w:t>X</w:t>
            </w:r>
          </w:p>
        </w:tc>
        <w:tc>
          <w:tcPr>
            <w:tcW w:w="0" w:type="auto"/>
            <w:shd w:val="clear" w:color="auto" w:fill="auto"/>
          </w:tcPr>
          <w:p w14:paraId="20AE39C3" w14:textId="77777777" w:rsidR="00B626E7" w:rsidRDefault="00B626E7">
            <w:pPr>
              <w:rPr>
                <w:rFonts w:ascii="宋体"/>
              </w:rPr>
            </w:pPr>
          </w:p>
        </w:tc>
        <w:tc>
          <w:tcPr>
            <w:tcW w:w="0" w:type="auto"/>
            <w:shd w:val="clear" w:color="auto" w:fill="auto"/>
          </w:tcPr>
          <w:p w14:paraId="20AE39C4" w14:textId="77777777" w:rsidR="00B626E7" w:rsidRDefault="00B626E7">
            <w:pPr>
              <w:rPr>
                <w:rFonts w:ascii="宋体"/>
              </w:rPr>
            </w:pPr>
          </w:p>
        </w:tc>
        <w:tc>
          <w:tcPr>
            <w:tcW w:w="0" w:type="auto"/>
            <w:shd w:val="clear" w:color="auto" w:fill="auto"/>
          </w:tcPr>
          <w:p w14:paraId="20AE39C5" w14:textId="77777777" w:rsidR="00B626E7" w:rsidRDefault="00B626E7">
            <w:pPr>
              <w:rPr>
                <w:rFonts w:ascii="宋体"/>
              </w:rPr>
            </w:pPr>
          </w:p>
        </w:tc>
        <w:tc>
          <w:tcPr>
            <w:tcW w:w="0" w:type="auto"/>
            <w:shd w:val="clear" w:color="auto" w:fill="auto"/>
          </w:tcPr>
          <w:p w14:paraId="20AE39C6" w14:textId="77777777" w:rsidR="00B626E7" w:rsidRDefault="00B626E7">
            <w:pPr>
              <w:rPr>
                <w:rFonts w:ascii="宋体"/>
              </w:rPr>
            </w:pPr>
          </w:p>
        </w:tc>
        <w:tc>
          <w:tcPr>
            <w:tcW w:w="0" w:type="auto"/>
            <w:shd w:val="clear" w:color="auto" w:fill="auto"/>
          </w:tcPr>
          <w:p w14:paraId="20AE39C7" w14:textId="77777777" w:rsidR="00B626E7" w:rsidRDefault="00B626E7">
            <w:pPr>
              <w:rPr>
                <w:rFonts w:ascii="宋体"/>
              </w:rPr>
            </w:pPr>
          </w:p>
        </w:tc>
        <w:tc>
          <w:tcPr>
            <w:tcW w:w="0" w:type="auto"/>
            <w:shd w:val="clear" w:color="auto" w:fill="auto"/>
          </w:tcPr>
          <w:p w14:paraId="20AE39C8" w14:textId="77777777" w:rsidR="00B626E7" w:rsidRDefault="00B626E7">
            <w:pPr>
              <w:rPr>
                <w:rFonts w:ascii="宋体"/>
              </w:rPr>
            </w:pPr>
          </w:p>
        </w:tc>
        <w:tc>
          <w:tcPr>
            <w:tcW w:w="0" w:type="auto"/>
            <w:shd w:val="clear" w:color="auto" w:fill="auto"/>
          </w:tcPr>
          <w:p w14:paraId="20AE39C9" w14:textId="77777777" w:rsidR="00B626E7" w:rsidRDefault="00B626E7">
            <w:pPr>
              <w:rPr>
                <w:rFonts w:ascii="宋体"/>
              </w:rPr>
            </w:pPr>
          </w:p>
        </w:tc>
        <w:tc>
          <w:tcPr>
            <w:tcW w:w="0" w:type="auto"/>
            <w:shd w:val="clear" w:color="auto" w:fill="auto"/>
          </w:tcPr>
          <w:p w14:paraId="20AE39CA" w14:textId="77777777" w:rsidR="00B626E7" w:rsidRDefault="00B626E7">
            <w:pPr>
              <w:rPr>
                <w:rFonts w:ascii="宋体"/>
              </w:rPr>
            </w:pPr>
          </w:p>
        </w:tc>
        <w:tc>
          <w:tcPr>
            <w:tcW w:w="0" w:type="auto"/>
            <w:shd w:val="clear" w:color="auto" w:fill="auto"/>
          </w:tcPr>
          <w:p w14:paraId="20AE39CB" w14:textId="77777777" w:rsidR="00B626E7" w:rsidRDefault="00B626E7">
            <w:pPr>
              <w:rPr>
                <w:rFonts w:ascii="宋体"/>
              </w:rPr>
            </w:pPr>
          </w:p>
        </w:tc>
        <w:tc>
          <w:tcPr>
            <w:tcW w:w="0" w:type="auto"/>
            <w:shd w:val="clear" w:color="auto" w:fill="auto"/>
          </w:tcPr>
          <w:p w14:paraId="20AE39CC" w14:textId="77777777" w:rsidR="00B626E7" w:rsidRDefault="00B626E7">
            <w:pPr>
              <w:rPr>
                <w:rFonts w:ascii="宋体"/>
              </w:rPr>
            </w:pPr>
          </w:p>
        </w:tc>
        <w:tc>
          <w:tcPr>
            <w:tcW w:w="0" w:type="auto"/>
            <w:shd w:val="clear" w:color="auto" w:fill="auto"/>
          </w:tcPr>
          <w:p w14:paraId="20AE39CD" w14:textId="77777777" w:rsidR="00B626E7" w:rsidRDefault="00B626E7">
            <w:pPr>
              <w:rPr>
                <w:rFonts w:ascii="宋体"/>
              </w:rPr>
            </w:pPr>
          </w:p>
        </w:tc>
        <w:tc>
          <w:tcPr>
            <w:tcW w:w="0" w:type="auto"/>
            <w:shd w:val="clear" w:color="auto" w:fill="auto"/>
          </w:tcPr>
          <w:p w14:paraId="20AE39CE" w14:textId="77777777" w:rsidR="00B626E7" w:rsidRDefault="00B626E7">
            <w:pPr>
              <w:rPr>
                <w:rFonts w:ascii="宋体"/>
              </w:rPr>
            </w:pPr>
          </w:p>
        </w:tc>
        <w:tc>
          <w:tcPr>
            <w:tcW w:w="0" w:type="auto"/>
            <w:shd w:val="clear" w:color="auto" w:fill="auto"/>
          </w:tcPr>
          <w:p w14:paraId="20AE39CF" w14:textId="77777777" w:rsidR="00B626E7" w:rsidRDefault="00B626E7">
            <w:pPr>
              <w:rPr>
                <w:rFonts w:ascii="宋体"/>
              </w:rPr>
            </w:pPr>
          </w:p>
        </w:tc>
        <w:tc>
          <w:tcPr>
            <w:tcW w:w="0" w:type="auto"/>
            <w:shd w:val="clear" w:color="auto" w:fill="auto"/>
          </w:tcPr>
          <w:p w14:paraId="20AE39D0" w14:textId="77777777" w:rsidR="00B626E7" w:rsidRDefault="00B626E7">
            <w:pPr>
              <w:rPr>
                <w:rFonts w:ascii="宋体"/>
              </w:rPr>
            </w:pPr>
          </w:p>
        </w:tc>
        <w:tc>
          <w:tcPr>
            <w:tcW w:w="0" w:type="auto"/>
            <w:shd w:val="clear" w:color="auto" w:fill="auto"/>
          </w:tcPr>
          <w:p w14:paraId="20AE39D1" w14:textId="77777777" w:rsidR="00B626E7" w:rsidRDefault="00B626E7">
            <w:pPr>
              <w:rPr>
                <w:rFonts w:ascii="宋体"/>
              </w:rPr>
            </w:pPr>
          </w:p>
        </w:tc>
        <w:tc>
          <w:tcPr>
            <w:tcW w:w="0" w:type="auto"/>
            <w:shd w:val="clear" w:color="auto" w:fill="auto"/>
          </w:tcPr>
          <w:p w14:paraId="20AE39D2" w14:textId="77777777" w:rsidR="00B626E7" w:rsidRDefault="00B626E7">
            <w:pPr>
              <w:rPr>
                <w:rFonts w:ascii="宋体"/>
              </w:rPr>
            </w:pPr>
          </w:p>
        </w:tc>
        <w:tc>
          <w:tcPr>
            <w:tcW w:w="0" w:type="auto"/>
            <w:shd w:val="clear" w:color="auto" w:fill="auto"/>
          </w:tcPr>
          <w:p w14:paraId="20AE39D3" w14:textId="77777777" w:rsidR="00B626E7" w:rsidRDefault="00B626E7">
            <w:pPr>
              <w:rPr>
                <w:rFonts w:ascii="宋体"/>
              </w:rPr>
            </w:pPr>
          </w:p>
        </w:tc>
        <w:tc>
          <w:tcPr>
            <w:tcW w:w="0" w:type="auto"/>
            <w:shd w:val="clear" w:color="auto" w:fill="auto"/>
          </w:tcPr>
          <w:p w14:paraId="20AE39D4" w14:textId="77777777" w:rsidR="00B626E7" w:rsidRDefault="00B626E7">
            <w:pPr>
              <w:rPr>
                <w:rFonts w:ascii="宋体"/>
              </w:rPr>
            </w:pPr>
          </w:p>
        </w:tc>
      </w:tr>
      <w:tr w:rsidR="00B626E7" w14:paraId="20AE39F5" w14:textId="77777777">
        <w:tc>
          <w:tcPr>
            <w:tcW w:w="0" w:type="auto"/>
            <w:gridSpan w:val="3"/>
            <w:shd w:val="clear" w:color="auto" w:fill="auto"/>
            <w:tcMar>
              <w:top w:w="40" w:type="dxa"/>
              <w:left w:w="20" w:type="dxa"/>
              <w:bottom w:w="40" w:type="dxa"/>
              <w:right w:w="20" w:type="dxa"/>
            </w:tcMar>
          </w:tcPr>
          <w:p w14:paraId="20AE39D6" w14:textId="77777777" w:rsidR="00B626E7" w:rsidRDefault="00175C1D">
            <w:pPr>
              <w:jc w:val="center"/>
              <w:textAlignment w:val="top"/>
            </w:pPr>
            <w:r>
              <w:rPr>
                <w:rFonts w:ascii="Arial" w:eastAsia="宋体" w:hAnsi="Arial" w:cs="Arial"/>
                <w:color w:val="333333"/>
                <w:sz w:val="18"/>
                <w:szCs w:val="18"/>
              </w:rPr>
              <w:t>101.CAL</w:t>
            </w:r>
          </w:p>
        </w:tc>
        <w:tc>
          <w:tcPr>
            <w:tcW w:w="0" w:type="auto"/>
            <w:gridSpan w:val="3"/>
            <w:shd w:val="clear" w:color="auto" w:fill="auto"/>
            <w:tcMar>
              <w:left w:w="20" w:type="dxa"/>
              <w:right w:w="20" w:type="dxa"/>
            </w:tcMar>
            <w:vAlign w:val="bottom"/>
          </w:tcPr>
          <w:p w14:paraId="20AE39D7"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39D8" w14:textId="77777777" w:rsidR="00B626E7" w:rsidRDefault="00175C1D">
            <w:pPr>
              <w:textAlignment w:val="top"/>
            </w:pPr>
            <w:r>
              <w:rPr>
                <w:rFonts w:ascii="Arial" w:eastAsia="宋体" w:hAnsi="Arial" w:cs="Arial"/>
                <w:color w:val="333333"/>
                <w:sz w:val="18"/>
                <w:szCs w:val="18"/>
              </w:rPr>
              <w:t>XBRL Taxonomy Extension Calculation Linkbase Document</w:t>
            </w:r>
          </w:p>
        </w:tc>
        <w:tc>
          <w:tcPr>
            <w:tcW w:w="0" w:type="auto"/>
            <w:gridSpan w:val="3"/>
            <w:shd w:val="clear" w:color="auto" w:fill="auto"/>
            <w:tcMar>
              <w:left w:w="20" w:type="dxa"/>
              <w:right w:w="20" w:type="dxa"/>
            </w:tcMar>
            <w:vAlign w:val="bottom"/>
          </w:tcPr>
          <w:p w14:paraId="20AE39D9"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9DA"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9DB"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9DC"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9DD"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9DE"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9DF"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9E0"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9E1"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39E2" w14:textId="77777777" w:rsidR="00B626E7" w:rsidRDefault="00175C1D">
            <w:pPr>
              <w:jc w:val="center"/>
              <w:textAlignment w:val="top"/>
            </w:pPr>
            <w:r>
              <w:rPr>
                <w:rFonts w:ascii="Arial" w:eastAsia="宋体" w:hAnsi="Arial" w:cs="Arial"/>
                <w:color w:val="333333"/>
                <w:sz w:val="18"/>
                <w:szCs w:val="18"/>
              </w:rPr>
              <w:t>X</w:t>
            </w:r>
          </w:p>
        </w:tc>
        <w:tc>
          <w:tcPr>
            <w:tcW w:w="0" w:type="auto"/>
            <w:shd w:val="clear" w:color="auto" w:fill="auto"/>
          </w:tcPr>
          <w:p w14:paraId="20AE39E3" w14:textId="77777777" w:rsidR="00B626E7" w:rsidRDefault="00B626E7">
            <w:pPr>
              <w:rPr>
                <w:rFonts w:ascii="宋体"/>
              </w:rPr>
            </w:pPr>
          </w:p>
        </w:tc>
        <w:tc>
          <w:tcPr>
            <w:tcW w:w="0" w:type="auto"/>
            <w:shd w:val="clear" w:color="auto" w:fill="auto"/>
          </w:tcPr>
          <w:p w14:paraId="20AE39E4" w14:textId="77777777" w:rsidR="00B626E7" w:rsidRDefault="00B626E7">
            <w:pPr>
              <w:rPr>
                <w:rFonts w:ascii="宋体"/>
              </w:rPr>
            </w:pPr>
          </w:p>
        </w:tc>
        <w:tc>
          <w:tcPr>
            <w:tcW w:w="0" w:type="auto"/>
            <w:shd w:val="clear" w:color="auto" w:fill="auto"/>
          </w:tcPr>
          <w:p w14:paraId="20AE39E5" w14:textId="77777777" w:rsidR="00B626E7" w:rsidRDefault="00B626E7">
            <w:pPr>
              <w:rPr>
                <w:rFonts w:ascii="宋体"/>
              </w:rPr>
            </w:pPr>
          </w:p>
        </w:tc>
        <w:tc>
          <w:tcPr>
            <w:tcW w:w="0" w:type="auto"/>
            <w:shd w:val="clear" w:color="auto" w:fill="auto"/>
          </w:tcPr>
          <w:p w14:paraId="20AE39E6" w14:textId="77777777" w:rsidR="00B626E7" w:rsidRDefault="00B626E7">
            <w:pPr>
              <w:rPr>
                <w:rFonts w:ascii="宋体"/>
              </w:rPr>
            </w:pPr>
          </w:p>
        </w:tc>
        <w:tc>
          <w:tcPr>
            <w:tcW w:w="0" w:type="auto"/>
            <w:shd w:val="clear" w:color="auto" w:fill="auto"/>
          </w:tcPr>
          <w:p w14:paraId="20AE39E7" w14:textId="77777777" w:rsidR="00B626E7" w:rsidRDefault="00B626E7">
            <w:pPr>
              <w:rPr>
                <w:rFonts w:ascii="宋体"/>
              </w:rPr>
            </w:pPr>
          </w:p>
        </w:tc>
        <w:tc>
          <w:tcPr>
            <w:tcW w:w="0" w:type="auto"/>
            <w:shd w:val="clear" w:color="auto" w:fill="auto"/>
          </w:tcPr>
          <w:p w14:paraId="20AE39E8" w14:textId="77777777" w:rsidR="00B626E7" w:rsidRDefault="00B626E7">
            <w:pPr>
              <w:rPr>
                <w:rFonts w:ascii="宋体"/>
              </w:rPr>
            </w:pPr>
          </w:p>
        </w:tc>
        <w:tc>
          <w:tcPr>
            <w:tcW w:w="0" w:type="auto"/>
            <w:shd w:val="clear" w:color="auto" w:fill="auto"/>
          </w:tcPr>
          <w:p w14:paraId="20AE39E9" w14:textId="77777777" w:rsidR="00B626E7" w:rsidRDefault="00B626E7">
            <w:pPr>
              <w:rPr>
                <w:rFonts w:ascii="宋体"/>
              </w:rPr>
            </w:pPr>
          </w:p>
        </w:tc>
        <w:tc>
          <w:tcPr>
            <w:tcW w:w="0" w:type="auto"/>
            <w:shd w:val="clear" w:color="auto" w:fill="auto"/>
          </w:tcPr>
          <w:p w14:paraId="20AE39EA" w14:textId="77777777" w:rsidR="00B626E7" w:rsidRDefault="00B626E7">
            <w:pPr>
              <w:rPr>
                <w:rFonts w:ascii="宋体"/>
              </w:rPr>
            </w:pPr>
          </w:p>
        </w:tc>
        <w:tc>
          <w:tcPr>
            <w:tcW w:w="0" w:type="auto"/>
            <w:shd w:val="clear" w:color="auto" w:fill="auto"/>
          </w:tcPr>
          <w:p w14:paraId="20AE39EB" w14:textId="77777777" w:rsidR="00B626E7" w:rsidRDefault="00B626E7">
            <w:pPr>
              <w:rPr>
                <w:rFonts w:ascii="宋体"/>
              </w:rPr>
            </w:pPr>
          </w:p>
        </w:tc>
        <w:tc>
          <w:tcPr>
            <w:tcW w:w="0" w:type="auto"/>
            <w:shd w:val="clear" w:color="auto" w:fill="auto"/>
          </w:tcPr>
          <w:p w14:paraId="20AE39EC" w14:textId="77777777" w:rsidR="00B626E7" w:rsidRDefault="00B626E7">
            <w:pPr>
              <w:rPr>
                <w:rFonts w:ascii="宋体"/>
              </w:rPr>
            </w:pPr>
          </w:p>
        </w:tc>
        <w:tc>
          <w:tcPr>
            <w:tcW w:w="0" w:type="auto"/>
            <w:shd w:val="clear" w:color="auto" w:fill="auto"/>
          </w:tcPr>
          <w:p w14:paraId="20AE39ED" w14:textId="77777777" w:rsidR="00B626E7" w:rsidRDefault="00B626E7">
            <w:pPr>
              <w:rPr>
                <w:rFonts w:ascii="宋体"/>
              </w:rPr>
            </w:pPr>
          </w:p>
        </w:tc>
        <w:tc>
          <w:tcPr>
            <w:tcW w:w="0" w:type="auto"/>
            <w:shd w:val="clear" w:color="auto" w:fill="auto"/>
          </w:tcPr>
          <w:p w14:paraId="20AE39EE" w14:textId="77777777" w:rsidR="00B626E7" w:rsidRDefault="00B626E7">
            <w:pPr>
              <w:rPr>
                <w:rFonts w:ascii="宋体"/>
              </w:rPr>
            </w:pPr>
          </w:p>
        </w:tc>
        <w:tc>
          <w:tcPr>
            <w:tcW w:w="0" w:type="auto"/>
            <w:shd w:val="clear" w:color="auto" w:fill="auto"/>
          </w:tcPr>
          <w:p w14:paraId="20AE39EF" w14:textId="77777777" w:rsidR="00B626E7" w:rsidRDefault="00B626E7">
            <w:pPr>
              <w:rPr>
                <w:rFonts w:ascii="宋体"/>
              </w:rPr>
            </w:pPr>
          </w:p>
        </w:tc>
        <w:tc>
          <w:tcPr>
            <w:tcW w:w="0" w:type="auto"/>
            <w:shd w:val="clear" w:color="auto" w:fill="auto"/>
          </w:tcPr>
          <w:p w14:paraId="20AE39F0" w14:textId="77777777" w:rsidR="00B626E7" w:rsidRDefault="00B626E7">
            <w:pPr>
              <w:rPr>
                <w:rFonts w:ascii="宋体"/>
              </w:rPr>
            </w:pPr>
          </w:p>
        </w:tc>
        <w:tc>
          <w:tcPr>
            <w:tcW w:w="0" w:type="auto"/>
            <w:shd w:val="clear" w:color="auto" w:fill="auto"/>
          </w:tcPr>
          <w:p w14:paraId="20AE39F1" w14:textId="77777777" w:rsidR="00B626E7" w:rsidRDefault="00B626E7">
            <w:pPr>
              <w:rPr>
                <w:rFonts w:ascii="宋体"/>
              </w:rPr>
            </w:pPr>
          </w:p>
        </w:tc>
        <w:tc>
          <w:tcPr>
            <w:tcW w:w="0" w:type="auto"/>
            <w:shd w:val="clear" w:color="auto" w:fill="auto"/>
          </w:tcPr>
          <w:p w14:paraId="20AE39F2" w14:textId="77777777" w:rsidR="00B626E7" w:rsidRDefault="00B626E7">
            <w:pPr>
              <w:rPr>
                <w:rFonts w:ascii="宋体"/>
              </w:rPr>
            </w:pPr>
          </w:p>
        </w:tc>
        <w:tc>
          <w:tcPr>
            <w:tcW w:w="0" w:type="auto"/>
            <w:shd w:val="clear" w:color="auto" w:fill="auto"/>
          </w:tcPr>
          <w:p w14:paraId="20AE39F3" w14:textId="77777777" w:rsidR="00B626E7" w:rsidRDefault="00B626E7">
            <w:pPr>
              <w:rPr>
                <w:rFonts w:ascii="宋体"/>
              </w:rPr>
            </w:pPr>
          </w:p>
        </w:tc>
        <w:tc>
          <w:tcPr>
            <w:tcW w:w="0" w:type="auto"/>
            <w:shd w:val="clear" w:color="auto" w:fill="auto"/>
          </w:tcPr>
          <w:p w14:paraId="20AE39F4" w14:textId="77777777" w:rsidR="00B626E7" w:rsidRDefault="00B626E7">
            <w:pPr>
              <w:rPr>
                <w:rFonts w:ascii="宋体"/>
              </w:rPr>
            </w:pPr>
          </w:p>
        </w:tc>
      </w:tr>
      <w:tr w:rsidR="00B626E7" w14:paraId="20AE3A15" w14:textId="77777777">
        <w:tc>
          <w:tcPr>
            <w:tcW w:w="0" w:type="auto"/>
            <w:gridSpan w:val="3"/>
            <w:shd w:val="clear" w:color="auto" w:fill="auto"/>
            <w:tcMar>
              <w:top w:w="40" w:type="dxa"/>
              <w:left w:w="20" w:type="dxa"/>
              <w:bottom w:w="40" w:type="dxa"/>
              <w:right w:w="20" w:type="dxa"/>
            </w:tcMar>
          </w:tcPr>
          <w:p w14:paraId="20AE39F6" w14:textId="77777777" w:rsidR="00B626E7" w:rsidRDefault="00175C1D">
            <w:pPr>
              <w:jc w:val="center"/>
              <w:textAlignment w:val="top"/>
            </w:pPr>
            <w:r>
              <w:rPr>
                <w:rFonts w:ascii="Arial" w:eastAsia="宋体" w:hAnsi="Arial" w:cs="Arial"/>
                <w:color w:val="333333"/>
                <w:sz w:val="18"/>
                <w:szCs w:val="18"/>
              </w:rPr>
              <w:t>101.DEF</w:t>
            </w:r>
          </w:p>
        </w:tc>
        <w:tc>
          <w:tcPr>
            <w:tcW w:w="0" w:type="auto"/>
            <w:gridSpan w:val="3"/>
            <w:shd w:val="clear" w:color="auto" w:fill="auto"/>
            <w:tcMar>
              <w:left w:w="20" w:type="dxa"/>
              <w:right w:w="20" w:type="dxa"/>
            </w:tcMar>
            <w:vAlign w:val="bottom"/>
          </w:tcPr>
          <w:p w14:paraId="20AE39F7"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39F8" w14:textId="77777777" w:rsidR="00B626E7" w:rsidRDefault="00175C1D">
            <w:pPr>
              <w:textAlignment w:val="top"/>
            </w:pPr>
            <w:r>
              <w:rPr>
                <w:rFonts w:ascii="Arial" w:eastAsia="宋体" w:hAnsi="Arial" w:cs="Arial"/>
                <w:color w:val="333333"/>
                <w:sz w:val="18"/>
                <w:szCs w:val="18"/>
              </w:rPr>
              <w:t>XBRL Taxonomy Extension Definition Linkbase Document</w:t>
            </w:r>
          </w:p>
        </w:tc>
        <w:tc>
          <w:tcPr>
            <w:tcW w:w="0" w:type="auto"/>
            <w:gridSpan w:val="3"/>
            <w:shd w:val="clear" w:color="auto" w:fill="auto"/>
            <w:tcMar>
              <w:left w:w="20" w:type="dxa"/>
              <w:right w:w="20" w:type="dxa"/>
            </w:tcMar>
            <w:vAlign w:val="bottom"/>
          </w:tcPr>
          <w:p w14:paraId="20AE39F9"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9FA"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9FB"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9FC"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9FD"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9FE"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9FF"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A00"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A01"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3A02" w14:textId="77777777" w:rsidR="00B626E7" w:rsidRDefault="00175C1D">
            <w:pPr>
              <w:jc w:val="center"/>
              <w:textAlignment w:val="top"/>
            </w:pPr>
            <w:r>
              <w:rPr>
                <w:rFonts w:ascii="Arial" w:eastAsia="宋体" w:hAnsi="Arial" w:cs="Arial"/>
                <w:color w:val="333333"/>
                <w:sz w:val="18"/>
                <w:szCs w:val="18"/>
              </w:rPr>
              <w:t>X</w:t>
            </w:r>
          </w:p>
        </w:tc>
        <w:tc>
          <w:tcPr>
            <w:tcW w:w="0" w:type="auto"/>
            <w:shd w:val="clear" w:color="auto" w:fill="auto"/>
          </w:tcPr>
          <w:p w14:paraId="20AE3A03" w14:textId="77777777" w:rsidR="00B626E7" w:rsidRDefault="00B626E7">
            <w:pPr>
              <w:rPr>
                <w:rFonts w:ascii="宋体"/>
              </w:rPr>
            </w:pPr>
          </w:p>
        </w:tc>
        <w:tc>
          <w:tcPr>
            <w:tcW w:w="0" w:type="auto"/>
            <w:shd w:val="clear" w:color="auto" w:fill="auto"/>
          </w:tcPr>
          <w:p w14:paraId="20AE3A04" w14:textId="77777777" w:rsidR="00B626E7" w:rsidRDefault="00B626E7">
            <w:pPr>
              <w:rPr>
                <w:rFonts w:ascii="宋体"/>
              </w:rPr>
            </w:pPr>
          </w:p>
        </w:tc>
        <w:tc>
          <w:tcPr>
            <w:tcW w:w="0" w:type="auto"/>
            <w:shd w:val="clear" w:color="auto" w:fill="auto"/>
          </w:tcPr>
          <w:p w14:paraId="20AE3A05" w14:textId="77777777" w:rsidR="00B626E7" w:rsidRDefault="00B626E7">
            <w:pPr>
              <w:rPr>
                <w:rFonts w:ascii="宋体"/>
              </w:rPr>
            </w:pPr>
          </w:p>
        </w:tc>
        <w:tc>
          <w:tcPr>
            <w:tcW w:w="0" w:type="auto"/>
            <w:shd w:val="clear" w:color="auto" w:fill="auto"/>
          </w:tcPr>
          <w:p w14:paraId="20AE3A06" w14:textId="77777777" w:rsidR="00B626E7" w:rsidRDefault="00B626E7">
            <w:pPr>
              <w:rPr>
                <w:rFonts w:ascii="宋体"/>
              </w:rPr>
            </w:pPr>
          </w:p>
        </w:tc>
        <w:tc>
          <w:tcPr>
            <w:tcW w:w="0" w:type="auto"/>
            <w:shd w:val="clear" w:color="auto" w:fill="auto"/>
          </w:tcPr>
          <w:p w14:paraId="20AE3A07" w14:textId="77777777" w:rsidR="00B626E7" w:rsidRDefault="00B626E7">
            <w:pPr>
              <w:rPr>
                <w:rFonts w:ascii="宋体"/>
              </w:rPr>
            </w:pPr>
          </w:p>
        </w:tc>
        <w:tc>
          <w:tcPr>
            <w:tcW w:w="0" w:type="auto"/>
            <w:shd w:val="clear" w:color="auto" w:fill="auto"/>
          </w:tcPr>
          <w:p w14:paraId="20AE3A08" w14:textId="77777777" w:rsidR="00B626E7" w:rsidRDefault="00B626E7">
            <w:pPr>
              <w:rPr>
                <w:rFonts w:ascii="宋体"/>
              </w:rPr>
            </w:pPr>
          </w:p>
        </w:tc>
        <w:tc>
          <w:tcPr>
            <w:tcW w:w="0" w:type="auto"/>
            <w:shd w:val="clear" w:color="auto" w:fill="auto"/>
          </w:tcPr>
          <w:p w14:paraId="20AE3A09" w14:textId="77777777" w:rsidR="00B626E7" w:rsidRDefault="00B626E7">
            <w:pPr>
              <w:rPr>
                <w:rFonts w:ascii="宋体"/>
              </w:rPr>
            </w:pPr>
          </w:p>
        </w:tc>
        <w:tc>
          <w:tcPr>
            <w:tcW w:w="0" w:type="auto"/>
            <w:shd w:val="clear" w:color="auto" w:fill="auto"/>
          </w:tcPr>
          <w:p w14:paraId="20AE3A0A" w14:textId="77777777" w:rsidR="00B626E7" w:rsidRDefault="00B626E7">
            <w:pPr>
              <w:rPr>
                <w:rFonts w:ascii="宋体"/>
              </w:rPr>
            </w:pPr>
          </w:p>
        </w:tc>
        <w:tc>
          <w:tcPr>
            <w:tcW w:w="0" w:type="auto"/>
            <w:shd w:val="clear" w:color="auto" w:fill="auto"/>
          </w:tcPr>
          <w:p w14:paraId="20AE3A0B" w14:textId="77777777" w:rsidR="00B626E7" w:rsidRDefault="00B626E7">
            <w:pPr>
              <w:rPr>
                <w:rFonts w:ascii="宋体"/>
              </w:rPr>
            </w:pPr>
          </w:p>
        </w:tc>
        <w:tc>
          <w:tcPr>
            <w:tcW w:w="0" w:type="auto"/>
            <w:shd w:val="clear" w:color="auto" w:fill="auto"/>
          </w:tcPr>
          <w:p w14:paraId="20AE3A0C" w14:textId="77777777" w:rsidR="00B626E7" w:rsidRDefault="00B626E7">
            <w:pPr>
              <w:rPr>
                <w:rFonts w:ascii="宋体"/>
              </w:rPr>
            </w:pPr>
          </w:p>
        </w:tc>
        <w:tc>
          <w:tcPr>
            <w:tcW w:w="0" w:type="auto"/>
            <w:shd w:val="clear" w:color="auto" w:fill="auto"/>
          </w:tcPr>
          <w:p w14:paraId="20AE3A0D" w14:textId="77777777" w:rsidR="00B626E7" w:rsidRDefault="00B626E7">
            <w:pPr>
              <w:rPr>
                <w:rFonts w:ascii="宋体"/>
              </w:rPr>
            </w:pPr>
          </w:p>
        </w:tc>
        <w:tc>
          <w:tcPr>
            <w:tcW w:w="0" w:type="auto"/>
            <w:shd w:val="clear" w:color="auto" w:fill="auto"/>
          </w:tcPr>
          <w:p w14:paraId="20AE3A0E" w14:textId="77777777" w:rsidR="00B626E7" w:rsidRDefault="00B626E7">
            <w:pPr>
              <w:rPr>
                <w:rFonts w:ascii="宋体"/>
              </w:rPr>
            </w:pPr>
          </w:p>
        </w:tc>
        <w:tc>
          <w:tcPr>
            <w:tcW w:w="0" w:type="auto"/>
            <w:shd w:val="clear" w:color="auto" w:fill="auto"/>
          </w:tcPr>
          <w:p w14:paraId="20AE3A0F" w14:textId="77777777" w:rsidR="00B626E7" w:rsidRDefault="00B626E7">
            <w:pPr>
              <w:rPr>
                <w:rFonts w:ascii="宋体"/>
              </w:rPr>
            </w:pPr>
          </w:p>
        </w:tc>
        <w:tc>
          <w:tcPr>
            <w:tcW w:w="0" w:type="auto"/>
            <w:shd w:val="clear" w:color="auto" w:fill="auto"/>
          </w:tcPr>
          <w:p w14:paraId="20AE3A10" w14:textId="77777777" w:rsidR="00B626E7" w:rsidRDefault="00B626E7">
            <w:pPr>
              <w:rPr>
                <w:rFonts w:ascii="宋体"/>
              </w:rPr>
            </w:pPr>
          </w:p>
        </w:tc>
        <w:tc>
          <w:tcPr>
            <w:tcW w:w="0" w:type="auto"/>
            <w:shd w:val="clear" w:color="auto" w:fill="auto"/>
          </w:tcPr>
          <w:p w14:paraId="20AE3A11" w14:textId="77777777" w:rsidR="00B626E7" w:rsidRDefault="00B626E7">
            <w:pPr>
              <w:rPr>
                <w:rFonts w:ascii="宋体"/>
              </w:rPr>
            </w:pPr>
          </w:p>
        </w:tc>
        <w:tc>
          <w:tcPr>
            <w:tcW w:w="0" w:type="auto"/>
            <w:shd w:val="clear" w:color="auto" w:fill="auto"/>
          </w:tcPr>
          <w:p w14:paraId="20AE3A12" w14:textId="77777777" w:rsidR="00B626E7" w:rsidRDefault="00B626E7">
            <w:pPr>
              <w:rPr>
                <w:rFonts w:ascii="宋体"/>
              </w:rPr>
            </w:pPr>
          </w:p>
        </w:tc>
        <w:tc>
          <w:tcPr>
            <w:tcW w:w="0" w:type="auto"/>
            <w:shd w:val="clear" w:color="auto" w:fill="auto"/>
          </w:tcPr>
          <w:p w14:paraId="20AE3A13" w14:textId="77777777" w:rsidR="00B626E7" w:rsidRDefault="00B626E7">
            <w:pPr>
              <w:rPr>
                <w:rFonts w:ascii="宋体"/>
              </w:rPr>
            </w:pPr>
          </w:p>
        </w:tc>
        <w:tc>
          <w:tcPr>
            <w:tcW w:w="0" w:type="auto"/>
            <w:shd w:val="clear" w:color="auto" w:fill="auto"/>
          </w:tcPr>
          <w:p w14:paraId="20AE3A14" w14:textId="77777777" w:rsidR="00B626E7" w:rsidRDefault="00B626E7">
            <w:pPr>
              <w:rPr>
                <w:rFonts w:ascii="宋体"/>
              </w:rPr>
            </w:pPr>
          </w:p>
        </w:tc>
      </w:tr>
      <w:tr w:rsidR="00B626E7" w14:paraId="20AE3A35" w14:textId="77777777">
        <w:tc>
          <w:tcPr>
            <w:tcW w:w="0" w:type="auto"/>
            <w:gridSpan w:val="3"/>
            <w:shd w:val="clear" w:color="auto" w:fill="auto"/>
            <w:tcMar>
              <w:top w:w="40" w:type="dxa"/>
              <w:left w:w="20" w:type="dxa"/>
              <w:bottom w:w="40" w:type="dxa"/>
              <w:right w:w="20" w:type="dxa"/>
            </w:tcMar>
          </w:tcPr>
          <w:p w14:paraId="20AE3A16" w14:textId="77777777" w:rsidR="00B626E7" w:rsidRDefault="00175C1D">
            <w:pPr>
              <w:jc w:val="center"/>
              <w:textAlignment w:val="top"/>
            </w:pPr>
            <w:r>
              <w:rPr>
                <w:rFonts w:ascii="Arial" w:eastAsia="宋体" w:hAnsi="Arial" w:cs="Arial"/>
                <w:color w:val="333333"/>
                <w:sz w:val="18"/>
                <w:szCs w:val="18"/>
              </w:rPr>
              <w:t>101.LAB</w:t>
            </w:r>
          </w:p>
        </w:tc>
        <w:tc>
          <w:tcPr>
            <w:tcW w:w="0" w:type="auto"/>
            <w:gridSpan w:val="3"/>
            <w:shd w:val="clear" w:color="auto" w:fill="auto"/>
            <w:tcMar>
              <w:left w:w="20" w:type="dxa"/>
              <w:right w:w="20" w:type="dxa"/>
            </w:tcMar>
            <w:vAlign w:val="bottom"/>
          </w:tcPr>
          <w:p w14:paraId="20AE3A17"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3A18" w14:textId="77777777" w:rsidR="00B626E7" w:rsidRDefault="00175C1D">
            <w:pPr>
              <w:textAlignment w:val="top"/>
            </w:pPr>
            <w:r>
              <w:rPr>
                <w:rFonts w:ascii="Arial" w:eastAsia="宋体" w:hAnsi="Arial" w:cs="Arial"/>
                <w:color w:val="333333"/>
                <w:sz w:val="18"/>
                <w:szCs w:val="18"/>
              </w:rPr>
              <w:t>XBRL Taxonomy Extension Label Linkbase Document</w:t>
            </w:r>
          </w:p>
        </w:tc>
        <w:tc>
          <w:tcPr>
            <w:tcW w:w="0" w:type="auto"/>
            <w:gridSpan w:val="3"/>
            <w:shd w:val="clear" w:color="auto" w:fill="auto"/>
            <w:tcMar>
              <w:left w:w="20" w:type="dxa"/>
              <w:right w:w="20" w:type="dxa"/>
            </w:tcMar>
            <w:vAlign w:val="bottom"/>
          </w:tcPr>
          <w:p w14:paraId="20AE3A19"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A1A"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A1B"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A1C"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A1D"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A1E"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A1F"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A20"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A21"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3A22" w14:textId="77777777" w:rsidR="00B626E7" w:rsidRDefault="00175C1D">
            <w:pPr>
              <w:jc w:val="center"/>
              <w:textAlignment w:val="top"/>
            </w:pPr>
            <w:r>
              <w:rPr>
                <w:rFonts w:ascii="Arial" w:eastAsia="宋体" w:hAnsi="Arial" w:cs="Arial"/>
                <w:color w:val="333333"/>
                <w:sz w:val="18"/>
                <w:szCs w:val="18"/>
              </w:rPr>
              <w:t>X</w:t>
            </w:r>
          </w:p>
        </w:tc>
        <w:tc>
          <w:tcPr>
            <w:tcW w:w="0" w:type="auto"/>
            <w:shd w:val="clear" w:color="auto" w:fill="auto"/>
          </w:tcPr>
          <w:p w14:paraId="20AE3A23" w14:textId="77777777" w:rsidR="00B626E7" w:rsidRDefault="00B626E7">
            <w:pPr>
              <w:rPr>
                <w:rFonts w:ascii="宋体"/>
              </w:rPr>
            </w:pPr>
          </w:p>
        </w:tc>
        <w:tc>
          <w:tcPr>
            <w:tcW w:w="0" w:type="auto"/>
            <w:shd w:val="clear" w:color="auto" w:fill="auto"/>
          </w:tcPr>
          <w:p w14:paraId="20AE3A24" w14:textId="77777777" w:rsidR="00B626E7" w:rsidRDefault="00B626E7">
            <w:pPr>
              <w:rPr>
                <w:rFonts w:ascii="宋体"/>
              </w:rPr>
            </w:pPr>
          </w:p>
        </w:tc>
        <w:tc>
          <w:tcPr>
            <w:tcW w:w="0" w:type="auto"/>
            <w:shd w:val="clear" w:color="auto" w:fill="auto"/>
          </w:tcPr>
          <w:p w14:paraId="20AE3A25" w14:textId="77777777" w:rsidR="00B626E7" w:rsidRDefault="00B626E7">
            <w:pPr>
              <w:rPr>
                <w:rFonts w:ascii="宋体"/>
              </w:rPr>
            </w:pPr>
          </w:p>
        </w:tc>
        <w:tc>
          <w:tcPr>
            <w:tcW w:w="0" w:type="auto"/>
            <w:shd w:val="clear" w:color="auto" w:fill="auto"/>
          </w:tcPr>
          <w:p w14:paraId="20AE3A26" w14:textId="77777777" w:rsidR="00B626E7" w:rsidRDefault="00B626E7">
            <w:pPr>
              <w:rPr>
                <w:rFonts w:ascii="宋体"/>
              </w:rPr>
            </w:pPr>
          </w:p>
        </w:tc>
        <w:tc>
          <w:tcPr>
            <w:tcW w:w="0" w:type="auto"/>
            <w:shd w:val="clear" w:color="auto" w:fill="auto"/>
          </w:tcPr>
          <w:p w14:paraId="20AE3A27" w14:textId="77777777" w:rsidR="00B626E7" w:rsidRDefault="00B626E7">
            <w:pPr>
              <w:rPr>
                <w:rFonts w:ascii="宋体"/>
              </w:rPr>
            </w:pPr>
          </w:p>
        </w:tc>
        <w:tc>
          <w:tcPr>
            <w:tcW w:w="0" w:type="auto"/>
            <w:shd w:val="clear" w:color="auto" w:fill="auto"/>
          </w:tcPr>
          <w:p w14:paraId="20AE3A28" w14:textId="77777777" w:rsidR="00B626E7" w:rsidRDefault="00B626E7">
            <w:pPr>
              <w:rPr>
                <w:rFonts w:ascii="宋体"/>
              </w:rPr>
            </w:pPr>
          </w:p>
        </w:tc>
        <w:tc>
          <w:tcPr>
            <w:tcW w:w="0" w:type="auto"/>
            <w:shd w:val="clear" w:color="auto" w:fill="auto"/>
          </w:tcPr>
          <w:p w14:paraId="20AE3A29" w14:textId="77777777" w:rsidR="00B626E7" w:rsidRDefault="00B626E7">
            <w:pPr>
              <w:rPr>
                <w:rFonts w:ascii="宋体"/>
              </w:rPr>
            </w:pPr>
          </w:p>
        </w:tc>
        <w:tc>
          <w:tcPr>
            <w:tcW w:w="0" w:type="auto"/>
            <w:shd w:val="clear" w:color="auto" w:fill="auto"/>
          </w:tcPr>
          <w:p w14:paraId="20AE3A2A" w14:textId="77777777" w:rsidR="00B626E7" w:rsidRDefault="00B626E7">
            <w:pPr>
              <w:rPr>
                <w:rFonts w:ascii="宋体"/>
              </w:rPr>
            </w:pPr>
          </w:p>
        </w:tc>
        <w:tc>
          <w:tcPr>
            <w:tcW w:w="0" w:type="auto"/>
            <w:shd w:val="clear" w:color="auto" w:fill="auto"/>
          </w:tcPr>
          <w:p w14:paraId="20AE3A2B" w14:textId="77777777" w:rsidR="00B626E7" w:rsidRDefault="00B626E7">
            <w:pPr>
              <w:rPr>
                <w:rFonts w:ascii="宋体"/>
              </w:rPr>
            </w:pPr>
          </w:p>
        </w:tc>
        <w:tc>
          <w:tcPr>
            <w:tcW w:w="0" w:type="auto"/>
            <w:shd w:val="clear" w:color="auto" w:fill="auto"/>
          </w:tcPr>
          <w:p w14:paraId="20AE3A2C" w14:textId="77777777" w:rsidR="00B626E7" w:rsidRDefault="00B626E7">
            <w:pPr>
              <w:rPr>
                <w:rFonts w:ascii="宋体"/>
              </w:rPr>
            </w:pPr>
          </w:p>
        </w:tc>
        <w:tc>
          <w:tcPr>
            <w:tcW w:w="0" w:type="auto"/>
            <w:shd w:val="clear" w:color="auto" w:fill="auto"/>
          </w:tcPr>
          <w:p w14:paraId="20AE3A2D" w14:textId="77777777" w:rsidR="00B626E7" w:rsidRDefault="00B626E7">
            <w:pPr>
              <w:rPr>
                <w:rFonts w:ascii="宋体"/>
              </w:rPr>
            </w:pPr>
          </w:p>
        </w:tc>
        <w:tc>
          <w:tcPr>
            <w:tcW w:w="0" w:type="auto"/>
            <w:shd w:val="clear" w:color="auto" w:fill="auto"/>
          </w:tcPr>
          <w:p w14:paraId="20AE3A2E" w14:textId="77777777" w:rsidR="00B626E7" w:rsidRDefault="00B626E7">
            <w:pPr>
              <w:rPr>
                <w:rFonts w:ascii="宋体"/>
              </w:rPr>
            </w:pPr>
          </w:p>
        </w:tc>
        <w:tc>
          <w:tcPr>
            <w:tcW w:w="0" w:type="auto"/>
            <w:shd w:val="clear" w:color="auto" w:fill="auto"/>
          </w:tcPr>
          <w:p w14:paraId="20AE3A2F" w14:textId="77777777" w:rsidR="00B626E7" w:rsidRDefault="00B626E7">
            <w:pPr>
              <w:rPr>
                <w:rFonts w:ascii="宋体"/>
              </w:rPr>
            </w:pPr>
          </w:p>
        </w:tc>
        <w:tc>
          <w:tcPr>
            <w:tcW w:w="0" w:type="auto"/>
            <w:shd w:val="clear" w:color="auto" w:fill="auto"/>
          </w:tcPr>
          <w:p w14:paraId="20AE3A30" w14:textId="77777777" w:rsidR="00B626E7" w:rsidRDefault="00B626E7">
            <w:pPr>
              <w:rPr>
                <w:rFonts w:ascii="宋体"/>
              </w:rPr>
            </w:pPr>
          </w:p>
        </w:tc>
        <w:tc>
          <w:tcPr>
            <w:tcW w:w="0" w:type="auto"/>
            <w:shd w:val="clear" w:color="auto" w:fill="auto"/>
          </w:tcPr>
          <w:p w14:paraId="20AE3A31" w14:textId="77777777" w:rsidR="00B626E7" w:rsidRDefault="00B626E7">
            <w:pPr>
              <w:rPr>
                <w:rFonts w:ascii="宋体"/>
              </w:rPr>
            </w:pPr>
          </w:p>
        </w:tc>
        <w:tc>
          <w:tcPr>
            <w:tcW w:w="0" w:type="auto"/>
            <w:shd w:val="clear" w:color="auto" w:fill="auto"/>
          </w:tcPr>
          <w:p w14:paraId="20AE3A32" w14:textId="77777777" w:rsidR="00B626E7" w:rsidRDefault="00B626E7">
            <w:pPr>
              <w:rPr>
                <w:rFonts w:ascii="宋体"/>
              </w:rPr>
            </w:pPr>
          </w:p>
        </w:tc>
        <w:tc>
          <w:tcPr>
            <w:tcW w:w="0" w:type="auto"/>
            <w:shd w:val="clear" w:color="auto" w:fill="auto"/>
          </w:tcPr>
          <w:p w14:paraId="20AE3A33" w14:textId="77777777" w:rsidR="00B626E7" w:rsidRDefault="00B626E7">
            <w:pPr>
              <w:rPr>
                <w:rFonts w:ascii="宋体"/>
              </w:rPr>
            </w:pPr>
          </w:p>
        </w:tc>
        <w:tc>
          <w:tcPr>
            <w:tcW w:w="0" w:type="auto"/>
            <w:shd w:val="clear" w:color="auto" w:fill="auto"/>
          </w:tcPr>
          <w:p w14:paraId="20AE3A34" w14:textId="77777777" w:rsidR="00B626E7" w:rsidRDefault="00B626E7">
            <w:pPr>
              <w:rPr>
                <w:rFonts w:ascii="宋体"/>
              </w:rPr>
            </w:pPr>
          </w:p>
        </w:tc>
      </w:tr>
      <w:tr w:rsidR="00B626E7" w14:paraId="20AE3A55" w14:textId="77777777">
        <w:tc>
          <w:tcPr>
            <w:tcW w:w="0" w:type="auto"/>
            <w:gridSpan w:val="3"/>
            <w:shd w:val="clear" w:color="auto" w:fill="auto"/>
            <w:tcMar>
              <w:top w:w="40" w:type="dxa"/>
              <w:left w:w="20" w:type="dxa"/>
              <w:bottom w:w="40" w:type="dxa"/>
              <w:right w:w="20" w:type="dxa"/>
            </w:tcMar>
          </w:tcPr>
          <w:p w14:paraId="20AE3A36" w14:textId="77777777" w:rsidR="00B626E7" w:rsidRDefault="00175C1D">
            <w:pPr>
              <w:jc w:val="center"/>
              <w:textAlignment w:val="top"/>
            </w:pPr>
            <w:r>
              <w:rPr>
                <w:rFonts w:ascii="Arial" w:eastAsia="宋体" w:hAnsi="Arial" w:cs="Arial"/>
                <w:color w:val="333333"/>
                <w:sz w:val="18"/>
                <w:szCs w:val="18"/>
              </w:rPr>
              <w:t>101.PRE</w:t>
            </w:r>
          </w:p>
        </w:tc>
        <w:tc>
          <w:tcPr>
            <w:tcW w:w="0" w:type="auto"/>
            <w:gridSpan w:val="3"/>
            <w:shd w:val="clear" w:color="auto" w:fill="auto"/>
            <w:tcMar>
              <w:left w:w="20" w:type="dxa"/>
              <w:right w:w="20" w:type="dxa"/>
            </w:tcMar>
            <w:vAlign w:val="bottom"/>
          </w:tcPr>
          <w:p w14:paraId="20AE3A37"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3A38" w14:textId="77777777" w:rsidR="00B626E7" w:rsidRDefault="00175C1D">
            <w:pPr>
              <w:textAlignment w:val="top"/>
            </w:pPr>
            <w:r>
              <w:rPr>
                <w:rFonts w:ascii="Arial" w:eastAsia="宋体" w:hAnsi="Arial" w:cs="Arial"/>
                <w:color w:val="333333"/>
                <w:sz w:val="18"/>
                <w:szCs w:val="18"/>
              </w:rPr>
              <w:t>XBRL Taxonomy Extension Presentation Linkbase Document</w:t>
            </w:r>
          </w:p>
        </w:tc>
        <w:tc>
          <w:tcPr>
            <w:tcW w:w="0" w:type="auto"/>
            <w:gridSpan w:val="3"/>
            <w:shd w:val="clear" w:color="auto" w:fill="auto"/>
            <w:tcMar>
              <w:left w:w="20" w:type="dxa"/>
              <w:right w:w="20" w:type="dxa"/>
            </w:tcMar>
            <w:vAlign w:val="bottom"/>
          </w:tcPr>
          <w:p w14:paraId="20AE3A39"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A3A"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A3B"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A3C"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A3D"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A3E"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A3F"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A40"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A41"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3A42" w14:textId="77777777" w:rsidR="00B626E7" w:rsidRDefault="00175C1D">
            <w:pPr>
              <w:jc w:val="center"/>
              <w:textAlignment w:val="top"/>
            </w:pPr>
            <w:r>
              <w:rPr>
                <w:rFonts w:ascii="Arial" w:eastAsia="宋体" w:hAnsi="Arial" w:cs="Arial"/>
                <w:color w:val="333333"/>
                <w:sz w:val="18"/>
                <w:szCs w:val="18"/>
              </w:rPr>
              <w:t>X</w:t>
            </w:r>
          </w:p>
        </w:tc>
        <w:tc>
          <w:tcPr>
            <w:tcW w:w="0" w:type="auto"/>
            <w:shd w:val="clear" w:color="auto" w:fill="auto"/>
          </w:tcPr>
          <w:p w14:paraId="20AE3A43" w14:textId="77777777" w:rsidR="00B626E7" w:rsidRDefault="00B626E7">
            <w:pPr>
              <w:rPr>
                <w:rFonts w:ascii="宋体"/>
              </w:rPr>
            </w:pPr>
          </w:p>
        </w:tc>
        <w:tc>
          <w:tcPr>
            <w:tcW w:w="0" w:type="auto"/>
            <w:shd w:val="clear" w:color="auto" w:fill="auto"/>
          </w:tcPr>
          <w:p w14:paraId="20AE3A44" w14:textId="77777777" w:rsidR="00B626E7" w:rsidRDefault="00B626E7">
            <w:pPr>
              <w:rPr>
                <w:rFonts w:ascii="宋体"/>
              </w:rPr>
            </w:pPr>
          </w:p>
        </w:tc>
        <w:tc>
          <w:tcPr>
            <w:tcW w:w="0" w:type="auto"/>
            <w:shd w:val="clear" w:color="auto" w:fill="auto"/>
          </w:tcPr>
          <w:p w14:paraId="20AE3A45" w14:textId="77777777" w:rsidR="00B626E7" w:rsidRDefault="00B626E7">
            <w:pPr>
              <w:rPr>
                <w:rFonts w:ascii="宋体"/>
              </w:rPr>
            </w:pPr>
          </w:p>
        </w:tc>
        <w:tc>
          <w:tcPr>
            <w:tcW w:w="0" w:type="auto"/>
            <w:shd w:val="clear" w:color="auto" w:fill="auto"/>
          </w:tcPr>
          <w:p w14:paraId="20AE3A46" w14:textId="77777777" w:rsidR="00B626E7" w:rsidRDefault="00B626E7">
            <w:pPr>
              <w:rPr>
                <w:rFonts w:ascii="宋体"/>
              </w:rPr>
            </w:pPr>
          </w:p>
        </w:tc>
        <w:tc>
          <w:tcPr>
            <w:tcW w:w="0" w:type="auto"/>
            <w:shd w:val="clear" w:color="auto" w:fill="auto"/>
          </w:tcPr>
          <w:p w14:paraId="20AE3A47" w14:textId="77777777" w:rsidR="00B626E7" w:rsidRDefault="00B626E7">
            <w:pPr>
              <w:rPr>
                <w:rFonts w:ascii="宋体"/>
              </w:rPr>
            </w:pPr>
          </w:p>
        </w:tc>
        <w:tc>
          <w:tcPr>
            <w:tcW w:w="0" w:type="auto"/>
            <w:shd w:val="clear" w:color="auto" w:fill="auto"/>
          </w:tcPr>
          <w:p w14:paraId="20AE3A48" w14:textId="77777777" w:rsidR="00B626E7" w:rsidRDefault="00B626E7">
            <w:pPr>
              <w:rPr>
                <w:rFonts w:ascii="宋体"/>
              </w:rPr>
            </w:pPr>
          </w:p>
        </w:tc>
        <w:tc>
          <w:tcPr>
            <w:tcW w:w="0" w:type="auto"/>
            <w:shd w:val="clear" w:color="auto" w:fill="auto"/>
          </w:tcPr>
          <w:p w14:paraId="20AE3A49" w14:textId="77777777" w:rsidR="00B626E7" w:rsidRDefault="00B626E7">
            <w:pPr>
              <w:rPr>
                <w:rFonts w:ascii="宋体"/>
              </w:rPr>
            </w:pPr>
          </w:p>
        </w:tc>
        <w:tc>
          <w:tcPr>
            <w:tcW w:w="0" w:type="auto"/>
            <w:shd w:val="clear" w:color="auto" w:fill="auto"/>
          </w:tcPr>
          <w:p w14:paraId="20AE3A4A" w14:textId="77777777" w:rsidR="00B626E7" w:rsidRDefault="00B626E7">
            <w:pPr>
              <w:rPr>
                <w:rFonts w:ascii="宋体"/>
              </w:rPr>
            </w:pPr>
          </w:p>
        </w:tc>
        <w:tc>
          <w:tcPr>
            <w:tcW w:w="0" w:type="auto"/>
            <w:shd w:val="clear" w:color="auto" w:fill="auto"/>
          </w:tcPr>
          <w:p w14:paraId="20AE3A4B" w14:textId="77777777" w:rsidR="00B626E7" w:rsidRDefault="00B626E7">
            <w:pPr>
              <w:rPr>
                <w:rFonts w:ascii="宋体"/>
              </w:rPr>
            </w:pPr>
          </w:p>
        </w:tc>
        <w:tc>
          <w:tcPr>
            <w:tcW w:w="0" w:type="auto"/>
            <w:shd w:val="clear" w:color="auto" w:fill="auto"/>
          </w:tcPr>
          <w:p w14:paraId="20AE3A4C" w14:textId="77777777" w:rsidR="00B626E7" w:rsidRDefault="00B626E7">
            <w:pPr>
              <w:rPr>
                <w:rFonts w:ascii="宋体"/>
              </w:rPr>
            </w:pPr>
          </w:p>
        </w:tc>
        <w:tc>
          <w:tcPr>
            <w:tcW w:w="0" w:type="auto"/>
            <w:shd w:val="clear" w:color="auto" w:fill="auto"/>
          </w:tcPr>
          <w:p w14:paraId="20AE3A4D" w14:textId="77777777" w:rsidR="00B626E7" w:rsidRDefault="00B626E7">
            <w:pPr>
              <w:rPr>
                <w:rFonts w:ascii="宋体"/>
              </w:rPr>
            </w:pPr>
          </w:p>
        </w:tc>
        <w:tc>
          <w:tcPr>
            <w:tcW w:w="0" w:type="auto"/>
            <w:shd w:val="clear" w:color="auto" w:fill="auto"/>
          </w:tcPr>
          <w:p w14:paraId="20AE3A4E" w14:textId="77777777" w:rsidR="00B626E7" w:rsidRDefault="00B626E7">
            <w:pPr>
              <w:rPr>
                <w:rFonts w:ascii="宋体"/>
              </w:rPr>
            </w:pPr>
          </w:p>
        </w:tc>
        <w:tc>
          <w:tcPr>
            <w:tcW w:w="0" w:type="auto"/>
            <w:shd w:val="clear" w:color="auto" w:fill="auto"/>
          </w:tcPr>
          <w:p w14:paraId="20AE3A4F" w14:textId="77777777" w:rsidR="00B626E7" w:rsidRDefault="00B626E7">
            <w:pPr>
              <w:rPr>
                <w:rFonts w:ascii="宋体"/>
              </w:rPr>
            </w:pPr>
          </w:p>
        </w:tc>
        <w:tc>
          <w:tcPr>
            <w:tcW w:w="0" w:type="auto"/>
            <w:shd w:val="clear" w:color="auto" w:fill="auto"/>
          </w:tcPr>
          <w:p w14:paraId="20AE3A50" w14:textId="77777777" w:rsidR="00B626E7" w:rsidRDefault="00B626E7">
            <w:pPr>
              <w:rPr>
                <w:rFonts w:ascii="宋体"/>
              </w:rPr>
            </w:pPr>
          </w:p>
        </w:tc>
        <w:tc>
          <w:tcPr>
            <w:tcW w:w="0" w:type="auto"/>
            <w:shd w:val="clear" w:color="auto" w:fill="auto"/>
          </w:tcPr>
          <w:p w14:paraId="20AE3A51" w14:textId="77777777" w:rsidR="00B626E7" w:rsidRDefault="00B626E7">
            <w:pPr>
              <w:rPr>
                <w:rFonts w:ascii="宋体"/>
              </w:rPr>
            </w:pPr>
          </w:p>
        </w:tc>
        <w:tc>
          <w:tcPr>
            <w:tcW w:w="0" w:type="auto"/>
            <w:shd w:val="clear" w:color="auto" w:fill="auto"/>
          </w:tcPr>
          <w:p w14:paraId="20AE3A52" w14:textId="77777777" w:rsidR="00B626E7" w:rsidRDefault="00B626E7">
            <w:pPr>
              <w:rPr>
                <w:rFonts w:ascii="宋体"/>
              </w:rPr>
            </w:pPr>
          </w:p>
        </w:tc>
        <w:tc>
          <w:tcPr>
            <w:tcW w:w="0" w:type="auto"/>
            <w:shd w:val="clear" w:color="auto" w:fill="auto"/>
          </w:tcPr>
          <w:p w14:paraId="20AE3A53" w14:textId="77777777" w:rsidR="00B626E7" w:rsidRDefault="00B626E7">
            <w:pPr>
              <w:rPr>
                <w:rFonts w:ascii="宋体"/>
              </w:rPr>
            </w:pPr>
          </w:p>
        </w:tc>
        <w:tc>
          <w:tcPr>
            <w:tcW w:w="0" w:type="auto"/>
            <w:shd w:val="clear" w:color="auto" w:fill="auto"/>
          </w:tcPr>
          <w:p w14:paraId="20AE3A54" w14:textId="77777777" w:rsidR="00B626E7" w:rsidRDefault="00B626E7">
            <w:pPr>
              <w:rPr>
                <w:rFonts w:ascii="宋体"/>
              </w:rPr>
            </w:pPr>
          </w:p>
        </w:tc>
      </w:tr>
      <w:tr w:rsidR="00B626E7" w14:paraId="20AE3A75" w14:textId="77777777">
        <w:tc>
          <w:tcPr>
            <w:tcW w:w="0" w:type="auto"/>
            <w:gridSpan w:val="3"/>
            <w:shd w:val="clear" w:color="auto" w:fill="auto"/>
            <w:tcMar>
              <w:top w:w="40" w:type="dxa"/>
              <w:left w:w="20" w:type="dxa"/>
              <w:bottom w:w="40" w:type="dxa"/>
              <w:right w:w="20" w:type="dxa"/>
            </w:tcMar>
          </w:tcPr>
          <w:p w14:paraId="20AE3A56" w14:textId="77777777" w:rsidR="00B626E7" w:rsidRDefault="00175C1D">
            <w:pPr>
              <w:jc w:val="center"/>
              <w:textAlignment w:val="top"/>
            </w:pPr>
            <w:r>
              <w:rPr>
                <w:rFonts w:ascii="Arial" w:eastAsia="宋体" w:hAnsi="Arial" w:cs="Arial"/>
                <w:color w:val="333333"/>
                <w:sz w:val="18"/>
                <w:szCs w:val="18"/>
              </w:rPr>
              <w:t>104</w:t>
            </w:r>
          </w:p>
        </w:tc>
        <w:tc>
          <w:tcPr>
            <w:tcW w:w="0" w:type="auto"/>
            <w:gridSpan w:val="3"/>
            <w:shd w:val="clear" w:color="auto" w:fill="auto"/>
            <w:tcMar>
              <w:left w:w="20" w:type="dxa"/>
              <w:right w:w="20" w:type="dxa"/>
            </w:tcMar>
            <w:vAlign w:val="bottom"/>
          </w:tcPr>
          <w:p w14:paraId="20AE3A57"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3A58" w14:textId="77777777" w:rsidR="00B626E7" w:rsidRDefault="00175C1D">
            <w:pPr>
              <w:textAlignment w:val="top"/>
            </w:pPr>
            <w:r>
              <w:rPr>
                <w:rFonts w:ascii="Arial" w:eastAsia="宋体" w:hAnsi="Arial" w:cs="Arial"/>
                <w:color w:val="333333"/>
                <w:sz w:val="18"/>
                <w:szCs w:val="18"/>
              </w:rPr>
              <w:t>Cover Page Interactive Data File - formatted in Inline XBRL and included as Exhibit 101</w:t>
            </w:r>
          </w:p>
        </w:tc>
        <w:tc>
          <w:tcPr>
            <w:tcW w:w="0" w:type="auto"/>
            <w:gridSpan w:val="3"/>
            <w:shd w:val="clear" w:color="auto" w:fill="auto"/>
            <w:tcMar>
              <w:left w:w="20" w:type="dxa"/>
              <w:right w:w="20" w:type="dxa"/>
            </w:tcMar>
            <w:vAlign w:val="bottom"/>
          </w:tcPr>
          <w:p w14:paraId="20AE3A59"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A5A"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A5B"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A5C"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A5D"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A5E"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A5F"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A60"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A61"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3A62" w14:textId="77777777" w:rsidR="00B626E7" w:rsidRDefault="00175C1D">
            <w:pPr>
              <w:jc w:val="center"/>
              <w:textAlignment w:val="top"/>
            </w:pPr>
            <w:r>
              <w:rPr>
                <w:rFonts w:ascii="Arial" w:eastAsia="宋体" w:hAnsi="Arial" w:cs="Arial"/>
                <w:color w:val="333333"/>
                <w:sz w:val="18"/>
                <w:szCs w:val="18"/>
              </w:rPr>
              <w:t>X</w:t>
            </w:r>
          </w:p>
        </w:tc>
        <w:tc>
          <w:tcPr>
            <w:tcW w:w="0" w:type="auto"/>
            <w:shd w:val="clear" w:color="auto" w:fill="auto"/>
          </w:tcPr>
          <w:p w14:paraId="20AE3A63" w14:textId="77777777" w:rsidR="00B626E7" w:rsidRDefault="00B626E7">
            <w:pPr>
              <w:rPr>
                <w:rFonts w:ascii="宋体"/>
              </w:rPr>
            </w:pPr>
          </w:p>
        </w:tc>
        <w:tc>
          <w:tcPr>
            <w:tcW w:w="0" w:type="auto"/>
            <w:shd w:val="clear" w:color="auto" w:fill="auto"/>
          </w:tcPr>
          <w:p w14:paraId="20AE3A64" w14:textId="77777777" w:rsidR="00B626E7" w:rsidRDefault="00B626E7">
            <w:pPr>
              <w:rPr>
                <w:rFonts w:ascii="宋体"/>
              </w:rPr>
            </w:pPr>
          </w:p>
        </w:tc>
        <w:tc>
          <w:tcPr>
            <w:tcW w:w="0" w:type="auto"/>
            <w:shd w:val="clear" w:color="auto" w:fill="auto"/>
          </w:tcPr>
          <w:p w14:paraId="20AE3A65" w14:textId="77777777" w:rsidR="00B626E7" w:rsidRDefault="00B626E7">
            <w:pPr>
              <w:rPr>
                <w:rFonts w:ascii="宋体"/>
              </w:rPr>
            </w:pPr>
          </w:p>
        </w:tc>
        <w:tc>
          <w:tcPr>
            <w:tcW w:w="0" w:type="auto"/>
            <w:shd w:val="clear" w:color="auto" w:fill="auto"/>
          </w:tcPr>
          <w:p w14:paraId="20AE3A66" w14:textId="77777777" w:rsidR="00B626E7" w:rsidRDefault="00B626E7">
            <w:pPr>
              <w:rPr>
                <w:rFonts w:ascii="宋体"/>
              </w:rPr>
            </w:pPr>
          </w:p>
        </w:tc>
        <w:tc>
          <w:tcPr>
            <w:tcW w:w="0" w:type="auto"/>
            <w:shd w:val="clear" w:color="auto" w:fill="auto"/>
          </w:tcPr>
          <w:p w14:paraId="20AE3A67" w14:textId="77777777" w:rsidR="00B626E7" w:rsidRDefault="00B626E7">
            <w:pPr>
              <w:rPr>
                <w:rFonts w:ascii="宋体"/>
              </w:rPr>
            </w:pPr>
          </w:p>
        </w:tc>
        <w:tc>
          <w:tcPr>
            <w:tcW w:w="0" w:type="auto"/>
            <w:shd w:val="clear" w:color="auto" w:fill="auto"/>
          </w:tcPr>
          <w:p w14:paraId="20AE3A68" w14:textId="77777777" w:rsidR="00B626E7" w:rsidRDefault="00B626E7">
            <w:pPr>
              <w:rPr>
                <w:rFonts w:ascii="宋体"/>
              </w:rPr>
            </w:pPr>
          </w:p>
        </w:tc>
        <w:tc>
          <w:tcPr>
            <w:tcW w:w="0" w:type="auto"/>
            <w:shd w:val="clear" w:color="auto" w:fill="auto"/>
          </w:tcPr>
          <w:p w14:paraId="20AE3A69" w14:textId="77777777" w:rsidR="00B626E7" w:rsidRDefault="00B626E7">
            <w:pPr>
              <w:rPr>
                <w:rFonts w:ascii="宋体"/>
              </w:rPr>
            </w:pPr>
          </w:p>
        </w:tc>
        <w:tc>
          <w:tcPr>
            <w:tcW w:w="0" w:type="auto"/>
            <w:shd w:val="clear" w:color="auto" w:fill="auto"/>
          </w:tcPr>
          <w:p w14:paraId="20AE3A6A" w14:textId="77777777" w:rsidR="00B626E7" w:rsidRDefault="00B626E7">
            <w:pPr>
              <w:rPr>
                <w:rFonts w:ascii="宋体"/>
              </w:rPr>
            </w:pPr>
          </w:p>
        </w:tc>
        <w:tc>
          <w:tcPr>
            <w:tcW w:w="0" w:type="auto"/>
            <w:shd w:val="clear" w:color="auto" w:fill="auto"/>
          </w:tcPr>
          <w:p w14:paraId="20AE3A6B" w14:textId="77777777" w:rsidR="00B626E7" w:rsidRDefault="00B626E7">
            <w:pPr>
              <w:rPr>
                <w:rFonts w:ascii="宋体"/>
              </w:rPr>
            </w:pPr>
          </w:p>
        </w:tc>
        <w:tc>
          <w:tcPr>
            <w:tcW w:w="0" w:type="auto"/>
            <w:shd w:val="clear" w:color="auto" w:fill="auto"/>
          </w:tcPr>
          <w:p w14:paraId="20AE3A6C" w14:textId="77777777" w:rsidR="00B626E7" w:rsidRDefault="00B626E7">
            <w:pPr>
              <w:rPr>
                <w:rFonts w:ascii="宋体"/>
              </w:rPr>
            </w:pPr>
          </w:p>
        </w:tc>
        <w:tc>
          <w:tcPr>
            <w:tcW w:w="0" w:type="auto"/>
            <w:shd w:val="clear" w:color="auto" w:fill="auto"/>
          </w:tcPr>
          <w:p w14:paraId="20AE3A6D" w14:textId="77777777" w:rsidR="00B626E7" w:rsidRDefault="00B626E7">
            <w:pPr>
              <w:rPr>
                <w:rFonts w:ascii="宋体"/>
              </w:rPr>
            </w:pPr>
          </w:p>
        </w:tc>
        <w:tc>
          <w:tcPr>
            <w:tcW w:w="0" w:type="auto"/>
            <w:shd w:val="clear" w:color="auto" w:fill="auto"/>
          </w:tcPr>
          <w:p w14:paraId="20AE3A6E" w14:textId="77777777" w:rsidR="00B626E7" w:rsidRDefault="00B626E7">
            <w:pPr>
              <w:rPr>
                <w:rFonts w:ascii="宋体"/>
              </w:rPr>
            </w:pPr>
          </w:p>
        </w:tc>
        <w:tc>
          <w:tcPr>
            <w:tcW w:w="0" w:type="auto"/>
            <w:shd w:val="clear" w:color="auto" w:fill="auto"/>
          </w:tcPr>
          <w:p w14:paraId="20AE3A6F" w14:textId="77777777" w:rsidR="00B626E7" w:rsidRDefault="00B626E7">
            <w:pPr>
              <w:rPr>
                <w:rFonts w:ascii="宋体"/>
              </w:rPr>
            </w:pPr>
          </w:p>
        </w:tc>
        <w:tc>
          <w:tcPr>
            <w:tcW w:w="0" w:type="auto"/>
            <w:shd w:val="clear" w:color="auto" w:fill="auto"/>
          </w:tcPr>
          <w:p w14:paraId="20AE3A70" w14:textId="77777777" w:rsidR="00B626E7" w:rsidRDefault="00B626E7">
            <w:pPr>
              <w:rPr>
                <w:rFonts w:ascii="宋体"/>
              </w:rPr>
            </w:pPr>
          </w:p>
        </w:tc>
        <w:tc>
          <w:tcPr>
            <w:tcW w:w="0" w:type="auto"/>
            <w:shd w:val="clear" w:color="auto" w:fill="auto"/>
          </w:tcPr>
          <w:p w14:paraId="20AE3A71" w14:textId="77777777" w:rsidR="00B626E7" w:rsidRDefault="00B626E7">
            <w:pPr>
              <w:rPr>
                <w:rFonts w:ascii="宋体"/>
              </w:rPr>
            </w:pPr>
          </w:p>
        </w:tc>
        <w:tc>
          <w:tcPr>
            <w:tcW w:w="0" w:type="auto"/>
            <w:shd w:val="clear" w:color="auto" w:fill="auto"/>
          </w:tcPr>
          <w:p w14:paraId="20AE3A72" w14:textId="77777777" w:rsidR="00B626E7" w:rsidRDefault="00B626E7">
            <w:pPr>
              <w:rPr>
                <w:rFonts w:ascii="宋体"/>
              </w:rPr>
            </w:pPr>
          </w:p>
        </w:tc>
        <w:tc>
          <w:tcPr>
            <w:tcW w:w="0" w:type="auto"/>
            <w:shd w:val="clear" w:color="auto" w:fill="auto"/>
          </w:tcPr>
          <w:p w14:paraId="20AE3A73" w14:textId="77777777" w:rsidR="00B626E7" w:rsidRDefault="00B626E7">
            <w:pPr>
              <w:rPr>
                <w:rFonts w:ascii="宋体"/>
              </w:rPr>
            </w:pPr>
          </w:p>
        </w:tc>
        <w:tc>
          <w:tcPr>
            <w:tcW w:w="0" w:type="auto"/>
            <w:shd w:val="clear" w:color="auto" w:fill="auto"/>
          </w:tcPr>
          <w:p w14:paraId="20AE3A74" w14:textId="77777777" w:rsidR="00B626E7" w:rsidRDefault="00B626E7">
            <w:pPr>
              <w:rPr>
                <w:rFonts w:ascii="宋体"/>
              </w:rPr>
            </w:pPr>
          </w:p>
        </w:tc>
      </w:tr>
    </w:tbl>
    <w:p w14:paraId="20AE3A76" w14:textId="77777777" w:rsidR="00B626E7" w:rsidRDefault="00175C1D">
      <w:pPr>
        <w:spacing w:before="300" w:after="180"/>
      </w:pPr>
      <w:r>
        <w:rPr>
          <w:rFonts w:ascii="Arial" w:eastAsia="宋体" w:hAnsi="Arial" w:cs="Arial"/>
          <w:i/>
          <w:iCs/>
          <w:color w:val="333333"/>
          <w:sz w:val="11"/>
          <w:szCs w:val="11"/>
        </w:rPr>
        <w:t xml:space="preserve">† </w:t>
      </w:r>
      <w:r>
        <w:rPr>
          <w:rFonts w:ascii="Arial" w:eastAsia="宋体" w:hAnsi="Arial" w:cs="Arial"/>
          <w:i/>
          <w:iCs/>
          <w:color w:val="333333"/>
          <w:sz w:val="18"/>
          <w:szCs w:val="18"/>
        </w:rPr>
        <w:t>Management contracts or compensation plans or arrangements in which directors or executive officers are eligible to participate.</w:t>
      </w:r>
    </w:p>
    <w:p w14:paraId="20AE3A77" w14:textId="77777777" w:rsidR="00B626E7" w:rsidRDefault="00B626E7">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4"/>
        <w:gridCol w:w="2423"/>
        <w:gridCol w:w="84"/>
        <w:gridCol w:w="83"/>
        <w:gridCol w:w="3471"/>
        <w:gridCol w:w="83"/>
        <w:gridCol w:w="83"/>
        <w:gridCol w:w="1942"/>
        <w:gridCol w:w="83"/>
      </w:tblGrid>
      <w:tr w:rsidR="00B626E7" w14:paraId="20AE3A81" w14:textId="77777777">
        <w:tc>
          <w:tcPr>
            <w:tcW w:w="50" w:type="pct"/>
            <w:shd w:val="clear" w:color="auto" w:fill="auto"/>
            <w:vAlign w:val="bottom"/>
          </w:tcPr>
          <w:p w14:paraId="20AE3A78" w14:textId="77777777" w:rsidR="00B626E7" w:rsidRDefault="00B626E7">
            <w:pPr>
              <w:rPr>
                <w:rFonts w:ascii="宋体"/>
              </w:rPr>
            </w:pPr>
          </w:p>
        </w:tc>
        <w:tc>
          <w:tcPr>
            <w:tcW w:w="1452" w:type="pct"/>
            <w:shd w:val="clear" w:color="auto" w:fill="auto"/>
            <w:vAlign w:val="bottom"/>
          </w:tcPr>
          <w:p w14:paraId="20AE3A79" w14:textId="77777777" w:rsidR="00B626E7" w:rsidRDefault="00B626E7">
            <w:pPr>
              <w:rPr>
                <w:rFonts w:ascii="宋体"/>
              </w:rPr>
            </w:pPr>
          </w:p>
        </w:tc>
        <w:tc>
          <w:tcPr>
            <w:tcW w:w="50" w:type="pct"/>
            <w:shd w:val="clear" w:color="auto" w:fill="auto"/>
            <w:vAlign w:val="bottom"/>
          </w:tcPr>
          <w:p w14:paraId="20AE3A7A" w14:textId="77777777" w:rsidR="00B626E7" w:rsidRDefault="00B626E7">
            <w:pPr>
              <w:rPr>
                <w:rFonts w:ascii="宋体"/>
              </w:rPr>
            </w:pPr>
          </w:p>
        </w:tc>
        <w:tc>
          <w:tcPr>
            <w:tcW w:w="50" w:type="pct"/>
            <w:shd w:val="clear" w:color="auto" w:fill="auto"/>
            <w:vAlign w:val="bottom"/>
          </w:tcPr>
          <w:p w14:paraId="20AE3A7B" w14:textId="77777777" w:rsidR="00B626E7" w:rsidRDefault="00B626E7">
            <w:pPr>
              <w:rPr>
                <w:rFonts w:ascii="宋体"/>
              </w:rPr>
            </w:pPr>
          </w:p>
        </w:tc>
        <w:tc>
          <w:tcPr>
            <w:tcW w:w="2081" w:type="pct"/>
            <w:shd w:val="clear" w:color="auto" w:fill="auto"/>
            <w:vAlign w:val="bottom"/>
          </w:tcPr>
          <w:p w14:paraId="20AE3A7C" w14:textId="77777777" w:rsidR="00B626E7" w:rsidRDefault="00B626E7">
            <w:pPr>
              <w:rPr>
                <w:rFonts w:ascii="宋体"/>
              </w:rPr>
            </w:pPr>
          </w:p>
        </w:tc>
        <w:tc>
          <w:tcPr>
            <w:tcW w:w="50" w:type="pct"/>
            <w:shd w:val="clear" w:color="auto" w:fill="auto"/>
            <w:vAlign w:val="bottom"/>
          </w:tcPr>
          <w:p w14:paraId="20AE3A7D" w14:textId="77777777" w:rsidR="00B626E7" w:rsidRDefault="00B626E7">
            <w:pPr>
              <w:rPr>
                <w:rFonts w:ascii="宋体"/>
              </w:rPr>
            </w:pPr>
          </w:p>
        </w:tc>
        <w:tc>
          <w:tcPr>
            <w:tcW w:w="50" w:type="pct"/>
            <w:shd w:val="clear" w:color="auto" w:fill="auto"/>
            <w:vAlign w:val="bottom"/>
          </w:tcPr>
          <w:p w14:paraId="20AE3A7E" w14:textId="77777777" w:rsidR="00B626E7" w:rsidRDefault="00B626E7">
            <w:pPr>
              <w:rPr>
                <w:rFonts w:ascii="宋体"/>
              </w:rPr>
            </w:pPr>
          </w:p>
        </w:tc>
        <w:tc>
          <w:tcPr>
            <w:tcW w:w="1165" w:type="pct"/>
            <w:shd w:val="clear" w:color="auto" w:fill="auto"/>
            <w:vAlign w:val="bottom"/>
          </w:tcPr>
          <w:p w14:paraId="20AE3A7F" w14:textId="77777777" w:rsidR="00B626E7" w:rsidRDefault="00B626E7">
            <w:pPr>
              <w:rPr>
                <w:rFonts w:ascii="宋体"/>
              </w:rPr>
            </w:pPr>
          </w:p>
        </w:tc>
        <w:tc>
          <w:tcPr>
            <w:tcW w:w="50" w:type="pct"/>
            <w:shd w:val="clear" w:color="auto" w:fill="auto"/>
            <w:vAlign w:val="bottom"/>
          </w:tcPr>
          <w:p w14:paraId="20AE3A80" w14:textId="77777777" w:rsidR="00B626E7" w:rsidRDefault="00B626E7">
            <w:pPr>
              <w:rPr>
                <w:rFonts w:ascii="宋体"/>
              </w:rPr>
            </w:pPr>
          </w:p>
        </w:tc>
      </w:tr>
      <w:tr w:rsidR="00B626E7" w14:paraId="20AE3A85" w14:textId="77777777">
        <w:tc>
          <w:tcPr>
            <w:tcW w:w="0" w:type="auto"/>
            <w:gridSpan w:val="3"/>
            <w:tcBorders>
              <w:top w:val="single" w:sz="8" w:space="0" w:color="0071C5"/>
            </w:tcBorders>
            <w:shd w:val="clear" w:color="auto" w:fill="auto"/>
            <w:tcMar>
              <w:top w:w="40" w:type="dxa"/>
              <w:left w:w="20" w:type="dxa"/>
              <w:bottom w:w="40" w:type="dxa"/>
              <w:right w:w="20" w:type="dxa"/>
            </w:tcMar>
            <w:vAlign w:val="center"/>
          </w:tcPr>
          <w:p w14:paraId="20AE3A82" w14:textId="77777777" w:rsidR="00B626E7" w:rsidRDefault="00175C1D">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Viewer10_files/intc-20200627_g70.jpg"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C8" wp14:editId="20AE3CC9">
                  <wp:extent cx="304800" cy="304800"/>
                  <wp:effectExtent l="0" t="0" r="0" b="0"/>
                  <wp:docPr id="21" name="图片 150"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0" descr="IMG_32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Arial" w:eastAsia="宋体" w:hAnsi="Arial" w:cs="Arial"/>
                <w:color w:val="333333"/>
                <w:sz w:val="16"/>
                <w:szCs w:val="16"/>
              </w:rPr>
              <w:t>OTHER KEY INFORMATION</w:t>
            </w:r>
          </w:p>
        </w:tc>
        <w:tc>
          <w:tcPr>
            <w:tcW w:w="0" w:type="auto"/>
            <w:gridSpan w:val="3"/>
            <w:tcBorders>
              <w:top w:val="single" w:sz="8" w:space="0" w:color="0071C5"/>
            </w:tcBorders>
            <w:shd w:val="clear" w:color="auto" w:fill="auto"/>
            <w:tcMar>
              <w:left w:w="20" w:type="dxa"/>
              <w:right w:w="20" w:type="dxa"/>
            </w:tcMar>
            <w:vAlign w:val="bottom"/>
          </w:tcPr>
          <w:p w14:paraId="20AE3A83"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3A84" w14:textId="77777777" w:rsidR="00B626E7" w:rsidRDefault="00175C1D">
            <w:pPr>
              <w:jc w:val="right"/>
              <w:textAlignment w:val="bottom"/>
            </w:pPr>
            <w:r>
              <w:rPr>
                <w:rFonts w:ascii="Arial" w:eastAsia="宋体" w:hAnsi="Arial" w:cs="Arial"/>
                <w:color w:val="333333"/>
                <w:sz w:val="16"/>
                <w:szCs w:val="16"/>
              </w:rPr>
              <w:t>45</w:t>
            </w:r>
          </w:p>
        </w:tc>
      </w:tr>
    </w:tbl>
    <w:p w14:paraId="20AE3A86" w14:textId="77777777" w:rsidR="00B626E7" w:rsidRDefault="00175C1D">
      <w:r>
        <w:pict w14:anchorId="20AE3CCA">
          <v:rect id="_x0000_i1071" style="width:415.3pt;height:1.5pt" o:hralign="center" o:hrstd="t" o:hr="t" fillcolor="#a0a0a0" stroked="f"/>
        </w:pict>
      </w:r>
    </w:p>
    <w:p w14:paraId="20AE3A87" w14:textId="77777777" w:rsidR="00B626E7" w:rsidRDefault="00175C1D">
      <w:pPr>
        <w:spacing w:after="180"/>
        <w:jc w:val="right"/>
      </w:pPr>
      <w:hyperlink r:id="rId102" w:anchor="ib035cc8759904e51927d703ec8414366_7" w:history="1">
        <w:r>
          <w:rPr>
            <w:rStyle w:val="a5"/>
            <w:rFonts w:ascii="Arial" w:eastAsia="宋体" w:hAnsi="Arial" w:cs="Arial"/>
            <w:b/>
            <w:bCs/>
            <w:sz w:val="16"/>
            <w:szCs w:val="16"/>
          </w:rPr>
          <w:t>Table of Contents</w:t>
        </w:r>
      </w:hyperlink>
    </w:p>
    <w:p w14:paraId="20AE3A88" w14:textId="77777777" w:rsidR="00B626E7" w:rsidRDefault="00B626E7">
      <w:pPr>
        <w:spacing w:after="180"/>
        <w:jc w:val="right"/>
      </w:pPr>
    </w:p>
    <w:p w14:paraId="20AE3A89" w14:textId="77777777" w:rsidR="00B626E7" w:rsidRDefault="00175C1D">
      <w:pPr>
        <w:spacing w:after="180"/>
      </w:pPr>
      <w:r>
        <w:rPr>
          <w:rFonts w:ascii="Arial" w:eastAsia="宋体" w:hAnsi="Arial" w:cs="Arial"/>
          <w:b/>
          <w:bCs/>
          <w:color w:val="0071C5"/>
          <w:sz w:val="28"/>
          <w:szCs w:val="28"/>
        </w:rPr>
        <w:t>FORM 10-Q CROSS-REFERENCE INDEX</w:t>
      </w:r>
    </w:p>
    <w:tbl>
      <w:tblPr>
        <w:tblW w:w="5000" w:type="pct"/>
        <w:tblCellMar>
          <w:top w:w="15" w:type="dxa"/>
          <w:left w:w="15" w:type="dxa"/>
          <w:bottom w:w="15" w:type="dxa"/>
          <w:right w:w="15" w:type="dxa"/>
        </w:tblCellMar>
        <w:tblLook w:val="04A0" w:firstRow="1" w:lastRow="0" w:firstColumn="1" w:lastColumn="0" w:noHBand="0" w:noVBand="1"/>
      </w:tblPr>
      <w:tblGrid>
        <w:gridCol w:w="83"/>
        <w:gridCol w:w="881"/>
        <w:gridCol w:w="82"/>
        <w:gridCol w:w="82"/>
        <w:gridCol w:w="4737"/>
        <w:gridCol w:w="82"/>
        <w:gridCol w:w="82"/>
        <w:gridCol w:w="2117"/>
        <w:gridCol w:w="82"/>
        <w:gridCol w:w="36"/>
        <w:gridCol w:w="36"/>
        <w:gridCol w:w="36"/>
      </w:tblGrid>
      <w:tr w:rsidR="00B626E7" w14:paraId="20AE3A93" w14:textId="77777777">
        <w:trPr>
          <w:gridAfter w:val="3"/>
        </w:trPr>
        <w:tc>
          <w:tcPr>
            <w:tcW w:w="50" w:type="pct"/>
            <w:shd w:val="clear" w:color="auto" w:fill="auto"/>
          </w:tcPr>
          <w:p w14:paraId="20AE3A8A" w14:textId="77777777" w:rsidR="00B626E7" w:rsidRDefault="00B626E7">
            <w:pPr>
              <w:rPr>
                <w:rFonts w:ascii="宋体"/>
              </w:rPr>
            </w:pPr>
          </w:p>
        </w:tc>
        <w:tc>
          <w:tcPr>
            <w:tcW w:w="535" w:type="pct"/>
            <w:shd w:val="clear" w:color="auto" w:fill="auto"/>
          </w:tcPr>
          <w:p w14:paraId="20AE3A8B" w14:textId="77777777" w:rsidR="00B626E7" w:rsidRDefault="00B626E7">
            <w:pPr>
              <w:rPr>
                <w:rFonts w:ascii="宋体"/>
              </w:rPr>
            </w:pPr>
          </w:p>
        </w:tc>
        <w:tc>
          <w:tcPr>
            <w:tcW w:w="50" w:type="pct"/>
            <w:shd w:val="clear" w:color="auto" w:fill="auto"/>
          </w:tcPr>
          <w:p w14:paraId="20AE3A8C" w14:textId="77777777" w:rsidR="00B626E7" w:rsidRDefault="00B626E7">
            <w:pPr>
              <w:rPr>
                <w:rFonts w:ascii="宋体"/>
              </w:rPr>
            </w:pPr>
          </w:p>
        </w:tc>
        <w:tc>
          <w:tcPr>
            <w:tcW w:w="50" w:type="pct"/>
            <w:shd w:val="clear" w:color="auto" w:fill="auto"/>
          </w:tcPr>
          <w:p w14:paraId="20AE3A8D" w14:textId="77777777" w:rsidR="00B626E7" w:rsidRDefault="00B626E7">
            <w:pPr>
              <w:rPr>
                <w:rFonts w:ascii="宋体"/>
              </w:rPr>
            </w:pPr>
          </w:p>
        </w:tc>
        <w:tc>
          <w:tcPr>
            <w:tcW w:w="2878" w:type="pct"/>
            <w:shd w:val="clear" w:color="auto" w:fill="auto"/>
          </w:tcPr>
          <w:p w14:paraId="20AE3A8E" w14:textId="77777777" w:rsidR="00B626E7" w:rsidRDefault="00B626E7">
            <w:pPr>
              <w:rPr>
                <w:rFonts w:ascii="宋体"/>
              </w:rPr>
            </w:pPr>
          </w:p>
        </w:tc>
        <w:tc>
          <w:tcPr>
            <w:tcW w:w="50" w:type="pct"/>
            <w:shd w:val="clear" w:color="auto" w:fill="auto"/>
          </w:tcPr>
          <w:p w14:paraId="20AE3A8F" w14:textId="77777777" w:rsidR="00B626E7" w:rsidRDefault="00B626E7">
            <w:pPr>
              <w:rPr>
                <w:rFonts w:ascii="宋体"/>
              </w:rPr>
            </w:pPr>
          </w:p>
        </w:tc>
        <w:tc>
          <w:tcPr>
            <w:tcW w:w="50" w:type="pct"/>
            <w:shd w:val="clear" w:color="auto" w:fill="auto"/>
          </w:tcPr>
          <w:p w14:paraId="20AE3A90" w14:textId="77777777" w:rsidR="00B626E7" w:rsidRDefault="00B626E7">
            <w:pPr>
              <w:rPr>
                <w:rFonts w:ascii="宋体"/>
              </w:rPr>
            </w:pPr>
          </w:p>
        </w:tc>
        <w:tc>
          <w:tcPr>
            <w:tcW w:w="1286" w:type="pct"/>
            <w:shd w:val="clear" w:color="auto" w:fill="auto"/>
          </w:tcPr>
          <w:p w14:paraId="20AE3A91" w14:textId="77777777" w:rsidR="00B626E7" w:rsidRDefault="00B626E7">
            <w:pPr>
              <w:rPr>
                <w:rFonts w:ascii="宋体"/>
              </w:rPr>
            </w:pPr>
          </w:p>
        </w:tc>
        <w:tc>
          <w:tcPr>
            <w:tcW w:w="50" w:type="pct"/>
            <w:shd w:val="clear" w:color="auto" w:fill="auto"/>
          </w:tcPr>
          <w:p w14:paraId="20AE3A92" w14:textId="77777777" w:rsidR="00B626E7" w:rsidRDefault="00B626E7">
            <w:pPr>
              <w:rPr>
                <w:rFonts w:ascii="宋体"/>
              </w:rPr>
            </w:pPr>
          </w:p>
        </w:tc>
      </w:tr>
      <w:tr w:rsidR="00B626E7" w14:paraId="20AE3A97" w14:textId="77777777">
        <w:trPr>
          <w:gridAfter w:val="3"/>
        </w:trPr>
        <w:tc>
          <w:tcPr>
            <w:tcW w:w="0" w:type="auto"/>
            <w:gridSpan w:val="3"/>
            <w:shd w:val="clear" w:color="auto" w:fill="auto"/>
            <w:tcMar>
              <w:top w:w="40" w:type="dxa"/>
              <w:left w:w="20" w:type="dxa"/>
              <w:bottom w:w="40" w:type="dxa"/>
              <w:right w:w="20" w:type="dxa"/>
            </w:tcMar>
            <w:vAlign w:val="bottom"/>
          </w:tcPr>
          <w:p w14:paraId="20AE3A94" w14:textId="77777777" w:rsidR="00B626E7" w:rsidRDefault="00175C1D">
            <w:pPr>
              <w:textAlignment w:val="bottom"/>
            </w:pPr>
            <w:r>
              <w:rPr>
                <w:rFonts w:ascii="Arial" w:eastAsia="宋体" w:hAnsi="Arial" w:cs="Arial"/>
                <w:b/>
                <w:bCs/>
                <w:color w:val="333333"/>
                <w:sz w:val="18"/>
                <w:szCs w:val="18"/>
              </w:rPr>
              <w:t>Item Number</w:t>
            </w:r>
          </w:p>
        </w:tc>
        <w:tc>
          <w:tcPr>
            <w:tcW w:w="0" w:type="auto"/>
            <w:gridSpan w:val="3"/>
            <w:tcBorders>
              <w:bottom w:val="single" w:sz="8" w:space="0" w:color="0071C5"/>
            </w:tcBorders>
            <w:shd w:val="clear" w:color="auto" w:fill="auto"/>
            <w:tcMar>
              <w:top w:w="40" w:type="dxa"/>
              <w:left w:w="20" w:type="dxa"/>
              <w:bottom w:w="40" w:type="dxa"/>
              <w:right w:w="20" w:type="dxa"/>
            </w:tcMar>
            <w:vAlign w:val="bottom"/>
          </w:tcPr>
          <w:p w14:paraId="20AE3A95" w14:textId="77777777" w:rsidR="00B626E7" w:rsidRDefault="00175C1D">
            <w:pPr>
              <w:textAlignment w:val="bottom"/>
            </w:pPr>
            <w:r>
              <w:rPr>
                <w:rFonts w:ascii="Arial" w:eastAsia="宋体" w:hAnsi="Arial" w:cs="Arial"/>
                <w:b/>
                <w:bCs/>
                <w:color w:val="333333"/>
                <w:sz w:val="18"/>
                <w:szCs w:val="18"/>
              </w:rPr>
              <w:t>Item</w:t>
            </w:r>
          </w:p>
        </w:tc>
        <w:tc>
          <w:tcPr>
            <w:tcW w:w="0" w:type="auto"/>
            <w:gridSpan w:val="3"/>
            <w:shd w:val="clear" w:color="auto" w:fill="auto"/>
            <w:tcMar>
              <w:top w:w="40" w:type="dxa"/>
              <w:left w:w="20" w:type="dxa"/>
              <w:bottom w:w="40" w:type="dxa"/>
              <w:right w:w="20" w:type="dxa"/>
            </w:tcMar>
            <w:vAlign w:val="center"/>
          </w:tcPr>
          <w:p w14:paraId="20AE3A96" w14:textId="77777777" w:rsidR="00B626E7" w:rsidRDefault="00175C1D">
            <w:pPr>
              <w:jc w:val="center"/>
              <w:textAlignment w:val="center"/>
            </w:pPr>
            <w:r>
              <w:rPr>
                <w:rFonts w:ascii="Arial" w:eastAsia="宋体" w:hAnsi="Arial" w:cs="Arial"/>
                <w:b/>
                <w:bCs/>
                <w:color w:val="333333"/>
                <w:sz w:val="18"/>
                <w:szCs w:val="18"/>
              </w:rPr>
              <w:t> </w:t>
            </w:r>
          </w:p>
        </w:tc>
      </w:tr>
      <w:tr w:rsidR="00B626E7" w14:paraId="20AE3A9B" w14:textId="77777777">
        <w:tc>
          <w:tcPr>
            <w:tcW w:w="0" w:type="auto"/>
            <w:gridSpan w:val="6"/>
            <w:tcBorders>
              <w:top w:val="single" w:sz="8" w:space="0" w:color="0071C5"/>
            </w:tcBorders>
            <w:shd w:val="clear" w:color="auto" w:fill="auto"/>
            <w:tcMar>
              <w:top w:w="40" w:type="dxa"/>
              <w:left w:w="20" w:type="dxa"/>
              <w:bottom w:w="40" w:type="dxa"/>
              <w:right w:w="20" w:type="dxa"/>
            </w:tcMar>
            <w:vAlign w:val="bottom"/>
          </w:tcPr>
          <w:p w14:paraId="20AE3A98" w14:textId="77777777" w:rsidR="00B626E7" w:rsidRDefault="00175C1D">
            <w:pPr>
              <w:textAlignment w:val="bottom"/>
            </w:pPr>
            <w:r>
              <w:rPr>
                <w:rFonts w:ascii="Arial" w:eastAsia="宋体" w:hAnsi="Arial" w:cs="Arial"/>
                <w:b/>
                <w:bCs/>
                <w:color w:val="026DCE"/>
                <w:sz w:val="18"/>
                <w:szCs w:val="18"/>
              </w:rPr>
              <w:t xml:space="preserve">Part I - </w:t>
            </w:r>
            <w:r>
              <w:rPr>
                <w:rFonts w:ascii="Arial" w:eastAsia="宋体" w:hAnsi="Arial" w:cs="Arial"/>
                <w:b/>
                <w:bCs/>
                <w:color w:val="026DCE"/>
                <w:sz w:val="18"/>
                <w:szCs w:val="18"/>
              </w:rPr>
              <w:t>Financial Information</w:t>
            </w:r>
          </w:p>
        </w:tc>
        <w:tc>
          <w:tcPr>
            <w:tcW w:w="0" w:type="auto"/>
            <w:gridSpan w:val="3"/>
            <w:shd w:val="clear" w:color="auto" w:fill="auto"/>
          </w:tcPr>
          <w:p w14:paraId="20AE3A99" w14:textId="77777777" w:rsidR="00B626E7" w:rsidRDefault="00B626E7">
            <w:pPr>
              <w:rPr>
                <w:rFonts w:ascii="宋体"/>
                <w:vanish/>
              </w:rPr>
            </w:pPr>
          </w:p>
        </w:tc>
        <w:tc>
          <w:tcPr>
            <w:tcW w:w="0" w:type="auto"/>
            <w:gridSpan w:val="3"/>
            <w:tcBorders>
              <w:top w:val="single" w:sz="8" w:space="0" w:color="0071C5"/>
            </w:tcBorders>
            <w:shd w:val="clear" w:color="auto" w:fill="auto"/>
            <w:tcMar>
              <w:left w:w="20" w:type="dxa"/>
              <w:right w:w="20" w:type="dxa"/>
            </w:tcMar>
            <w:vAlign w:val="bottom"/>
          </w:tcPr>
          <w:p w14:paraId="20AE3A9A" w14:textId="77777777" w:rsidR="00B626E7" w:rsidRDefault="00B626E7">
            <w:pPr>
              <w:rPr>
                <w:rFonts w:ascii="宋体"/>
              </w:rPr>
            </w:pPr>
          </w:p>
        </w:tc>
      </w:tr>
      <w:tr w:rsidR="00B626E7" w14:paraId="20AE3AA2" w14:textId="77777777">
        <w:tc>
          <w:tcPr>
            <w:tcW w:w="0" w:type="auto"/>
            <w:gridSpan w:val="3"/>
            <w:shd w:val="clear" w:color="auto" w:fill="auto"/>
            <w:tcMar>
              <w:top w:w="40" w:type="dxa"/>
              <w:left w:w="20" w:type="dxa"/>
              <w:bottom w:w="40" w:type="dxa"/>
              <w:right w:w="20" w:type="dxa"/>
            </w:tcMar>
            <w:vAlign w:val="bottom"/>
          </w:tcPr>
          <w:p w14:paraId="20AE3A9C" w14:textId="77777777" w:rsidR="00B626E7" w:rsidRDefault="00175C1D">
            <w:pPr>
              <w:textAlignment w:val="bottom"/>
            </w:pPr>
            <w:r>
              <w:rPr>
                <w:rFonts w:ascii="Arial" w:eastAsia="宋体" w:hAnsi="Arial" w:cs="Arial"/>
                <w:b/>
                <w:bCs/>
                <w:color w:val="333333"/>
                <w:sz w:val="18"/>
                <w:szCs w:val="18"/>
              </w:rPr>
              <w:t>Item 1.</w:t>
            </w:r>
          </w:p>
        </w:tc>
        <w:tc>
          <w:tcPr>
            <w:tcW w:w="0" w:type="auto"/>
            <w:gridSpan w:val="3"/>
            <w:shd w:val="clear" w:color="auto" w:fill="auto"/>
            <w:tcMar>
              <w:top w:w="40" w:type="dxa"/>
              <w:left w:w="20" w:type="dxa"/>
              <w:bottom w:w="40" w:type="dxa"/>
              <w:right w:w="20" w:type="dxa"/>
            </w:tcMar>
            <w:vAlign w:val="bottom"/>
          </w:tcPr>
          <w:p w14:paraId="20AE3A9D" w14:textId="77777777" w:rsidR="00B626E7" w:rsidRDefault="00175C1D">
            <w:pPr>
              <w:textAlignment w:val="bottom"/>
            </w:pPr>
            <w:r>
              <w:rPr>
                <w:rFonts w:ascii="Arial" w:eastAsia="宋体" w:hAnsi="Arial" w:cs="Arial"/>
                <w:b/>
                <w:bCs/>
                <w:color w:val="333333"/>
                <w:sz w:val="18"/>
                <w:szCs w:val="18"/>
              </w:rPr>
              <w:t>Financial Statements</w:t>
            </w:r>
          </w:p>
        </w:tc>
        <w:tc>
          <w:tcPr>
            <w:tcW w:w="0" w:type="auto"/>
            <w:gridSpan w:val="3"/>
            <w:shd w:val="clear" w:color="auto" w:fill="auto"/>
            <w:tcMar>
              <w:top w:w="40" w:type="dxa"/>
              <w:left w:w="20" w:type="dxa"/>
              <w:bottom w:w="40" w:type="dxa"/>
              <w:right w:w="20" w:type="dxa"/>
            </w:tcMar>
            <w:vAlign w:val="center"/>
          </w:tcPr>
          <w:p w14:paraId="20AE3A9E" w14:textId="77777777" w:rsidR="00B626E7" w:rsidRDefault="00175C1D">
            <w:pPr>
              <w:jc w:val="center"/>
              <w:textAlignment w:val="center"/>
            </w:pPr>
            <w:r>
              <w:rPr>
                <w:rFonts w:ascii="Arial" w:eastAsia="宋体" w:hAnsi="Arial" w:cs="Arial"/>
                <w:color w:val="333333"/>
                <w:sz w:val="18"/>
                <w:szCs w:val="18"/>
              </w:rPr>
              <w:t xml:space="preserve">Pages </w:t>
            </w:r>
            <w:hyperlink r:id="rId103" w:anchor="ib035cc8759904e51927d703ec8414366_34" w:history="1">
              <w:r>
                <w:rPr>
                  <w:rStyle w:val="a5"/>
                  <w:rFonts w:ascii="Arial" w:eastAsia="宋体" w:hAnsi="Arial" w:cs="Arial"/>
                  <w:sz w:val="18"/>
                  <w:szCs w:val="18"/>
                </w:rPr>
                <w:t>5</w:t>
              </w:r>
            </w:hyperlink>
            <w:r>
              <w:rPr>
                <w:rFonts w:ascii="Arial" w:eastAsia="宋体" w:hAnsi="Arial" w:cs="Arial"/>
                <w:color w:val="333333"/>
                <w:sz w:val="18"/>
                <w:szCs w:val="18"/>
              </w:rPr>
              <w:t xml:space="preserve"> - </w:t>
            </w:r>
            <w:hyperlink r:id="rId104" w:anchor="ib035cc8759904e51927d703ec8414366_166" w:history="1">
              <w:r>
                <w:rPr>
                  <w:rStyle w:val="a5"/>
                  <w:rFonts w:ascii="Arial" w:eastAsia="宋体" w:hAnsi="Arial" w:cs="Arial"/>
                  <w:sz w:val="18"/>
                  <w:szCs w:val="18"/>
                </w:rPr>
                <w:t>27</w:t>
              </w:r>
            </w:hyperlink>
          </w:p>
        </w:tc>
        <w:tc>
          <w:tcPr>
            <w:tcW w:w="0" w:type="auto"/>
            <w:shd w:val="clear" w:color="auto" w:fill="auto"/>
          </w:tcPr>
          <w:p w14:paraId="20AE3A9F" w14:textId="77777777" w:rsidR="00B626E7" w:rsidRDefault="00B626E7">
            <w:pPr>
              <w:rPr>
                <w:rFonts w:ascii="宋体"/>
              </w:rPr>
            </w:pPr>
          </w:p>
        </w:tc>
        <w:tc>
          <w:tcPr>
            <w:tcW w:w="0" w:type="auto"/>
            <w:shd w:val="clear" w:color="auto" w:fill="auto"/>
          </w:tcPr>
          <w:p w14:paraId="20AE3AA0" w14:textId="77777777" w:rsidR="00B626E7" w:rsidRDefault="00B626E7">
            <w:pPr>
              <w:rPr>
                <w:rFonts w:ascii="宋体"/>
              </w:rPr>
            </w:pPr>
          </w:p>
        </w:tc>
        <w:tc>
          <w:tcPr>
            <w:tcW w:w="0" w:type="auto"/>
            <w:shd w:val="clear" w:color="auto" w:fill="auto"/>
          </w:tcPr>
          <w:p w14:paraId="20AE3AA1" w14:textId="77777777" w:rsidR="00B626E7" w:rsidRDefault="00B626E7">
            <w:pPr>
              <w:rPr>
                <w:rFonts w:ascii="宋体"/>
              </w:rPr>
            </w:pPr>
          </w:p>
        </w:tc>
      </w:tr>
      <w:tr w:rsidR="00B626E7" w14:paraId="20AE3AA9" w14:textId="77777777">
        <w:tc>
          <w:tcPr>
            <w:tcW w:w="0" w:type="auto"/>
            <w:gridSpan w:val="3"/>
            <w:shd w:val="clear" w:color="auto" w:fill="auto"/>
            <w:tcMar>
              <w:top w:w="40" w:type="dxa"/>
              <w:left w:w="20" w:type="dxa"/>
              <w:bottom w:w="40" w:type="dxa"/>
              <w:right w:w="20" w:type="dxa"/>
            </w:tcMar>
            <w:vAlign w:val="center"/>
          </w:tcPr>
          <w:p w14:paraId="20AE3AA3" w14:textId="77777777" w:rsidR="00B626E7" w:rsidRDefault="00175C1D">
            <w:pPr>
              <w:textAlignment w:val="center"/>
            </w:pPr>
            <w:r>
              <w:rPr>
                <w:rFonts w:ascii="Arial" w:eastAsia="宋体" w:hAnsi="Arial" w:cs="Arial"/>
                <w:b/>
                <w:bCs/>
                <w:color w:val="333333"/>
                <w:sz w:val="18"/>
                <w:szCs w:val="18"/>
              </w:rPr>
              <w:t>Item 2.</w:t>
            </w:r>
          </w:p>
        </w:tc>
        <w:tc>
          <w:tcPr>
            <w:tcW w:w="0" w:type="auto"/>
            <w:gridSpan w:val="3"/>
            <w:shd w:val="clear" w:color="auto" w:fill="auto"/>
            <w:tcMar>
              <w:top w:w="40" w:type="dxa"/>
              <w:left w:w="20" w:type="dxa"/>
              <w:bottom w:w="40" w:type="dxa"/>
              <w:right w:w="20" w:type="dxa"/>
            </w:tcMar>
            <w:vAlign w:val="bottom"/>
          </w:tcPr>
          <w:p w14:paraId="20AE3AA4" w14:textId="77777777" w:rsidR="00B626E7" w:rsidRDefault="00175C1D">
            <w:pPr>
              <w:textAlignment w:val="bottom"/>
            </w:pPr>
            <w:r>
              <w:rPr>
                <w:rFonts w:ascii="Arial" w:eastAsia="宋体" w:hAnsi="Arial" w:cs="Arial"/>
                <w:b/>
                <w:bCs/>
                <w:color w:val="333333"/>
                <w:sz w:val="18"/>
                <w:szCs w:val="18"/>
              </w:rPr>
              <w:t>Management's Discussion and Analysis of Financial Condition and Results of Operations:</w:t>
            </w:r>
          </w:p>
        </w:tc>
        <w:tc>
          <w:tcPr>
            <w:tcW w:w="0" w:type="auto"/>
            <w:gridSpan w:val="3"/>
            <w:shd w:val="clear" w:color="auto" w:fill="auto"/>
            <w:tcMar>
              <w:left w:w="20" w:type="dxa"/>
              <w:right w:w="20" w:type="dxa"/>
            </w:tcMar>
            <w:vAlign w:val="bottom"/>
          </w:tcPr>
          <w:p w14:paraId="20AE3AA5" w14:textId="77777777" w:rsidR="00B626E7" w:rsidRDefault="00B626E7">
            <w:pPr>
              <w:rPr>
                <w:rFonts w:ascii="宋体"/>
              </w:rPr>
            </w:pPr>
          </w:p>
        </w:tc>
        <w:tc>
          <w:tcPr>
            <w:tcW w:w="0" w:type="auto"/>
            <w:shd w:val="clear" w:color="auto" w:fill="auto"/>
          </w:tcPr>
          <w:p w14:paraId="20AE3AA6" w14:textId="77777777" w:rsidR="00B626E7" w:rsidRDefault="00B626E7">
            <w:pPr>
              <w:rPr>
                <w:rFonts w:ascii="宋体"/>
              </w:rPr>
            </w:pPr>
          </w:p>
        </w:tc>
        <w:tc>
          <w:tcPr>
            <w:tcW w:w="0" w:type="auto"/>
            <w:shd w:val="clear" w:color="auto" w:fill="auto"/>
          </w:tcPr>
          <w:p w14:paraId="20AE3AA7" w14:textId="77777777" w:rsidR="00B626E7" w:rsidRDefault="00B626E7">
            <w:pPr>
              <w:rPr>
                <w:rFonts w:ascii="宋体"/>
              </w:rPr>
            </w:pPr>
          </w:p>
        </w:tc>
        <w:tc>
          <w:tcPr>
            <w:tcW w:w="0" w:type="auto"/>
            <w:shd w:val="clear" w:color="auto" w:fill="auto"/>
          </w:tcPr>
          <w:p w14:paraId="20AE3AA8" w14:textId="77777777" w:rsidR="00B626E7" w:rsidRDefault="00B626E7">
            <w:pPr>
              <w:rPr>
                <w:rFonts w:ascii="宋体"/>
              </w:rPr>
            </w:pPr>
          </w:p>
        </w:tc>
      </w:tr>
      <w:tr w:rsidR="00B626E7" w14:paraId="20AE3AB0" w14:textId="77777777">
        <w:tc>
          <w:tcPr>
            <w:tcW w:w="0" w:type="auto"/>
            <w:gridSpan w:val="3"/>
            <w:shd w:val="clear" w:color="auto" w:fill="auto"/>
            <w:tcMar>
              <w:left w:w="20" w:type="dxa"/>
              <w:right w:w="20" w:type="dxa"/>
            </w:tcMar>
            <w:vAlign w:val="bottom"/>
          </w:tcPr>
          <w:p w14:paraId="20AE3AAA" w14:textId="77777777" w:rsidR="00B626E7" w:rsidRDefault="00B626E7">
            <w:pPr>
              <w:rPr>
                <w:rFonts w:ascii="宋体"/>
              </w:rPr>
            </w:pPr>
          </w:p>
        </w:tc>
        <w:tc>
          <w:tcPr>
            <w:tcW w:w="0" w:type="auto"/>
            <w:gridSpan w:val="3"/>
            <w:shd w:val="clear" w:color="auto" w:fill="auto"/>
            <w:tcMar>
              <w:top w:w="40" w:type="dxa"/>
              <w:left w:w="225" w:type="dxa"/>
              <w:bottom w:w="40" w:type="dxa"/>
              <w:right w:w="20" w:type="dxa"/>
            </w:tcMar>
            <w:vAlign w:val="bottom"/>
          </w:tcPr>
          <w:p w14:paraId="20AE3AAB" w14:textId="77777777" w:rsidR="00B626E7" w:rsidRDefault="00175C1D">
            <w:pPr>
              <w:textAlignment w:val="bottom"/>
            </w:pPr>
            <w:r>
              <w:rPr>
                <w:rFonts w:ascii="Arial" w:eastAsia="宋体" w:hAnsi="Arial" w:cs="Arial"/>
                <w:color w:val="333333"/>
                <w:sz w:val="18"/>
                <w:szCs w:val="18"/>
              </w:rPr>
              <w:t>Results of operations</w:t>
            </w:r>
          </w:p>
        </w:tc>
        <w:tc>
          <w:tcPr>
            <w:tcW w:w="0" w:type="auto"/>
            <w:gridSpan w:val="3"/>
            <w:shd w:val="clear" w:color="auto" w:fill="auto"/>
            <w:tcMar>
              <w:top w:w="40" w:type="dxa"/>
              <w:left w:w="20" w:type="dxa"/>
              <w:bottom w:w="40" w:type="dxa"/>
              <w:right w:w="20" w:type="dxa"/>
            </w:tcMar>
            <w:vAlign w:val="center"/>
          </w:tcPr>
          <w:p w14:paraId="20AE3AAC" w14:textId="77777777" w:rsidR="00B626E7" w:rsidRDefault="00175C1D">
            <w:pPr>
              <w:jc w:val="center"/>
              <w:textAlignment w:val="center"/>
            </w:pPr>
            <w:r>
              <w:rPr>
                <w:rFonts w:ascii="Arial" w:eastAsia="宋体" w:hAnsi="Arial" w:cs="Arial"/>
                <w:color w:val="333333"/>
                <w:sz w:val="18"/>
                <w:szCs w:val="18"/>
              </w:rPr>
              <w:t xml:space="preserve">Pages </w:t>
            </w:r>
            <w:hyperlink r:id="rId105" w:anchor="ib035cc8759904e51927d703ec8414366_13" w:history="1">
              <w:r>
                <w:rPr>
                  <w:rStyle w:val="a5"/>
                  <w:rFonts w:ascii="Arial" w:eastAsia="宋体" w:hAnsi="Arial" w:cs="Arial"/>
                  <w:sz w:val="18"/>
                  <w:szCs w:val="18"/>
                </w:rPr>
                <w:t>2</w:t>
              </w:r>
            </w:hyperlink>
            <w:r>
              <w:rPr>
                <w:rFonts w:ascii="Arial" w:eastAsia="宋体" w:hAnsi="Arial" w:cs="Arial"/>
                <w:color w:val="333333"/>
                <w:sz w:val="18"/>
                <w:szCs w:val="18"/>
              </w:rPr>
              <w:t xml:space="preserve"> - </w:t>
            </w:r>
            <w:hyperlink r:id="rId106" w:anchor="ib035cc8759904e51927d703ec8414366_31" w:history="1">
              <w:r>
                <w:rPr>
                  <w:rStyle w:val="a5"/>
                  <w:rFonts w:ascii="Arial" w:eastAsia="宋体" w:hAnsi="Arial" w:cs="Arial"/>
                  <w:sz w:val="18"/>
                  <w:szCs w:val="18"/>
                </w:rPr>
                <w:t>4</w:t>
              </w:r>
            </w:hyperlink>
            <w:r>
              <w:rPr>
                <w:rFonts w:ascii="Arial" w:eastAsia="宋体" w:hAnsi="Arial" w:cs="Arial"/>
                <w:color w:val="333333"/>
                <w:sz w:val="18"/>
                <w:szCs w:val="18"/>
              </w:rPr>
              <w:t xml:space="preserve">, </w:t>
            </w:r>
            <w:hyperlink r:id="rId107" w:anchor="ib035cc8759904e51927d703ec8414366_169" w:history="1">
              <w:r>
                <w:rPr>
                  <w:rStyle w:val="a5"/>
                  <w:rFonts w:ascii="Arial" w:eastAsia="宋体" w:hAnsi="Arial" w:cs="Arial"/>
                  <w:sz w:val="18"/>
                  <w:szCs w:val="18"/>
                </w:rPr>
                <w:t>28</w:t>
              </w:r>
            </w:hyperlink>
            <w:r>
              <w:rPr>
                <w:rFonts w:ascii="Arial" w:eastAsia="宋体" w:hAnsi="Arial" w:cs="Arial"/>
                <w:color w:val="333333"/>
                <w:sz w:val="18"/>
                <w:szCs w:val="18"/>
              </w:rPr>
              <w:t xml:space="preserve"> - </w:t>
            </w:r>
            <w:hyperlink r:id="rId108" w:anchor="ib035cc8759904e51927d703ec8414366_205" w:history="1">
              <w:r>
                <w:rPr>
                  <w:rStyle w:val="a5"/>
                  <w:rFonts w:ascii="Arial" w:eastAsia="宋体" w:hAnsi="Arial" w:cs="Arial"/>
                  <w:sz w:val="18"/>
                  <w:szCs w:val="18"/>
                </w:rPr>
                <w:t>39</w:t>
              </w:r>
            </w:hyperlink>
          </w:p>
        </w:tc>
        <w:tc>
          <w:tcPr>
            <w:tcW w:w="0" w:type="auto"/>
            <w:shd w:val="clear" w:color="auto" w:fill="auto"/>
          </w:tcPr>
          <w:p w14:paraId="20AE3AAD" w14:textId="77777777" w:rsidR="00B626E7" w:rsidRDefault="00B626E7">
            <w:pPr>
              <w:rPr>
                <w:rFonts w:ascii="宋体"/>
              </w:rPr>
            </w:pPr>
          </w:p>
        </w:tc>
        <w:tc>
          <w:tcPr>
            <w:tcW w:w="0" w:type="auto"/>
            <w:shd w:val="clear" w:color="auto" w:fill="auto"/>
          </w:tcPr>
          <w:p w14:paraId="20AE3AAE" w14:textId="77777777" w:rsidR="00B626E7" w:rsidRDefault="00B626E7">
            <w:pPr>
              <w:rPr>
                <w:rFonts w:ascii="宋体"/>
              </w:rPr>
            </w:pPr>
          </w:p>
        </w:tc>
        <w:tc>
          <w:tcPr>
            <w:tcW w:w="0" w:type="auto"/>
            <w:shd w:val="clear" w:color="auto" w:fill="auto"/>
          </w:tcPr>
          <w:p w14:paraId="20AE3AAF" w14:textId="77777777" w:rsidR="00B626E7" w:rsidRDefault="00B626E7">
            <w:pPr>
              <w:rPr>
                <w:rFonts w:ascii="宋体"/>
              </w:rPr>
            </w:pPr>
          </w:p>
        </w:tc>
      </w:tr>
      <w:tr w:rsidR="00B626E7" w14:paraId="20AE3AB7" w14:textId="77777777">
        <w:tc>
          <w:tcPr>
            <w:tcW w:w="0" w:type="auto"/>
            <w:gridSpan w:val="3"/>
            <w:shd w:val="clear" w:color="auto" w:fill="auto"/>
            <w:tcMar>
              <w:left w:w="20" w:type="dxa"/>
              <w:right w:w="20" w:type="dxa"/>
            </w:tcMar>
            <w:vAlign w:val="bottom"/>
          </w:tcPr>
          <w:p w14:paraId="20AE3AB1" w14:textId="77777777" w:rsidR="00B626E7" w:rsidRDefault="00B626E7">
            <w:pPr>
              <w:rPr>
                <w:rFonts w:ascii="宋体"/>
              </w:rPr>
            </w:pPr>
          </w:p>
        </w:tc>
        <w:tc>
          <w:tcPr>
            <w:tcW w:w="0" w:type="auto"/>
            <w:gridSpan w:val="3"/>
            <w:shd w:val="clear" w:color="auto" w:fill="auto"/>
            <w:tcMar>
              <w:top w:w="40" w:type="dxa"/>
              <w:left w:w="225" w:type="dxa"/>
              <w:bottom w:w="40" w:type="dxa"/>
              <w:right w:w="20" w:type="dxa"/>
            </w:tcMar>
            <w:vAlign w:val="bottom"/>
          </w:tcPr>
          <w:p w14:paraId="20AE3AB2" w14:textId="77777777" w:rsidR="00B626E7" w:rsidRDefault="00175C1D">
            <w:pPr>
              <w:textAlignment w:val="bottom"/>
            </w:pPr>
            <w:r>
              <w:rPr>
                <w:rFonts w:ascii="Arial" w:eastAsia="宋体" w:hAnsi="Arial" w:cs="Arial"/>
                <w:color w:val="333333"/>
                <w:sz w:val="18"/>
                <w:szCs w:val="18"/>
              </w:rPr>
              <w:t>Liquidity and capital resources</w:t>
            </w:r>
          </w:p>
        </w:tc>
        <w:tc>
          <w:tcPr>
            <w:tcW w:w="0" w:type="auto"/>
            <w:gridSpan w:val="3"/>
            <w:shd w:val="clear" w:color="auto" w:fill="auto"/>
            <w:tcMar>
              <w:top w:w="40" w:type="dxa"/>
              <w:left w:w="20" w:type="dxa"/>
              <w:bottom w:w="40" w:type="dxa"/>
              <w:right w:w="20" w:type="dxa"/>
            </w:tcMar>
            <w:vAlign w:val="center"/>
          </w:tcPr>
          <w:p w14:paraId="20AE3AB3" w14:textId="77777777" w:rsidR="00B626E7" w:rsidRDefault="00175C1D">
            <w:pPr>
              <w:jc w:val="center"/>
              <w:textAlignment w:val="center"/>
            </w:pPr>
            <w:r>
              <w:rPr>
                <w:rFonts w:ascii="Arial" w:eastAsia="宋体" w:hAnsi="Arial" w:cs="Arial"/>
                <w:color w:val="333333"/>
                <w:sz w:val="18"/>
                <w:szCs w:val="18"/>
              </w:rPr>
              <w:t xml:space="preserve">Pages </w:t>
            </w:r>
            <w:hyperlink r:id="rId109" w:anchor="ib035cc8759904e51927d703ec8414366_211" w:history="1">
              <w:r>
                <w:rPr>
                  <w:rStyle w:val="a5"/>
                  <w:rFonts w:ascii="Arial" w:eastAsia="宋体" w:hAnsi="Arial" w:cs="Arial"/>
                  <w:sz w:val="18"/>
                  <w:szCs w:val="18"/>
                </w:rPr>
                <w:t>40</w:t>
              </w:r>
            </w:hyperlink>
            <w:r>
              <w:rPr>
                <w:rFonts w:ascii="Arial" w:eastAsia="宋体" w:hAnsi="Arial" w:cs="Arial"/>
                <w:color w:val="333333"/>
                <w:sz w:val="18"/>
                <w:szCs w:val="18"/>
              </w:rPr>
              <w:t xml:space="preserve"> - </w:t>
            </w:r>
            <w:hyperlink r:id="rId110" w:anchor="ib035cc8759904e51927d703ec8414366_220" w:history="1">
              <w:r>
                <w:rPr>
                  <w:rStyle w:val="a5"/>
                  <w:rFonts w:ascii="Arial" w:eastAsia="宋体" w:hAnsi="Arial" w:cs="Arial"/>
                  <w:sz w:val="18"/>
                  <w:szCs w:val="18"/>
                </w:rPr>
                <w:t>41</w:t>
              </w:r>
            </w:hyperlink>
          </w:p>
        </w:tc>
        <w:tc>
          <w:tcPr>
            <w:tcW w:w="0" w:type="auto"/>
            <w:shd w:val="clear" w:color="auto" w:fill="auto"/>
          </w:tcPr>
          <w:p w14:paraId="20AE3AB4" w14:textId="77777777" w:rsidR="00B626E7" w:rsidRDefault="00B626E7">
            <w:pPr>
              <w:rPr>
                <w:rFonts w:ascii="宋体"/>
              </w:rPr>
            </w:pPr>
          </w:p>
        </w:tc>
        <w:tc>
          <w:tcPr>
            <w:tcW w:w="0" w:type="auto"/>
            <w:shd w:val="clear" w:color="auto" w:fill="auto"/>
          </w:tcPr>
          <w:p w14:paraId="20AE3AB5" w14:textId="77777777" w:rsidR="00B626E7" w:rsidRDefault="00B626E7">
            <w:pPr>
              <w:rPr>
                <w:rFonts w:ascii="宋体"/>
              </w:rPr>
            </w:pPr>
          </w:p>
        </w:tc>
        <w:tc>
          <w:tcPr>
            <w:tcW w:w="0" w:type="auto"/>
            <w:shd w:val="clear" w:color="auto" w:fill="auto"/>
          </w:tcPr>
          <w:p w14:paraId="20AE3AB6" w14:textId="77777777" w:rsidR="00B626E7" w:rsidRDefault="00B626E7">
            <w:pPr>
              <w:rPr>
                <w:rFonts w:ascii="宋体"/>
              </w:rPr>
            </w:pPr>
          </w:p>
        </w:tc>
      </w:tr>
      <w:tr w:rsidR="00B626E7" w14:paraId="20AE3ABE" w14:textId="77777777">
        <w:trPr>
          <w:hidden/>
        </w:trPr>
        <w:tc>
          <w:tcPr>
            <w:tcW w:w="0" w:type="auto"/>
            <w:gridSpan w:val="3"/>
            <w:shd w:val="clear" w:color="auto" w:fill="auto"/>
          </w:tcPr>
          <w:p w14:paraId="20AE3AB8" w14:textId="77777777" w:rsidR="00B626E7" w:rsidRDefault="00B626E7">
            <w:pPr>
              <w:rPr>
                <w:rFonts w:ascii="宋体"/>
                <w:vanish/>
              </w:rPr>
            </w:pPr>
          </w:p>
        </w:tc>
        <w:tc>
          <w:tcPr>
            <w:tcW w:w="0" w:type="auto"/>
            <w:gridSpan w:val="3"/>
            <w:shd w:val="clear" w:color="auto" w:fill="auto"/>
          </w:tcPr>
          <w:p w14:paraId="20AE3AB9" w14:textId="77777777" w:rsidR="00B626E7" w:rsidRDefault="00B626E7">
            <w:pPr>
              <w:rPr>
                <w:rFonts w:ascii="宋体"/>
                <w:vanish/>
              </w:rPr>
            </w:pPr>
          </w:p>
        </w:tc>
        <w:tc>
          <w:tcPr>
            <w:tcW w:w="0" w:type="auto"/>
            <w:gridSpan w:val="3"/>
            <w:shd w:val="clear" w:color="auto" w:fill="auto"/>
          </w:tcPr>
          <w:p w14:paraId="20AE3ABA" w14:textId="77777777" w:rsidR="00B626E7" w:rsidRDefault="00B626E7">
            <w:pPr>
              <w:rPr>
                <w:rFonts w:ascii="宋体"/>
                <w:vanish/>
              </w:rPr>
            </w:pPr>
          </w:p>
        </w:tc>
        <w:tc>
          <w:tcPr>
            <w:tcW w:w="0" w:type="auto"/>
            <w:shd w:val="clear" w:color="auto" w:fill="auto"/>
          </w:tcPr>
          <w:p w14:paraId="20AE3ABB" w14:textId="77777777" w:rsidR="00B626E7" w:rsidRDefault="00B626E7">
            <w:pPr>
              <w:rPr>
                <w:rFonts w:ascii="宋体"/>
              </w:rPr>
            </w:pPr>
          </w:p>
        </w:tc>
        <w:tc>
          <w:tcPr>
            <w:tcW w:w="0" w:type="auto"/>
            <w:shd w:val="clear" w:color="auto" w:fill="auto"/>
          </w:tcPr>
          <w:p w14:paraId="20AE3ABC" w14:textId="77777777" w:rsidR="00B626E7" w:rsidRDefault="00B626E7">
            <w:pPr>
              <w:rPr>
                <w:rFonts w:ascii="宋体"/>
              </w:rPr>
            </w:pPr>
          </w:p>
        </w:tc>
        <w:tc>
          <w:tcPr>
            <w:tcW w:w="0" w:type="auto"/>
            <w:shd w:val="clear" w:color="auto" w:fill="auto"/>
          </w:tcPr>
          <w:p w14:paraId="20AE3ABD" w14:textId="77777777" w:rsidR="00B626E7" w:rsidRDefault="00B626E7">
            <w:pPr>
              <w:rPr>
                <w:rFonts w:ascii="宋体"/>
              </w:rPr>
            </w:pPr>
          </w:p>
        </w:tc>
      </w:tr>
      <w:tr w:rsidR="00B626E7" w14:paraId="20AE3AC5" w14:textId="77777777">
        <w:tc>
          <w:tcPr>
            <w:tcW w:w="0" w:type="auto"/>
            <w:gridSpan w:val="3"/>
            <w:shd w:val="clear" w:color="auto" w:fill="auto"/>
            <w:tcMar>
              <w:left w:w="20" w:type="dxa"/>
              <w:right w:w="20" w:type="dxa"/>
            </w:tcMar>
            <w:vAlign w:val="bottom"/>
          </w:tcPr>
          <w:p w14:paraId="20AE3ABF" w14:textId="77777777" w:rsidR="00B626E7" w:rsidRDefault="00B626E7">
            <w:pPr>
              <w:rPr>
                <w:rFonts w:ascii="宋体"/>
              </w:rPr>
            </w:pPr>
          </w:p>
        </w:tc>
        <w:tc>
          <w:tcPr>
            <w:tcW w:w="0" w:type="auto"/>
            <w:gridSpan w:val="3"/>
            <w:shd w:val="clear" w:color="auto" w:fill="auto"/>
            <w:tcMar>
              <w:top w:w="40" w:type="dxa"/>
              <w:left w:w="225" w:type="dxa"/>
              <w:bottom w:w="40" w:type="dxa"/>
              <w:right w:w="20" w:type="dxa"/>
            </w:tcMar>
            <w:vAlign w:val="bottom"/>
          </w:tcPr>
          <w:p w14:paraId="20AE3AC0" w14:textId="77777777" w:rsidR="00B626E7" w:rsidRDefault="00175C1D">
            <w:pPr>
              <w:textAlignment w:val="bottom"/>
            </w:pPr>
            <w:r>
              <w:rPr>
                <w:rFonts w:ascii="Arial" w:eastAsia="宋体" w:hAnsi="Arial" w:cs="Arial"/>
                <w:color w:val="333333"/>
                <w:sz w:val="18"/>
                <w:szCs w:val="18"/>
              </w:rPr>
              <w:t xml:space="preserve">Off-balance sheet arrangements </w:t>
            </w:r>
          </w:p>
        </w:tc>
        <w:tc>
          <w:tcPr>
            <w:tcW w:w="0" w:type="auto"/>
            <w:gridSpan w:val="3"/>
            <w:shd w:val="clear" w:color="auto" w:fill="auto"/>
            <w:tcMar>
              <w:top w:w="40" w:type="dxa"/>
              <w:left w:w="20" w:type="dxa"/>
              <w:bottom w:w="40" w:type="dxa"/>
              <w:right w:w="20" w:type="dxa"/>
            </w:tcMar>
            <w:vAlign w:val="center"/>
          </w:tcPr>
          <w:p w14:paraId="20AE3AC1" w14:textId="77777777" w:rsidR="00B626E7" w:rsidRDefault="00175C1D">
            <w:pPr>
              <w:jc w:val="center"/>
              <w:textAlignment w:val="center"/>
            </w:pPr>
            <w:r>
              <w:rPr>
                <w:rFonts w:ascii="Arial" w:eastAsia="宋体" w:hAnsi="Arial" w:cs="Arial"/>
                <w:color w:val="333333"/>
                <w:sz w:val="18"/>
                <w:szCs w:val="18"/>
              </w:rPr>
              <w:t>(a)</w:t>
            </w:r>
          </w:p>
        </w:tc>
        <w:tc>
          <w:tcPr>
            <w:tcW w:w="0" w:type="auto"/>
            <w:shd w:val="clear" w:color="auto" w:fill="auto"/>
          </w:tcPr>
          <w:p w14:paraId="20AE3AC2" w14:textId="77777777" w:rsidR="00B626E7" w:rsidRDefault="00B626E7">
            <w:pPr>
              <w:rPr>
                <w:rFonts w:ascii="宋体"/>
              </w:rPr>
            </w:pPr>
          </w:p>
        </w:tc>
        <w:tc>
          <w:tcPr>
            <w:tcW w:w="0" w:type="auto"/>
            <w:shd w:val="clear" w:color="auto" w:fill="auto"/>
          </w:tcPr>
          <w:p w14:paraId="20AE3AC3" w14:textId="77777777" w:rsidR="00B626E7" w:rsidRDefault="00B626E7">
            <w:pPr>
              <w:rPr>
                <w:rFonts w:ascii="宋体"/>
              </w:rPr>
            </w:pPr>
          </w:p>
        </w:tc>
        <w:tc>
          <w:tcPr>
            <w:tcW w:w="0" w:type="auto"/>
            <w:shd w:val="clear" w:color="auto" w:fill="auto"/>
          </w:tcPr>
          <w:p w14:paraId="20AE3AC4" w14:textId="77777777" w:rsidR="00B626E7" w:rsidRDefault="00B626E7">
            <w:pPr>
              <w:rPr>
                <w:rFonts w:ascii="宋体"/>
              </w:rPr>
            </w:pPr>
          </w:p>
        </w:tc>
      </w:tr>
      <w:tr w:rsidR="00B626E7" w14:paraId="20AE3ACC" w14:textId="77777777">
        <w:tc>
          <w:tcPr>
            <w:tcW w:w="0" w:type="auto"/>
            <w:gridSpan w:val="3"/>
            <w:shd w:val="clear" w:color="auto" w:fill="auto"/>
            <w:tcMar>
              <w:left w:w="20" w:type="dxa"/>
              <w:right w:w="20" w:type="dxa"/>
            </w:tcMar>
            <w:vAlign w:val="bottom"/>
          </w:tcPr>
          <w:p w14:paraId="20AE3AC6" w14:textId="77777777" w:rsidR="00B626E7" w:rsidRDefault="00B626E7">
            <w:pPr>
              <w:rPr>
                <w:rFonts w:ascii="宋体"/>
              </w:rPr>
            </w:pPr>
          </w:p>
        </w:tc>
        <w:tc>
          <w:tcPr>
            <w:tcW w:w="0" w:type="auto"/>
            <w:gridSpan w:val="3"/>
            <w:shd w:val="clear" w:color="auto" w:fill="auto"/>
            <w:tcMar>
              <w:top w:w="40" w:type="dxa"/>
              <w:left w:w="225" w:type="dxa"/>
              <w:bottom w:w="40" w:type="dxa"/>
              <w:right w:w="20" w:type="dxa"/>
            </w:tcMar>
            <w:vAlign w:val="bottom"/>
          </w:tcPr>
          <w:p w14:paraId="20AE3AC7" w14:textId="77777777" w:rsidR="00B626E7" w:rsidRDefault="00175C1D">
            <w:pPr>
              <w:textAlignment w:val="bottom"/>
            </w:pPr>
            <w:r>
              <w:rPr>
                <w:rFonts w:ascii="Arial" w:eastAsia="宋体" w:hAnsi="Arial" w:cs="Arial"/>
                <w:color w:val="333333"/>
                <w:sz w:val="18"/>
                <w:szCs w:val="18"/>
              </w:rPr>
              <w:t>Contractual obligations</w:t>
            </w:r>
          </w:p>
        </w:tc>
        <w:tc>
          <w:tcPr>
            <w:tcW w:w="0" w:type="auto"/>
            <w:gridSpan w:val="3"/>
            <w:shd w:val="clear" w:color="auto" w:fill="auto"/>
            <w:tcMar>
              <w:top w:w="40" w:type="dxa"/>
              <w:left w:w="20" w:type="dxa"/>
              <w:bottom w:w="40" w:type="dxa"/>
              <w:right w:w="20" w:type="dxa"/>
            </w:tcMar>
            <w:vAlign w:val="center"/>
          </w:tcPr>
          <w:p w14:paraId="20AE3AC8" w14:textId="77777777" w:rsidR="00B626E7" w:rsidRDefault="00175C1D">
            <w:pPr>
              <w:jc w:val="center"/>
              <w:textAlignment w:val="center"/>
            </w:pPr>
            <w:r>
              <w:rPr>
                <w:rFonts w:ascii="Arial" w:eastAsia="宋体" w:hAnsi="Arial" w:cs="Arial"/>
                <w:color w:val="333333"/>
                <w:sz w:val="18"/>
                <w:szCs w:val="18"/>
              </w:rPr>
              <w:t xml:space="preserve">Page </w:t>
            </w:r>
            <w:hyperlink r:id="rId111" w:anchor="ib035cc8759904e51927d703ec8414366_217" w:history="1">
              <w:r>
                <w:rPr>
                  <w:rStyle w:val="a5"/>
                  <w:rFonts w:ascii="Arial" w:eastAsia="宋体" w:hAnsi="Arial" w:cs="Arial"/>
                  <w:sz w:val="18"/>
                  <w:szCs w:val="18"/>
                </w:rPr>
                <w:t>41</w:t>
              </w:r>
            </w:hyperlink>
          </w:p>
        </w:tc>
        <w:tc>
          <w:tcPr>
            <w:tcW w:w="0" w:type="auto"/>
            <w:shd w:val="clear" w:color="auto" w:fill="auto"/>
          </w:tcPr>
          <w:p w14:paraId="20AE3AC9" w14:textId="77777777" w:rsidR="00B626E7" w:rsidRDefault="00B626E7">
            <w:pPr>
              <w:rPr>
                <w:rFonts w:ascii="宋体"/>
              </w:rPr>
            </w:pPr>
          </w:p>
        </w:tc>
        <w:tc>
          <w:tcPr>
            <w:tcW w:w="0" w:type="auto"/>
            <w:shd w:val="clear" w:color="auto" w:fill="auto"/>
          </w:tcPr>
          <w:p w14:paraId="20AE3ACA" w14:textId="77777777" w:rsidR="00B626E7" w:rsidRDefault="00B626E7">
            <w:pPr>
              <w:rPr>
                <w:rFonts w:ascii="宋体"/>
              </w:rPr>
            </w:pPr>
          </w:p>
        </w:tc>
        <w:tc>
          <w:tcPr>
            <w:tcW w:w="0" w:type="auto"/>
            <w:shd w:val="clear" w:color="auto" w:fill="auto"/>
          </w:tcPr>
          <w:p w14:paraId="20AE3ACB" w14:textId="77777777" w:rsidR="00B626E7" w:rsidRDefault="00B626E7">
            <w:pPr>
              <w:rPr>
                <w:rFonts w:ascii="宋体"/>
              </w:rPr>
            </w:pPr>
          </w:p>
        </w:tc>
      </w:tr>
      <w:tr w:rsidR="00B626E7" w14:paraId="20AE3AD3" w14:textId="77777777">
        <w:tc>
          <w:tcPr>
            <w:tcW w:w="0" w:type="auto"/>
            <w:gridSpan w:val="3"/>
            <w:shd w:val="clear" w:color="auto" w:fill="auto"/>
            <w:tcMar>
              <w:top w:w="40" w:type="dxa"/>
              <w:left w:w="20" w:type="dxa"/>
              <w:bottom w:w="40" w:type="dxa"/>
              <w:right w:w="20" w:type="dxa"/>
            </w:tcMar>
            <w:vAlign w:val="bottom"/>
          </w:tcPr>
          <w:p w14:paraId="20AE3ACD" w14:textId="77777777" w:rsidR="00B626E7" w:rsidRDefault="00175C1D">
            <w:pPr>
              <w:textAlignment w:val="bottom"/>
            </w:pPr>
            <w:r>
              <w:rPr>
                <w:rFonts w:ascii="Arial" w:eastAsia="宋体" w:hAnsi="Arial" w:cs="Arial"/>
                <w:b/>
                <w:bCs/>
                <w:color w:val="333333"/>
                <w:sz w:val="18"/>
                <w:szCs w:val="18"/>
              </w:rPr>
              <w:t>Item 3.</w:t>
            </w:r>
          </w:p>
        </w:tc>
        <w:tc>
          <w:tcPr>
            <w:tcW w:w="0" w:type="auto"/>
            <w:gridSpan w:val="3"/>
            <w:shd w:val="clear" w:color="auto" w:fill="auto"/>
            <w:tcMar>
              <w:top w:w="40" w:type="dxa"/>
              <w:left w:w="20" w:type="dxa"/>
              <w:bottom w:w="40" w:type="dxa"/>
              <w:right w:w="20" w:type="dxa"/>
            </w:tcMar>
            <w:vAlign w:val="bottom"/>
          </w:tcPr>
          <w:p w14:paraId="20AE3ACE" w14:textId="77777777" w:rsidR="00B626E7" w:rsidRDefault="00175C1D">
            <w:pPr>
              <w:textAlignment w:val="bottom"/>
            </w:pPr>
            <w:r>
              <w:rPr>
                <w:rFonts w:ascii="Arial" w:eastAsia="宋体" w:hAnsi="Arial" w:cs="Arial"/>
                <w:b/>
                <w:bCs/>
                <w:color w:val="333333"/>
                <w:sz w:val="18"/>
                <w:szCs w:val="18"/>
              </w:rPr>
              <w:t>Quantitative and Qualitative Disclosures About Market Risk</w:t>
            </w:r>
          </w:p>
        </w:tc>
        <w:tc>
          <w:tcPr>
            <w:tcW w:w="0" w:type="auto"/>
            <w:gridSpan w:val="3"/>
            <w:shd w:val="clear" w:color="auto" w:fill="auto"/>
            <w:tcMar>
              <w:top w:w="40" w:type="dxa"/>
              <w:left w:w="20" w:type="dxa"/>
              <w:bottom w:w="40" w:type="dxa"/>
              <w:right w:w="20" w:type="dxa"/>
            </w:tcMar>
            <w:vAlign w:val="center"/>
          </w:tcPr>
          <w:p w14:paraId="20AE3ACF" w14:textId="77777777" w:rsidR="00B626E7" w:rsidRDefault="00175C1D">
            <w:pPr>
              <w:jc w:val="center"/>
              <w:textAlignment w:val="center"/>
            </w:pPr>
            <w:r>
              <w:rPr>
                <w:rFonts w:ascii="Arial" w:eastAsia="宋体" w:hAnsi="Arial" w:cs="Arial"/>
                <w:color w:val="333333"/>
                <w:sz w:val="18"/>
                <w:szCs w:val="18"/>
              </w:rPr>
              <w:t xml:space="preserve">Page </w:t>
            </w:r>
            <w:hyperlink r:id="rId112" w:anchor="ib035cc8759904e51927d703ec8414366_220" w:history="1">
              <w:r>
                <w:rPr>
                  <w:rStyle w:val="a5"/>
                  <w:rFonts w:ascii="Arial" w:eastAsia="宋体" w:hAnsi="Arial" w:cs="Arial"/>
                  <w:sz w:val="18"/>
                  <w:szCs w:val="18"/>
                </w:rPr>
                <w:t>41</w:t>
              </w:r>
            </w:hyperlink>
          </w:p>
        </w:tc>
        <w:tc>
          <w:tcPr>
            <w:tcW w:w="0" w:type="auto"/>
            <w:shd w:val="clear" w:color="auto" w:fill="auto"/>
          </w:tcPr>
          <w:p w14:paraId="20AE3AD0" w14:textId="77777777" w:rsidR="00B626E7" w:rsidRDefault="00B626E7">
            <w:pPr>
              <w:rPr>
                <w:rFonts w:ascii="宋体"/>
              </w:rPr>
            </w:pPr>
          </w:p>
        </w:tc>
        <w:tc>
          <w:tcPr>
            <w:tcW w:w="0" w:type="auto"/>
            <w:shd w:val="clear" w:color="auto" w:fill="auto"/>
          </w:tcPr>
          <w:p w14:paraId="20AE3AD1" w14:textId="77777777" w:rsidR="00B626E7" w:rsidRDefault="00B626E7">
            <w:pPr>
              <w:rPr>
                <w:rFonts w:ascii="宋体"/>
              </w:rPr>
            </w:pPr>
          </w:p>
        </w:tc>
        <w:tc>
          <w:tcPr>
            <w:tcW w:w="0" w:type="auto"/>
            <w:shd w:val="clear" w:color="auto" w:fill="auto"/>
          </w:tcPr>
          <w:p w14:paraId="20AE3AD2" w14:textId="77777777" w:rsidR="00B626E7" w:rsidRDefault="00B626E7">
            <w:pPr>
              <w:rPr>
                <w:rFonts w:ascii="宋体"/>
              </w:rPr>
            </w:pPr>
          </w:p>
        </w:tc>
      </w:tr>
      <w:tr w:rsidR="00B626E7" w14:paraId="20AE3ADA" w14:textId="77777777">
        <w:tc>
          <w:tcPr>
            <w:tcW w:w="0" w:type="auto"/>
            <w:gridSpan w:val="3"/>
            <w:shd w:val="clear" w:color="auto" w:fill="auto"/>
            <w:tcMar>
              <w:top w:w="40" w:type="dxa"/>
              <w:left w:w="20" w:type="dxa"/>
              <w:bottom w:w="40" w:type="dxa"/>
              <w:right w:w="20" w:type="dxa"/>
            </w:tcMar>
            <w:vAlign w:val="bottom"/>
          </w:tcPr>
          <w:p w14:paraId="20AE3AD4" w14:textId="77777777" w:rsidR="00B626E7" w:rsidRDefault="00175C1D">
            <w:pPr>
              <w:textAlignment w:val="bottom"/>
            </w:pPr>
            <w:r>
              <w:rPr>
                <w:rFonts w:ascii="Arial" w:eastAsia="宋体" w:hAnsi="Arial" w:cs="Arial"/>
                <w:b/>
                <w:bCs/>
                <w:color w:val="333333"/>
                <w:sz w:val="18"/>
                <w:szCs w:val="18"/>
              </w:rPr>
              <w:t>Item 4.</w:t>
            </w:r>
          </w:p>
        </w:tc>
        <w:tc>
          <w:tcPr>
            <w:tcW w:w="0" w:type="auto"/>
            <w:gridSpan w:val="3"/>
            <w:shd w:val="clear" w:color="auto" w:fill="auto"/>
            <w:tcMar>
              <w:top w:w="40" w:type="dxa"/>
              <w:left w:w="20" w:type="dxa"/>
              <w:bottom w:w="40" w:type="dxa"/>
              <w:right w:w="20" w:type="dxa"/>
            </w:tcMar>
            <w:vAlign w:val="bottom"/>
          </w:tcPr>
          <w:p w14:paraId="20AE3AD5" w14:textId="77777777" w:rsidR="00B626E7" w:rsidRDefault="00175C1D">
            <w:pPr>
              <w:textAlignment w:val="bottom"/>
            </w:pPr>
            <w:r>
              <w:rPr>
                <w:rFonts w:ascii="Arial" w:eastAsia="宋体" w:hAnsi="Arial" w:cs="Arial"/>
                <w:b/>
                <w:bCs/>
                <w:color w:val="333333"/>
                <w:sz w:val="18"/>
                <w:szCs w:val="18"/>
              </w:rPr>
              <w:t>Controls and Procedures</w:t>
            </w:r>
          </w:p>
        </w:tc>
        <w:tc>
          <w:tcPr>
            <w:tcW w:w="0" w:type="auto"/>
            <w:gridSpan w:val="3"/>
            <w:shd w:val="clear" w:color="auto" w:fill="auto"/>
            <w:tcMar>
              <w:top w:w="40" w:type="dxa"/>
              <w:left w:w="20" w:type="dxa"/>
              <w:bottom w:w="40" w:type="dxa"/>
              <w:right w:w="20" w:type="dxa"/>
            </w:tcMar>
            <w:vAlign w:val="center"/>
          </w:tcPr>
          <w:p w14:paraId="20AE3AD6" w14:textId="77777777" w:rsidR="00B626E7" w:rsidRDefault="00175C1D">
            <w:pPr>
              <w:jc w:val="center"/>
              <w:textAlignment w:val="center"/>
            </w:pPr>
            <w:r>
              <w:rPr>
                <w:rFonts w:ascii="Arial" w:eastAsia="宋体" w:hAnsi="Arial" w:cs="Arial"/>
                <w:color w:val="333333"/>
                <w:sz w:val="18"/>
                <w:szCs w:val="18"/>
              </w:rPr>
              <w:t xml:space="preserve">Page </w:t>
            </w:r>
            <w:hyperlink r:id="rId113" w:anchor="ib035cc8759904e51927d703ec8414366_241" w:history="1">
              <w:r>
                <w:rPr>
                  <w:rStyle w:val="a5"/>
                  <w:rFonts w:ascii="Arial" w:eastAsia="宋体" w:hAnsi="Arial" w:cs="Arial"/>
                  <w:sz w:val="18"/>
                  <w:szCs w:val="18"/>
                </w:rPr>
                <w:t>44</w:t>
              </w:r>
            </w:hyperlink>
          </w:p>
        </w:tc>
        <w:tc>
          <w:tcPr>
            <w:tcW w:w="0" w:type="auto"/>
            <w:shd w:val="clear" w:color="auto" w:fill="auto"/>
          </w:tcPr>
          <w:p w14:paraId="20AE3AD7" w14:textId="77777777" w:rsidR="00B626E7" w:rsidRDefault="00B626E7">
            <w:pPr>
              <w:rPr>
                <w:rFonts w:ascii="宋体"/>
              </w:rPr>
            </w:pPr>
          </w:p>
        </w:tc>
        <w:tc>
          <w:tcPr>
            <w:tcW w:w="0" w:type="auto"/>
            <w:shd w:val="clear" w:color="auto" w:fill="auto"/>
          </w:tcPr>
          <w:p w14:paraId="20AE3AD8" w14:textId="77777777" w:rsidR="00B626E7" w:rsidRDefault="00B626E7">
            <w:pPr>
              <w:rPr>
                <w:rFonts w:ascii="宋体"/>
              </w:rPr>
            </w:pPr>
          </w:p>
        </w:tc>
        <w:tc>
          <w:tcPr>
            <w:tcW w:w="0" w:type="auto"/>
            <w:shd w:val="clear" w:color="auto" w:fill="auto"/>
          </w:tcPr>
          <w:p w14:paraId="20AE3AD9" w14:textId="77777777" w:rsidR="00B626E7" w:rsidRDefault="00B626E7">
            <w:pPr>
              <w:rPr>
                <w:rFonts w:ascii="宋体"/>
              </w:rPr>
            </w:pPr>
          </w:p>
        </w:tc>
      </w:tr>
      <w:tr w:rsidR="00B626E7" w14:paraId="20AE3AE1" w14:textId="77777777">
        <w:tc>
          <w:tcPr>
            <w:tcW w:w="0" w:type="auto"/>
            <w:gridSpan w:val="3"/>
            <w:shd w:val="clear" w:color="auto" w:fill="auto"/>
            <w:tcMar>
              <w:left w:w="20" w:type="dxa"/>
              <w:right w:w="20" w:type="dxa"/>
            </w:tcMar>
            <w:vAlign w:val="bottom"/>
          </w:tcPr>
          <w:p w14:paraId="20AE3ADB" w14:textId="77777777" w:rsidR="00B626E7" w:rsidRDefault="00B626E7">
            <w:pPr>
              <w:rPr>
                <w:rFonts w:ascii="宋体"/>
              </w:rPr>
            </w:pPr>
          </w:p>
        </w:tc>
        <w:tc>
          <w:tcPr>
            <w:tcW w:w="0" w:type="auto"/>
            <w:gridSpan w:val="3"/>
            <w:tcBorders>
              <w:bottom w:val="single" w:sz="8" w:space="0" w:color="0071C5"/>
            </w:tcBorders>
            <w:shd w:val="clear" w:color="auto" w:fill="auto"/>
            <w:tcMar>
              <w:left w:w="20" w:type="dxa"/>
              <w:right w:w="20" w:type="dxa"/>
            </w:tcMar>
            <w:vAlign w:val="bottom"/>
          </w:tcPr>
          <w:p w14:paraId="20AE3ADC"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center"/>
          </w:tcPr>
          <w:p w14:paraId="20AE3ADD" w14:textId="77777777" w:rsidR="00B626E7" w:rsidRDefault="00175C1D">
            <w:pPr>
              <w:jc w:val="center"/>
              <w:textAlignment w:val="center"/>
            </w:pPr>
            <w:r>
              <w:rPr>
                <w:rFonts w:ascii="Arial" w:eastAsia="宋体" w:hAnsi="Arial" w:cs="Arial"/>
                <w:b/>
                <w:bCs/>
                <w:color w:val="333333"/>
                <w:sz w:val="18"/>
                <w:szCs w:val="18"/>
              </w:rPr>
              <w:t> </w:t>
            </w:r>
          </w:p>
        </w:tc>
        <w:tc>
          <w:tcPr>
            <w:tcW w:w="0" w:type="auto"/>
            <w:shd w:val="clear" w:color="auto" w:fill="auto"/>
          </w:tcPr>
          <w:p w14:paraId="20AE3ADE" w14:textId="77777777" w:rsidR="00B626E7" w:rsidRDefault="00B626E7">
            <w:pPr>
              <w:rPr>
                <w:rFonts w:ascii="宋体"/>
              </w:rPr>
            </w:pPr>
          </w:p>
        </w:tc>
        <w:tc>
          <w:tcPr>
            <w:tcW w:w="0" w:type="auto"/>
            <w:shd w:val="clear" w:color="auto" w:fill="auto"/>
          </w:tcPr>
          <w:p w14:paraId="20AE3ADF" w14:textId="77777777" w:rsidR="00B626E7" w:rsidRDefault="00B626E7">
            <w:pPr>
              <w:rPr>
                <w:rFonts w:ascii="宋体"/>
              </w:rPr>
            </w:pPr>
          </w:p>
        </w:tc>
        <w:tc>
          <w:tcPr>
            <w:tcW w:w="0" w:type="auto"/>
            <w:shd w:val="clear" w:color="auto" w:fill="auto"/>
          </w:tcPr>
          <w:p w14:paraId="20AE3AE0" w14:textId="77777777" w:rsidR="00B626E7" w:rsidRDefault="00B626E7">
            <w:pPr>
              <w:rPr>
                <w:rFonts w:ascii="宋体"/>
              </w:rPr>
            </w:pPr>
          </w:p>
        </w:tc>
      </w:tr>
      <w:tr w:rsidR="00B626E7" w14:paraId="20AE3AE5" w14:textId="77777777">
        <w:tc>
          <w:tcPr>
            <w:tcW w:w="0" w:type="auto"/>
            <w:gridSpan w:val="6"/>
            <w:tcBorders>
              <w:top w:val="single" w:sz="8" w:space="0" w:color="0071C5"/>
            </w:tcBorders>
            <w:shd w:val="clear" w:color="auto" w:fill="auto"/>
            <w:tcMar>
              <w:top w:w="40" w:type="dxa"/>
              <w:left w:w="20" w:type="dxa"/>
              <w:bottom w:w="40" w:type="dxa"/>
              <w:right w:w="20" w:type="dxa"/>
            </w:tcMar>
            <w:vAlign w:val="bottom"/>
          </w:tcPr>
          <w:p w14:paraId="20AE3AE2" w14:textId="77777777" w:rsidR="00B626E7" w:rsidRDefault="00175C1D">
            <w:pPr>
              <w:textAlignment w:val="bottom"/>
            </w:pPr>
            <w:r>
              <w:rPr>
                <w:rFonts w:ascii="Arial" w:eastAsia="宋体" w:hAnsi="Arial" w:cs="Arial"/>
                <w:b/>
                <w:bCs/>
                <w:color w:val="026DCE"/>
                <w:sz w:val="18"/>
                <w:szCs w:val="18"/>
              </w:rPr>
              <w:t>Part II - Other Information</w:t>
            </w:r>
          </w:p>
        </w:tc>
        <w:tc>
          <w:tcPr>
            <w:tcW w:w="0" w:type="auto"/>
            <w:gridSpan w:val="3"/>
            <w:shd w:val="clear" w:color="auto" w:fill="auto"/>
          </w:tcPr>
          <w:p w14:paraId="20AE3AE3" w14:textId="77777777" w:rsidR="00B626E7" w:rsidRDefault="00B626E7">
            <w:pPr>
              <w:rPr>
                <w:rFonts w:ascii="宋体"/>
                <w:vanish/>
              </w:rPr>
            </w:pPr>
          </w:p>
        </w:tc>
        <w:tc>
          <w:tcPr>
            <w:tcW w:w="0" w:type="auto"/>
            <w:gridSpan w:val="3"/>
            <w:tcBorders>
              <w:top w:val="single" w:sz="8" w:space="0" w:color="0071C5"/>
            </w:tcBorders>
            <w:shd w:val="clear" w:color="auto" w:fill="auto"/>
            <w:tcMar>
              <w:left w:w="20" w:type="dxa"/>
              <w:right w:w="20" w:type="dxa"/>
            </w:tcMar>
            <w:vAlign w:val="bottom"/>
          </w:tcPr>
          <w:p w14:paraId="20AE3AE4" w14:textId="77777777" w:rsidR="00B626E7" w:rsidRDefault="00B626E7">
            <w:pPr>
              <w:rPr>
                <w:rFonts w:ascii="宋体"/>
              </w:rPr>
            </w:pPr>
          </w:p>
        </w:tc>
      </w:tr>
      <w:tr w:rsidR="00B626E7" w14:paraId="20AE3AEC" w14:textId="77777777">
        <w:tc>
          <w:tcPr>
            <w:tcW w:w="0" w:type="auto"/>
            <w:gridSpan w:val="3"/>
            <w:shd w:val="clear" w:color="auto" w:fill="auto"/>
            <w:tcMar>
              <w:top w:w="40" w:type="dxa"/>
              <w:left w:w="20" w:type="dxa"/>
              <w:bottom w:w="40" w:type="dxa"/>
              <w:right w:w="20" w:type="dxa"/>
            </w:tcMar>
            <w:vAlign w:val="bottom"/>
          </w:tcPr>
          <w:p w14:paraId="20AE3AE6" w14:textId="77777777" w:rsidR="00B626E7" w:rsidRDefault="00175C1D">
            <w:pPr>
              <w:textAlignment w:val="bottom"/>
            </w:pPr>
            <w:r>
              <w:rPr>
                <w:rFonts w:ascii="Arial" w:eastAsia="宋体" w:hAnsi="Arial" w:cs="Arial"/>
                <w:b/>
                <w:bCs/>
                <w:color w:val="333333"/>
                <w:sz w:val="18"/>
                <w:szCs w:val="18"/>
              </w:rPr>
              <w:t>Item 1.</w:t>
            </w:r>
          </w:p>
        </w:tc>
        <w:tc>
          <w:tcPr>
            <w:tcW w:w="0" w:type="auto"/>
            <w:gridSpan w:val="3"/>
            <w:shd w:val="clear" w:color="auto" w:fill="auto"/>
            <w:tcMar>
              <w:top w:w="40" w:type="dxa"/>
              <w:left w:w="20" w:type="dxa"/>
              <w:bottom w:w="40" w:type="dxa"/>
              <w:right w:w="20" w:type="dxa"/>
            </w:tcMar>
            <w:vAlign w:val="bottom"/>
          </w:tcPr>
          <w:p w14:paraId="20AE3AE7" w14:textId="77777777" w:rsidR="00B626E7" w:rsidRDefault="00175C1D">
            <w:pPr>
              <w:textAlignment w:val="bottom"/>
            </w:pPr>
            <w:r>
              <w:rPr>
                <w:rFonts w:ascii="Arial" w:eastAsia="宋体" w:hAnsi="Arial" w:cs="Arial"/>
                <w:b/>
                <w:bCs/>
                <w:color w:val="333333"/>
                <w:sz w:val="18"/>
                <w:szCs w:val="18"/>
              </w:rPr>
              <w:t>Legal Proceedings</w:t>
            </w:r>
          </w:p>
        </w:tc>
        <w:tc>
          <w:tcPr>
            <w:tcW w:w="0" w:type="auto"/>
            <w:gridSpan w:val="3"/>
            <w:shd w:val="clear" w:color="auto" w:fill="auto"/>
            <w:tcMar>
              <w:top w:w="40" w:type="dxa"/>
              <w:left w:w="20" w:type="dxa"/>
              <w:bottom w:w="40" w:type="dxa"/>
              <w:right w:w="20" w:type="dxa"/>
            </w:tcMar>
            <w:vAlign w:val="center"/>
          </w:tcPr>
          <w:p w14:paraId="20AE3AE8" w14:textId="77777777" w:rsidR="00B626E7" w:rsidRDefault="00175C1D">
            <w:pPr>
              <w:jc w:val="center"/>
              <w:textAlignment w:val="center"/>
            </w:pPr>
            <w:r>
              <w:rPr>
                <w:rFonts w:ascii="Arial" w:eastAsia="宋体" w:hAnsi="Arial" w:cs="Arial"/>
                <w:color w:val="333333"/>
                <w:sz w:val="18"/>
                <w:szCs w:val="18"/>
              </w:rPr>
              <w:t xml:space="preserve">Pages </w:t>
            </w:r>
            <w:hyperlink r:id="rId114" w:anchor="ib035cc8759904e51927d703ec8414366_157" w:history="1">
              <w:r>
                <w:rPr>
                  <w:rStyle w:val="a5"/>
                  <w:rFonts w:ascii="Arial" w:eastAsia="宋体" w:hAnsi="Arial" w:cs="Arial"/>
                  <w:sz w:val="18"/>
                  <w:szCs w:val="18"/>
                </w:rPr>
                <w:t>23</w:t>
              </w:r>
            </w:hyperlink>
            <w:r>
              <w:rPr>
                <w:rFonts w:ascii="Arial" w:eastAsia="宋体" w:hAnsi="Arial" w:cs="Arial"/>
                <w:color w:val="333333"/>
                <w:sz w:val="18"/>
                <w:szCs w:val="18"/>
              </w:rPr>
              <w:t xml:space="preserve"> - </w:t>
            </w:r>
            <w:hyperlink r:id="rId115" w:anchor="ib035cc8759904e51927d703ec8414366_160" w:history="1">
              <w:r>
                <w:rPr>
                  <w:rStyle w:val="a5"/>
                  <w:rFonts w:ascii="Arial" w:eastAsia="宋体" w:hAnsi="Arial" w:cs="Arial"/>
                  <w:sz w:val="18"/>
                  <w:szCs w:val="18"/>
                </w:rPr>
                <w:t>26</w:t>
              </w:r>
            </w:hyperlink>
          </w:p>
        </w:tc>
        <w:tc>
          <w:tcPr>
            <w:tcW w:w="0" w:type="auto"/>
            <w:shd w:val="clear" w:color="auto" w:fill="auto"/>
          </w:tcPr>
          <w:p w14:paraId="20AE3AE9" w14:textId="77777777" w:rsidR="00B626E7" w:rsidRDefault="00B626E7">
            <w:pPr>
              <w:rPr>
                <w:rFonts w:ascii="宋体"/>
              </w:rPr>
            </w:pPr>
          </w:p>
        </w:tc>
        <w:tc>
          <w:tcPr>
            <w:tcW w:w="0" w:type="auto"/>
            <w:shd w:val="clear" w:color="auto" w:fill="auto"/>
          </w:tcPr>
          <w:p w14:paraId="20AE3AEA" w14:textId="77777777" w:rsidR="00B626E7" w:rsidRDefault="00B626E7">
            <w:pPr>
              <w:rPr>
                <w:rFonts w:ascii="宋体"/>
              </w:rPr>
            </w:pPr>
          </w:p>
        </w:tc>
        <w:tc>
          <w:tcPr>
            <w:tcW w:w="0" w:type="auto"/>
            <w:shd w:val="clear" w:color="auto" w:fill="auto"/>
          </w:tcPr>
          <w:p w14:paraId="20AE3AEB" w14:textId="77777777" w:rsidR="00B626E7" w:rsidRDefault="00B626E7">
            <w:pPr>
              <w:rPr>
                <w:rFonts w:ascii="宋体"/>
              </w:rPr>
            </w:pPr>
          </w:p>
        </w:tc>
      </w:tr>
      <w:tr w:rsidR="00B626E7" w14:paraId="20AE3AF3" w14:textId="77777777">
        <w:tc>
          <w:tcPr>
            <w:tcW w:w="0" w:type="auto"/>
            <w:gridSpan w:val="3"/>
            <w:shd w:val="clear" w:color="auto" w:fill="auto"/>
            <w:tcMar>
              <w:top w:w="40" w:type="dxa"/>
              <w:left w:w="20" w:type="dxa"/>
              <w:bottom w:w="40" w:type="dxa"/>
              <w:right w:w="20" w:type="dxa"/>
            </w:tcMar>
            <w:vAlign w:val="bottom"/>
          </w:tcPr>
          <w:p w14:paraId="20AE3AED" w14:textId="77777777" w:rsidR="00B626E7" w:rsidRDefault="00175C1D">
            <w:pPr>
              <w:textAlignment w:val="bottom"/>
            </w:pPr>
            <w:r>
              <w:rPr>
                <w:rFonts w:ascii="Arial" w:eastAsia="宋体" w:hAnsi="Arial" w:cs="Arial"/>
                <w:b/>
                <w:bCs/>
                <w:color w:val="333333"/>
                <w:sz w:val="18"/>
                <w:szCs w:val="18"/>
              </w:rPr>
              <w:t>Item 1A.</w:t>
            </w:r>
          </w:p>
        </w:tc>
        <w:tc>
          <w:tcPr>
            <w:tcW w:w="0" w:type="auto"/>
            <w:gridSpan w:val="3"/>
            <w:shd w:val="clear" w:color="auto" w:fill="auto"/>
            <w:tcMar>
              <w:top w:w="40" w:type="dxa"/>
              <w:left w:w="20" w:type="dxa"/>
              <w:bottom w:w="40" w:type="dxa"/>
              <w:right w:w="20" w:type="dxa"/>
            </w:tcMar>
            <w:vAlign w:val="bottom"/>
          </w:tcPr>
          <w:p w14:paraId="20AE3AEE" w14:textId="77777777" w:rsidR="00B626E7" w:rsidRDefault="00175C1D">
            <w:pPr>
              <w:textAlignment w:val="bottom"/>
            </w:pPr>
            <w:r>
              <w:rPr>
                <w:rFonts w:ascii="Arial" w:eastAsia="宋体" w:hAnsi="Arial" w:cs="Arial"/>
                <w:b/>
                <w:bCs/>
                <w:color w:val="333333"/>
                <w:sz w:val="18"/>
                <w:szCs w:val="18"/>
              </w:rPr>
              <w:t>Risk Factors</w:t>
            </w:r>
          </w:p>
        </w:tc>
        <w:tc>
          <w:tcPr>
            <w:tcW w:w="0" w:type="auto"/>
            <w:gridSpan w:val="3"/>
            <w:shd w:val="clear" w:color="auto" w:fill="auto"/>
            <w:tcMar>
              <w:top w:w="40" w:type="dxa"/>
              <w:left w:w="20" w:type="dxa"/>
              <w:bottom w:w="40" w:type="dxa"/>
              <w:right w:w="20" w:type="dxa"/>
            </w:tcMar>
            <w:vAlign w:val="center"/>
          </w:tcPr>
          <w:p w14:paraId="20AE3AEF" w14:textId="77777777" w:rsidR="00B626E7" w:rsidRDefault="00175C1D">
            <w:pPr>
              <w:jc w:val="center"/>
              <w:textAlignment w:val="center"/>
            </w:pPr>
            <w:r>
              <w:rPr>
                <w:rFonts w:ascii="Arial" w:eastAsia="宋体" w:hAnsi="Arial" w:cs="Arial"/>
                <w:color w:val="333333"/>
                <w:sz w:val="18"/>
                <w:szCs w:val="18"/>
              </w:rPr>
              <w:t xml:space="preserve">Page </w:t>
            </w:r>
            <w:hyperlink r:id="rId116" w:anchor="ib035cc8759904e51927d703ec8414366_235" w:history="1">
              <w:r>
                <w:rPr>
                  <w:rStyle w:val="a5"/>
                  <w:rFonts w:ascii="Arial" w:eastAsia="宋体" w:hAnsi="Arial" w:cs="Arial"/>
                  <w:sz w:val="18"/>
                  <w:szCs w:val="18"/>
                </w:rPr>
                <w:t>44</w:t>
              </w:r>
            </w:hyperlink>
          </w:p>
        </w:tc>
        <w:tc>
          <w:tcPr>
            <w:tcW w:w="0" w:type="auto"/>
            <w:shd w:val="clear" w:color="auto" w:fill="auto"/>
          </w:tcPr>
          <w:p w14:paraId="20AE3AF0" w14:textId="77777777" w:rsidR="00B626E7" w:rsidRDefault="00B626E7">
            <w:pPr>
              <w:rPr>
                <w:rFonts w:ascii="宋体"/>
              </w:rPr>
            </w:pPr>
          </w:p>
        </w:tc>
        <w:tc>
          <w:tcPr>
            <w:tcW w:w="0" w:type="auto"/>
            <w:shd w:val="clear" w:color="auto" w:fill="auto"/>
          </w:tcPr>
          <w:p w14:paraId="20AE3AF1" w14:textId="77777777" w:rsidR="00B626E7" w:rsidRDefault="00B626E7">
            <w:pPr>
              <w:rPr>
                <w:rFonts w:ascii="宋体"/>
              </w:rPr>
            </w:pPr>
          </w:p>
        </w:tc>
        <w:tc>
          <w:tcPr>
            <w:tcW w:w="0" w:type="auto"/>
            <w:shd w:val="clear" w:color="auto" w:fill="auto"/>
          </w:tcPr>
          <w:p w14:paraId="20AE3AF2" w14:textId="77777777" w:rsidR="00B626E7" w:rsidRDefault="00B626E7">
            <w:pPr>
              <w:rPr>
                <w:rFonts w:ascii="宋体"/>
              </w:rPr>
            </w:pPr>
          </w:p>
        </w:tc>
      </w:tr>
      <w:tr w:rsidR="00B626E7" w14:paraId="20AE3AFA" w14:textId="77777777">
        <w:tc>
          <w:tcPr>
            <w:tcW w:w="0" w:type="auto"/>
            <w:gridSpan w:val="3"/>
            <w:shd w:val="clear" w:color="auto" w:fill="auto"/>
            <w:tcMar>
              <w:top w:w="40" w:type="dxa"/>
              <w:left w:w="20" w:type="dxa"/>
              <w:bottom w:w="40" w:type="dxa"/>
              <w:right w:w="20" w:type="dxa"/>
            </w:tcMar>
            <w:vAlign w:val="bottom"/>
          </w:tcPr>
          <w:p w14:paraId="20AE3AF4" w14:textId="77777777" w:rsidR="00B626E7" w:rsidRDefault="00175C1D">
            <w:pPr>
              <w:textAlignment w:val="bottom"/>
            </w:pPr>
            <w:r>
              <w:rPr>
                <w:rFonts w:ascii="Arial" w:eastAsia="宋体" w:hAnsi="Arial" w:cs="Arial"/>
                <w:b/>
                <w:bCs/>
                <w:color w:val="333333"/>
                <w:sz w:val="18"/>
                <w:szCs w:val="18"/>
              </w:rPr>
              <w:t>Item 2.</w:t>
            </w:r>
          </w:p>
        </w:tc>
        <w:tc>
          <w:tcPr>
            <w:tcW w:w="0" w:type="auto"/>
            <w:gridSpan w:val="3"/>
            <w:shd w:val="clear" w:color="auto" w:fill="auto"/>
            <w:tcMar>
              <w:top w:w="40" w:type="dxa"/>
              <w:left w:w="20" w:type="dxa"/>
              <w:bottom w:w="40" w:type="dxa"/>
              <w:right w:w="20" w:type="dxa"/>
            </w:tcMar>
            <w:vAlign w:val="bottom"/>
          </w:tcPr>
          <w:p w14:paraId="20AE3AF5" w14:textId="77777777" w:rsidR="00B626E7" w:rsidRDefault="00175C1D">
            <w:pPr>
              <w:textAlignment w:val="bottom"/>
            </w:pPr>
            <w:r>
              <w:rPr>
                <w:rFonts w:ascii="Arial" w:eastAsia="宋体" w:hAnsi="Arial" w:cs="Arial"/>
                <w:b/>
                <w:bCs/>
                <w:color w:val="333333"/>
                <w:sz w:val="18"/>
                <w:szCs w:val="18"/>
              </w:rPr>
              <w:t>Unregistered Sales of Equity Securities and Use of Proceeds</w:t>
            </w:r>
          </w:p>
        </w:tc>
        <w:tc>
          <w:tcPr>
            <w:tcW w:w="0" w:type="auto"/>
            <w:gridSpan w:val="3"/>
            <w:shd w:val="clear" w:color="auto" w:fill="auto"/>
            <w:tcMar>
              <w:top w:w="40" w:type="dxa"/>
              <w:left w:w="20" w:type="dxa"/>
              <w:bottom w:w="40" w:type="dxa"/>
              <w:right w:w="20" w:type="dxa"/>
            </w:tcMar>
            <w:vAlign w:val="center"/>
          </w:tcPr>
          <w:p w14:paraId="20AE3AF6" w14:textId="77777777" w:rsidR="00B626E7" w:rsidRDefault="00175C1D">
            <w:pPr>
              <w:jc w:val="center"/>
              <w:textAlignment w:val="center"/>
            </w:pPr>
            <w:r>
              <w:rPr>
                <w:rFonts w:ascii="Arial" w:eastAsia="宋体" w:hAnsi="Arial" w:cs="Arial"/>
                <w:color w:val="333333"/>
                <w:sz w:val="18"/>
                <w:szCs w:val="18"/>
              </w:rPr>
              <w:t xml:space="preserve">Page </w:t>
            </w:r>
            <w:hyperlink r:id="rId117" w:anchor="ib035cc8759904e51927d703ec8414366_244" w:history="1">
              <w:r>
                <w:rPr>
                  <w:rStyle w:val="a5"/>
                  <w:rFonts w:ascii="Arial" w:eastAsia="宋体" w:hAnsi="Arial" w:cs="Arial"/>
                  <w:sz w:val="18"/>
                  <w:szCs w:val="18"/>
                </w:rPr>
                <w:t>44</w:t>
              </w:r>
            </w:hyperlink>
          </w:p>
        </w:tc>
        <w:tc>
          <w:tcPr>
            <w:tcW w:w="0" w:type="auto"/>
            <w:shd w:val="clear" w:color="auto" w:fill="auto"/>
          </w:tcPr>
          <w:p w14:paraId="20AE3AF7" w14:textId="77777777" w:rsidR="00B626E7" w:rsidRDefault="00B626E7">
            <w:pPr>
              <w:rPr>
                <w:rFonts w:ascii="宋体"/>
              </w:rPr>
            </w:pPr>
          </w:p>
        </w:tc>
        <w:tc>
          <w:tcPr>
            <w:tcW w:w="0" w:type="auto"/>
            <w:shd w:val="clear" w:color="auto" w:fill="auto"/>
          </w:tcPr>
          <w:p w14:paraId="20AE3AF8" w14:textId="77777777" w:rsidR="00B626E7" w:rsidRDefault="00B626E7">
            <w:pPr>
              <w:rPr>
                <w:rFonts w:ascii="宋体"/>
              </w:rPr>
            </w:pPr>
          </w:p>
        </w:tc>
        <w:tc>
          <w:tcPr>
            <w:tcW w:w="0" w:type="auto"/>
            <w:shd w:val="clear" w:color="auto" w:fill="auto"/>
          </w:tcPr>
          <w:p w14:paraId="20AE3AF9" w14:textId="77777777" w:rsidR="00B626E7" w:rsidRDefault="00B626E7">
            <w:pPr>
              <w:rPr>
                <w:rFonts w:ascii="宋体"/>
              </w:rPr>
            </w:pPr>
          </w:p>
        </w:tc>
      </w:tr>
      <w:tr w:rsidR="00B626E7" w14:paraId="20AE3B01" w14:textId="77777777">
        <w:tc>
          <w:tcPr>
            <w:tcW w:w="0" w:type="auto"/>
            <w:gridSpan w:val="3"/>
            <w:shd w:val="clear" w:color="auto" w:fill="auto"/>
            <w:tcMar>
              <w:top w:w="40" w:type="dxa"/>
              <w:left w:w="20" w:type="dxa"/>
              <w:bottom w:w="40" w:type="dxa"/>
              <w:right w:w="20" w:type="dxa"/>
            </w:tcMar>
            <w:vAlign w:val="bottom"/>
          </w:tcPr>
          <w:p w14:paraId="20AE3AFB" w14:textId="77777777" w:rsidR="00B626E7" w:rsidRDefault="00175C1D">
            <w:pPr>
              <w:textAlignment w:val="bottom"/>
            </w:pPr>
            <w:r>
              <w:rPr>
                <w:rFonts w:ascii="Arial" w:eastAsia="宋体" w:hAnsi="Arial" w:cs="Arial"/>
                <w:b/>
                <w:bCs/>
                <w:color w:val="333333"/>
                <w:sz w:val="18"/>
                <w:szCs w:val="18"/>
              </w:rPr>
              <w:t>Item 3.</w:t>
            </w:r>
          </w:p>
        </w:tc>
        <w:tc>
          <w:tcPr>
            <w:tcW w:w="0" w:type="auto"/>
            <w:gridSpan w:val="3"/>
            <w:shd w:val="clear" w:color="auto" w:fill="auto"/>
            <w:tcMar>
              <w:top w:w="40" w:type="dxa"/>
              <w:left w:w="20" w:type="dxa"/>
              <w:bottom w:w="40" w:type="dxa"/>
              <w:right w:w="20" w:type="dxa"/>
            </w:tcMar>
            <w:vAlign w:val="bottom"/>
          </w:tcPr>
          <w:p w14:paraId="20AE3AFC" w14:textId="77777777" w:rsidR="00B626E7" w:rsidRDefault="00175C1D">
            <w:pPr>
              <w:textAlignment w:val="bottom"/>
            </w:pPr>
            <w:r>
              <w:rPr>
                <w:rFonts w:ascii="Arial" w:eastAsia="宋体" w:hAnsi="Arial" w:cs="Arial"/>
                <w:b/>
                <w:bCs/>
                <w:color w:val="333333"/>
                <w:sz w:val="18"/>
                <w:szCs w:val="18"/>
              </w:rPr>
              <w:t>Defaults Upon Senior Securities</w:t>
            </w:r>
          </w:p>
        </w:tc>
        <w:tc>
          <w:tcPr>
            <w:tcW w:w="0" w:type="auto"/>
            <w:gridSpan w:val="3"/>
            <w:shd w:val="clear" w:color="auto" w:fill="auto"/>
            <w:tcMar>
              <w:top w:w="40" w:type="dxa"/>
              <w:left w:w="20" w:type="dxa"/>
              <w:bottom w:w="40" w:type="dxa"/>
              <w:right w:w="20" w:type="dxa"/>
            </w:tcMar>
            <w:vAlign w:val="center"/>
          </w:tcPr>
          <w:p w14:paraId="20AE3AFD" w14:textId="77777777" w:rsidR="00B626E7" w:rsidRDefault="00175C1D">
            <w:pPr>
              <w:jc w:val="center"/>
              <w:textAlignment w:val="center"/>
            </w:pPr>
            <w:r>
              <w:rPr>
                <w:rFonts w:ascii="Arial" w:eastAsia="宋体" w:hAnsi="Arial" w:cs="Arial"/>
                <w:color w:val="333333"/>
                <w:sz w:val="18"/>
                <w:szCs w:val="18"/>
              </w:rPr>
              <w:t>Not applicable</w:t>
            </w:r>
          </w:p>
        </w:tc>
        <w:tc>
          <w:tcPr>
            <w:tcW w:w="0" w:type="auto"/>
            <w:shd w:val="clear" w:color="auto" w:fill="auto"/>
          </w:tcPr>
          <w:p w14:paraId="20AE3AFE" w14:textId="77777777" w:rsidR="00B626E7" w:rsidRDefault="00B626E7">
            <w:pPr>
              <w:rPr>
                <w:rFonts w:ascii="宋体"/>
              </w:rPr>
            </w:pPr>
          </w:p>
        </w:tc>
        <w:tc>
          <w:tcPr>
            <w:tcW w:w="0" w:type="auto"/>
            <w:shd w:val="clear" w:color="auto" w:fill="auto"/>
          </w:tcPr>
          <w:p w14:paraId="20AE3AFF" w14:textId="77777777" w:rsidR="00B626E7" w:rsidRDefault="00B626E7">
            <w:pPr>
              <w:rPr>
                <w:rFonts w:ascii="宋体"/>
              </w:rPr>
            </w:pPr>
          </w:p>
        </w:tc>
        <w:tc>
          <w:tcPr>
            <w:tcW w:w="0" w:type="auto"/>
            <w:shd w:val="clear" w:color="auto" w:fill="auto"/>
          </w:tcPr>
          <w:p w14:paraId="20AE3B00" w14:textId="77777777" w:rsidR="00B626E7" w:rsidRDefault="00B626E7">
            <w:pPr>
              <w:rPr>
                <w:rFonts w:ascii="宋体"/>
              </w:rPr>
            </w:pPr>
          </w:p>
        </w:tc>
      </w:tr>
      <w:tr w:rsidR="00B626E7" w14:paraId="20AE3B08" w14:textId="77777777">
        <w:tc>
          <w:tcPr>
            <w:tcW w:w="0" w:type="auto"/>
            <w:gridSpan w:val="3"/>
            <w:shd w:val="clear" w:color="auto" w:fill="auto"/>
            <w:tcMar>
              <w:top w:w="40" w:type="dxa"/>
              <w:left w:w="20" w:type="dxa"/>
              <w:bottom w:w="40" w:type="dxa"/>
              <w:right w:w="20" w:type="dxa"/>
            </w:tcMar>
            <w:vAlign w:val="bottom"/>
          </w:tcPr>
          <w:p w14:paraId="20AE3B02" w14:textId="77777777" w:rsidR="00B626E7" w:rsidRDefault="00175C1D">
            <w:pPr>
              <w:textAlignment w:val="bottom"/>
            </w:pPr>
            <w:r>
              <w:rPr>
                <w:rFonts w:ascii="Arial" w:eastAsia="宋体" w:hAnsi="Arial" w:cs="Arial"/>
                <w:b/>
                <w:bCs/>
                <w:color w:val="333333"/>
                <w:sz w:val="18"/>
                <w:szCs w:val="18"/>
              </w:rPr>
              <w:t xml:space="preserve">Item 4. </w:t>
            </w:r>
          </w:p>
        </w:tc>
        <w:tc>
          <w:tcPr>
            <w:tcW w:w="0" w:type="auto"/>
            <w:gridSpan w:val="3"/>
            <w:shd w:val="clear" w:color="auto" w:fill="auto"/>
            <w:tcMar>
              <w:top w:w="40" w:type="dxa"/>
              <w:left w:w="20" w:type="dxa"/>
              <w:bottom w:w="40" w:type="dxa"/>
              <w:right w:w="20" w:type="dxa"/>
            </w:tcMar>
            <w:vAlign w:val="bottom"/>
          </w:tcPr>
          <w:p w14:paraId="20AE3B03" w14:textId="77777777" w:rsidR="00B626E7" w:rsidRDefault="00175C1D">
            <w:pPr>
              <w:textAlignment w:val="bottom"/>
            </w:pPr>
            <w:r>
              <w:rPr>
                <w:rFonts w:ascii="Arial" w:eastAsia="宋体" w:hAnsi="Arial" w:cs="Arial"/>
                <w:b/>
                <w:bCs/>
                <w:color w:val="333333"/>
                <w:sz w:val="18"/>
                <w:szCs w:val="18"/>
              </w:rPr>
              <w:t xml:space="preserve">Mine Safety </w:t>
            </w:r>
            <w:r>
              <w:rPr>
                <w:rFonts w:ascii="Arial" w:eastAsia="宋体" w:hAnsi="Arial" w:cs="Arial"/>
                <w:b/>
                <w:bCs/>
                <w:color w:val="333333"/>
                <w:sz w:val="18"/>
                <w:szCs w:val="18"/>
              </w:rPr>
              <w:t>Disclosures</w:t>
            </w:r>
          </w:p>
        </w:tc>
        <w:tc>
          <w:tcPr>
            <w:tcW w:w="0" w:type="auto"/>
            <w:gridSpan w:val="3"/>
            <w:shd w:val="clear" w:color="auto" w:fill="auto"/>
            <w:tcMar>
              <w:top w:w="40" w:type="dxa"/>
              <w:left w:w="20" w:type="dxa"/>
              <w:bottom w:w="40" w:type="dxa"/>
              <w:right w:w="20" w:type="dxa"/>
            </w:tcMar>
            <w:vAlign w:val="center"/>
          </w:tcPr>
          <w:p w14:paraId="20AE3B04" w14:textId="77777777" w:rsidR="00B626E7" w:rsidRDefault="00175C1D">
            <w:pPr>
              <w:jc w:val="center"/>
              <w:textAlignment w:val="center"/>
            </w:pPr>
            <w:r>
              <w:rPr>
                <w:rFonts w:ascii="Arial" w:eastAsia="宋体" w:hAnsi="Arial" w:cs="Arial"/>
                <w:color w:val="333333"/>
                <w:sz w:val="18"/>
                <w:szCs w:val="18"/>
              </w:rPr>
              <w:t>Not applicable</w:t>
            </w:r>
          </w:p>
        </w:tc>
        <w:tc>
          <w:tcPr>
            <w:tcW w:w="0" w:type="auto"/>
            <w:shd w:val="clear" w:color="auto" w:fill="auto"/>
          </w:tcPr>
          <w:p w14:paraId="20AE3B05" w14:textId="77777777" w:rsidR="00B626E7" w:rsidRDefault="00B626E7">
            <w:pPr>
              <w:rPr>
                <w:rFonts w:ascii="宋体"/>
              </w:rPr>
            </w:pPr>
          </w:p>
        </w:tc>
        <w:tc>
          <w:tcPr>
            <w:tcW w:w="0" w:type="auto"/>
            <w:shd w:val="clear" w:color="auto" w:fill="auto"/>
          </w:tcPr>
          <w:p w14:paraId="20AE3B06" w14:textId="77777777" w:rsidR="00B626E7" w:rsidRDefault="00B626E7">
            <w:pPr>
              <w:rPr>
                <w:rFonts w:ascii="宋体"/>
              </w:rPr>
            </w:pPr>
          </w:p>
        </w:tc>
        <w:tc>
          <w:tcPr>
            <w:tcW w:w="0" w:type="auto"/>
            <w:shd w:val="clear" w:color="auto" w:fill="auto"/>
          </w:tcPr>
          <w:p w14:paraId="20AE3B07" w14:textId="77777777" w:rsidR="00B626E7" w:rsidRDefault="00B626E7">
            <w:pPr>
              <w:rPr>
                <w:rFonts w:ascii="宋体"/>
              </w:rPr>
            </w:pPr>
          </w:p>
        </w:tc>
      </w:tr>
      <w:tr w:rsidR="00B626E7" w14:paraId="20AE3B0F" w14:textId="77777777">
        <w:tc>
          <w:tcPr>
            <w:tcW w:w="0" w:type="auto"/>
            <w:gridSpan w:val="3"/>
            <w:shd w:val="clear" w:color="auto" w:fill="auto"/>
            <w:tcMar>
              <w:top w:w="40" w:type="dxa"/>
              <w:left w:w="20" w:type="dxa"/>
              <w:bottom w:w="40" w:type="dxa"/>
              <w:right w:w="20" w:type="dxa"/>
            </w:tcMar>
            <w:vAlign w:val="bottom"/>
          </w:tcPr>
          <w:p w14:paraId="20AE3B09" w14:textId="77777777" w:rsidR="00B626E7" w:rsidRDefault="00175C1D">
            <w:pPr>
              <w:textAlignment w:val="bottom"/>
            </w:pPr>
            <w:r>
              <w:rPr>
                <w:rFonts w:ascii="Arial" w:eastAsia="宋体" w:hAnsi="Arial" w:cs="Arial"/>
                <w:b/>
                <w:bCs/>
                <w:color w:val="333333"/>
                <w:sz w:val="18"/>
                <w:szCs w:val="18"/>
              </w:rPr>
              <w:t xml:space="preserve">Item 5. </w:t>
            </w:r>
          </w:p>
        </w:tc>
        <w:tc>
          <w:tcPr>
            <w:tcW w:w="0" w:type="auto"/>
            <w:gridSpan w:val="3"/>
            <w:shd w:val="clear" w:color="auto" w:fill="auto"/>
            <w:tcMar>
              <w:top w:w="40" w:type="dxa"/>
              <w:left w:w="20" w:type="dxa"/>
              <w:bottom w:w="40" w:type="dxa"/>
              <w:right w:w="20" w:type="dxa"/>
            </w:tcMar>
            <w:vAlign w:val="bottom"/>
          </w:tcPr>
          <w:p w14:paraId="20AE3B0A" w14:textId="77777777" w:rsidR="00B626E7" w:rsidRDefault="00175C1D">
            <w:pPr>
              <w:textAlignment w:val="bottom"/>
            </w:pPr>
            <w:r>
              <w:rPr>
                <w:rFonts w:ascii="Arial" w:eastAsia="宋体" w:hAnsi="Arial" w:cs="Arial"/>
                <w:b/>
                <w:bCs/>
                <w:color w:val="333333"/>
                <w:sz w:val="18"/>
                <w:szCs w:val="18"/>
              </w:rPr>
              <w:t>Other Information</w:t>
            </w:r>
          </w:p>
        </w:tc>
        <w:tc>
          <w:tcPr>
            <w:tcW w:w="0" w:type="auto"/>
            <w:gridSpan w:val="3"/>
            <w:shd w:val="clear" w:color="auto" w:fill="auto"/>
            <w:tcMar>
              <w:top w:w="40" w:type="dxa"/>
              <w:left w:w="20" w:type="dxa"/>
              <w:bottom w:w="40" w:type="dxa"/>
              <w:right w:w="20" w:type="dxa"/>
            </w:tcMar>
            <w:vAlign w:val="center"/>
          </w:tcPr>
          <w:p w14:paraId="20AE3B0B" w14:textId="77777777" w:rsidR="00B626E7" w:rsidRDefault="00175C1D">
            <w:pPr>
              <w:jc w:val="center"/>
              <w:textAlignment w:val="center"/>
            </w:pPr>
            <w:r>
              <w:rPr>
                <w:rFonts w:ascii="Arial" w:eastAsia="宋体" w:hAnsi="Arial" w:cs="Arial"/>
                <w:color w:val="333333"/>
                <w:sz w:val="18"/>
                <w:szCs w:val="18"/>
              </w:rPr>
              <w:t>Not applicable</w:t>
            </w:r>
          </w:p>
        </w:tc>
        <w:tc>
          <w:tcPr>
            <w:tcW w:w="0" w:type="auto"/>
            <w:shd w:val="clear" w:color="auto" w:fill="auto"/>
          </w:tcPr>
          <w:p w14:paraId="20AE3B0C" w14:textId="77777777" w:rsidR="00B626E7" w:rsidRDefault="00B626E7">
            <w:pPr>
              <w:rPr>
                <w:rFonts w:ascii="宋体"/>
              </w:rPr>
            </w:pPr>
          </w:p>
        </w:tc>
        <w:tc>
          <w:tcPr>
            <w:tcW w:w="0" w:type="auto"/>
            <w:shd w:val="clear" w:color="auto" w:fill="auto"/>
          </w:tcPr>
          <w:p w14:paraId="20AE3B0D" w14:textId="77777777" w:rsidR="00B626E7" w:rsidRDefault="00B626E7">
            <w:pPr>
              <w:rPr>
                <w:rFonts w:ascii="宋体"/>
              </w:rPr>
            </w:pPr>
          </w:p>
        </w:tc>
        <w:tc>
          <w:tcPr>
            <w:tcW w:w="0" w:type="auto"/>
            <w:shd w:val="clear" w:color="auto" w:fill="auto"/>
          </w:tcPr>
          <w:p w14:paraId="20AE3B0E" w14:textId="77777777" w:rsidR="00B626E7" w:rsidRDefault="00B626E7">
            <w:pPr>
              <w:rPr>
                <w:rFonts w:ascii="宋体"/>
              </w:rPr>
            </w:pPr>
          </w:p>
        </w:tc>
      </w:tr>
      <w:tr w:rsidR="00B626E7" w14:paraId="20AE3B16" w14:textId="77777777">
        <w:tc>
          <w:tcPr>
            <w:tcW w:w="0" w:type="auto"/>
            <w:gridSpan w:val="3"/>
            <w:shd w:val="clear" w:color="auto" w:fill="auto"/>
            <w:tcMar>
              <w:top w:w="40" w:type="dxa"/>
              <w:left w:w="20" w:type="dxa"/>
              <w:bottom w:w="40" w:type="dxa"/>
              <w:right w:w="20" w:type="dxa"/>
            </w:tcMar>
            <w:vAlign w:val="bottom"/>
          </w:tcPr>
          <w:p w14:paraId="20AE3B10" w14:textId="77777777" w:rsidR="00B626E7" w:rsidRDefault="00175C1D">
            <w:pPr>
              <w:textAlignment w:val="bottom"/>
            </w:pPr>
            <w:r>
              <w:rPr>
                <w:rFonts w:ascii="Arial" w:eastAsia="宋体" w:hAnsi="Arial" w:cs="Arial"/>
                <w:b/>
                <w:bCs/>
                <w:color w:val="333333"/>
                <w:sz w:val="18"/>
                <w:szCs w:val="18"/>
              </w:rPr>
              <w:t>Item 6.</w:t>
            </w:r>
          </w:p>
        </w:tc>
        <w:tc>
          <w:tcPr>
            <w:tcW w:w="0" w:type="auto"/>
            <w:gridSpan w:val="3"/>
            <w:shd w:val="clear" w:color="auto" w:fill="auto"/>
            <w:tcMar>
              <w:top w:w="40" w:type="dxa"/>
              <w:left w:w="20" w:type="dxa"/>
              <w:bottom w:w="40" w:type="dxa"/>
              <w:right w:w="20" w:type="dxa"/>
            </w:tcMar>
            <w:vAlign w:val="bottom"/>
          </w:tcPr>
          <w:p w14:paraId="20AE3B11" w14:textId="77777777" w:rsidR="00B626E7" w:rsidRDefault="00175C1D">
            <w:pPr>
              <w:textAlignment w:val="bottom"/>
            </w:pPr>
            <w:r>
              <w:rPr>
                <w:rFonts w:ascii="Arial" w:eastAsia="宋体" w:hAnsi="Arial" w:cs="Arial"/>
                <w:b/>
                <w:bCs/>
                <w:color w:val="333333"/>
                <w:sz w:val="18"/>
                <w:szCs w:val="18"/>
              </w:rPr>
              <w:t>Exhibits</w:t>
            </w:r>
          </w:p>
        </w:tc>
        <w:tc>
          <w:tcPr>
            <w:tcW w:w="0" w:type="auto"/>
            <w:gridSpan w:val="3"/>
            <w:shd w:val="clear" w:color="auto" w:fill="auto"/>
            <w:tcMar>
              <w:top w:w="40" w:type="dxa"/>
              <w:left w:w="20" w:type="dxa"/>
              <w:bottom w:w="40" w:type="dxa"/>
              <w:right w:w="20" w:type="dxa"/>
            </w:tcMar>
            <w:vAlign w:val="center"/>
          </w:tcPr>
          <w:p w14:paraId="20AE3B12" w14:textId="77777777" w:rsidR="00B626E7" w:rsidRDefault="00175C1D">
            <w:pPr>
              <w:jc w:val="center"/>
              <w:textAlignment w:val="center"/>
            </w:pPr>
            <w:r>
              <w:rPr>
                <w:rFonts w:ascii="Arial" w:eastAsia="宋体" w:hAnsi="Arial" w:cs="Arial"/>
                <w:color w:val="333333"/>
                <w:sz w:val="18"/>
                <w:szCs w:val="18"/>
              </w:rPr>
              <w:t xml:space="preserve">Page </w:t>
            </w:r>
            <w:hyperlink r:id="rId118" w:anchor="ib035cc8759904e51927d703ec8414366_247" w:history="1">
              <w:r>
                <w:rPr>
                  <w:rStyle w:val="a5"/>
                  <w:rFonts w:ascii="Arial" w:eastAsia="宋体" w:hAnsi="Arial" w:cs="Arial"/>
                  <w:sz w:val="18"/>
                  <w:szCs w:val="18"/>
                </w:rPr>
                <w:t>45</w:t>
              </w:r>
            </w:hyperlink>
            <w:r>
              <w:rPr>
                <w:rFonts w:ascii="Arial" w:eastAsia="宋体" w:hAnsi="Arial" w:cs="Arial"/>
                <w:color w:val="333333"/>
                <w:sz w:val="18"/>
                <w:szCs w:val="18"/>
              </w:rPr>
              <w:t xml:space="preserve"> </w:t>
            </w:r>
          </w:p>
        </w:tc>
        <w:tc>
          <w:tcPr>
            <w:tcW w:w="0" w:type="auto"/>
            <w:shd w:val="clear" w:color="auto" w:fill="auto"/>
          </w:tcPr>
          <w:p w14:paraId="20AE3B13" w14:textId="77777777" w:rsidR="00B626E7" w:rsidRDefault="00B626E7">
            <w:pPr>
              <w:rPr>
                <w:rFonts w:ascii="宋体"/>
              </w:rPr>
            </w:pPr>
          </w:p>
        </w:tc>
        <w:tc>
          <w:tcPr>
            <w:tcW w:w="0" w:type="auto"/>
            <w:shd w:val="clear" w:color="auto" w:fill="auto"/>
          </w:tcPr>
          <w:p w14:paraId="20AE3B14" w14:textId="77777777" w:rsidR="00B626E7" w:rsidRDefault="00B626E7">
            <w:pPr>
              <w:rPr>
                <w:rFonts w:ascii="宋体"/>
              </w:rPr>
            </w:pPr>
          </w:p>
        </w:tc>
        <w:tc>
          <w:tcPr>
            <w:tcW w:w="0" w:type="auto"/>
            <w:shd w:val="clear" w:color="auto" w:fill="auto"/>
          </w:tcPr>
          <w:p w14:paraId="20AE3B15" w14:textId="77777777" w:rsidR="00B626E7" w:rsidRDefault="00B626E7">
            <w:pPr>
              <w:rPr>
                <w:rFonts w:ascii="宋体"/>
              </w:rPr>
            </w:pPr>
          </w:p>
        </w:tc>
      </w:tr>
      <w:tr w:rsidR="00B626E7" w14:paraId="20AE3B1D" w14:textId="77777777">
        <w:trPr>
          <w:trHeight w:val="60"/>
        </w:trPr>
        <w:tc>
          <w:tcPr>
            <w:tcW w:w="0" w:type="auto"/>
            <w:gridSpan w:val="3"/>
            <w:shd w:val="clear" w:color="auto" w:fill="auto"/>
            <w:tcMar>
              <w:left w:w="20" w:type="dxa"/>
              <w:right w:w="20" w:type="dxa"/>
            </w:tcMar>
            <w:vAlign w:val="bottom"/>
          </w:tcPr>
          <w:p w14:paraId="20AE3B17"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B18"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B19" w14:textId="77777777" w:rsidR="00B626E7" w:rsidRDefault="00B626E7">
            <w:pPr>
              <w:rPr>
                <w:rFonts w:ascii="宋体"/>
              </w:rPr>
            </w:pPr>
          </w:p>
        </w:tc>
        <w:tc>
          <w:tcPr>
            <w:tcW w:w="0" w:type="auto"/>
            <w:shd w:val="clear" w:color="auto" w:fill="auto"/>
          </w:tcPr>
          <w:p w14:paraId="20AE3B1A" w14:textId="77777777" w:rsidR="00B626E7" w:rsidRDefault="00B626E7">
            <w:pPr>
              <w:rPr>
                <w:rFonts w:ascii="宋体"/>
              </w:rPr>
            </w:pPr>
          </w:p>
        </w:tc>
        <w:tc>
          <w:tcPr>
            <w:tcW w:w="0" w:type="auto"/>
            <w:shd w:val="clear" w:color="auto" w:fill="auto"/>
          </w:tcPr>
          <w:p w14:paraId="20AE3B1B" w14:textId="77777777" w:rsidR="00B626E7" w:rsidRDefault="00B626E7">
            <w:pPr>
              <w:rPr>
                <w:rFonts w:ascii="宋体"/>
              </w:rPr>
            </w:pPr>
          </w:p>
        </w:tc>
        <w:tc>
          <w:tcPr>
            <w:tcW w:w="0" w:type="auto"/>
            <w:shd w:val="clear" w:color="auto" w:fill="auto"/>
          </w:tcPr>
          <w:p w14:paraId="20AE3B1C" w14:textId="77777777" w:rsidR="00B626E7" w:rsidRDefault="00B626E7">
            <w:pPr>
              <w:rPr>
                <w:rFonts w:ascii="宋体"/>
              </w:rPr>
            </w:pPr>
          </w:p>
        </w:tc>
      </w:tr>
      <w:tr w:rsidR="00B626E7" w14:paraId="20AE3B24" w14:textId="77777777">
        <w:tc>
          <w:tcPr>
            <w:tcW w:w="0" w:type="auto"/>
            <w:gridSpan w:val="3"/>
            <w:tcBorders>
              <w:bottom w:val="single" w:sz="8" w:space="0" w:color="0071C5"/>
            </w:tcBorders>
            <w:shd w:val="clear" w:color="auto" w:fill="auto"/>
            <w:tcMar>
              <w:top w:w="40" w:type="dxa"/>
              <w:left w:w="20" w:type="dxa"/>
              <w:bottom w:w="40" w:type="dxa"/>
              <w:right w:w="20" w:type="dxa"/>
            </w:tcMar>
            <w:vAlign w:val="bottom"/>
          </w:tcPr>
          <w:p w14:paraId="20AE3B1E" w14:textId="77777777" w:rsidR="00B626E7" w:rsidRDefault="00175C1D">
            <w:pPr>
              <w:textAlignment w:val="bottom"/>
            </w:pPr>
            <w:r>
              <w:rPr>
                <w:rFonts w:ascii="Arial" w:eastAsia="宋体" w:hAnsi="Arial" w:cs="Arial"/>
                <w:b/>
                <w:bCs/>
                <w:color w:val="026DCE"/>
                <w:sz w:val="18"/>
                <w:szCs w:val="18"/>
              </w:rPr>
              <w:t>Signatures</w:t>
            </w:r>
          </w:p>
        </w:tc>
        <w:tc>
          <w:tcPr>
            <w:tcW w:w="0" w:type="auto"/>
            <w:gridSpan w:val="3"/>
            <w:tcBorders>
              <w:bottom w:val="single" w:sz="8" w:space="0" w:color="0071C5"/>
            </w:tcBorders>
            <w:shd w:val="clear" w:color="auto" w:fill="auto"/>
            <w:tcMar>
              <w:left w:w="20" w:type="dxa"/>
              <w:right w:w="20" w:type="dxa"/>
            </w:tcMar>
            <w:vAlign w:val="bottom"/>
          </w:tcPr>
          <w:p w14:paraId="20AE3B1F" w14:textId="77777777" w:rsidR="00B626E7" w:rsidRDefault="00B626E7">
            <w:pPr>
              <w:rPr>
                <w:rFonts w:ascii="宋体"/>
              </w:rPr>
            </w:pPr>
          </w:p>
        </w:tc>
        <w:tc>
          <w:tcPr>
            <w:tcW w:w="0" w:type="auto"/>
            <w:gridSpan w:val="3"/>
            <w:tcBorders>
              <w:bottom w:val="single" w:sz="8" w:space="0" w:color="0071C5"/>
            </w:tcBorders>
            <w:shd w:val="clear" w:color="auto" w:fill="auto"/>
            <w:tcMar>
              <w:top w:w="40" w:type="dxa"/>
              <w:left w:w="20" w:type="dxa"/>
              <w:bottom w:w="40" w:type="dxa"/>
              <w:right w:w="20" w:type="dxa"/>
            </w:tcMar>
            <w:vAlign w:val="center"/>
          </w:tcPr>
          <w:p w14:paraId="20AE3B20" w14:textId="77777777" w:rsidR="00B626E7" w:rsidRDefault="00175C1D">
            <w:pPr>
              <w:jc w:val="center"/>
              <w:textAlignment w:val="center"/>
            </w:pPr>
            <w:r>
              <w:rPr>
                <w:rFonts w:ascii="Arial" w:eastAsia="宋体" w:hAnsi="Arial" w:cs="Arial"/>
                <w:color w:val="333333"/>
                <w:sz w:val="18"/>
                <w:szCs w:val="18"/>
              </w:rPr>
              <w:t xml:space="preserve">Page </w:t>
            </w:r>
            <w:hyperlink r:id="rId119" w:anchor="ib035cc8759904e51927d703ec8414366_256" w:history="1">
              <w:r>
                <w:rPr>
                  <w:rStyle w:val="a5"/>
                  <w:rFonts w:ascii="Arial" w:eastAsia="宋体" w:hAnsi="Arial" w:cs="Arial"/>
                  <w:sz w:val="18"/>
                  <w:szCs w:val="18"/>
                </w:rPr>
                <w:t>47</w:t>
              </w:r>
            </w:hyperlink>
          </w:p>
        </w:tc>
        <w:tc>
          <w:tcPr>
            <w:tcW w:w="0" w:type="auto"/>
            <w:shd w:val="clear" w:color="auto" w:fill="auto"/>
          </w:tcPr>
          <w:p w14:paraId="20AE3B21" w14:textId="77777777" w:rsidR="00B626E7" w:rsidRDefault="00B626E7">
            <w:pPr>
              <w:rPr>
                <w:rFonts w:ascii="宋体"/>
              </w:rPr>
            </w:pPr>
          </w:p>
        </w:tc>
        <w:tc>
          <w:tcPr>
            <w:tcW w:w="0" w:type="auto"/>
            <w:shd w:val="clear" w:color="auto" w:fill="auto"/>
          </w:tcPr>
          <w:p w14:paraId="20AE3B22" w14:textId="77777777" w:rsidR="00B626E7" w:rsidRDefault="00B626E7">
            <w:pPr>
              <w:rPr>
                <w:rFonts w:ascii="宋体"/>
              </w:rPr>
            </w:pPr>
          </w:p>
        </w:tc>
        <w:tc>
          <w:tcPr>
            <w:tcW w:w="0" w:type="auto"/>
            <w:shd w:val="clear" w:color="auto" w:fill="auto"/>
          </w:tcPr>
          <w:p w14:paraId="20AE3B23" w14:textId="77777777" w:rsidR="00B626E7" w:rsidRDefault="00B626E7">
            <w:pPr>
              <w:rPr>
                <w:rFonts w:ascii="宋体"/>
              </w:rPr>
            </w:pPr>
          </w:p>
        </w:tc>
      </w:tr>
    </w:tbl>
    <w:p w14:paraId="20AE3B25" w14:textId="77777777" w:rsidR="00B626E7" w:rsidRDefault="00175C1D">
      <w:pPr>
        <w:spacing w:before="240" w:after="60"/>
        <w:ind w:hanging="360"/>
      </w:pPr>
      <w:r>
        <w:rPr>
          <w:rFonts w:ascii="Arial" w:eastAsia="宋体" w:hAnsi="Arial" w:cs="Arial"/>
          <w:i/>
          <w:iCs/>
          <w:color w:val="333333"/>
          <w:sz w:val="16"/>
          <w:szCs w:val="16"/>
        </w:rPr>
        <w:t xml:space="preserve">(a) As of June 27, 2020, we did not have any significant off-balance sheet </w:t>
      </w:r>
      <w:r>
        <w:rPr>
          <w:rFonts w:ascii="Arial" w:eastAsia="宋体" w:hAnsi="Arial" w:cs="Arial"/>
          <w:i/>
          <w:iCs/>
          <w:color w:val="333333"/>
          <w:sz w:val="16"/>
          <w:szCs w:val="16"/>
        </w:rPr>
        <w:t>arrangements, as defined in Item 303(a)(4)(ii) of SEC Regulation S-K.</w:t>
      </w:r>
    </w:p>
    <w:p w14:paraId="20AE3B26" w14:textId="77777777" w:rsidR="00B626E7" w:rsidRDefault="00B626E7">
      <w:pPr>
        <w:spacing w:after="180"/>
        <w:ind w:hanging="360"/>
      </w:pPr>
    </w:p>
    <w:tbl>
      <w:tblPr>
        <w:tblW w:w="5000" w:type="pct"/>
        <w:tblCellMar>
          <w:top w:w="15" w:type="dxa"/>
          <w:left w:w="15" w:type="dxa"/>
          <w:bottom w:w="15" w:type="dxa"/>
          <w:right w:w="15" w:type="dxa"/>
        </w:tblCellMar>
        <w:tblLook w:val="04A0" w:firstRow="1" w:lastRow="0" w:firstColumn="1" w:lastColumn="0" w:noHBand="0" w:noVBand="1"/>
      </w:tblPr>
      <w:tblGrid>
        <w:gridCol w:w="84"/>
        <w:gridCol w:w="2423"/>
        <w:gridCol w:w="84"/>
        <w:gridCol w:w="83"/>
        <w:gridCol w:w="3471"/>
        <w:gridCol w:w="83"/>
        <w:gridCol w:w="83"/>
        <w:gridCol w:w="1942"/>
        <w:gridCol w:w="83"/>
      </w:tblGrid>
      <w:tr w:rsidR="00B626E7" w14:paraId="20AE3B30" w14:textId="77777777">
        <w:tc>
          <w:tcPr>
            <w:tcW w:w="50" w:type="pct"/>
            <w:shd w:val="clear" w:color="auto" w:fill="auto"/>
            <w:vAlign w:val="bottom"/>
          </w:tcPr>
          <w:p w14:paraId="20AE3B27" w14:textId="77777777" w:rsidR="00B626E7" w:rsidRDefault="00B626E7">
            <w:pPr>
              <w:rPr>
                <w:rFonts w:ascii="宋体"/>
              </w:rPr>
            </w:pPr>
          </w:p>
        </w:tc>
        <w:tc>
          <w:tcPr>
            <w:tcW w:w="1452" w:type="pct"/>
            <w:shd w:val="clear" w:color="auto" w:fill="auto"/>
            <w:vAlign w:val="bottom"/>
          </w:tcPr>
          <w:p w14:paraId="20AE3B28" w14:textId="77777777" w:rsidR="00B626E7" w:rsidRDefault="00B626E7">
            <w:pPr>
              <w:rPr>
                <w:rFonts w:ascii="宋体"/>
              </w:rPr>
            </w:pPr>
          </w:p>
        </w:tc>
        <w:tc>
          <w:tcPr>
            <w:tcW w:w="50" w:type="pct"/>
            <w:shd w:val="clear" w:color="auto" w:fill="auto"/>
            <w:vAlign w:val="bottom"/>
          </w:tcPr>
          <w:p w14:paraId="20AE3B29" w14:textId="77777777" w:rsidR="00B626E7" w:rsidRDefault="00B626E7">
            <w:pPr>
              <w:rPr>
                <w:rFonts w:ascii="宋体"/>
              </w:rPr>
            </w:pPr>
          </w:p>
        </w:tc>
        <w:tc>
          <w:tcPr>
            <w:tcW w:w="50" w:type="pct"/>
            <w:shd w:val="clear" w:color="auto" w:fill="auto"/>
            <w:vAlign w:val="bottom"/>
          </w:tcPr>
          <w:p w14:paraId="20AE3B2A" w14:textId="77777777" w:rsidR="00B626E7" w:rsidRDefault="00B626E7">
            <w:pPr>
              <w:rPr>
                <w:rFonts w:ascii="宋体"/>
              </w:rPr>
            </w:pPr>
          </w:p>
        </w:tc>
        <w:tc>
          <w:tcPr>
            <w:tcW w:w="2081" w:type="pct"/>
            <w:shd w:val="clear" w:color="auto" w:fill="auto"/>
            <w:vAlign w:val="bottom"/>
          </w:tcPr>
          <w:p w14:paraId="20AE3B2B" w14:textId="77777777" w:rsidR="00B626E7" w:rsidRDefault="00B626E7">
            <w:pPr>
              <w:rPr>
                <w:rFonts w:ascii="宋体"/>
              </w:rPr>
            </w:pPr>
          </w:p>
        </w:tc>
        <w:tc>
          <w:tcPr>
            <w:tcW w:w="50" w:type="pct"/>
            <w:shd w:val="clear" w:color="auto" w:fill="auto"/>
            <w:vAlign w:val="bottom"/>
          </w:tcPr>
          <w:p w14:paraId="20AE3B2C" w14:textId="77777777" w:rsidR="00B626E7" w:rsidRDefault="00B626E7">
            <w:pPr>
              <w:rPr>
                <w:rFonts w:ascii="宋体"/>
              </w:rPr>
            </w:pPr>
          </w:p>
        </w:tc>
        <w:tc>
          <w:tcPr>
            <w:tcW w:w="50" w:type="pct"/>
            <w:shd w:val="clear" w:color="auto" w:fill="auto"/>
            <w:vAlign w:val="bottom"/>
          </w:tcPr>
          <w:p w14:paraId="20AE3B2D" w14:textId="77777777" w:rsidR="00B626E7" w:rsidRDefault="00B626E7">
            <w:pPr>
              <w:rPr>
                <w:rFonts w:ascii="宋体"/>
              </w:rPr>
            </w:pPr>
          </w:p>
        </w:tc>
        <w:tc>
          <w:tcPr>
            <w:tcW w:w="1165" w:type="pct"/>
            <w:shd w:val="clear" w:color="auto" w:fill="auto"/>
            <w:vAlign w:val="bottom"/>
          </w:tcPr>
          <w:p w14:paraId="20AE3B2E" w14:textId="77777777" w:rsidR="00B626E7" w:rsidRDefault="00B626E7">
            <w:pPr>
              <w:rPr>
                <w:rFonts w:ascii="宋体"/>
              </w:rPr>
            </w:pPr>
          </w:p>
        </w:tc>
        <w:tc>
          <w:tcPr>
            <w:tcW w:w="50" w:type="pct"/>
            <w:shd w:val="clear" w:color="auto" w:fill="auto"/>
            <w:vAlign w:val="bottom"/>
          </w:tcPr>
          <w:p w14:paraId="20AE3B2F" w14:textId="77777777" w:rsidR="00B626E7" w:rsidRDefault="00B626E7">
            <w:pPr>
              <w:rPr>
                <w:rFonts w:ascii="宋体"/>
              </w:rPr>
            </w:pPr>
          </w:p>
        </w:tc>
      </w:tr>
      <w:tr w:rsidR="00B626E7" w14:paraId="20AE3B34" w14:textId="77777777">
        <w:tc>
          <w:tcPr>
            <w:tcW w:w="0" w:type="auto"/>
            <w:gridSpan w:val="3"/>
            <w:tcBorders>
              <w:top w:val="single" w:sz="8" w:space="0" w:color="0071C5"/>
            </w:tcBorders>
            <w:shd w:val="clear" w:color="auto" w:fill="auto"/>
            <w:tcMar>
              <w:top w:w="40" w:type="dxa"/>
              <w:left w:w="20" w:type="dxa"/>
              <w:bottom w:w="40" w:type="dxa"/>
              <w:right w:w="20" w:type="dxa"/>
            </w:tcMar>
            <w:vAlign w:val="center"/>
          </w:tcPr>
          <w:p w14:paraId="20AE3B31" w14:textId="77777777" w:rsidR="00B626E7" w:rsidRDefault="00175C1D">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Viewer10_files/intc-20200627_g70.jpg"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CB" wp14:editId="20AE3CCC">
                  <wp:extent cx="304800" cy="304800"/>
                  <wp:effectExtent l="0" t="0" r="0" b="0"/>
                  <wp:docPr id="5" name="图片 152"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2" descr="IMG_32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Arial" w:eastAsia="宋体" w:hAnsi="Arial" w:cs="Arial"/>
                <w:color w:val="333333"/>
                <w:sz w:val="16"/>
                <w:szCs w:val="16"/>
              </w:rPr>
              <w:t>OTHER KEY INFORMATION</w:t>
            </w:r>
          </w:p>
        </w:tc>
        <w:tc>
          <w:tcPr>
            <w:tcW w:w="0" w:type="auto"/>
            <w:gridSpan w:val="3"/>
            <w:tcBorders>
              <w:top w:val="single" w:sz="8" w:space="0" w:color="0071C5"/>
            </w:tcBorders>
            <w:shd w:val="clear" w:color="auto" w:fill="auto"/>
            <w:tcMar>
              <w:left w:w="20" w:type="dxa"/>
              <w:right w:w="20" w:type="dxa"/>
            </w:tcMar>
            <w:vAlign w:val="bottom"/>
          </w:tcPr>
          <w:p w14:paraId="20AE3B32"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3B33" w14:textId="77777777" w:rsidR="00B626E7" w:rsidRDefault="00175C1D">
            <w:pPr>
              <w:jc w:val="right"/>
              <w:textAlignment w:val="bottom"/>
            </w:pPr>
            <w:r>
              <w:rPr>
                <w:rFonts w:ascii="Arial" w:eastAsia="宋体" w:hAnsi="Arial" w:cs="Arial"/>
                <w:color w:val="333333"/>
                <w:sz w:val="16"/>
                <w:szCs w:val="16"/>
              </w:rPr>
              <w:t>46</w:t>
            </w:r>
          </w:p>
        </w:tc>
      </w:tr>
    </w:tbl>
    <w:p w14:paraId="20AE3B35" w14:textId="77777777" w:rsidR="00B626E7" w:rsidRDefault="00175C1D">
      <w:r>
        <w:pict w14:anchorId="20AE3CCD">
          <v:rect id="_x0000_i1072" style="width:415.3pt;height:1.5pt" o:hralign="center" o:hrstd="t" o:hr="t" fillcolor="#a0a0a0" stroked="f"/>
        </w:pict>
      </w:r>
    </w:p>
    <w:p w14:paraId="20AE3B36" w14:textId="77777777" w:rsidR="00B626E7" w:rsidRDefault="00175C1D">
      <w:pPr>
        <w:spacing w:after="180"/>
        <w:jc w:val="right"/>
      </w:pPr>
      <w:hyperlink r:id="rId120" w:anchor="ib035cc8759904e51927d703ec8414366_7" w:history="1">
        <w:r>
          <w:rPr>
            <w:rStyle w:val="a5"/>
            <w:rFonts w:ascii="Arial" w:eastAsia="宋体" w:hAnsi="Arial" w:cs="Arial"/>
            <w:b/>
            <w:bCs/>
            <w:sz w:val="16"/>
            <w:szCs w:val="16"/>
          </w:rPr>
          <w:t>Table of Contents</w:t>
        </w:r>
      </w:hyperlink>
    </w:p>
    <w:p w14:paraId="20AE3B37" w14:textId="77777777" w:rsidR="00B626E7" w:rsidRDefault="00B626E7">
      <w:pPr>
        <w:spacing w:after="180"/>
        <w:jc w:val="right"/>
      </w:pPr>
    </w:p>
    <w:p w14:paraId="20AE3B38" w14:textId="77777777" w:rsidR="00B626E7" w:rsidRDefault="00175C1D">
      <w:pPr>
        <w:spacing w:after="180"/>
      </w:pPr>
      <w:r>
        <w:rPr>
          <w:rFonts w:ascii="Arial" w:eastAsia="宋体" w:hAnsi="Arial" w:cs="Arial"/>
          <w:b/>
          <w:bCs/>
          <w:color w:val="0071C5"/>
          <w:sz w:val="28"/>
          <w:szCs w:val="28"/>
        </w:rPr>
        <w:t>SIGNATURES</w:t>
      </w:r>
    </w:p>
    <w:p w14:paraId="20AE3B39" w14:textId="77777777" w:rsidR="00B626E7" w:rsidRDefault="00175C1D">
      <w:pPr>
        <w:spacing w:before="240" w:after="180"/>
      </w:pPr>
      <w:r>
        <w:rPr>
          <w:rFonts w:ascii="Arial" w:eastAsia="宋体" w:hAnsi="Arial" w:cs="Arial"/>
          <w:color w:val="333333"/>
          <w:sz w:val="18"/>
          <w:szCs w:val="18"/>
        </w:rPr>
        <w:t xml:space="preserve">Pursuant to the requirements of the Securities Exchange Act of 1934, the </w:t>
      </w:r>
      <w:r>
        <w:rPr>
          <w:rFonts w:ascii="Arial" w:eastAsia="宋体" w:hAnsi="Arial" w:cs="Arial"/>
          <w:color w:val="333333"/>
          <w:sz w:val="18"/>
          <w:szCs w:val="18"/>
        </w:rPr>
        <w:t>registrant has duly caused this report to be signed on its behalf by the 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81"/>
        <w:gridCol w:w="310"/>
        <w:gridCol w:w="80"/>
        <w:gridCol w:w="72"/>
        <w:gridCol w:w="1772"/>
        <w:gridCol w:w="78"/>
        <w:gridCol w:w="78"/>
        <w:gridCol w:w="1151"/>
        <w:gridCol w:w="78"/>
        <w:gridCol w:w="80"/>
        <w:gridCol w:w="142"/>
        <w:gridCol w:w="79"/>
        <w:gridCol w:w="37"/>
        <w:gridCol w:w="154"/>
        <w:gridCol w:w="36"/>
        <w:gridCol w:w="78"/>
        <w:gridCol w:w="3736"/>
        <w:gridCol w:w="78"/>
        <w:gridCol w:w="36"/>
        <w:gridCol w:w="36"/>
        <w:gridCol w:w="36"/>
        <w:gridCol w:w="36"/>
        <w:gridCol w:w="36"/>
        <w:gridCol w:w="36"/>
      </w:tblGrid>
      <w:tr w:rsidR="00B626E7" w14:paraId="20AE3B4C" w14:textId="77777777">
        <w:trPr>
          <w:gridAfter w:val="6"/>
        </w:trPr>
        <w:tc>
          <w:tcPr>
            <w:tcW w:w="50" w:type="pct"/>
            <w:shd w:val="clear" w:color="auto" w:fill="auto"/>
          </w:tcPr>
          <w:p w14:paraId="20AE3B3A" w14:textId="77777777" w:rsidR="00B626E7" w:rsidRDefault="00B626E7">
            <w:pPr>
              <w:rPr>
                <w:rFonts w:ascii="宋体"/>
              </w:rPr>
            </w:pPr>
          </w:p>
        </w:tc>
        <w:tc>
          <w:tcPr>
            <w:tcW w:w="193" w:type="pct"/>
            <w:shd w:val="clear" w:color="auto" w:fill="auto"/>
          </w:tcPr>
          <w:p w14:paraId="20AE3B3B" w14:textId="77777777" w:rsidR="00B626E7" w:rsidRDefault="00B626E7">
            <w:pPr>
              <w:rPr>
                <w:rFonts w:ascii="宋体"/>
              </w:rPr>
            </w:pPr>
          </w:p>
        </w:tc>
        <w:tc>
          <w:tcPr>
            <w:tcW w:w="50" w:type="pct"/>
            <w:shd w:val="clear" w:color="auto" w:fill="auto"/>
          </w:tcPr>
          <w:p w14:paraId="20AE3B3C" w14:textId="77777777" w:rsidR="00B626E7" w:rsidRDefault="00B626E7">
            <w:pPr>
              <w:rPr>
                <w:rFonts w:ascii="宋体"/>
              </w:rPr>
            </w:pPr>
          </w:p>
        </w:tc>
        <w:tc>
          <w:tcPr>
            <w:tcW w:w="50" w:type="pct"/>
            <w:shd w:val="clear" w:color="auto" w:fill="auto"/>
          </w:tcPr>
          <w:p w14:paraId="20AE3B3D" w14:textId="77777777" w:rsidR="00B626E7" w:rsidRDefault="00B626E7">
            <w:pPr>
              <w:rPr>
                <w:rFonts w:ascii="宋体"/>
              </w:rPr>
            </w:pPr>
          </w:p>
        </w:tc>
        <w:tc>
          <w:tcPr>
            <w:tcW w:w="1093" w:type="pct"/>
            <w:shd w:val="clear" w:color="auto" w:fill="auto"/>
          </w:tcPr>
          <w:p w14:paraId="20AE3B3E" w14:textId="77777777" w:rsidR="00B626E7" w:rsidRDefault="00B626E7">
            <w:pPr>
              <w:rPr>
                <w:rFonts w:ascii="宋体"/>
              </w:rPr>
            </w:pPr>
          </w:p>
        </w:tc>
        <w:tc>
          <w:tcPr>
            <w:tcW w:w="50" w:type="pct"/>
            <w:shd w:val="clear" w:color="auto" w:fill="auto"/>
          </w:tcPr>
          <w:p w14:paraId="20AE3B3F" w14:textId="77777777" w:rsidR="00B626E7" w:rsidRDefault="00B626E7">
            <w:pPr>
              <w:rPr>
                <w:rFonts w:ascii="宋体"/>
              </w:rPr>
            </w:pPr>
          </w:p>
        </w:tc>
        <w:tc>
          <w:tcPr>
            <w:tcW w:w="50" w:type="pct"/>
            <w:shd w:val="clear" w:color="auto" w:fill="auto"/>
          </w:tcPr>
          <w:p w14:paraId="20AE3B40" w14:textId="77777777" w:rsidR="00B626E7" w:rsidRDefault="00B626E7">
            <w:pPr>
              <w:rPr>
                <w:rFonts w:ascii="宋体"/>
              </w:rPr>
            </w:pPr>
          </w:p>
        </w:tc>
        <w:tc>
          <w:tcPr>
            <w:tcW w:w="711" w:type="pct"/>
            <w:shd w:val="clear" w:color="auto" w:fill="auto"/>
          </w:tcPr>
          <w:p w14:paraId="20AE3B41" w14:textId="77777777" w:rsidR="00B626E7" w:rsidRDefault="00B626E7">
            <w:pPr>
              <w:rPr>
                <w:rFonts w:ascii="宋体"/>
              </w:rPr>
            </w:pPr>
          </w:p>
        </w:tc>
        <w:tc>
          <w:tcPr>
            <w:tcW w:w="50" w:type="pct"/>
            <w:shd w:val="clear" w:color="auto" w:fill="auto"/>
          </w:tcPr>
          <w:p w14:paraId="20AE3B42" w14:textId="77777777" w:rsidR="00B626E7" w:rsidRDefault="00B626E7">
            <w:pPr>
              <w:rPr>
                <w:rFonts w:ascii="宋体"/>
              </w:rPr>
            </w:pPr>
          </w:p>
        </w:tc>
        <w:tc>
          <w:tcPr>
            <w:tcW w:w="50" w:type="pct"/>
            <w:shd w:val="clear" w:color="auto" w:fill="auto"/>
          </w:tcPr>
          <w:p w14:paraId="20AE3B43" w14:textId="77777777" w:rsidR="00B626E7" w:rsidRDefault="00B626E7">
            <w:pPr>
              <w:rPr>
                <w:rFonts w:ascii="宋体"/>
              </w:rPr>
            </w:pPr>
          </w:p>
        </w:tc>
        <w:tc>
          <w:tcPr>
            <w:tcW w:w="90" w:type="pct"/>
            <w:shd w:val="clear" w:color="auto" w:fill="auto"/>
          </w:tcPr>
          <w:p w14:paraId="20AE3B44" w14:textId="77777777" w:rsidR="00B626E7" w:rsidRDefault="00B626E7">
            <w:pPr>
              <w:rPr>
                <w:rFonts w:ascii="宋体"/>
              </w:rPr>
            </w:pPr>
          </w:p>
        </w:tc>
        <w:tc>
          <w:tcPr>
            <w:tcW w:w="50" w:type="pct"/>
            <w:shd w:val="clear" w:color="auto" w:fill="auto"/>
          </w:tcPr>
          <w:p w14:paraId="20AE3B45" w14:textId="77777777" w:rsidR="00B626E7" w:rsidRDefault="00B626E7">
            <w:pPr>
              <w:rPr>
                <w:rFonts w:ascii="宋体"/>
              </w:rPr>
            </w:pPr>
          </w:p>
        </w:tc>
        <w:tc>
          <w:tcPr>
            <w:tcW w:w="5" w:type="pct"/>
            <w:shd w:val="clear" w:color="auto" w:fill="auto"/>
          </w:tcPr>
          <w:p w14:paraId="20AE3B46" w14:textId="77777777" w:rsidR="00B626E7" w:rsidRDefault="00B626E7">
            <w:pPr>
              <w:rPr>
                <w:rFonts w:ascii="宋体"/>
              </w:rPr>
            </w:pPr>
          </w:p>
        </w:tc>
        <w:tc>
          <w:tcPr>
            <w:tcW w:w="99" w:type="pct"/>
            <w:shd w:val="clear" w:color="auto" w:fill="auto"/>
          </w:tcPr>
          <w:p w14:paraId="20AE3B47" w14:textId="77777777" w:rsidR="00B626E7" w:rsidRDefault="00B626E7">
            <w:pPr>
              <w:rPr>
                <w:rFonts w:ascii="宋体"/>
              </w:rPr>
            </w:pPr>
          </w:p>
        </w:tc>
        <w:tc>
          <w:tcPr>
            <w:tcW w:w="5" w:type="pct"/>
            <w:shd w:val="clear" w:color="auto" w:fill="auto"/>
          </w:tcPr>
          <w:p w14:paraId="20AE3B48" w14:textId="77777777" w:rsidR="00B626E7" w:rsidRDefault="00B626E7">
            <w:pPr>
              <w:rPr>
                <w:rFonts w:ascii="宋体"/>
              </w:rPr>
            </w:pPr>
          </w:p>
        </w:tc>
        <w:tc>
          <w:tcPr>
            <w:tcW w:w="50" w:type="pct"/>
            <w:shd w:val="clear" w:color="auto" w:fill="auto"/>
          </w:tcPr>
          <w:p w14:paraId="20AE3B49" w14:textId="77777777" w:rsidR="00B626E7" w:rsidRDefault="00B626E7">
            <w:pPr>
              <w:rPr>
                <w:rFonts w:ascii="宋体"/>
              </w:rPr>
            </w:pPr>
          </w:p>
        </w:tc>
        <w:tc>
          <w:tcPr>
            <w:tcW w:w="2301" w:type="pct"/>
            <w:shd w:val="clear" w:color="auto" w:fill="auto"/>
          </w:tcPr>
          <w:p w14:paraId="20AE3B4A" w14:textId="77777777" w:rsidR="00B626E7" w:rsidRDefault="00B626E7">
            <w:pPr>
              <w:rPr>
                <w:rFonts w:ascii="宋体"/>
              </w:rPr>
            </w:pPr>
          </w:p>
        </w:tc>
        <w:tc>
          <w:tcPr>
            <w:tcW w:w="50" w:type="pct"/>
            <w:shd w:val="clear" w:color="auto" w:fill="auto"/>
          </w:tcPr>
          <w:p w14:paraId="20AE3B4B" w14:textId="77777777" w:rsidR="00B626E7" w:rsidRDefault="00B626E7">
            <w:pPr>
              <w:rPr>
                <w:rFonts w:ascii="宋体"/>
              </w:rPr>
            </w:pPr>
          </w:p>
        </w:tc>
      </w:tr>
      <w:tr w:rsidR="00B626E7" w14:paraId="20AE3B53" w14:textId="77777777">
        <w:tc>
          <w:tcPr>
            <w:tcW w:w="0" w:type="auto"/>
            <w:gridSpan w:val="3"/>
            <w:shd w:val="clear" w:color="auto" w:fill="auto"/>
            <w:tcMar>
              <w:left w:w="20" w:type="dxa"/>
              <w:right w:w="20" w:type="dxa"/>
            </w:tcMar>
            <w:vAlign w:val="bottom"/>
          </w:tcPr>
          <w:p w14:paraId="20AE3B4D"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B4E"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bottom"/>
          </w:tcPr>
          <w:p w14:paraId="20AE3B4F" w14:textId="77777777" w:rsidR="00B626E7" w:rsidRDefault="00175C1D">
            <w:pPr>
              <w:textAlignment w:val="bottom"/>
            </w:pPr>
            <w:r>
              <w:rPr>
                <w:rFonts w:ascii="Arial" w:eastAsia="宋体" w:hAnsi="Arial" w:cs="Arial"/>
                <w:color w:val="333333"/>
                <w:sz w:val="18"/>
                <w:szCs w:val="18"/>
              </w:rPr>
              <w:t> </w:t>
            </w:r>
          </w:p>
        </w:tc>
        <w:tc>
          <w:tcPr>
            <w:tcW w:w="0" w:type="auto"/>
            <w:gridSpan w:val="9"/>
            <w:shd w:val="clear" w:color="auto" w:fill="auto"/>
            <w:tcMar>
              <w:top w:w="40" w:type="dxa"/>
              <w:left w:w="20" w:type="dxa"/>
              <w:bottom w:w="40" w:type="dxa"/>
              <w:right w:w="20" w:type="dxa"/>
            </w:tcMar>
            <w:vAlign w:val="bottom"/>
          </w:tcPr>
          <w:p w14:paraId="20AE3B50" w14:textId="77777777" w:rsidR="00B626E7" w:rsidRDefault="00175C1D">
            <w:pPr>
              <w:textAlignment w:val="bottom"/>
            </w:pPr>
            <w:r>
              <w:rPr>
                <w:rFonts w:ascii="Arial" w:eastAsia="宋体" w:hAnsi="Arial" w:cs="Arial"/>
                <w:color w:val="333333"/>
                <w:sz w:val="18"/>
                <w:szCs w:val="18"/>
              </w:rPr>
              <w:t>INTEL CORPORATION</w:t>
            </w:r>
            <w:r>
              <w:rPr>
                <w:rFonts w:ascii="Arial" w:eastAsia="宋体" w:hAnsi="Arial" w:cs="Arial"/>
                <w:color w:val="333333"/>
                <w:sz w:val="18"/>
                <w:szCs w:val="18"/>
              </w:rPr>
              <w:br/>
              <w:t>(Registrant)</w:t>
            </w:r>
          </w:p>
        </w:tc>
        <w:tc>
          <w:tcPr>
            <w:tcW w:w="0" w:type="auto"/>
            <w:gridSpan w:val="3"/>
            <w:shd w:val="clear" w:color="auto" w:fill="auto"/>
          </w:tcPr>
          <w:p w14:paraId="20AE3B51" w14:textId="77777777" w:rsidR="00B626E7" w:rsidRDefault="00B626E7">
            <w:pPr>
              <w:rPr>
                <w:rFonts w:ascii="宋体"/>
                <w:vanish/>
              </w:rPr>
            </w:pPr>
          </w:p>
        </w:tc>
        <w:tc>
          <w:tcPr>
            <w:tcW w:w="0" w:type="auto"/>
            <w:gridSpan w:val="3"/>
            <w:shd w:val="clear" w:color="auto" w:fill="auto"/>
          </w:tcPr>
          <w:p w14:paraId="20AE3B52" w14:textId="77777777" w:rsidR="00B626E7" w:rsidRDefault="00B626E7">
            <w:pPr>
              <w:rPr>
                <w:rFonts w:ascii="宋体"/>
                <w:vanish/>
              </w:rPr>
            </w:pPr>
          </w:p>
        </w:tc>
      </w:tr>
      <w:tr w:rsidR="00B626E7" w14:paraId="20AE3B60" w14:textId="77777777">
        <w:trPr>
          <w:trHeight w:val="300"/>
        </w:trPr>
        <w:tc>
          <w:tcPr>
            <w:tcW w:w="0" w:type="auto"/>
            <w:gridSpan w:val="3"/>
            <w:shd w:val="clear" w:color="auto" w:fill="auto"/>
            <w:tcMar>
              <w:left w:w="20" w:type="dxa"/>
              <w:right w:w="20" w:type="dxa"/>
            </w:tcMar>
            <w:vAlign w:val="bottom"/>
          </w:tcPr>
          <w:p w14:paraId="20AE3B54"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B55"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B56"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B57"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B58"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B59" w14:textId="77777777" w:rsidR="00B626E7" w:rsidRDefault="00B626E7">
            <w:pPr>
              <w:rPr>
                <w:rFonts w:ascii="宋体"/>
              </w:rPr>
            </w:pPr>
          </w:p>
        </w:tc>
        <w:tc>
          <w:tcPr>
            <w:tcW w:w="0" w:type="auto"/>
            <w:shd w:val="clear" w:color="auto" w:fill="auto"/>
          </w:tcPr>
          <w:p w14:paraId="20AE3B5A" w14:textId="77777777" w:rsidR="00B626E7" w:rsidRDefault="00B626E7">
            <w:pPr>
              <w:rPr>
                <w:rFonts w:ascii="宋体"/>
              </w:rPr>
            </w:pPr>
          </w:p>
        </w:tc>
        <w:tc>
          <w:tcPr>
            <w:tcW w:w="0" w:type="auto"/>
            <w:shd w:val="clear" w:color="auto" w:fill="auto"/>
          </w:tcPr>
          <w:p w14:paraId="20AE3B5B" w14:textId="77777777" w:rsidR="00B626E7" w:rsidRDefault="00B626E7">
            <w:pPr>
              <w:rPr>
                <w:rFonts w:ascii="宋体"/>
              </w:rPr>
            </w:pPr>
          </w:p>
        </w:tc>
        <w:tc>
          <w:tcPr>
            <w:tcW w:w="0" w:type="auto"/>
            <w:shd w:val="clear" w:color="auto" w:fill="auto"/>
          </w:tcPr>
          <w:p w14:paraId="20AE3B5C" w14:textId="77777777" w:rsidR="00B626E7" w:rsidRDefault="00B626E7">
            <w:pPr>
              <w:rPr>
                <w:rFonts w:ascii="宋体"/>
              </w:rPr>
            </w:pPr>
          </w:p>
        </w:tc>
        <w:tc>
          <w:tcPr>
            <w:tcW w:w="0" w:type="auto"/>
            <w:shd w:val="clear" w:color="auto" w:fill="auto"/>
          </w:tcPr>
          <w:p w14:paraId="20AE3B5D" w14:textId="77777777" w:rsidR="00B626E7" w:rsidRDefault="00B626E7">
            <w:pPr>
              <w:rPr>
                <w:rFonts w:ascii="宋体"/>
              </w:rPr>
            </w:pPr>
          </w:p>
        </w:tc>
        <w:tc>
          <w:tcPr>
            <w:tcW w:w="0" w:type="auto"/>
            <w:shd w:val="clear" w:color="auto" w:fill="auto"/>
          </w:tcPr>
          <w:p w14:paraId="20AE3B5E" w14:textId="77777777" w:rsidR="00B626E7" w:rsidRDefault="00B626E7">
            <w:pPr>
              <w:rPr>
                <w:rFonts w:ascii="宋体"/>
              </w:rPr>
            </w:pPr>
          </w:p>
        </w:tc>
        <w:tc>
          <w:tcPr>
            <w:tcW w:w="0" w:type="auto"/>
            <w:shd w:val="clear" w:color="auto" w:fill="auto"/>
          </w:tcPr>
          <w:p w14:paraId="20AE3B5F" w14:textId="77777777" w:rsidR="00B626E7" w:rsidRDefault="00B626E7">
            <w:pPr>
              <w:rPr>
                <w:rFonts w:ascii="宋体"/>
              </w:rPr>
            </w:pPr>
          </w:p>
        </w:tc>
      </w:tr>
      <w:tr w:rsidR="00B626E7" w14:paraId="20AE3B6D" w14:textId="77777777">
        <w:tc>
          <w:tcPr>
            <w:tcW w:w="0" w:type="auto"/>
            <w:gridSpan w:val="3"/>
            <w:shd w:val="clear" w:color="auto" w:fill="auto"/>
            <w:tcMar>
              <w:top w:w="40" w:type="dxa"/>
              <w:left w:w="20" w:type="dxa"/>
              <w:bottom w:w="40" w:type="dxa"/>
              <w:right w:w="20" w:type="dxa"/>
            </w:tcMar>
            <w:vAlign w:val="bottom"/>
          </w:tcPr>
          <w:p w14:paraId="20AE3B61" w14:textId="77777777" w:rsidR="00B626E7" w:rsidRDefault="00175C1D">
            <w:pPr>
              <w:textAlignment w:val="bottom"/>
            </w:pPr>
            <w:r>
              <w:rPr>
                <w:rFonts w:ascii="Arial" w:eastAsia="宋体" w:hAnsi="Arial" w:cs="Arial"/>
                <w:color w:val="333333"/>
                <w:sz w:val="18"/>
                <w:szCs w:val="18"/>
              </w:rPr>
              <w:t xml:space="preserve">Date: </w:t>
            </w:r>
          </w:p>
        </w:tc>
        <w:tc>
          <w:tcPr>
            <w:tcW w:w="0" w:type="auto"/>
            <w:gridSpan w:val="3"/>
            <w:shd w:val="clear" w:color="auto" w:fill="auto"/>
            <w:tcMar>
              <w:top w:w="40" w:type="dxa"/>
              <w:left w:w="20" w:type="dxa"/>
              <w:bottom w:w="40" w:type="dxa"/>
              <w:right w:w="20" w:type="dxa"/>
            </w:tcMar>
            <w:vAlign w:val="bottom"/>
          </w:tcPr>
          <w:p w14:paraId="20AE3B62" w14:textId="77777777" w:rsidR="00B626E7" w:rsidRDefault="00175C1D">
            <w:pPr>
              <w:textAlignment w:val="bottom"/>
            </w:pPr>
            <w:r>
              <w:rPr>
                <w:rFonts w:ascii="Arial" w:eastAsia="宋体" w:hAnsi="Arial" w:cs="Arial"/>
                <w:color w:val="333333"/>
                <w:sz w:val="18"/>
                <w:szCs w:val="18"/>
              </w:rPr>
              <w:t>July 23, 2020</w:t>
            </w:r>
          </w:p>
        </w:tc>
        <w:tc>
          <w:tcPr>
            <w:tcW w:w="0" w:type="auto"/>
            <w:gridSpan w:val="3"/>
            <w:shd w:val="clear" w:color="auto" w:fill="auto"/>
            <w:tcMar>
              <w:top w:w="40" w:type="dxa"/>
              <w:left w:w="20" w:type="dxa"/>
              <w:bottom w:w="40" w:type="dxa"/>
              <w:right w:w="20" w:type="dxa"/>
            </w:tcMar>
            <w:vAlign w:val="bottom"/>
          </w:tcPr>
          <w:p w14:paraId="20AE3B63" w14:textId="77777777" w:rsidR="00B626E7" w:rsidRDefault="00175C1D">
            <w:pPr>
              <w:textAlignment w:val="bottom"/>
            </w:pPr>
            <w:r>
              <w:rPr>
                <w:rFonts w:ascii="Arial" w:eastAsia="宋体" w:hAnsi="Arial" w:cs="Arial"/>
                <w:color w:val="333333"/>
                <w:sz w:val="18"/>
                <w:szCs w:val="18"/>
              </w:rPr>
              <w:t> </w:t>
            </w:r>
          </w:p>
        </w:tc>
        <w:tc>
          <w:tcPr>
            <w:tcW w:w="0" w:type="auto"/>
            <w:gridSpan w:val="3"/>
            <w:shd w:val="clear" w:color="auto" w:fill="auto"/>
            <w:tcMar>
              <w:top w:w="40" w:type="dxa"/>
              <w:left w:w="20" w:type="dxa"/>
              <w:bottom w:w="40" w:type="dxa"/>
              <w:right w:w="20" w:type="dxa"/>
            </w:tcMar>
            <w:vAlign w:val="bottom"/>
          </w:tcPr>
          <w:p w14:paraId="20AE3B64" w14:textId="77777777" w:rsidR="00B626E7" w:rsidRDefault="00175C1D">
            <w:pPr>
              <w:textAlignment w:val="bottom"/>
            </w:pPr>
            <w:r>
              <w:rPr>
                <w:rFonts w:ascii="Arial" w:eastAsia="宋体" w:hAnsi="Arial" w:cs="Arial"/>
                <w:color w:val="333333"/>
                <w:sz w:val="18"/>
                <w:szCs w:val="18"/>
              </w:rPr>
              <w:t>By:</w:t>
            </w:r>
          </w:p>
        </w:tc>
        <w:tc>
          <w:tcPr>
            <w:tcW w:w="0" w:type="auto"/>
            <w:gridSpan w:val="3"/>
            <w:shd w:val="clear" w:color="auto" w:fill="auto"/>
            <w:tcMar>
              <w:top w:w="40" w:type="dxa"/>
              <w:left w:w="20" w:type="dxa"/>
              <w:bottom w:w="40" w:type="dxa"/>
              <w:right w:w="20" w:type="dxa"/>
            </w:tcMar>
            <w:vAlign w:val="bottom"/>
          </w:tcPr>
          <w:p w14:paraId="20AE3B65" w14:textId="77777777" w:rsidR="00B626E7" w:rsidRDefault="00175C1D">
            <w:pPr>
              <w:textAlignment w:val="bottom"/>
            </w:pPr>
            <w:r>
              <w:rPr>
                <w:rFonts w:ascii="Arial" w:eastAsia="宋体" w:hAnsi="Arial" w:cs="Arial"/>
                <w:color w:val="333333"/>
                <w:sz w:val="18"/>
                <w:szCs w:val="18"/>
              </w:rPr>
              <w:t> </w:t>
            </w:r>
          </w:p>
        </w:tc>
        <w:tc>
          <w:tcPr>
            <w:tcW w:w="0" w:type="auto"/>
            <w:gridSpan w:val="3"/>
            <w:shd w:val="clear" w:color="auto" w:fill="auto"/>
            <w:tcMar>
              <w:top w:w="40" w:type="dxa"/>
              <w:left w:w="20" w:type="dxa"/>
              <w:bottom w:w="40" w:type="dxa"/>
              <w:right w:w="20" w:type="dxa"/>
            </w:tcMar>
            <w:vAlign w:val="bottom"/>
          </w:tcPr>
          <w:p w14:paraId="20AE3B66" w14:textId="77777777" w:rsidR="00B626E7" w:rsidRDefault="00175C1D">
            <w:pPr>
              <w:textAlignment w:val="bottom"/>
            </w:pPr>
            <w:r>
              <w:rPr>
                <w:rFonts w:ascii="Arial" w:eastAsia="宋体" w:hAnsi="Arial" w:cs="Arial"/>
                <w:color w:val="333333"/>
                <w:sz w:val="18"/>
                <w:szCs w:val="18"/>
              </w:rPr>
              <w:t>/s/ GEORGE S. DAVIS</w:t>
            </w:r>
          </w:p>
        </w:tc>
        <w:tc>
          <w:tcPr>
            <w:tcW w:w="0" w:type="auto"/>
            <w:shd w:val="clear" w:color="auto" w:fill="auto"/>
          </w:tcPr>
          <w:p w14:paraId="20AE3B67" w14:textId="77777777" w:rsidR="00B626E7" w:rsidRDefault="00B626E7">
            <w:pPr>
              <w:rPr>
                <w:rFonts w:ascii="宋体"/>
              </w:rPr>
            </w:pPr>
          </w:p>
        </w:tc>
        <w:tc>
          <w:tcPr>
            <w:tcW w:w="0" w:type="auto"/>
            <w:shd w:val="clear" w:color="auto" w:fill="auto"/>
          </w:tcPr>
          <w:p w14:paraId="20AE3B68" w14:textId="77777777" w:rsidR="00B626E7" w:rsidRDefault="00B626E7">
            <w:pPr>
              <w:rPr>
                <w:rFonts w:ascii="宋体"/>
              </w:rPr>
            </w:pPr>
          </w:p>
        </w:tc>
        <w:tc>
          <w:tcPr>
            <w:tcW w:w="0" w:type="auto"/>
            <w:shd w:val="clear" w:color="auto" w:fill="auto"/>
          </w:tcPr>
          <w:p w14:paraId="20AE3B69" w14:textId="77777777" w:rsidR="00B626E7" w:rsidRDefault="00B626E7">
            <w:pPr>
              <w:rPr>
                <w:rFonts w:ascii="宋体"/>
              </w:rPr>
            </w:pPr>
          </w:p>
        </w:tc>
        <w:tc>
          <w:tcPr>
            <w:tcW w:w="0" w:type="auto"/>
            <w:shd w:val="clear" w:color="auto" w:fill="auto"/>
          </w:tcPr>
          <w:p w14:paraId="20AE3B6A" w14:textId="77777777" w:rsidR="00B626E7" w:rsidRDefault="00B626E7">
            <w:pPr>
              <w:rPr>
                <w:rFonts w:ascii="宋体"/>
              </w:rPr>
            </w:pPr>
          </w:p>
        </w:tc>
        <w:tc>
          <w:tcPr>
            <w:tcW w:w="0" w:type="auto"/>
            <w:shd w:val="clear" w:color="auto" w:fill="auto"/>
          </w:tcPr>
          <w:p w14:paraId="20AE3B6B" w14:textId="77777777" w:rsidR="00B626E7" w:rsidRDefault="00B626E7">
            <w:pPr>
              <w:rPr>
                <w:rFonts w:ascii="宋体"/>
              </w:rPr>
            </w:pPr>
          </w:p>
        </w:tc>
        <w:tc>
          <w:tcPr>
            <w:tcW w:w="0" w:type="auto"/>
            <w:shd w:val="clear" w:color="auto" w:fill="auto"/>
          </w:tcPr>
          <w:p w14:paraId="20AE3B6C" w14:textId="77777777" w:rsidR="00B626E7" w:rsidRDefault="00B626E7">
            <w:pPr>
              <w:rPr>
                <w:rFonts w:ascii="宋体"/>
              </w:rPr>
            </w:pPr>
          </w:p>
        </w:tc>
      </w:tr>
      <w:tr w:rsidR="00B626E7" w14:paraId="20AE3B7A" w14:textId="77777777">
        <w:tc>
          <w:tcPr>
            <w:tcW w:w="0" w:type="auto"/>
            <w:gridSpan w:val="3"/>
            <w:shd w:val="clear" w:color="auto" w:fill="auto"/>
            <w:tcMar>
              <w:left w:w="20" w:type="dxa"/>
              <w:right w:w="20" w:type="dxa"/>
            </w:tcMar>
            <w:vAlign w:val="bottom"/>
          </w:tcPr>
          <w:p w14:paraId="20AE3B6E"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B6F"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bottom"/>
          </w:tcPr>
          <w:p w14:paraId="20AE3B70" w14:textId="77777777" w:rsidR="00B626E7" w:rsidRDefault="00175C1D">
            <w:pPr>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3B71" w14:textId="77777777" w:rsidR="00B626E7" w:rsidRDefault="00B626E7">
            <w:pPr>
              <w:rPr>
                <w:rFonts w:ascii="宋体"/>
              </w:rPr>
            </w:pPr>
          </w:p>
        </w:tc>
        <w:tc>
          <w:tcPr>
            <w:tcW w:w="0" w:type="auto"/>
            <w:gridSpan w:val="3"/>
            <w:tcBorders>
              <w:top w:val="single" w:sz="8" w:space="0" w:color="333333"/>
            </w:tcBorders>
            <w:shd w:val="clear" w:color="auto" w:fill="auto"/>
            <w:tcMar>
              <w:top w:w="40" w:type="dxa"/>
              <w:left w:w="20" w:type="dxa"/>
              <w:bottom w:w="40" w:type="dxa"/>
              <w:right w:w="20" w:type="dxa"/>
            </w:tcMar>
            <w:vAlign w:val="bottom"/>
          </w:tcPr>
          <w:p w14:paraId="20AE3B72" w14:textId="77777777" w:rsidR="00B626E7" w:rsidRDefault="00175C1D">
            <w:pPr>
              <w:textAlignment w:val="bottom"/>
            </w:pPr>
            <w:r>
              <w:rPr>
                <w:rFonts w:ascii="Arial" w:eastAsia="宋体" w:hAnsi="Arial" w:cs="Arial"/>
                <w:color w:val="333333"/>
                <w:sz w:val="18"/>
                <w:szCs w:val="18"/>
              </w:rPr>
              <w:t> </w:t>
            </w:r>
          </w:p>
        </w:tc>
        <w:tc>
          <w:tcPr>
            <w:tcW w:w="0" w:type="auto"/>
            <w:gridSpan w:val="3"/>
            <w:tcBorders>
              <w:top w:val="single" w:sz="8" w:space="0" w:color="333333"/>
            </w:tcBorders>
            <w:shd w:val="clear" w:color="auto" w:fill="auto"/>
            <w:tcMar>
              <w:top w:w="40" w:type="dxa"/>
              <w:left w:w="20" w:type="dxa"/>
              <w:bottom w:w="40" w:type="dxa"/>
              <w:right w:w="20" w:type="dxa"/>
            </w:tcMar>
            <w:vAlign w:val="bottom"/>
          </w:tcPr>
          <w:p w14:paraId="20AE3B73" w14:textId="77777777" w:rsidR="00B626E7" w:rsidRDefault="00175C1D">
            <w:pPr>
              <w:textAlignment w:val="bottom"/>
            </w:pPr>
            <w:r>
              <w:rPr>
                <w:rFonts w:ascii="Arial" w:eastAsia="宋体" w:hAnsi="Arial" w:cs="Arial"/>
                <w:color w:val="333333"/>
                <w:sz w:val="18"/>
                <w:szCs w:val="18"/>
              </w:rPr>
              <w:t>George S. Davis</w:t>
            </w:r>
          </w:p>
        </w:tc>
        <w:tc>
          <w:tcPr>
            <w:tcW w:w="0" w:type="auto"/>
            <w:shd w:val="clear" w:color="auto" w:fill="auto"/>
          </w:tcPr>
          <w:p w14:paraId="20AE3B74" w14:textId="77777777" w:rsidR="00B626E7" w:rsidRDefault="00B626E7">
            <w:pPr>
              <w:rPr>
                <w:rFonts w:ascii="宋体"/>
              </w:rPr>
            </w:pPr>
          </w:p>
        </w:tc>
        <w:tc>
          <w:tcPr>
            <w:tcW w:w="0" w:type="auto"/>
            <w:shd w:val="clear" w:color="auto" w:fill="auto"/>
          </w:tcPr>
          <w:p w14:paraId="20AE3B75" w14:textId="77777777" w:rsidR="00B626E7" w:rsidRDefault="00B626E7">
            <w:pPr>
              <w:rPr>
                <w:rFonts w:ascii="宋体"/>
              </w:rPr>
            </w:pPr>
          </w:p>
        </w:tc>
        <w:tc>
          <w:tcPr>
            <w:tcW w:w="0" w:type="auto"/>
            <w:shd w:val="clear" w:color="auto" w:fill="auto"/>
          </w:tcPr>
          <w:p w14:paraId="20AE3B76" w14:textId="77777777" w:rsidR="00B626E7" w:rsidRDefault="00B626E7">
            <w:pPr>
              <w:rPr>
                <w:rFonts w:ascii="宋体"/>
              </w:rPr>
            </w:pPr>
          </w:p>
        </w:tc>
        <w:tc>
          <w:tcPr>
            <w:tcW w:w="0" w:type="auto"/>
            <w:shd w:val="clear" w:color="auto" w:fill="auto"/>
          </w:tcPr>
          <w:p w14:paraId="20AE3B77" w14:textId="77777777" w:rsidR="00B626E7" w:rsidRDefault="00B626E7">
            <w:pPr>
              <w:rPr>
                <w:rFonts w:ascii="宋体"/>
              </w:rPr>
            </w:pPr>
          </w:p>
        </w:tc>
        <w:tc>
          <w:tcPr>
            <w:tcW w:w="0" w:type="auto"/>
            <w:shd w:val="clear" w:color="auto" w:fill="auto"/>
          </w:tcPr>
          <w:p w14:paraId="20AE3B78" w14:textId="77777777" w:rsidR="00B626E7" w:rsidRDefault="00B626E7">
            <w:pPr>
              <w:rPr>
                <w:rFonts w:ascii="宋体"/>
              </w:rPr>
            </w:pPr>
          </w:p>
        </w:tc>
        <w:tc>
          <w:tcPr>
            <w:tcW w:w="0" w:type="auto"/>
            <w:shd w:val="clear" w:color="auto" w:fill="auto"/>
          </w:tcPr>
          <w:p w14:paraId="20AE3B79" w14:textId="77777777" w:rsidR="00B626E7" w:rsidRDefault="00B626E7">
            <w:pPr>
              <w:rPr>
                <w:rFonts w:ascii="宋体"/>
              </w:rPr>
            </w:pPr>
          </w:p>
        </w:tc>
      </w:tr>
      <w:tr w:rsidR="00B626E7" w14:paraId="20AE3B87" w14:textId="77777777">
        <w:tc>
          <w:tcPr>
            <w:tcW w:w="0" w:type="auto"/>
            <w:gridSpan w:val="3"/>
            <w:shd w:val="clear" w:color="auto" w:fill="auto"/>
            <w:tcMar>
              <w:left w:w="20" w:type="dxa"/>
              <w:right w:w="20" w:type="dxa"/>
            </w:tcMar>
            <w:vAlign w:val="bottom"/>
          </w:tcPr>
          <w:p w14:paraId="20AE3B7B"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B7C"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bottom"/>
          </w:tcPr>
          <w:p w14:paraId="20AE3B7D" w14:textId="77777777" w:rsidR="00B626E7" w:rsidRDefault="00175C1D">
            <w:pPr>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20AE3B7E"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bottom"/>
          </w:tcPr>
          <w:p w14:paraId="20AE3B7F" w14:textId="77777777" w:rsidR="00B626E7" w:rsidRDefault="00175C1D">
            <w:pPr>
              <w:textAlignment w:val="bottom"/>
            </w:pPr>
            <w:r>
              <w:rPr>
                <w:rFonts w:ascii="Arial" w:eastAsia="宋体" w:hAnsi="Arial" w:cs="Arial"/>
                <w:color w:val="333333"/>
                <w:sz w:val="18"/>
                <w:szCs w:val="18"/>
              </w:rPr>
              <w:t> </w:t>
            </w:r>
          </w:p>
        </w:tc>
        <w:tc>
          <w:tcPr>
            <w:tcW w:w="0" w:type="auto"/>
            <w:gridSpan w:val="3"/>
            <w:shd w:val="clear" w:color="auto" w:fill="auto"/>
            <w:tcMar>
              <w:top w:w="40" w:type="dxa"/>
              <w:left w:w="20" w:type="dxa"/>
              <w:bottom w:w="40" w:type="dxa"/>
              <w:right w:w="20" w:type="dxa"/>
            </w:tcMar>
          </w:tcPr>
          <w:p w14:paraId="20AE3B80" w14:textId="77777777" w:rsidR="00B626E7" w:rsidRDefault="00175C1D">
            <w:pPr>
              <w:textAlignment w:val="top"/>
            </w:pPr>
            <w:r>
              <w:rPr>
                <w:rFonts w:ascii="Arial" w:eastAsia="宋体" w:hAnsi="Arial" w:cs="Arial"/>
                <w:color w:val="333333"/>
                <w:sz w:val="18"/>
                <w:szCs w:val="18"/>
              </w:rPr>
              <w:t>Executive Vice President, Chief Financial Officer and Principal Financial Officer</w:t>
            </w:r>
          </w:p>
        </w:tc>
        <w:tc>
          <w:tcPr>
            <w:tcW w:w="0" w:type="auto"/>
            <w:shd w:val="clear" w:color="auto" w:fill="auto"/>
          </w:tcPr>
          <w:p w14:paraId="20AE3B81" w14:textId="77777777" w:rsidR="00B626E7" w:rsidRDefault="00B626E7">
            <w:pPr>
              <w:rPr>
                <w:rFonts w:ascii="宋体"/>
              </w:rPr>
            </w:pPr>
          </w:p>
        </w:tc>
        <w:tc>
          <w:tcPr>
            <w:tcW w:w="0" w:type="auto"/>
            <w:shd w:val="clear" w:color="auto" w:fill="auto"/>
          </w:tcPr>
          <w:p w14:paraId="20AE3B82" w14:textId="77777777" w:rsidR="00B626E7" w:rsidRDefault="00B626E7">
            <w:pPr>
              <w:rPr>
                <w:rFonts w:ascii="宋体"/>
              </w:rPr>
            </w:pPr>
          </w:p>
        </w:tc>
        <w:tc>
          <w:tcPr>
            <w:tcW w:w="0" w:type="auto"/>
            <w:shd w:val="clear" w:color="auto" w:fill="auto"/>
          </w:tcPr>
          <w:p w14:paraId="20AE3B83" w14:textId="77777777" w:rsidR="00B626E7" w:rsidRDefault="00B626E7">
            <w:pPr>
              <w:rPr>
                <w:rFonts w:ascii="宋体"/>
              </w:rPr>
            </w:pPr>
          </w:p>
        </w:tc>
        <w:tc>
          <w:tcPr>
            <w:tcW w:w="0" w:type="auto"/>
            <w:shd w:val="clear" w:color="auto" w:fill="auto"/>
          </w:tcPr>
          <w:p w14:paraId="20AE3B84" w14:textId="77777777" w:rsidR="00B626E7" w:rsidRDefault="00B626E7">
            <w:pPr>
              <w:rPr>
                <w:rFonts w:ascii="宋体"/>
              </w:rPr>
            </w:pPr>
          </w:p>
        </w:tc>
        <w:tc>
          <w:tcPr>
            <w:tcW w:w="0" w:type="auto"/>
            <w:shd w:val="clear" w:color="auto" w:fill="auto"/>
          </w:tcPr>
          <w:p w14:paraId="20AE3B85" w14:textId="77777777" w:rsidR="00B626E7" w:rsidRDefault="00B626E7">
            <w:pPr>
              <w:rPr>
                <w:rFonts w:ascii="宋体"/>
              </w:rPr>
            </w:pPr>
          </w:p>
        </w:tc>
        <w:tc>
          <w:tcPr>
            <w:tcW w:w="0" w:type="auto"/>
            <w:shd w:val="clear" w:color="auto" w:fill="auto"/>
          </w:tcPr>
          <w:p w14:paraId="20AE3B86" w14:textId="77777777" w:rsidR="00B626E7" w:rsidRDefault="00B626E7">
            <w:pPr>
              <w:rPr>
                <w:rFonts w:ascii="宋体"/>
              </w:rPr>
            </w:pPr>
          </w:p>
        </w:tc>
      </w:tr>
      <w:tr w:rsidR="00B626E7" w14:paraId="20AE3B94" w14:textId="77777777">
        <w:trPr>
          <w:trHeight w:val="480"/>
        </w:trPr>
        <w:tc>
          <w:tcPr>
            <w:tcW w:w="0" w:type="auto"/>
            <w:gridSpan w:val="3"/>
            <w:shd w:val="clear" w:color="auto" w:fill="auto"/>
            <w:tcMar>
              <w:left w:w="20" w:type="dxa"/>
              <w:right w:w="20" w:type="dxa"/>
            </w:tcMar>
            <w:vAlign w:val="bottom"/>
          </w:tcPr>
          <w:p w14:paraId="20AE3B88"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B89"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B8A"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B8B"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B8C"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B8D" w14:textId="77777777" w:rsidR="00B626E7" w:rsidRDefault="00B626E7">
            <w:pPr>
              <w:rPr>
                <w:rFonts w:ascii="宋体"/>
              </w:rPr>
            </w:pPr>
          </w:p>
        </w:tc>
        <w:tc>
          <w:tcPr>
            <w:tcW w:w="0" w:type="auto"/>
            <w:shd w:val="clear" w:color="auto" w:fill="auto"/>
          </w:tcPr>
          <w:p w14:paraId="20AE3B8E" w14:textId="77777777" w:rsidR="00B626E7" w:rsidRDefault="00B626E7">
            <w:pPr>
              <w:rPr>
                <w:rFonts w:ascii="宋体"/>
              </w:rPr>
            </w:pPr>
          </w:p>
        </w:tc>
        <w:tc>
          <w:tcPr>
            <w:tcW w:w="0" w:type="auto"/>
            <w:shd w:val="clear" w:color="auto" w:fill="auto"/>
          </w:tcPr>
          <w:p w14:paraId="20AE3B8F" w14:textId="77777777" w:rsidR="00B626E7" w:rsidRDefault="00B626E7">
            <w:pPr>
              <w:rPr>
                <w:rFonts w:ascii="宋体"/>
              </w:rPr>
            </w:pPr>
          </w:p>
        </w:tc>
        <w:tc>
          <w:tcPr>
            <w:tcW w:w="0" w:type="auto"/>
            <w:shd w:val="clear" w:color="auto" w:fill="auto"/>
          </w:tcPr>
          <w:p w14:paraId="20AE3B90" w14:textId="77777777" w:rsidR="00B626E7" w:rsidRDefault="00B626E7">
            <w:pPr>
              <w:rPr>
                <w:rFonts w:ascii="宋体"/>
              </w:rPr>
            </w:pPr>
          </w:p>
        </w:tc>
        <w:tc>
          <w:tcPr>
            <w:tcW w:w="0" w:type="auto"/>
            <w:shd w:val="clear" w:color="auto" w:fill="auto"/>
          </w:tcPr>
          <w:p w14:paraId="20AE3B91" w14:textId="77777777" w:rsidR="00B626E7" w:rsidRDefault="00B626E7">
            <w:pPr>
              <w:rPr>
                <w:rFonts w:ascii="宋体"/>
              </w:rPr>
            </w:pPr>
          </w:p>
        </w:tc>
        <w:tc>
          <w:tcPr>
            <w:tcW w:w="0" w:type="auto"/>
            <w:shd w:val="clear" w:color="auto" w:fill="auto"/>
          </w:tcPr>
          <w:p w14:paraId="20AE3B92" w14:textId="77777777" w:rsidR="00B626E7" w:rsidRDefault="00B626E7">
            <w:pPr>
              <w:rPr>
                <w:rFonts w:ascii="宋体"/>
              </w:rPr>
            </w:pPr>
          </w:p>
        </w:tc>
        <w:tc>
          <w:tcPr>
            <w:tcW w:w="0" w:type="auto"/>
            <w:shd w:val="clear" w:color="auto" w:fill="auto"/>
          </w:tcPr>
          <w:p w14:paraId="20AE3B93" w14:textId="77777777" w:rsidR="00B626E7" w:rsidRDefault="00B626E7">
            <w:pPr>
              <w:rPr>
                <w:rFonts w:ascii="宋体"/>
              </w:rPr>
            </w:pPr>
          </w:p>
        </w:tc>
      </w:tr>
      <w:tr w:rsidR="00B626E7" w14:paraId="20AE3BA1" w14:textId="77777777">
        <w:tc>
          <w:tcPr>
            <w:tcW w:w="0" w:type="auto"/>
            <w:gridSpan w:val="3"/>
            <w:shd w:val="clear" w:color="auto" w:fill="auto"/>
            <w:tcMar>
              <w:top w:w="40" w:type="dxa"/>
              <w:left w:w="20" w:type="dxa"/>
              <w:bottom w:w="40" w:type="dxa"/>
              <w:right w:w="20" w:type="dxa"/>
            </w:tcMar>
          </w:tcPr>
          <w:p w14:paraId="20AE3B95" w14:textId="77777777" w:rsidR="00B626E7" w:rsidRDefault="00175C1D">
            <w:pPr>
              <w:textAlignment w:val="top"/>
            </w:pPr>
            <w:r>
              <w:rPr>
                <w:rFonts w:ascii="Arial" w:eastAsia="宋体" w:hAnsi="Arial" w:cs="Arial"/>
                <w:color w:val="333333"/>
                <w:sz w:val="18"/>
                <w:szCs w:val="18"/>
              </w:rPr>
              <w:t>Date:</w:t>
            </w:r>
          </w:p>
        </w:tc>
        <w:tc>
          <w:tcPr>
            <w:tcW w:w="0" w:type="auto"/>
            <w:gridSpan w:val="3"/>
            <w:shd w:val="clear" w:color="auto" w:fill="auto"/>
            <w:tcMar>
              <w:top w:w="40" w:type="dxa"/>
              <w:left w:w="20" w:type="dxa"/>
              <w:bottom w:w="40" w:type="dxa"/>
              <w:right w:w="20" w:type="dxa"/>
            </w:tcMar>
            <w:vAlign w:val="bottom"/>
          </w:tcPr>
          <w:p w14:paraId="20AE3B96" w14:textId="77777777" w:rsidR="00B626E7" w:rsidRDefault="00175C1D">
            <w:pPr>
              <w:textAlignment w:val="bottom"/>
            </w:pPr>
            <w:r>
              <w:rPr>
                <w:rFonts w:ascii="Arial" w:eastAsia="宋体" w:hAnsi="Arial" w:cs="Arial"/>
                <w:color w:val="333333"/>
                <w:sz w:val="18"/>
                <w:szCs w:val="18"/>
              </w:rPr>
              <w:t>July 23, 2020</w:t>
            </w:r>
          </w:p>
        </w:tc>
        <w:tc>
          <w:tcPr>
            <w:tcW w:w="0" w:type="auto"/>
            <w:gridSpan w:val="3"/>
            <w:shd w:val="clear" w:color="auto" w:fill="auto"/>
            <w:tcMar>
              <w:left w:w="20" w:type="dxa"/>
              <w:right w:w="20" w:type="dxa"/>
            </w:tcMar>
            <w:vAlign w:val="bottom"/>
          </w:tcPr>
          <w:p w14:paraId="20AE3B97"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bottom"/>
          </w:tcPr>
          <w:p w14:paraId="20AE3B98" w14:textId="77777777" w:rsidR="00B626E7" w:rsidRDefault="00175C1D">
            <w:pPr>
              <w:textAlignment w:val="bottom"/>
            </w:pPr>
            <w:r>
              <w:rPr>
                <w:rFonts w:ascii="Arial" w:eastAsia="宋体" w:hAnsi="Arial" w:cs="Arial"/>
                <w:color w:val="333333"/>
                <w:sz w:val="18"/>
                <w:szCs w:val="18"/>
              </w:rPr>
              <w:t>By:</w:t>
            </w:r>
          </w:p>
        </w:tc>
        <w:tc>
          <w:tcPr>
            <w:tcW w:w="0" w:type="auto"/>
            <w:gridSpan w:val="3"/>
            <w:shd w:val="clear" w:color="auto" w:fill="auto"/>
            <w:tcMar>
              <w:left w:w="20" w:type="dxa"/>
              <w:right w:w="20" w:type="dxa"/>
            </w:tcMar>
            <w:vAlign w:val="bottom"/>
          </w:tcPr>
          <w:p w14:paraId="20AE3B99"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vAlign w:val="bottom"/>
          </w:tcPr>
          <w:p w14:paraId="20AE3B9A" w14:textId="77777777" w:rsidR="00B626E7" w:rsidRDefault="00175C1D">
            <w:pPr>
              <w:textAlignment w:val="bottom"/>
            </w:pPr>
            <w:r>
              <w:rPr>
                <w:rFonts w:ascii="Arial" w:eastAsia="宋体" w:hAnsi="Arial" w:cs="Arial"/>
                <w:color w:val="333333"/>
                <w:sz w:val="18"/>
                <w:szCs w:val="18"/>
              </w:rPr>
              <w:t>/s/ KEVIN T. MCBRIDE</w:t>
            </w:r>
          </w:p>
        </w:tc>
        <w:tc>
          <w:tcPr>
            <w:tcW w:w="0" w:type="auto"/>
            <w:shd w:val="clear" w:color="auto" w:fill="auto"/>
          </w:tcPr>
          <w:p w14:paraId="20AE3B9B" w14:textId="77777777" w:rsidR="00B626E7" w:rsidRDefault="00B626E7">
            <w:pPr>
              <w:rPr>
                <w:rFonts w:ascii="宋体"/>
              </w:rPr>
            </w:pPr>
          </w:p>
        </w:tc>
        <w:tc>
          <w:tcPr>
            <w:tcW w:w="0" w:type="auto"/>
            <w:shd w:val="clear" w:color="auto" w:fill="auto"/>
          </w:tcPr>
          <w:p w14:paraId="20AE3B9C" w14:textId="77777777" w:rsidR="00B626E7" w:rsidRDefault="00B626E7">
            <w:pPr>
              <w:rPr>
                <w:rFonts w:ascii="宋体"/>
              </w:rPr>
            </w:pPr>
          </w:p>
        </w:tc>
        <w:tc>
          <w:tcPr>
            <w:tcW w:w="0" w:type="auto"/>
            <w:shd w:val="clear" w:color="auto" w:fill="auto"/>
          </w:tcPr>
          <w:p w14:paraId="20AE3B9D" w14:textId="77777777" w:rsidR="00B626E7" w:rsidRDefault="00B626E7">
            <w:pPr>
              <w:rPr>
                <w:rFonts w:ascii="宋体"/>
              </w:rPr>
            </w:pPr>
          </w:p>
        </w:tc>
        <w:tc>
          <w:tcPr>
            <w:tcW w:w="0" w:type="auto"/>
            <w:shd w:val="clear" w:color="auto" w:fill="auto"/>
          </w:tcPr>
          <w:p w14:paraId="20AE3B9E" w14:textId="77777777" w:rsidR="00B626E7" w:rsidRDefault="00B626E7">
            <w:pPr>
              <w:rPr>
                <w:rFonts w:ascii="宋体"/>
              </w:rPr>
            </w:pPr>
          </w:p>
        </w:tc>
        <w:tc>
          <w:tcPr>
            <w:tcW w:w="0" w:type="auto"/>
            <w:shd w:val="clear" w:color="auto" w:fill="auto"/>
          </w:tcPr>
          <w:p w14:paraId="20AE3B9F" w14:textId="77777777" w:rsidR="00B626E7" w:rsidRDefault="00B626E7">
            <w:pPr>
              <w:rPr>
                <w:rFonts w:ascii="宋体"/>
              </w:rPr>
            </w:pPr>
          </w:p>
        </w:tc>
        <w:tc>
          <w:tcPr>
            <w:tcW w:w="0" w:type="auto"/>
            <w:shd w:val="clear" w:color="auto" w:fill="auto"/>
          </w:tcPr>
          <w:p w14:paraId="20AE3BA0" w14:textId="77777777" w:rsidR="00B626E7" w:rsidRDefault="00B626E7">
            <w:pPr>
              <w:rPr>
                <w:rFonts w:ascii="宋体"/>
              </w:rPr>
            </w:pPr>
          </w:p>
        </w:tc>
      </w:tr>
      <w:tr w:rsidR="00B626E7" w14:paraId="20AE3BAE" w14:textId="77777777">
        <w:tc>
          <w:tcPr>
            <w:tcW w:w="0" w:type="auto"/>
            <w:gridSpan w:val="3"/>
            <w:shd w:val="clear" w:color="auto" w:fill="auto"/>
            <w:tcMar>
              <w:left w:w="20" w:type="dxa"/>
              <w:right w:w="20" w:type="dxa"/>
            </w:tcMar>
            <w:vAlign w:val="bottom"/>
          </w:tcPr>
          <w:p w14:paraId="20AE3BA2"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BA3"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BA4"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BA5" w14:textId="77777777" w:rsidR="00B626E7" w:rsidRDefault="00B626E7">
            <w:pPr>
              <w:rPr>
                <w:rFonts w:ascii="宋体"/>
              </w:rPr>
            </w:pPr>
          </w:p>
        </w:tc>
        <w:tc>
          <w:tcPr>
            <w:tcW w:w="0" w:type="auto"/>
            <w:gridSpan w:val="3"/>
            <w:tcBorders>
              <w:top w:val="single" w:sz="8" w:space="0" w:color="333333"/>
            </w:tcBorders>
            <w:shd w:val="clear" w:color="auto" w:fill="auto"/>
            <w:tcMar>
              <w:left w:w="20" w:type="dxa"/>
              <w:right w:w="20" w:type="dxa"/>
            </w:tcMar>
            <w:vAlign w:val="bottom"/>
          </w:tcPr>
          <w:p w14:paraId="20AE3BA6" w14:textId="77777777" w:rsidR="00B626E7" w:rsidRDefault="00B626E7">
            <w:pPr>
              <w:rPr>
                <w:rFonts w:ascii="宋体"/>
              </w:rPr>
            </w:pPr>
          </w:p>
        </w:tc>
        <w:tc>
          <w:tcPr>
            <w:tcW w:w="0" w:type="auto"/>
            <w:gridSpan w:val="3"/>
            <w:tcBorders>
              <w:top w:val="single" w:sz="8" w:space="0" w:color="333333"/>
            </w:tcBorders>
            <w:shd w:val="clear" w:color="auto" w:fill="auto"/>
            <w:tcMar>
              <w:top w:w="40" w:type="dxa"/>
              <w:left w:w="20" w:type="dxa"/>
              <w:bottom w:w="40" w:type="dxa"/>
              <w:right w:w="20" w:type="dxa"/>
            </w:tcMar>
            <w:vAlign w:val="bottom"/>
          </w:tcPr>
          <w:p w14:paraId="20AE3BA7" w14:textId="77777777" w:rsidR="00B626E7" w:rsidRDefault="00175C1D">
            <w:pPr>
              <w:textAlignment w:val="bottom"/>
            </w:pPr>
            <w:r>
              <w:rPr>
                <w:rFonts w:ascii="Arial" w:eastAsia="宋体" w:hAnsi="Arial" w:cs="Arial"/>
                <w:color w:val="333333"/>
                <w:sz w:val="18"/>
                <w:szCs w:val="18"/>
              </w:rPr>
              <w:t>Kevin T. McBride</w:t>
            </w:r>
          </w:p>
        </w:tc>
        <w:tc>
          <w:tcPr>
            <w:tcW w:w="0" w:type="auto"/>
            <w:shd w:val="clear" w:color="auto" w:fill="auto"/>
          </w:tcPr>
          <w:p w14:paraId="20AE3BA8" w14:textId="77777777" w:rsidR="00B626E7" w:rsidRDefault="00B626E7">
            <w:pPr>
              <w:rPr>
                <w:rFonts w:ascii="宋体"/>
              </w:rPr>
            </w:pPr>
          </w:p>
        </w:tc>
        <w:tc>
          <w:tcPr>
            <w:tcW w:w="0" w:type="auto"/>
            <w:shd w:val="clear" w:color="auto" w:fill="auto"/>
          </w:tcPr>
          <w:p w14:paraId="20AE3BA9" w14:textId="77777777" w:rsidR="00B626E7" w:rsidRDefault="00B626E7">
            <w:pPr>
              <w:rPr>
                <w:rFonts w:ascii="宋体"/>
              </w:rPr>
            </w:pPr>
          </w:p>
        </w:tc>
        <w:tc>
          <w:tcPr>
            <w:tcW w:w="0" w:type="auto"/>
            <w:shd w:val="clear" w:color="auto" w:fill="auto"/>
          </w:tcPr>
          <w:p w14:paraId="20AE3BAA" w14:textId="77777777" w:rsidR="00B626E7" w:rsidRDefault="00B626E7">
            <w:pPr>
              <w:rPr>
                <w:rFonts w:ascii="宋体"/>
              </w:rPr>
            </w:pPr>
          </w:p>
        </w:tc>
        <w:tc>
          <w:tcPr>
            <w:tcW w:w="0" w:type="auto"/>
            <w:shd w:val="clear" w:color="auto" w:fill="auto"/>
          </w:tcPr>
          <w:p w14:paraId="20AE3BAB" w14:textId="77777777" w:rsidR="00B626E7" w:rsidRDefault="00B626E7">
            <w:pPr>
              <w:rPr>
                <w:rFonts w:ascii="宋体"/>
              </w:rPr>
            </w:pPr>
          </w:p>
        </w:tc>
        <w:tc>
          <w:tcPr>
            <w:tcW w:w="0" w:type="auto"/>
            <w:shd w:val="clear" w:color="auto" w:fill="auto"/>
          </w:tcPr>
          <w:p w14:paraId="20AE3BAC" w14:textId="77777777" w:rsidR="00B626E7" w:rsidRDefault="00B626E7">
            <w:pPr>
              <w:rPr>
                <w:rFonts w:ascii="宋体"/>
              </w:rPr>
            </w:pPr>
          </w:p>
        </w:tc>
        <w:tc>
          <w:tcPr>
            <w:tcW w:w="0" w:type="auto"/>
            <w:shd w:val="clear" w:color="auto" w:fill="auto"/>
          </w:tcPr>
          <w:p w14:paraId="20AE3BAD" w14:textId="77777777" w:rsidR="00B626E7" w:rsidRDefault="00B626E7">
            <w:pPr>
              <w:rPr>
                <w:rFonts w:ascii="宋体"/>
              </w:rPr>
            </w:pPr>
          </w:p>
        </w:tc>
      </w:tr>
      <w:tr w:rsidR="00B626E7" w14:paraId="20AE3BBB" w14:textId="77777777">
        <w:tc>
          <w:tcPr>
            <w:tcW w:w="0" w:type="auto"/>
            <w:gridSpan w:val="3"/>
            <w:shd w:val="clear" w:color="auto" w:fill="auto"/>
            <w:tcMar>
              <w:left w:w="20" w:type="dxa"/>
              <w:right w:w="20" w:type="dxa"/>
            </w:tcMar>
            <w:vAlign w:val="bottom"/>
          </w:tcPr>
          <w:p w14:paraId="20AE3BAF"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BB0"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BB1"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BB2" w14:textId="77777777" w:rsidR="00B626E7" w:rsidRDefault="00B626E7">
            <w:pPr>
              <w:rPr>
                <w:rFonts w:ascii="宋体"/>
              </w:rPr>
            </w:pPr>
          </w:p>
        </w:tc>
        <w:tc>
          <w:tcPr>
            <w:tcW w:w="0" w:type="auto"/>
            <w:gridSpan w:val="3"/>
            <w:shd w:val="clear" w:color="auto" w:fill="auto"/>
            <w:tcMar>
              <w:left w:w="20" w:type="dxa"/>
              <w:right w:w="20" w:type="dxa"/>
            </w:tcMar>
            <w:vAlign w:val="bottom"/>
          </w:tcPr>
          <w:p w14:paraId="20AE3BB3" w14:textId="77777777" w:rsidR="00B626E7" w:rsidRDefault="00B626E7">
            <w:pPr>
              <w:rPr>
                <w:rFonts w:ascii="宋体"/>
              </w:rPr>
            </w:pPr>
          </w:p>
        </w:tc>
        <w:tc>
          <w:tcPr>
            <w:tcW w:w="0" w:type="auto"/>
            <w:gridSpan w:val="3"/>
            <w:shd w:val="clear" w:color="auto" w:fill="auto"/>
            <w:tcMar>
              <w:top w:w="40" w:type="dxa"/>
              <w:left w:w="20" w:type="dxa"/>
              <w:bottom w:w="40" w:type="dxa"/>
              <w:right w:w="20" w:type="dxa"/>
            </w:tcMar>
          </w:tcPr>
          <w:p w14:paraId="20AE3BB4" w14:textId="77777777" w:rsidR="00B626E7" w:rsidRDefault="00175C1D">
            <w:pPr>
              <w:textAlignment w:val="top"/>
            </w:pPr>
            <w:r>
              <w:rPr>
                <w:rFonts w:ascii="Arial" w:eastAsia="宋体" w:hAnsi="Arial" w:cs="Arial"/>
                <w:color w:val="333333"/>
                <w:sz w:val="18"/>
                <w:szCs w:val="18"/>
              </w:rPr>
              <w:t xml:space="preserve">Vice President of Finance, </w:t>
            </w:r>
            <w:r>
              <w:rPr>
                <w:rFonts w:ascii="Arial" w:eastAsia="宋体" w:hAnsi="Arial" w:cs="Arial"/>
                <w:color w:val="333333"/>
                <w:sz w:val="18"/>
                <w:szCs w:val="18"/>
              </w:rPr>
              <w:t>Corporate Controller and Principal Accounting Officer</w:t>
            </w:r>
          </w:p>
        </w:tc>
        <w:tc>
          <w:tcPr>
            <w:tcW w:w="0" w:type="auto"/>
            <w:shd w:val="clear" w:color="auto" w:fill="auto"/>
          </w:tcPr>
          <w:p w14:paraId="20AE3BB5" w14:textId="77777777" w:rsidR="00B626E7" w:rsidRDefault="00B626E7">
            <w:pPr>
              <w:rPr>
                <w:rFonts w:ascii="宋体"/>
              </w:rPr>
            </w:pPr>
          </w:p>
        </w:tc>
        <w:tc>
          <w:tcPr>
            <w:tcW w:w="0" w:type="auto"/>
            <w:shd w:val="clear" w:color="auto" w:fill="auto"/>
          </w:tcPr>
          <w:p w14:paraId="20AE3BB6" w14:textId="77777777" w:rsidR="00B626E7" w:rsidRDefault="00B626E7">
            <w:pPr>
              <w:rPr>
                <w:rFonts w:ascii="宋体"/>
              </w:rPr>
            </w:pPr>
          </w:p>
        </w:tc>
        <w:tc>
          <w:tcPr>
            <w:tcW w:w="0" w:type="auto"/>
            <w:shd w:val="clear" w:color="auto" w:fill="auto"/>
          </w:tcPr>
          <w:p w14:paraId="20AE3BB7" w14:textId="77777777" w:rsidR="00B626E7" w:rsidRDefault="00B626E7">
            <w:pPr>
              <w:rPr>
                <w:rFonts w:ascii="宋体"/>
              </w:rPr>
            </w:pPr>
          </w:p>
        </w:tc>
        <w:tc>
          <w:tcPr>
            <w:tcW w:w="0" w:type="auto"/>
            <w:shd w:val="clear" w:color="auto" w:fill="auto"/>
          </w:tcPr>
          <w:p w14:paraId="20AE3BB8" w14:textId="77777777" w:rsidR="00B626E7" w:rsidRDefault="00B626E7">
            <w:pPr>
              <w:rPr>
                <w:rFonts w:ascii="宋体"/>
              </w:rPr>
            </w:pPr>
          </w:p>
        </w:tc>
        <w:tc>
          <w:tcPr>
            <w:tcW w:w="0" w:type="auto"/>
            <w:shd w:val="clear" w:color="auto" w:fill="auto"/>
          </w:tcPr>
          <w:p w14:paraId="20AE3BB9" w14:textId="77777777" w:rsidR="00B626E7" w:rsidRDefault="00B626E7">
            <w:pPr>
              <w:rPr>
                <w:rFonts w:ascii="宋体"/>
              </w:rPr>
            </w:pPr>
          </w:p>
        </w:tc>
        <w:tc>
          <w:tcPr>
            <w:tcW w:w="0" w:type="auto"/>
            <w:shd w:val="clear" w:color="auto" w:fill="auto"/>
          </w:tcPr>
          <w:p w14:paraId="20AE3BBA" w14:textId="77777777" w:rsidR="00B626E7" w:rsidRDefault="00B626E7">
            <w:pPr>
              <w:rPr>
                <w:rFonts w:ascii="宋体"/>
              </w:rPr>
            </w:pPr>
          </w:p>
        </w:tc>
      </w:tr>
    </w:tbl>
    <w:p w14:paraId="20AE3BBC" w14:textId="77777777" w:rsidR="00B626E7" w:rsidRDefault="00B626E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84"/>
        <w:gridCol w:w="2408"/>
        <w:gridCol w:w="84"/>
        <w:gridCol w:w="84"/>
        <w:gridCol w:w="2419"/>
        <w:gridCol w:w="83"/>
        <w:gridCol w:w="83"/>
        <w:gridCol w:w="3008"/>
        <w:gridCol w:w="83"/>
      </w:tblGrid>
      <w:tr w:rsidR="00B626E7" w14:paraId="20AE3BC6" w14:textId="77777777">
        <w:tc>
          <w:tcPr>
            <w:tcW w:w="50" w:type="pct"/>
            <w:shd w:val="clear" w:color="auto" w:fill="auto"/>
            <w:vAlign w:val="bottom"/>
          </w:tcPr>
          <w:p w14:paraId="20AE3BBD" w14:textId="77777777" w:rsidR="00B626E7" w:rsidRDefault="00B626E7">
            <w:pPr>
              <w:rPr>
                <w:rFonts w:ascii="宋体"/>
              </w:rPr>
            </w:pPr>
          </w:p>
        </w:tc>
        <w:tc>
          <w:tcPr>
            <w:tcW w:w="1444" w:type="pct"/>
            <w:shd w:val="clear" w:color="auto" w:fill="auto"/>
            <w:vAlign w:val="bottom"/>
          </w:tcPr>
          <w:p w14:paraId="20AE3BBE" w14:textId="77777777" w:rsidR="00B626E7" w:rsidRDefault="00B626E7">
            <w:pPr>
              <w:rPr>
                <w:rFonts w:ascii="宋体"/>
              </w:rPr>
            </w:pPr>
          </w:p>
        </w:tc>
        <w:tc>
          <w:tcPr>
            <w:tcW w:w="50" w:type="pct"/>
            <w:shd w:val="clear" w:color="auto" w:fill="auto"/>
            <w:vAlign w:val="bottom"/>
          </w:tcPr>
          <w:p w14:paraId="20AE3BBF" w14:textId="77777777" w:rsidR="00B626E7" w:rsidRDefault="00B626E7">
            <w:pPr>
              <w:rPr>
                <w:rFonts w:ascii="宋体"/>
              </w:rPr>
            </w:pPr>
          </w:p>
        </w:tc>
        <w:tc>
          <w:tcPr>
            <w:tcW w:w="50" w:type="pct"/>
            <w:shd w:val="clear" w:color="auto" w:fill="auto"/>
            <w:vAlign w:val="bottom"/>
          </w:tcPr>
          <w:p w14:paraId="20AE3BC0" w14:textId="77777777" w:rsidR="00B626E7" w:rsidRDefault="00B626E7">
            <w:pPr>
              <w:rPr>
                <w:rFonts w:ascii="宋体"/>
              </w:rPr>
            </w:pPr>
          </w:p>
        </w:tc>
        <w:tc>
          <w:tcPr>
            <w:tcW w:w="1451" w:type="pct"/>
            <w:shd w:val="clear" w:color="auto" w:fill="auto"/>
            <w:vAlign w:val="bottom"/>
          </w:tcPr>
          <w:p w14:paraId="20AE3BC1" w14:textId="77777777" w:rsidR="00B626E7" w:rsidRDefault="00B626E7">
            <w:pPr>
              <w:rPr>
                <w:rFonts w:ascii="宋体"/>
              </w:rPr>
            </w:pPr>
          </w:p>
        </w:tc>
        <w:tc>
          <w:tcPr>
            <w:tcW w:w="50" w:type="pct"/>
            <w:shd w:val="clear" w:color="auto" w:fill="auto"/>
            <w:vAlign w:val="bottom"/>
          </w:tcPr>
          <w:p w14:paraId="20AE3BC2" w14:textId="77777777" w:rsidR="00B626E7" w:rsidRDefault="00B626E7">
            <w:pPr>
              <w:rPr>
                <w:rFonts w:ascii="宋体"/>
              </w:rPr>
            </w:pPr>
          </w:p>
        </w:tc>
        <w:tc>
          <w:tcPr>
            <w:tcW w:w="50" w:type="pct"/>
            <w:shd w:val="clear" w:color="auto" w:fill="auto"/>
            <w:vAlign w:val="bottom"/>
          </w:tcPr>
          <w:p w14:paraId="20AE3BC3" w14:textId="77777777" w:rsidR="00B626E7" w:rsidRDefault="00B626E7">
            <w:pPr>
              <w:rPr>
                <w:rFonts w:ascii="宋体"/>
              </w:rPr>
            </w:pPr>
          </w:p>
        </w:tc>
        <w:tc>
          <w:tcPr>
            <w:tcW w:w="1804" w:type="pct"/>
            <w:shd w:val="clear" w:color="auto" w:fill="auto"/>
            <w:vAlign w:val="bottom"/>
          </w:tcPr>
          <w:p w14:paraId="20AE3BC4" w14:textId="77777777" w:rsidR="00B626E7" w:rsidRDefault="00B626E7">
            <w:pPr>
              <w:rPr>
                <w:rFonts w:ascii="宋体"/>
              </w:rPr>
            </w:pPr>
          </w:p>
        </w:tc>
        <w:tc>
          <w:tcPr>
            <w:tcW w:w="50" w:type="pct"/>
            <w:shd w:val="clear" w:color="auto" w:fill="auto"/>
            <w:vAlign w:val="bottom"/>
          </w:tcPr>
          <w:p w14:paraId="20AE3BC5" w14:textId="77777777" w:rsidR="00B626E7" w:rsidRDefault="00B626E7">
            <w:pPr>
              <w:rPr>
                <w:rFonts w:ascii="宋体"/>
              </w:rPr>
            </w:pPr>
          </w:p>
        </w:tc>
      </w:tr>
      <w:tr w:rsidR="00B626E7" w14:paraId="20AE3BCA" w14:textId="77777777">
        <w:tc>
          <w:tcPr>
            <w:tcW w:w="0" w:type="auto"/>
            <w:gridSpan w:val="3"/>
            <w:tcBorders>
              <w:top w:val="single" w:sz="8" w:space="0" w:color="0071C5"/>
            </w:tcBorders>
            <w:shd w:val="clear" w:color="auto" w:fill="auto"/>
            <w:tcMar>
              <w:top w:w="40" w:type="dxa"/>
              <w:left w:w="20" w:type="dxa"/>
              <w:bottom w:w="40" w:type="dxa"/>
              <w:right w:w="20" w:type="dxa"/>
            </w:tcMar>
            <w:vAlign w:val="center"/>
          </w:tcPr>
          <w:p w14:paraId="20AE3BC7" w14:textId="77777777" w:rsidR="00B626E7" w:rsidRDefault="00175C1D">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Viewer10_files/intc-20200627_g73.jpg"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0AE3CCE" wp14:editId="20AE3CCF">
                  <wp:extent cx="304800" cy="304800"/>
                  <wp:effectExtent l="0" t="0" r="0" b="0"/>
                  <wp:docPr id="19" name="图片 154"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4" descr="IMG_32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71C5"/>
            </w:tcBorders>
            <w:shd w:val="clear" w:color="auto" w:fill="auto"/>
            <w:tcMar>
              <w:left w:w="20" w:type="dxa"/>
              <w:right w:w="20" w:type="dxa"/>
            </w:tcMar>
            <w:vAlign w:val="bottom"/>
          </w:tcPr>
          <w:p w14:paraId="20AE3BC8" w14:textId="77777777" w:rsidR="00B626E7" w:rsidRDefault="00B626E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20AE3BC9" w14:textId="77777777" w:rsidR="00B626E7" w:rsidRDefault="00175C1D">
            <w:pPr>
              <w:jc w:val="right"/>
              <w:textAlignment w:val="bottom"/>
            </w:pPr>
            <w:r>
              <w:rPr>
                <w:rFonts w:ascii="Arial" w:eastAsia="宋体" w:hAnsi="Arial" w:cs="Arial"/>
                <w:color w:val="333333"/>
                <w:sz w:val="16"/>
                <w:szCs w:val="16"/>
              </w:rPr>
              <w:t>47</w:t>
            </w:r>
          </w:p>
        </w:tc>
      </w:tr>
    </w:tbl>
    <w:p w14:paraId="20AE3BCB" w14:textId="77777777" w:rsidR="00B626E7" w:rsidRDefault="00175C1D">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20AE3CD0" wp14:editId="20AE3CD1">
                <wp:extent cx="635" cy="0"/>
                <wp:effectExtent l="0" t="0" r="0" b="0"/>
                <wp:docPr id="16" name="矩形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7Gg/uQACAAAaBAAADgAAAAAAAAAB&#10;ACAAAAAzAQAAZHJzL2Uyb0RvYy54bWxQSwUGAAAAAAYABgBZAQAApQU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626E7" w14:paraId="20AE3BCD" w14:textId="77777777">
        <w:trPr>
          <w:tblCellSpacing w:w="15" w:type="dxa"/>
        </w:trPr>
        <w:tc>
          <w:tcPr>
            <w:tcW w:w="0" w:type="auto"/>
            <w:shd w:val="clear" w:color="auto" w:fill="auto"/>
            <w:vAlign w:val="center"/>
          </w:tcPr>
          <w:p w14:paraId="20AE3BCC" w14:textId="77777777" w:rsidR="00B626E7" w:rsidRDefault="00B626E7">
            <w:pPr>
              <w:rPr>
                <w:rFonts w:ascii="宋体"/>
              </w:rPr>
            </w:pPr>
          </w:p>
        </w:tc>
      </w:tr>
    </w:tbl>
    <w:p w14:paraId="20AE3BCE" w14:textId="77777777" w:rsidR="00B626E7" w:rsidRDefault="00B626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626E7" w14:paraId="20AE3BD0" w14:textId="77777777">
        <w:trPr>
          <w:tblCellSpacing w:w="15" w:type="dxa"/>
        </w:trPr>
        <w:tc>
          <w:tcPr>
            <w:tcW w:w="0" w:type="auto"/>
            <w:shd w:val="clear" w:color="auto" w:fill="auto"/>
            <w:vAlign w:val="center"/>
          </w:tcPr>
          <w:p w14:paraId="20AE3BCF" w14:textId="77777777" w:rsidR="00B626E7" w:rsidRDefault="00B626E7">
            <w:pPr>
              <w:rPr>
                <w:rFonts w:ascii="宋体"/>
              </w:rPr>
            </w:pPr>
          </w:p>
        </w:tc>
      </w:tr>
    </w:tbl>
    <w:p w14:paraId="20AE3BD1" w14:textId="77777777" w:rsidR="00B626E7" w:rsidRDefault="00B626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626E7" w14:paraId="20AE3BD3" w14:textId="77777777">
        <w:trPr>
          <w:tblCellSpacing w:w="15" w:type="dxa"/>
        </w:trPr>
        <w:tc>
          <w:tcPr>
            <w:tcW w:w="0" w:type="auto"/>
            <w:shd w:val="clear" w:color="auto" w:fill="auto"/>
            <w:vAlign w:val="center"/>
          </w:tcPr>
          <w:p w14:paraId="20AE3BD2" w14:textId="77777777" w:rsidR="00B626E7" w:rsidRDefault="00B626E7">
            <w:pPr>
              <w:rPr>
                <w:rFonts w:ascii="宋体"/>
              </w:rPr>
            </w:pPr>
          </w:p>
        </w:tc>
      </w:tr>
    </w:tbl>
    <w:p w14:paraId="20AE3BD4" w14:textId="77777777" w:rsidR="00B626E7" w:rsidRDefault="00B626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626E7" w14:paraId="20AE3BD6" w14:textId="77777777">
        <w:trPr>
          <w:tblCellSpacing w:w="15" w:type="dxa"/>
        </w:trPr>
        <w:tc>
          <w:tcPr>
            <w:tcW w:w="0" w:type="auto"/>
            <w:shd w:val="clear" w:color="auto" w:fill="auto"/>
            <w:vAlign w:val="center"/>
          </w:tcPr>
          <w:p w14:paraId="20AE3BD5" w14:textId="77777777" w:rsidR="00B626E7" w:rsidRDefault="00B626E7">
            <w:pPr>
              <w:rPr>
                <w:rFonts w:ascii="宋体"/>
              </w:rPr>
            </w:pPr>
          </w:p>
        </w:tc>
      </w:tr>
    </w:tbl>
    <w:p w14:paraId="20AE3BD7" w14:textId="77777777" w:rsidR="00B626E7" w:rsidRDefault="00175C1D">
      <w:r>
        <w:rPr>
          <w:rFonts w:ascii="宋体" w:eastAsia="宋体" w:hAnsi="宋体" w:cs="宋体"/>
        </w:rPr>
        <w:t xml:space="preserve">Previous Next </w:t>
      </w:r>
    </w:p>
    <w:p w14:paraId="20AE3BD8" w14:textId="77777777" w:rsidR="00B626E7" w:rsidRDefault="00175C1D">
      <w:pPr>
        <w:pStyle w:val="a3"/>
      </w:pPr>
      <w:r>
        <w:t>Settings</w:t>
      </w:r>
    </w:p>
    <w:p w14:paraId="20AE3BD9" w14:textId="77777777" w:rsidR="00B626E7" w:rsidRDefault="00175C1D">
      <w:pPr>
        <w:pStyle w:val="Style4"/>
      </w:pPr>
      <w:r>
        <w:t>窗体顶端</w:t>
      </w:r>
    </w:p>
    <w:p w14:paraId="20AE3BDA" w14:textId="77777777" w:rsidR="00B626E7" w:rsidRDefault="00175C1D">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20AE3CD2" wp14:editId="20AE3CD3">
                <wp:extent cx="635" cy="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sTM6c/wEAABgEAAAOAAAAAAAAAAEA&#10;IAAAADMBAABkcnMvZTJvRG9jLnhtbFBLBQYAAAAABgAGAFkBAACkBQAAAAA=&#10;">
                <v:path/>
                <v:fill on="f" focussize="0,0"/>
                <v:stroke/>
                <v:imagedata o:title=""/>
                <o:lock v:ext="edit" aspectratio="t"/>
                <w10:wrap type="none"/>
                <w10:anchorlock/>
              </v:rect>
            </w:pict>
          </mc:Fallback>
        </mc:AlternateContent>
      </w:r>
      <w:r>
        <w:rPr>
          <w:rFonts w:ascii="宋体" w:eastAsia="宋体" w:hAnsi="宋体" w:cs="宋体"/>
        </w:rPr>
        <w:t xml:space="preserve"> </w:t>
      </w:r>
    </w:p>
    <w:p w14:paraId="20AE3BDB" w14:textId="77777777" w:rsidR="00B626E7" w:rsidRDefault="00175C1D">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20AE3CD4" wp14:editId="20AE3CD5">
                <wp:extent cx="635" cy="0"/>
                <wp:effectExtent l="0" t="0" r="0" b="0"/>
                <wp:docPr id="13" name="矩形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yCb5PgA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yCb5PgACAAAaBAAADgAAAAAAAAAB&#10;ACAAAAAzAQAAZHJzL2Uyb0RvYy54bWxQSwUGAAAAAAYABgBZAQAApQUAAAAA&#10;">
                <v:path/>
                <v:fill on="f" focussize="0,0"/>
                <v:stroke/>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w:t>
      </w:r>
      <w:r>
        <w:rPr>
          <w:rFonts w:ascii="宋体" w:eastAsia="宋体" w:hAnsi="宋体" w:cs="宋体"/>
        </w:rPr>
        <w:t xml:space="preserve">ari. </w:t>
      </w:r>
    </w:p>
    <w:p w14:paraId="20AE3BDC" w14:textId="77777777" w:rsidR="00B626E7" w:rsidRDefault="00175C1D">
      <w:r>
        <w:pict w14:anchorId="20AE3CD6">
          <v:rect id="_x0000_i1073" style="width:415.3pt;height:1.5pt" o:hralign="center" o:hrstd="t" o:hr="t" fillcolor="#a0a0a0" stroked="f"/>
        </w:pict>
      </w:r>
    </w:p>
    <w:p w14:paraId="20AE3BDD" w14:textId="77777777" w:rsidR="00B626E7" w:rsidRDefault="00175C1D">
      <w:r>
        <w:rPr>
          <w:rFonts w:ascii="宋体" w:eastAsia="宋体" w:hAnsi="宋体" w:cs="宋体"/>
        </w:rPr>
        <w:t xml:space="preserve">Tagged Data </w:t>
      </w:r>
    </w:p>
    <w:p w14:paraId="20AE3BDE" w14:textId="77777777" w:rsidR="00B626E7" w:rsidRDefault="00175C1D">
      <w:r>
        <w:rPr>
          <w:rFonts w:ascii="monospace" w:eastAsia="monospace" w:hAnsi="monospace" w:cs="monospace"/>
          <w:noProof/>
        </w:rPr>
        <mc:AlternateContent>
          <mc:Choice Requires="wps">
            <w:drawing>
              <wp:inline distT="0" distB="0" distL="114300" distR="114300" wp14:anchorId="20AE3CD7" wp14:editId="20AE3CD8">
                <wp:extent cx="635" cy="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z1Nqw/wEAABgEAAAOAAAAAAAAAAEA&#10;IAAAADMBAABkcnMvZTJvRG9jLnhtbFBLBQYAAAAABgAGAFkBAACkBQAAAAA=&#10;">
                <v:path/>
                <v:fill on="f" focussize="0,0"/>
                <v:stroke/>
                <v:imagedata o:title=""/>
                <o:lock v:ext="edit" aspectratio="t"/>
                <w10:wrap type="none"/>
                <w10:anchorlock/>
              </v:rect>
            </w:pict>
          </mc:Fallback>
        </mc:AlternateContent>
      </w:r>
    </w:p>
    <w:p w14:paraId="20AE3BDF" w14:textId="77777777" w:rsidR="00B626E7" w:rsidRDefault="00175C1D">
      <w:r>
        <w:rPr>
          <w:rFonts w:ascii="宋体" w:eastAsia="宋体" w:hAnsi="宋体" w:cs="宋体"/>
        </w:rPr>
        <w:t>Save</w:t>
      </w:r>
    </w:p>
    <w:p w14:paraId="20AE3BE0" w14:textId="77777777" w:rsidR="00B626E7" w:rsidRDefault="00175C1D">
      <w:r>
        <w:rPr>
          <w:rFonts w:ascii="宋体" w:eastAsia="宋体" w:hAnsi="宋体" w:cs="宋体"/>
        </w:rPr>
        <w:t>Reset</w:t>
      </w:r>
    </w:p>
    <w:p w14:paraId="20AE3BE1" w14:textId="77777777" w:rsidR="00B626E7" w:rsidRDefault="00175C1D">
      <w:r>
        <w:pict w14:anchorId="20AE3CD9">
          <v:rect id="_x0000_i1074" style="width:415.3pt;height:1.5pt" o:hralign="center" o:hrstd="t" o:hr="t" fillcolor="#a0a0a0" stroked="f"/>
        </w:pict>
      </w:r>
    </w:p>
    <w:p w14:paraId="20AE3BE2" w14:textId="77777777" w:rsidR="00B626E7" w:rsidRDefault="00175C1D">
      <w:r>
        <w:rPr>
          <w:rFonts w:ascii="宋体" w:eastAsia="宋体" w:hAnsi="宋体" w:cs="宋体"/>
        </w:rPr>
        <w:t xml:space="preserve">Search Results </w:t>
      </w:r>
    </w:p>
    <w:p w14:paraId="20AE3BE3" w14:textId="77777777" w:rsidR="00B626E7" w:rsidRDefault="00175C1D">
      <w:r>
        <w:rPr>
          <w:rFonts w:ascii="monospace" w:eastAsia="monospace" w:hAnsi="monospace" w:cs="monospace"/>
          <w:noProof/>
        </w:rPr>
        <mc:AlternateContent>
          <mc:Choice Requires="wps">
            <w:drawing>
              <wp:inline distT="0" distB="0" distL="114300" distR="114300" wp14:anchorId="20AE3CDA" wp14:editId="20AE3CDB">
                <wp:extent cx="635" cy="0"/>
                <wp:effectExtent l="0" t="0" r="0" b="0"/>
                <wp:docPr id="17" name="矩形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J4PRJAACAAAaBAAADgAAAGRycy9l&#10;Mm9Eb2MueG1srVNLbhsxDN0X6B0E7etxXCRt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J4PRJAACAAAaBAAADgAAAAAAAAAB&#10;ACAAAAAzAQAAZHJzL2Uyb0RvYy54bWxQSwUGAAAAAAYABgBZAQAApQUAAAAA&#10;">
                <v:path/>
                <v:fill on="f" focussize="0,0"/>
                <v:stroke/>
                <v:imagedata o:title=""/>
                <o:lock v:ext="edit" aspectratio="t"/>
                <w10:wrap type="none"/>
                <w10:anchorlock/>
              </v:rect>
            </w:pict>
          </mc:Fallback>
        </mc:AlternateContent>
      </w:r>
    </w:p>
    <w:p w14:paraId="20AE3BE4" w14:textId="77777777" w:rsidR="00B626E7" w:rsidRDefault="00175C1D">
      <w:r>
        <w:rPr>
          <w:rFonts w:ascii="宋体" w:eastAsia="宋体" w:hAnsi="宋体" w:cs="宋体"/>
        </w:rPr>
        <w:t>Save</w:t>
      </w:r>
    </w:p>
    <w:p w14:paraId="20AE3BE5" w14:textId="77777777" w:rsidR="00B626E7" w:rsidRDefault="00175C1D">
      <w:r>
        <w:rPr>
          <w:rFonts w:ascii="宋体" w:eastAsia="宋体" w:hAnsi="宋体" w:cs="宋体"/>
        </w:rPr>
        <w:t>Reset</w:t>
      </w:r>
    </w:p>
    <w:p w14:paraId="20AE3BE6" w14:textId="77777777" w:rsidR="00B626E7" w:rsidRDefault="00175C1D">
      <w:r>
        <w:pict w14:anchorId="20AE3CDC">
          <v:rect id="_x0000_i1075" style="width:415.3pt;height:1.5pt" o:hralign="center" o:hrstd="t" o:hr="t" fillcolor="#a0a0a0" stroked="f"/>
        </w:pict>
      </w:r>
    </w:p>
    <w:p w14:paraId="20AE3BE7" w14:textId="77777777" w:rsidR="00B626E7" w:rsidRDefault="00175C1D">
      <w:r>
        <w:rPr>
          <w:rFonts w:ascii="宋体" w:eastAsia="宋体" w:hAnsi="宋体" w:cs="宋体"/>
        </w:rPr>
        <w:t xml:space="preserve">Selected Fact </w:t>
      </w:r>
    </w:p>
    <w:p w14:paraId="20AE3BE8" w14:textId="77777777" w:rsidR="00B626E7" w:rsidRDefault="00175C1D">
      <w:r>
        <w:rPr>
          <w:rFonts w:ascii="monospace" w:eastAsia="monospace" w:hAnsi="monospace" w:cs="monospace"/>
          <w:noProof/>
        </w:rPr>
        <mc:AlternateContent>
          <mc:Choice Requires="wps">
            <w:drawing>
              <wp:inline distT="0" distB="0" distL="114300" distR="114300" wp14:anchorId="20AE3CDD" wp14:editId="20AE3CDE">
                <wp:extent cx="635" cy="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VDvO5/wEAABgEAAAOAAAAAAAAAAEA&#10;IAAAADMBAABkcnMvZTJvRG9jLnhtbFBLBQYAAAAABgAGAFkBAACkBQAAAAA=&#10;">
                <v:path/>
                <v:fill on="f" focussize="0,0"/>
                <v:stroke/>
                <v:imagedata o:title=""/>
                <o:lock v:ext="edit" aspectratio="t"/>
                <w10:wrap type="none"/>
                <w10:anchorlock/>
              </v:rect>
            </w:pict>
          </mc:Fallback>
        </mc:AlternateContent>
      </w:r>
    </w:p>
    <w:p w14:paraId="20AE3BE9" w14:textId="77777777" w:rsidR="00B626E7" w:rsidRDefault="00175C1D">
      <w:r>
        <w:rPr>
          <w:rFonts w:ascii="宋体" w:eastAsia="宋体" w:hAnsi="宋体" w:cs="宋体"/>
        </w:rPr>
        <w:t>Save</w:t>
      </w:r>
    </w:p>
    <w:p w14:paraId="20AE3BEA" w14:textId="77777777" w:rsidR="00B626E7" w:rsidRDefault="00175C1D">
      <w:r>
        <w:rPr>
          <w:rFonts w:ascii="宋体" w:eastAsia="宋体" w:hAnsi="宋体" w:cs="宋体"/>
        </w:rPr>
        <w:t>Reset</w:t>
      </w:r>
    </w:p>
    <w:p w14:paraId="20AE3BEB" w14:textId="77777777" w:rsidR="00B626E7" w:rsidRDefault="00175C1D">
      <w:r>
        <w:pict w14:anchorId="20AE3CDF">
          <v:rect id="_x0000_i1076" style="width:415.3pt;height:1.5pt" o:hralign="center" o:hrstd="t" o:hr="t" fillcolor="#a0a0a0" stroked="f"/>
        </w:pict>
      </w:r>
    </w:p>
    <w:p w14:paraId="20AE3BEC" w14:textId="77777777" w:rsidR="00B626E7" w:rsidRDefault="00175C1D">
      <w:r>
        <w:rPr>
          <w:rFonts w:ascii="宋体" w:eastAsia="宋体" w:hAnsi="宋体" w:cs="宋体"/>
        </w:rPr>
        <w:t xml:space="preserve">Tag Shading (hover) </w:t>
      </w:r>
    </w:p>
    <w:p w14:paraId="20AE3BED" w14:textId="77777777" w:rsidR="00B626E7" w:rsidRDefault="00175C1D">
      <w:r>
        <w:rPr>
          <w:rFonts w:ascii="monospace" w:eastAsia="monospace" w:hAnsi="monospace" w:cs="monospace"/>
          <w:noProof/>
        </w:rPr>
        <mc:AlternateContent>
          <mc:Choice Requires="wps">
            <w:drawing>
              <wp:inline distT="0" distB="0" distL="114300" distR="114300" wp14:anchorId="20AE3CE0" wp14:editId="20AE3CE1">
                <wp:extent cx="635" cy="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By7Q/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BJLEgaWJ//7249fP74wcpM4QsKagh3AfMz8Md158Reb8TQ+uU+8wkMaUnWOrJ8H5gFPavo02&#10;pxNhti/qH07qq31igpxXry85E0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UHLtD/wEAABoEAAAOAAAAAAAAAAEA&#10;IAAAADMBAABkcnMvZTJvRG9jLnhtbFBLBQYAAAAABgAGAFkBAACkBQAAAAA=&#10;">
                <v:path/>
                <v:fill on="f" focussize="0,0"/>
                <v:stroke/>
                <v:imagedata o:title=""/>
                <o:lock v:ext="edit" aspectratio="t"/>
                <w10:wrap type="none"/>
                <w10:anchorlock/>
              </v:rect>
            </w:pict>
          </mc:Fallback>
        </mc:AlternateContent>
      </w:r>
    </w:p>
    <w:p w14:paraId="20AE3BEE" w14:textId="77777777" w:rsidR="00B626E7" w:rsidRDefault="00175C1D">
      <w:r>
        <w:rPr>
          <w:rFonts w:ascii="宋体" w:eastAsia="宋体" w:hAnsi="宋体" w:cs="宋体"/>
        </w:rPr>
        <w:t>Save</w:t>
      </w:r>
    </w:p>
    <w:p w14:paraId="20AE3BEF" w14:textId="77777777" w:rsidR="00B626E7" w:rsidRDefault="00175C1D">
      <w:r>
        <w:rPr>
          <w:rFonts w:ascii="宋体" w:eastAsia="宋体" w:hAnsi="宋体" w:cs="宋体"/>
        </w:rPr>
        <w:t>Reset</w:t>
      </w:r>
    </w:p>
    <w:p w14:paraId="20AE3BF0" w14:textId="77777777" w:rsidR="00B626E7" w:rsidRDefault="00175C1D">
      <w:pPr>
        <w:pStyle w:val="Style5"/>
      </w:pPr>
      <w:r>
        <w:t>窗体底端</w:t>
      </w:r>
    </w:p>
    <w:p w14:paraId="20AE3BF1" w14:textId="77777777" w:rsidR="00B626E7" w:rsidRDefault="00175C1D">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20AE3CE2" wp14:editId="20AE3CE3">
                <wp:extent cx="635" cy="0"/>
                <wp:effectExtent l="0" t="0" r="0" b="0"/>
                <wp:docPr id="11" name="矩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H/dV3gACAAAaBAAADgAAAAAAAAAB&#10;ACAAAAAzAQAAZHJzL2Uyb0RvYy54bWxQSwUGAAAAAAYABgBZAQAApQU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626E7" w14:paraId="20AE3BF3" w14:textId="77777777">
        <w:trPr>
          <w:tblCellSpacing w:w="15" w:type="dxa"/>
        </w:trPr>
        <w:tc>
          <w:tcPr>
            <w:tcW w:w="0" w:type="auto"/>
            <w:shd w:val="clear" w:color="auto" w:fill="auto"/>
            <w:vAlign w:val="center"/>
          </w:tcPr>
          <w:p w14:paraId="20AE3BF2" w14:textId="77777777" w:rsidR="00B626E7" w:rsidRDefault="00B626E7">
            <w:pPr>
              <w:rPr>
                <w:rFonts w:ascii="宋体"/>
              </w:rPr>
            </w:pPr>
          </w:p>
        </w:tc>
      </w:tr>
    </w:tbl>
    <w:p w14:paraId="20AE3BF4" w14:textId="77777777" w:rsidR="00B626E7" w:rsidRDefault="00B626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626E7" w14:paraId="20AE3BF6" w14:textId="77777777">
        <w:trPr>
          <w:tblCellSpacing w:w="15" w:type="dxa"/>
        </w:trPr>
        <w:tc>
          <w:tcPr>
            <w:tcW w:w="0" w:type="auto"/>
            <w:shd w:val="clear" w:color="auto" w:fill="auto"/>
            <w:vAlign w:val="center"/>
          </w:tcPr>
          <w:p w14:paraId="20AE3BF5" w14:textId="77777777" w:rsidR="00B626E7" w:rsidRDefault="00B626E7">
            <w:pPr>
              <w:rPr>
                <w:rFonts w:ascii="宋体"/>
              </w:rPr>
            </w:pPr>
          </w:p>
        </w:tc>
      </w:tr>
    </w:tbl>
    <w:p w14:paraId="20AE3BF7" w14:textId="77777777" w:rsidR="00B626E7" w:rsidRDefault="00B626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626E7" w14:paraId="20AE3BF9" w14:textId="77777777">
        <w:trPr>
          <w:tblCellSpacing w:w="15" w:type="dxa"/>
        </w:trPr>
        <w:tc>
          <w:tcPr>
            <w:tcW w:w="0" w:type="auto"/>
            <w:shd w:val="clear" w:color="auto" w:fill="auto"/>
            <w:vAlign w:val="center"/>
          </w:tcPr>
          <w:p w14:paraId="20AE3BF8" w14:textId="77777777" w:rsidR="00B626E7" w:rsidRDefault="00B626E7">
            <w:pPr>
              <w:rPr>
                <w:rFonts w:ascii="宋体"/>
              </w:rPr>
            </w:pPr>
          </w:p>
        </w:tc>
      </w:tr>
    </w:tbl>
    <w:p w14:paraId="20AE3BFA" w14:textId="77777777" w:rsidR="00B626E7" w:rsidRDefault="00B626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626E7" w14:paraId="20AE3BFC" w14:textId="77777777">
        <w:trPr>
          <w:tblCellSpacing w:w="15" w:type="dxa"/>
        </w:trPr>
        <w:tc>
          <w:tcPr>
            <w:tcW w:w="0" w:type="auto"/>
            <w:shd w:val="clear" w:color="auto" w:fill="auto"/>
            <w:vAlign w:val="center"/>
          </w:tcPr>
          <w:p w14:paraId="20AE3BFB" w14:textId="77777777" w:rsidR="00B626E7" w:rsidRDefault="00B626E7">
            <w:pPr>
              <w:rPr>
                <w:rFonts w:ascii="宋体"/>
              </w:rPr>
            </w:pPr>
          </w:p>
        </w:tc>
      </w:tr>
    </w:tbl>
    <w:p w14:paraId="20AE3BFD" w14:textId="77777777" w:rsidR="00B626E7" w:rsidRDefault="00175C1D">
      <w:r>
        <w:rPr>
          <w:rFonts w:ascii="宋体" w:eastAsia="宋体" w:hAnsi="宋体" w:cs="宋体"/>
        </w:rPr>
        <w:t xml:space="preserve">Previous Next </w:t>
      </w:r>
    </w:p>
    <w:p w14:paraId="20AE3BFE" w14:textId="77777777" w:rsidR="00B626E7" w:rsidRDefault="00175C1D">
      <w:pPr>
        <w:pStyle w:val="a3"/>
      </w:pPr>
      <w:r>
        <w:t xml:space="preserve">Nested Facts / </w:t>
      </w:r>
    </w:p>
    <w:p w14:paraId="20AE3BFF" w14:textId="77777777" w:rsidR="00B626E7" w:rsidRDefault="00175C1D">
      <w:r>
        <w:rPr>
          <w:rFonts w:ascii="宋体" w:eastAsia="宋体" w:hAnsi="宋体" w:cs="宋体"/>
        </w:rPr>
        <w:t xml:space="preserve">Previous Next </w:t>
      </w:r>
    </w:p>
    <w:p w14:paraId="20AE3C00" w14:textId="77777777" w:rsidR="00B626E7" w:rsidRDefault="00175C1D">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20AE3CE4" wp14:editId="20AE3CE5">
                <wp:extent cx="635" cy="0"/>
                <wp:effectExtent l="0" t="0" r="0" b="0"/>
                <wp:docPr id="15" name="矩形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8FJ9xP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hEvOHFia+O9vP379/M7IQeoMAWsKegj3MfPDcOfFV2TO3/TgOvUOA2lM2Tm2ehKcDzil7dto&#10;czoRZvui/uGkvtonJsh59Zo6EE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wUn3E/wEAABoEAAAOAAAAAAAAAAEA&#10;IAAAADMBAABkcnMvZTJvRG9jLnhtbFBLBQYAAAAABgAGAFkBAACkBQ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626E7" w14:paraId="20AE3C02" w14:textId="77777777">
        <w:trPr>
          <w:tblCellSpacing w:w="15" w:type="dxa"/>
        </w:trPr>
        <w:tc>
          <w:tcPr>
            <w:tcW w:w="0" w:type="auto"/>
            <w:shd w:val="clear" w:color="auto" w:fill="auto"/>
            <w:vAlign w:val="center"/>
          </w:tcPr>
          <w:p w14:paraId="20AE3C01" w14:textId="77777777" w:rsidR="00B626E7" w:rsidRDefault="00B626E7">
            <w:pPr>
              <w:rPr>
                <w:rFonts w:ascii="宋体"/>
              </w:rPr>
            </w:pPr>
          </w:p>
        </w:tc>
      </w:tr>
    </w:tbl>
    <w:p w14:paraId="20AE3C03" w14:textId="77777777" w:rsidR="00B626E7" w:rsidRDefault="00B626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626E7" w14:paraId="20AE3C05" w14:textId="77777777">
        <w:trPr>
          <w:tblCellSpacing w:w="15" w:type="dxa"/>
        </w:trPr>
        <w:tc>
          <w:tcPr>
            <w:tcW w:w="0" w:type="auto"/>
            <w:shd w:val="clear" w:color="auto" w:fill="auto"/>
            <w:vAlign w:val="center"/>
          </w:tcPr>
          <w:p w14:paraId="20AE3C04" w14:textId="77777777" w:rsidR="00B626E7" w:rsidRDefault="00B626E7">
            <w:pPr>
              <w:rPr>
                <w:rFonts w:ascii="宋体"/>
              </w:rPr>
            </w:pPr>
          </w:p>
        </w:tc>
      </w:tr>
    </w:tbl>
    <w:p w14:paraId="20AE3C06" w14:textId="77777777" w:rsidR="00B626E7" w:rsidRDefault="00B626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626E7" w14:paraId="20AE3C08" w14:textId="77777777">
        <w:trPr>
          <w:tblCellSpacing w:w="15" w:type="dxa"/>
        </w:trPr>
        <w:tc>
          <w:tcPr>
            <w:tcW w:w="0" w:type="auto"/>
            <w:shd w:val="clear" w:color="auto" w:fill="auto"/>
            <w:vAlign w:val="center"/>
          </w:tcPr>
          <w:p w14:paraId="20AE3C07" w14:textId="77777777" w:rsidR="00B626E7" w:rsidRDefault="00B626E7">
            <w:pPr>
              <w:rPr>
                <w:rFonts w:ascii="宋体"/>
              </w:rPr>
            </w:pPr>
          </w:p>
        </w:tc>
      </w:tr>
    </w:tbl>
    <w:p w14:paraId="20AE3C09" w14:textId="77777777" w:rsidR="00B626E7" w:rsidRDefault="00B626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626E7" w14:paraId="20AE3C0B" w14:textId="77777777">
        <w:trPr>
          <w:tblCellSpacing w:w="15" w:type="dxa"/>
        </w:trPr>
        <w:tc>
          <w:tcPr>
            <w:tcW w:w="0" w:type="auto"/>
            <w:shd w:val="clear" w:color="auto" w:fill="auto"/>
            <w:vAlign w:val="center"/>
          </w:tcPr>
          <w:p w14:paraId="20AE3C0A" w14:textId="77777777" w:rsidR="00B626E7" w:rsidRDefault="00B626E7">
            <w:pPr>
              <w:rPr>
                <w:rFonts w:ascii="宋体"/>
              </w:rPr>
            </w:pPr>
          </w:p>
        </w:tc>
      </w:tr>
    </w:tbl>
    <w:p w14:paraId="20AE3C0C" w14:textId="77777777" w:rsidR="00B626E7" w:rsidRDefault="00175C1D">
      <w:r>
        <w:rPr>
          <w:rFonts w:ascii="宋体" w:eastAsia="宋体" w:hAnsi="宋体" w:cs="宋体"/>
        </w:rPr>
        <w:t xml:space="preserve">Previous Next </w:t>
      </w:r>
    </w:p>
    <w:p w14:paraId="20AE3C0D" w14:textId="77777777" w:rsidR="00B626E7" w:rsidRDefault="00B626E7"/>
    <w:sectPr w:rsidR="00B626E7">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4C522" w14:textId="77777777" w:rsidR="00175C1D" w:rsidRDefault="00175C1D" w:rsidP="00175C1D">
      <w:r>
        <w:separator/>
      </w:r>
    </w:p>
  </w:endnote>
  <w:endnote w:type="continuationSeparator" w:id="0">
    <w:p w14:paraId="15D08EC5" w14:textId="77777777" w:rsidR="00175C1D" w:rsidRDefault="00175C1D" w:rsidP="00175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Wingdings">
    <w:panose1 w:val="05000000000000000000"/>
    <w:charset w:val="02"/>
    <w:family w:val="auto"/>
    <w:pitch w:val="variable"/>
    <w:sig w:usb0="00000000" w:usb1="10000000" w:usb2="00000000" w:usb3="00000000" w:csb0="80000000"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A44C4" w14:textId="77777777" w:rsidR="00175C1D" w:rsidRDefault="00175C1D" w:rsidP="00175C1D">
      <w:r>
        <w:separator/>
      </w:r>
    </w:p>
  </w:footnote>
  <w:footnote w:type="continuationSeparator" w:id="0">
    <w:p w14:paraId="100E5548" w14:textId="77777777" w:rsidR="00175C1D" w:rsidRDefault="00175C1D" w:rsidP="00175C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5DF8DE5"/>
    <w:rsid w:val="F5DF8DE5"/>
    <w:rsid w:val="00175C1D"/>
    <w:rsid w:val="00B62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ADF5B0"/>
  <w15:docId w15:val="{A5343E75-6FC7-4E16-ACE2-8C81A32B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175C1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175C1D"/>
    <w:rPr>
      <w:rFonts w:asciiTheme="minorEastAsia" w:hAnsiTheme="minorEastAsia" w:cs="Times New Roman"/>
      <w:sz w:val="18"/>
      <w:szCs w:val="18"/>
    </w:rPr>
  </w:style>
  <w:style w:type="paragraph" w:styleId="a8">
    <w:name w:val="footer"/>
    <w:basedOn w:val="a"/>
    <w:link w:val="a9"/>
    <w:rsid w:val="00175C1D"/>
    <w:pPr>
      <w:tabs>
        <w:tab w:val="center" w:pos="4153"/>
        <w:tab w:val="right" w:pos="8306"/>
      </w:tabs>
      <w:snapToGrid w:val="0"/>
    </w:pPr>
    <w:rPr>
      <w:sz w:val="18"/>
      <w:szCs w:val="18"/>
    </w:rPr>
  </w:style>
  <w:style w:type="character" w:customStyle="1" w:styleId="a9">
    <w:name w:val="页脚 字符"/>
    <w:basedOn w:val="a0"/>
    <w:link w:val="a8"/>
    <w:rsid w:val="00175C1D"/>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sec.gov/ix?doc=/Archives/edgar/data/0000050863/000005086320000026/intc-20200627.htm" TargetMode="External"/><Relationship Id="rId117" Type="http://schemas.openxmlformats.org/officeDocument/2006/relationships/hyperlink" Target="https://www.sec.gov/ix?doc=/Archives/edgar/data/0000050863/000005086320000026/intc-20200627.htm" TargetMode="External"/><Relationship Id="rId21" Type="http://schemas.openxmlformats.org/officeDocument/2006/relationships/hyperlink" Target="https://www.sec.gov/ix?doc=/Archives/edgar/data/0000050863/000005086320000026/intc-20200627.htm" TargetMode="External"/><Relationship Id="rId42" Type="http://schemas.openxmlformats.org/officeDocument/2006/relationships/hyperlink" Target="https://www.sec.gov/ix?doc=/Archives/edgar/data/0000050863/000005086320000026/intc-20200627.htm" TargetMode="External"/><Relationship Id="rId47" Type="http://schemas.openxmlformats.org/officeDocument/2006/relationships/hyperlink" Target="https://www.sec.gov/ix?doc=/Archives/edgar/data/0000050863/000005086320000026/intc-20200627.htm" TargetMode="External"/><Relationship Id="rId63" Type="http://schemas.openxmlformats.org/officeDocument/2006/relationships/hyperlink" Target="https://www.sec.gov/ix?doc=/Archives/edgar/data/0000050863/000005086320000026/intc-20200627.htm" TargetMode="External"/><Relationship Id="rId68" Type="http://schemas.openxmlformats.org/officeDocument/2006/relationships/hyperlink" Target="https://www.sec.gov/ix?doc=/Archives/edgar/data/0000050863/000005086320000026/intc-20200627.htm" TargetMode="External"/><Relationship Id="rId84" Type="http://schemas.openxmlformats.org/officeDocument/2006/relationships/hyperlink" Target="https://www.sec.gov/Archives/edgar/data/0000050863/000005086320000026/a06272020q2-ex101.htm" TargetMode="External"/><Relationship Id="rId89" Type="http://schemas.openxmlformats.org/officeDocument/2006/relationships/hyperlink" Target="https://www.sec.gov/Archives/edgar/data/0000050863/000005086320000026/a06272020q2-ex101.htm" TargetMode="External"/><Relationship Id="rId112" Type="http://schemas.openxmlformats.org/officeDocument/2006/relationships/hyperlink" Target="https://www.sec.gov/ix?doc=/Archives/edgar/data/0000050863/000005086320000026/intc-20200627.htm" TargetMode="External"/><Relationship Id="rId16" Type="http://schemas.openxmlformats.org/officeDocument/2006/relationships/hyperlink" Target="https://www.sec.gov/ix?doc=/Archives/edgar/data/0000050863/000005086320000026/intc-20200627.htm" TargetMode="External"/><Relationship Id="rId107" Type="http://schemas.openxmlformats.org/officeDocument/2006/relationships/hyperlink" Target="https://www.sec.gov/ix?doc=/Archives/edgar/data/0000050863/000005086320000026/intc-20200627.htm" TargetMode="External"/><Relationship Id="rId11" Type="http://schemas.openxmlformats.org/officeDocument/2006/relationships/hyperlink" Target="https://www.sec.gov/ix?doc=/Archives/edgar/data/0000050863/000005086320000026/intc-20200627.htm" TargetMode="External"/><Relationship Id="rId32" Type="http://schemas.openxmlformats.org/officeDocument/2006/relationships/hyperlink" Target="https://www.sec.gov/ix?doc=/Archives/edgar/data/0000050863/000005086320000026/intc-20200627.htm" TargetMode="External"/><Relationship Id="rId37" Type="http://schemas.openxmlformats.org/officeDocument/2006/relationships/hyperlink" Target="https://www.sec.gov/ix?doc=/Archives/edgar/data/0000050863/000005086320000026/intc-20200627.htm" TargetMode="External"/><Relationship Id="rId53" Type="http://schemas.openxmlformats.org/officeDocument/2006/relationships/hyperlink" Target="https://www.sec.gov/ix?doc=/Archives/edgar/data/0000050863/000005086320000026/intc-20200627.htm" TargetMode="External"/><Relationship Id="rId58" Type="http://schemas.openxmlformats.org/officeDocument/2006/relationships/hyperlink" Target="https://www.sec.gov/ix?doc=/Archives/edgar/data/0000050863/000005086320000026/intc-20200627.htm" TargetMode="External"/><Relationship Id="rId74" Type="http://schemas.openxmlformats.org/officeDocument/2006/relationships/hyperlink" Target="https://www.sec.gov/Archives/edgar/data/0000050863/000005086320000026/a06272020q2-ex101.htm" TargetMode="External"/><Relationship Id="rId79" Type="http://schemas.openxmlformats.org/officeDocument/2006/relationships/hyperlink" Target="https://www.sec.gov/Archives/edgar/data/0000050863/000005086320000026/a06272020q2-ex101.htm" TargetMode="External"/><Relationship Id="rId102" Type="http://schemas.openxmlformats.org/officeDocument/2006/relationships/hyperlink" Target="https://www.sec.gov/ix?doc=/Archives/edgar/data/0000050863/000005086320000026/intc-20200627.htm" TargetMode="External"/><Relationship Id="rId5" Type="http://schemas.openxmlformats.org/officeDocument/2006/relationships/endnotes" Target="endnotes.xml"/><Relationship Id="rId90" Type="http://schemas.openxmlformats.org/officeDocument/2006/relationships/hyperlink" Target="https://www.sec.gov/Archives/edgar/data/0000050863/000005086320000026/a06272020q2-ex101.htm" TargetMode="External"/><Relationship Id="rId95" Type="http://schemas.openxmlformats.org/officeDocument/2006/relationships/hyperlink" Target="https://www.sec.gov/Archives/edgar/data/0000050863/000005086320000026/a06272020q2-ex101.htm" TargetMode="External"/><Relationship Id="rId22" Type="http://schemas.openxmlformats.org/officeDocument/2006/relationships/hyperlink" Target="https://www.sec.gov/ix?doc=/Archives/edgar/data/0000050863/000005086320000026/intc-20200627.htm" TargetMode="External"/><Relationship Id="rId27" Type="http://schemas.openxmlformats.org/officeDocument/2006/relationships/hyperlink" Target="https://www.sec.gov/ix?doc=/Archives/edgar/data/0000050863/000005086320000026/intc-20200627.htm" TargetMode="External"/><Relationship Id="rId43" Type="http://schemas.openxmlformats.org/officeDocument/2006/relationships/hyperlink" Target="https://www.sec.gov/ix?doc=/Archives/edgar/data/0000050863/000005086320000026/intc-20200627.htm" TargetMode="External"/><Relationship Id="rId48" Type="http://schemas.openxmlformats.org/officeDocument/2006/relationships/hyperlink" Target="https://www.sec.gov/ix?doc=/Archives/edgar/data/0000050863/000005086320000026/intc-20200627.htm" TargetMode="External"/><Relationship Id="rId64" Type="http://schemas.openxmlformats.org/officeDocument/2006/relationships/hyperlink" Target="https://www.sec.gov/ix?doc=/Archives/edgar/data/0000050863/000005086320000026/intc-20200627.htm" TargetMode="External"/><Relationship Id="rId69" Type="http://schemas.openxmlformats.org/officeDocument/2006/relationships/hyperlink" Target="https://www.sec.gov/ix?doc=/Archives/edgar/data/0000050863/000005086320000026/intc-20200627.htm" TargetMode="External"/><Relationship Id="rId113" Type="http://schemas.openxmlformats.org/officeDocument/2006/relationships/hyperlink" Target="https://www.sec.gov/ix?doc=/Archives/edgar/data/0000050863/000005086320000026/intc-20200627.htm" TargetMode="External"/><Relationship Id="rId118" Type="http://schemas.openxmlformats.org/officeDocument/2006/relationships/hyperlink" Target="https://www.sec.gov/ix?doc=/Archives/edgar/data/0000050863/000005086320000026/intc-20200627.htm" TargetMode="External"/><Relationship Id="rId80" Type="http://schemas.openxmlformats.org/officeDocument/2006/relationships/hyperlink" Target="https://www.sec.gov/Archives/edgar/data/0000050863/000005086320000026/a06272020q2-ex101.htm" TargetMode="External"/><Relationship Id="rId85" Type="http://schemas.openxmlformats.org/officeDocument/2006/relationships/hyperlink" Target="https://www.sec.gov/Archives/edgar/data/0000050863/000005086320000026/a06272020q2-ex101.htm" TargetMode="External"/><Relationship Id="rId12" Type="http://schemas.openxmlformats.org/officeDocument/2006/relationships/hyperlink" Target="https://www.sec.gov/ix?doc=/Archives/edgar/data/0000050863/000005086320000026/intc-20200627.htm" TargetMode="External"/><Relationship Id="rId17" Type="http://schemas.openxmlformats.org/officeDocument/2006/relationships/hyperlink" Target="https://www.sec.gov/ix?doc=/Archives/edgar/data/0000050863/000005086320000026/intc-20200627.htm" TargetMode="External"/><Relationship Id="rId33" Type="http://schemas.openxmlformats.org/officeDocument/2006/relationships/hyperlink" Target="https://www.sec.gov/ix?doc=/Archives/edgar/data/0000050863/000005086320000026/intc-20200627.htm" TargetMode="External"/><Relationship Id="rId38" Type="http://schemas.openxmlformats.org/officeDocument/2006/relationships/hyperlink" Target="https://www.sec.gov/ix?doc=/Archives/edgar/data/0000050863/000005086320000026/intc-20200627.htm" TargetMode="External"/><Relationship Id="rId59" Type="http://schemas.openxmlformats.org/officeDocument/2006/relationships/hyperlink" Target="https://www.sec.gov/ix?doc=/Archives/edgar/data/0000050863/000005086320000026/intc-20200627.htm" TargetMode="External"/><Relationship Id="rId103" Type="http://schemas.openxmlformats.org/officeDocument/2006/relationships/hyperlink" Target="https://www.sec.gov/ix?doc=/Archives/edgar/data/0000050863/000005086320000026/intc-20200627.htm" TargetMode="External"/><Relationship Id="rId108" Type="http://schemas.openxmlformats.org/officeDocument/2006/relationships/hyperlink" Target="https://www.sec.gov/ix?doc=/Archives/edgar/data/0000050863/000005086320000026/intc-20200627.htm" TargetMode="External"/><Relationship Id="rId54" Type="http://schemas.openxmlformats.org/officeDocument/2006/relationships/hyperlink" Target="https://www.sec.gov/ix?doc=/Archives/edgar/data/0000050863/000005086320000026/intc-20200627.htm" TargetMode="External"/><Relationship Id="rId70" Type="http://schemas.openxmlformats.org/officeDocument/2006/relationships/hyperlink" Target="https://www.sec.gov/ix?doc=/Archives/edgar/data/0000050863/000005086320000026/intc-20200627.htm" TargetMode="External"/><Relationship Id="rId75" Type="http://schemas.openxmlformats.org/officeDocument/2006/relationships/hyperlink" Target="https://www.sec.gov/Archives/edgar/data/0000050863/000005086320000026/a06272020q2-ex101.htm" TargetMode="External"/><Relationship Id="rId91" Type="http://schemas.openxmlformats.org/officeDocument/2006/relationships/hyperlink" Target="https://www.sec.gov/Archives/edgar/data/0000050863/000005086320000026/a06272020q2-ex101.htm" TargetMode="External"/><Relationship Id="rId96" Type="http://schemas.openxmlformats.org/officeDocument/2006/relationships/hyperlink" Target="https://www.sec.gov/Archives/edgar/data/0000050863/000005086320000026/a06272020q2-ex101.htm" TargetMode="External"/><Relationship Id="rId1" Type="http://schemas.openxmlformats.org/officeDocument/2006/relationships/styles" Target="styles.xml"/><Relationship Id="rId23" Type="http://schemas.openxmlformats.org/officeDocument/2006/relationships/hyperlink" Target="https://www.sec.gov/ix?doc=/Archives/edgar/data/0000050863/000005086320000026/intc-20200627.htm" TargetMode="External"/><Relationship Id="rId28" Type="http://schemas.openxmlformats.org/officeDocument/2006/relationships/hyperlink" Target="https://www.sec.gov/ix?doc=/Archives/edgar/data/0000050863/000005086320000026/intc-20200627.htm" TargetMode="External"/><Relationship Id="rId49" Type="http://schemas.openxmlformats.org/officeDocument/2006/relationships/hyperlink" Target="https://www.sec.gov/ix?doc=/Archives/edgar/data/0000050863/000005086320000026/intc-20200627.htm" TargetMode="External"/><Relationship Id="rId114" Type="http://schemas.openxmlformats.org/officeDocument/2006/relationships/hyperlink" Target="https://www.sec.gov/ix?doc=/Archives/edgar/data/0000050863/000005086320000026/intc-20200627.htm" TargetMode="External"/><Relationship Id="rId119" Type="http://schemas.openxmlformats.org/officeDocument/2006/relationships/hyperlink" Target="https://www.sec.gov/ix?doc=/Archives/edgar/data/0000050863/000005086320000026/intc-20200627.htm" TargetMode="External"/><Relationship Id="rId44" Type="http://schemas.openxmlformats.org/officeDocument/2006/relationships/hyperlink" Target="https://www.sec.gov/ix?doc=/Archives/edgar/data/0000050863/000005086320000026/intc-20200627.htm" TargetMode="External"/><Relationship Id="rId60" Type="http://schemas.openxmlformats.org/officeDocument/2006/relationships/hyperlink" Target="https://www.sec.gov/ix?doc=/Archives/edgar/data/0000050863/000005086320000026/intc-20200627.htm" TargetMode="External"/><Relationship Id="rId65" Type="http://schemas.openxmlformats.org/officeDocument/2006/relationships/hyperlink" Target="https://www.sec.gov/ix?doc=/Archives/edgar/data/0000050863/000005086320000026/intc-20200627.htm" TargetMode="External"/><Relationship Id="rId81" Type="http://schemas.openxmlformats.org/officeDocument/2006/relationships/hyperlink" Target="https://www.sec.gov/Archives/edgar/data/0000050863/000005086320000026/a06272020q2-ex101.htm" TargetMode="External"/><Relationship Id="rId86" Type="http://schemas.openxmlformats.org/officeDocument/2006/relationships/hyperlink" Target="https://www.sec.gov/Archives/edgar/data/0000050863/000005086320000026/a06272020q2-ex101.htm" TargetMode="External"/><Relationship Id="rId4" Type="http://schemas.openxmlformats.org/officeDocument/2006/relationships/footnotes" Target="footnotes.xml"/><Relationship Id="rId9" Type="http://schemas.openxmlformats.org/officeDocument/2006/relationships/hyperlink" Target="https://www.sec.gov/ix?doc=/Archives/edgar/data/0000050863/000005086320000026/intc-20200627.htm" TargetMode="External"/><Relationship Id="rId13" Type="http://schemas.openxmlformats.org/officeDocument/2006/relationships/hyperlink" Target="https://www.sec.gov/ix?doc=/Archives/edgar/data/0000050863/000005086320000026/intc-20200627.htm" TargetMode="External"/><Relationship Id="rId18" Type="http://schemas.openxmlformats.org/officeDocument/2006/relationships/hyperlink" Target="https://www.sec.gov/ix?doc=/Archives/edgar/data/0000050863/000005086320000026/intc-20200627.htm" TargetMode="External"/><Relationship Id="rId39" Type="http://schemas.openxmlformats.org/officeDocument/2006/relationships/hyperlink" Target="https://www.sec.gov/ix?doc=/Archives/edgar/data/0000050863/000005086320000026/intc-20200627.htm" TargetMode="External"/><Relationship Id="rId109" Type="http://schemas.openxmlformats.org/officeDocument/2006/relationships/hyperlink" Target="https://www.sec.gov/ix?doc=/Archives/edgar/data/0000050863/000005086320000026/intc-20200627.htm" TargetMode="External"/><Relationship Id="rId34" Type="http://schemas.openxmlformats.org/officeDocument/2006/relationships/hyperlink" Target="https://www.sec.gov/ix?doc=/Archives/edgar/data/0000050863/000005086320000026/intc-20200627.htm" TargetMode="External"/><Relationship Id="rId50" Type="http://schemas.openxmlformats.org/officeDocument/2006/relationships/hyperlink" Target="https://www.sec.gov/ix?doc=/Archives/edgar/data/0000050863/000005086320000026/intc-20200627.htm" TargetMode="External"/><Relationship Id="rId55" Type="http://schemas.openxmlformats.org/officeDocument/2006/relationships/hyperlink" Target="https://www.sec.gov/ix?doc=/Archives/edgar/data/0000050863/000005086320000026/intc-20200627.htm" TargetMode="External"/><Relationship Id="rId76" Type="http://schemas.openxmlformats.org/officeDocument/2006/relationships/hyperlink" Target="https://www.sec.gov/Archives/edgar/data/0000050863/000005086320000026/a06272020q2-ex101.htm" TargetMode="External"/><Relationship Id="rId97" Type="http://schemas.openxmlformats.org/officeDocument/2006/relationships/hyperlink" Target="https://www.sec.gov/Archives/edgar/data/0000050863/000005086320000026/a06272020q2-ex101.htm" TargetMode="External"/><Relationship Id="rId104" Type="http://schemas.openxmlformats.org/officeDocument/2006/relationships/hyperlink" Target="https://www.sec.gov/ix?doc=/Archives/edgar/data/0000050863/000005086320000026/intc-20200627.htm" TargetMode="External"/><Relationship Id="rId120" Type="http://schemas.openxmlformats.org/officeDocument/2006/relationships/hyperlink" Target="https://www.sec.gov/ix?doc=/Archives/edgar/data/0000050863/000005086320000026/intc-20200627.htm" TargetMode="External"/><Relationship Id="rId7" Type="http://schemas.openxmlformats.org/officeDocument/2006/relationships/hyperlink" Target="https://www.sec.gov/ix?doc=/Archives/edgar/data/0000050863/000005086320000026/intc-20200627.htm" TargetMode="External"/><Relationship Id="rId71" Type="http://schemas.openxmlformats.org/officeDocument/2006/relationships/hyperlink" Target="https://www.sec.gov/ix?doc=/Archives/edgar/data/0000050863/000005086320000026/intc-20200627.htm" TargetMode="External"/><Relationship Id="rId92" Type="http://schemas.openxmlformats.org/officeDocument/2006/relationships/hyperlink" Target="https://www.sec.gov/Archives/edgar/data/0000050863/000005086320000026/a06272020q2-ex101.htm" TargetMode="External"/><Relationship Id="rId2" Type="http://schemas.openxmlformats.org/officeDocument/2006/relationships/settings" Target="settings.xml"/><Relationship Id="rId29" Type="http://schemas.openxmlformats.org/officeDocument/2006/relationships/hyperlink" Target="https://www.sec.gov/ix?doc=/Archives/edgar/data/0000050863/000005086320000026/intc-20200627.htm" TargetMode="External"/><Relationship Id="rId24" Type="http://schemas.openxmlformats.org/officeDocument/2006/relationships/hyperlink" Target="https://www.sec.gov/ix?doc=/Archives/edgar/data/0000050863/000005086320000026/intc-20200627.htm" TargetMode="External"/><Relationship Id="rId40" Type="http://schemas.openxmlformats.org/officeDocument/2006/relationships/hyperlink" Target="https://www.sec.gov/ix?doc=/Archives/edgar/data/0000050863/000005086320000026/intc-20200627.htm" TargetMode="External"/><Relationship Id="rId45" Type="http://schemas.openxmlformats.org/officeDocument/2006/relationships/hyperlink" Target="https://www.sec.gov/ix?doc=/Archives/edgar/data/0000050863/000005086320000026/intc-20200627.htm" TargetMode="External"/><Relationship Id="rId66" Type="http://schemas.openxmlformats.org/officeDocument/2006/relationships/hyperlink" Target="https://www.sec.gov/ix?doc=/Archives/edgar/data/0000050863/000005086320000026/intc-20200627.htm" TargetMode="External"/><Relationship Id="rId87" Type="http://schemas.openxmlformats.org/officeDocument/2006/relationships/hyperlink" Target="https://www.sec.gov/Archives/edgar/data/0000050863/000005086320000026/a06272020q2-ex101.htm" TargetMode="External"/><Relationship Id="rId110" Type="http://schemas.openxmlformats.org/officeDocument/2006/relationships/hyperlink" Target="https://www.sec.gov/ix?doc=/Archives/edgar/data/0000050863/000005086320000026/intc-20200627.htm" TargetMode="External"/><Relationship Id="rId115" Type="http://schemas.openxmlformats.org/officeDocument/2006/relationships/hyperlink" Target="https://www.sec.gov/ix?doc=/Archives/edgar/data/0000050863/000005086320000026/intc-20200627.htm" TargetMode="External"/><Relationship Id="rId61" Type="http://schemas.openxmlformats.org/officeDocument/2006/relationships/hyperlink" Target="https://www.sec.gov/ix?doc=/Archives/edgar/data/0000050863/000005086320000026/intc-20200627.htm" TargetMode="External"/><Relationship Id="rId82" Type="http://schemas.openxmlformats.org/officeDocument/2006/relationships/hyperlink" Target="https://www.sec.gov/Archives/edgar/data/0000050863/000005086320000026/a06272020q2-ex101.htm" TargetMode="External"/><Relationship Id="rId19" Type="http://schemas.openxmlformats.org/officeDocument/2006/relationships/hyperlink" Target="https://www.sec.gov/ix?doc=/Archives/edgar/data/0000050863/000005086320000026/intc-20200627.htm" TargetMode="External"/><Relationship Id="rId14" Type="http://schemas.openxmlformats.org/officeDocument/2006/relationships/hyperlink" Target="https://www.sec.gov/ix?doc=/Archives/edgar/data/0000050863/000005086320000026/intc-20200627.htm" TargetMode="External"/><Relationship Id="rId30" Type="http://schemas.openxmlformats.org/officeDocument/2006/relationships/hyperlink" Target="https://www.sec.gov/ix?doc=/Archives/edgar/data/0000050863/000005086320000026/intc-20200627.htm" TargetMode="External"/><Relationship Id="rId35" Type="http://schemas.openxmlformats.org/officeDocument/2006/relationships/hyperlink" Target="https://www.sec.gov/ix?doc=/Archives/edgar/data/0000050863/000005086320000026/intc-20200627.htm" TargetMode="External"/><Relationship Id="rId56" Type="http://schemas.openxmlformats.org/officeDocument/2006/relationships/hyperlink" Target="https://www.sec.gov/ix?doc=/Archives/edgar/data/0000050863/000005086320000026/intc-20200627.htm" TargetMode="External"/><Relationship Id="rId77" Type="http://schemas.openxmlformats.org/officeDocument/2006/relationships/hyperlink" Target="https://www.sec.gov/Archives/edgar/data/0000050863/000005086320000026/a06272020q2-ex101.htm" TargetMode="External"/><Relationship Id="rId100" Type="http://schemas.openxmlformats.org/officeDocument/2006/relationships/hyperlink" Target="https://www.sec.gov/Archives/edgar/data/0000050863/000005086320000026/a06272020ex312.htm" TargetMode="External"/><Relationship Id="rId105" Type="http://schemas.openxmlformats.org/officeDocument/2006/relationships/hyperlink" Target="https://www.sec.gov/ix?doc=/Archives/edgar/data/0000050863/000005086320000026/intc-20200627.htm" TargetMode="External"/><Relationship Id="rId8" Type="http://schemas.openxmlformats.org/officeDocument/2006/relationships/hyperlink" Target="https://www.sec.gov/ix?doc=/Archives/edgar/data/0000050863/000005086320000026/intc-20200627.htm" TargetMode="External"/><Relationship Id="rId51" Type="http://schemas.openxmlformats.org/officeDocument/2006/relationships/hyperlink" Target="https://www.sec.gov/ix?doc=/Archives/edgar/data/0000050863/000005086320000026/intc-20200627.htm" TargetMode="External"/><Relationship Id="rId72" Type="http://schemas.openxmlformats.org/officeDocument/2006/relationships/hyperlink" Target="http://www.sec.gov/Archives/edgar/data/50863/000005086306000102/edgar8kex3.txt" TargetMode="External"/><Relationship Id="rId93" Type="http://schemas.openxmlformats.org/officeDocument/2006/relationships/hyperlink" Target="https://www.sec.gov/Archives/edgar/data/0000050863/000005086320000026/a06272020q2-ex101.htm" TargetMode="External"/><Relationship Id="rId98" Type="http://schemas.openxmlformats.org/officeDocument/2006/relationships/hyperlink" Target="https://www.sec.gov/Archives/edgar/data/0000050863/000005086320000026/a06272020q2-ex101.htm" TargetMode="External"/><Relationship Id="rId121" Type="http://schemas.openxmlformats.org/officeDocument/2006/relationships/fontTable" Target="fontTable.xml"/><Relationship Id="rId3" Type="http://schemas.openxmlformats.org/officeDocument/2006/relationships/webSettings" Target="webSettings.xml"/><Relationship Id="rId25" Type="http://schemas.openxmlformats.org/officeDocument/2006/relationships/hyperlink" Target="https://www.sec.gov/ix?doc=/Archives/edgar/data/0000050863/000005086320000026/intc-20200627.htm" TargetMode="External"/><Relationship Id="rId46" Type="http://schemas.openxmlformats.org/officeDocument/2006/relationships/hyperlink" Target="https://www.sec.gov/ix?doc=/Archives/edgar/data/0000050863/000005086320000026/intc-20200627.htm" TargetMode="External"/><Relationship Id="rId67" Type="http://schemas.openxmlformats.org/officeDocument/2006/relationships/hyperlink" Target="https://www.sec.gov/ix?doc=/Archives/edgar/data/0000050863/000005086320000026/intc-20200627.htm" TargetMode="External"/><Relationship Id="rId116" Type="http://schemas.openxmlformats.org/officeDocument/2006/relationships/hyperlink" Target="https://www.sec.gov/ix?doc=/Archives/edgar/data/0000050863/000005086320000026/intc-20200627.htm" TargetMode="External"/><Relationship Id="rId20" Type="http://schemas.openxmlformats.org/officeDocument/2006/relationships/hyperlink" Target="https://www.sec.gov/ix?doc=/Archives/edgar/data/0000050863/000005086320000026/intc-20200627.htm" TargetMode="External"/><Relationship Id="rId41" Type="http://schemas.openxmlformats.org/officeDocument/2006/relationships/hyperlink" Target="https://www.sec.gov/ix?doc=/Archives/edgar/data/0000050863/000005086320000026/intc-20200627.htm" TargetMode="External"/><Relationship Id="rId62" Type="http://schemas.openxmlformats.org/officeDocument/2006/relationships/hyperlink" Target="https://www.sec.gov/ix?doc=/Archives/edgar/data/0000050863/000005086320000026/intc-20200627.htm" TargetMode="External"/><Relationship Id="rId83" Type="http://schemas.openxmlformats.org/officeDocument/2006/relationships/hyperlink" Target="https://www.sec.gov/Archives/edgar/data/0000050863/000005086320000026/a06272020q2-ex101.htm" TargetMode="External"/><Relationship Id="rId88" Type="http://schemas.openxmlformats.org/officeDocument/2006/relationships/hyperlink" Target="https://www.sec.gov/Archives/edgar/data/0000050863/000005086320000026/a06272020q2-ex101.htm" TargetMode="External"/><Relationship Id="rId111" Type="http://schemas.openxmlformats.org/officeDocument/2006/relationships/hyperlink" Target="https://www.sec.gov/ix?doc=/Archives/edgar/data/0000050863/000005086320000026/intc-20200627.htm" TargetMode="External"/><Relationship Id="rId15" Type="http://schemas.openxmlformats.org/officeDocument/2006/relationships/hyperlink" Target="https://www.sec.gov/ix?doc=/Archives/edgar/data/0000050863/000005086320000026/intc-20200627.htm" TargetMode="External"/><Relationship Id="rId36" Type="http://schemas.openxmlformats.org/officeDocument/2006/relationships/hyperlink" Target="https://www.sec.gov/ix?doc=/Archives/edgar/data/0000050863/000005086320000026/intc-20200627.htm" TargetMode="External"/><Relationship Id="rId57" Type="http://schemas.openxmlformats.org/officeDocument/2006/relationships/hyperlink" Target="https://www.sec.gov/ix?doc=/Archives/edgar/data/0000050863/000005086320000026/intc-20200627.htm" TargetMode="External"/><Relationship Id="rId106" Type="http://schemas.openxmlformats.org/officeDocument/2006/relationships/hyperlink" Target="https://www.sec.gov/ix?doc=/Archives/edgar/data/0000050863/000005086320000026/intc-20200627.htm" TargetMode="External"/><Relationship Id="rId10" Type="http://schemas.openxmlformats.org/officeDocument/2006/relationships/hyperlink" Target="https://www.sec.gov/ix?doc=/Archives/edgar/data/0000050863/000005086320000026/intc-20200627.htm" TargetMode="External"/><Relationship Id="rId31" Type="http://schemas.openxmlformats.org/officeDocument/2006/relationships/hyperlink" Target="https://www.sec.gov/ix?doc=/Archives/edgar/data/0000050863/000005086320000026/intc-20200627.htm" TargetMode="External"/><Relationship Id="rId52" Type="http://schemas.openxmlformats.org/officeDocument/2006/relationships/hyperlink" Target="https://www.sec.gov/ix?doc=/Archives/edgar/data/0000050863/000005086320000026/intc-20200627.htm" TargetMode="External"/><Relationship Id="rId73" Type="http://schemas.openxmlformats.org/officeDocument/2006/relationships/hyperlink" Target="http://www.sec.gov/Archives/edgar/data/50863/000119312519011545/d702759dex32.htm" TargetMode="External"/><Relationship Id="rId78" Type="http://schemas.openxmlformats.org/officeDocument/2006/relationships/hyperlink" Target="https://www.sec.gov/Archives/edgar/data/0000050863/000005086320000026/a06272020q2-ex101.htm" TargetMode="External"/><Relationship Id="rId94" Type="http://schemas.openxmlformats.org/officeDocument/2006/relationships/hyperlink" Target="https://www.sec.gov/Archives/edgar/data/0000050863/000005086320000026/a06272020q2-ex101.htm" TargetMode="External"/><Relationship Id="rId99" Type="http://schemas.openxmlformats.org/officeDocument/2006/relationships/hyperlink" Target="https://www.sec.gov/Archives/edgar/data/0000050863/000005086320000026/a06272020ex311.htm" TargetMode="External"/><Relationship Id="rId101" Type="http://schemas.openxmlformats.org/officeDocument/2006/relationships/hyperlink" Target="https://www.sec.gov/Archives/edgar/data/0000050863/000005086320000026/a06272020ex321.htm" TargetMode="External"/><Relationship Id="rId1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24199</Words>
  <Characters>137939</Characters>
  <Application>Microsoft Office Word</Application>
  <DocSecurity>0</DocSecurity>
  <Lines>1149</Lines>
  <Paragraphs>323</Paragraphs>
  <ScaleCrop>false</ScaleCrop>
  <Company/>
  <LinksUpToDate>false</LinksUpToDate>
  <CharactersWithSpaces>161815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2023-02-11T20:07:00Z</dcterms:created>
  <dcterms:modified xsi:type="dcterms:W3CDTF">2023-02-13T11:17:00Z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AFD8E5A682E908D71385E763C45FDF1C</vt:lpwstr>
  </property>
</Properties>
</file>